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  <w:lang w:val="en"/>
        </w:rPr>
        <w:t>9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月和1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" w:eastAsia="zh-CN"/>
        </w:rPr>
        <w:t>-9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44"/>
          <w:szCs w:val="44"/>
        </w:rPr>
        <w:t>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重点区域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空气质量状况及排名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按照信息公开要求，现将202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月和1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-9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月重点区域空气质量状况及排名情况公开如下：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一、</w:t>
      </w:r>
      <w:r>
        <w:rPr>
          <w:rFonts w:hint="default" w:ascii="Times New Roman" w:hAnsi="Times New Roman" w:eastAsia="仿宋_GB2312"/>
          <w:sz w:val="32"/>
          <w:szCs w:val="32"/>
          <w:lang w:val="en"/>
        </w:rPr>
        <w:t>9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月重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点区域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环境空气质量状况及排名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（注：本节中优良天数比例、重污染天数比例、PM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浓度等均为未扣除沙尘天气影响的数据）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</w:t>
      </w:r>
      <w:r>
        <w:rPr>
          <w:rFonts w:hint="default" w:ascii="Times New Roman" w:hAnsi="Times New Roman" w:eastAsia="仿宋_GB2312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月，天山北坡城市平均优良天数比例为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100.0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与去年同期相比</w:t>
      </w:r>
      <w:r>
        <w:rPr>
          <w:rFonts w:ascii="Times New Roman" w:hAnsi="Times New Roman" w:eastAsia="仿宋_GB2312" w:cs="Times New Roman"/>
          <w:sz w:val="32"/>
          <w:szCs w:val="32"/>
        </w:rPr>
        <w:t>，平均优良天数比例持平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未出现污染，环境空气质量较去年同期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保持稳定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。天山北坡城市PM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41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，同比分别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上升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20.6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  <w:t>8.3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石”区域6市2县平均优良天数比例为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100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与去年同期相比，</w:t>
      </w:r>
      <w:r>
        <w:rPr>
          <w:rFonts w:ascii="Times New Roman" w:hAnsi="Times New Roman" w:eastAsia="仿宋_GB2312" w:cs="Times New Roman"/>
          <w:sz w:val="32"/>
          <w:szCs w:val="32"/>
        </w:rPr>
        <w:t>平均优良天数比例持平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未出现污染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，环境空气质量较去年同期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保持稳定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月均浓度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40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13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</w:t>
      </w:r>
      <w:r>
        <w:rPr>
          <w:rFonts w:ascii="Times New Roman" w:hAnsi="Times New Roman" w:eastAsia="仿宋_GB2312" w:cs="Times New Roman"/>
          <w:sz w:val="32"/>
          <w:szCs w:val="32"/>
        </w:rPr>
        <w:t>上升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14.3</w:t>
      </w:r>
      <w:r>
        <w:rPr>
          <w:rFonts w:ascii="Times New Roman" w:hAnsi="Times New Roman" w:eastAsia="仿宋_GB2312" w:cs="Times New Roman"/>
          <w:sz w:val="32"/>
          <w:szCs w:val="32"/>
        </w:rPr>
        <w:t>%、8.3%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市1区平均优良天数比例为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100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与去年同期相比，</w:t>
      </w:r>
      <w:r>
        <w:rPr>
          <w:rFonts w:ascii="Times New Roman" w:hAnsi="Times New Roman" w:eastAsia="仿宋_GB2312" w:cs="Times New Roman"/>
          <w:sz w:val="32"/>
          <w:szCs w:val="32"/>
        </w:rPr>
        <w:t>平均优良天数比例持平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未出现污染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环境空气质量较去年同期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保持稳定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月均浓度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39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，同比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上升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44.4</w:t>
      </w:r>
      <w:r>
        <w:rPr>
          <w:rFonts w:hint="eastAsia" w:ascii="Times New Roman" w:hAnsi="Times New Roman" w:eastAsia="仿宋_GB2312"/>
          <w:sz w:val="32"/>
          <w:szCs w:val="32"/>
        </w:rPr>
        <w:t>%、</w:t>
      </w:r>
      <w:r>
        <w:rPr>
          <w:rFonts w:hint="default" w:ascii="Times New Roman" w:hAnsi="Times New Roman" w:eastAsia="仿宋_GB2312"/>
          <w:sz w:val="32"/>
          <w:szCs w:val="32"/>
          <w:lang w:val="en"/>
        </w:rPr>
        <w:t>20.0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伊犁河谷区域5县市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  <w:t>100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</w:t>
      </w:r>
      <w:r>
        <w:rPr>
          <w:rFonts w:ascii="Times New Roman" w:hAnsi="Times New Roman" w:eastAsia="仿宋_GB2312" w:cs="Times New Roman"/>
          <w:sz w:val="32"/>
          <w:szCs w:val="32"/>
        </w:rPr>
        <w:t>与去年同期相比，平均优良天数比例持平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未出现</w:t>
      </w:r>
      <w:r>
        <w:rPr>
          <w:rFonts w:ascii="Times New Roman" w:hAnsi="Times New Roman" w:eastAsia="仿宋_GB2312" w:cs="Times New Roman"/>
          <w:sz w:val="32"/>
          <w:szCs w:val="32"/>
        </w:rPr>
        <w:t>污染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，环境空气质量较去年同期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保持稳定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。伊犁河谷区域PM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月均浓度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分别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45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14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同比分别上升9.8%、7.7%。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空气质量情况见表1。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石”区域城市环境空气质量综合指数由低到高排名依次为</w:t>
      </w:r>
      <w:r>
        <w:rPr>
          <w:rFonts w:ascii="Times New Roman" w:hAnsi="Times New Roman" w:eastAsia="仿宋_GB2312" w:cs="Times New Roman"/>
          <w:sz w:val="32"/>
          <w:szCs w:val="32"/>
        </w:rPr>
        <w:t>阜康市、沙湾市、玛纳斯县、五家渠市、昌吉市、乌鲁木齐市、呼图壁县、石河子市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乌”区域城市环境空气质量综合指数由低到高排名依次为</w:t>
      </w:r>
      <w:r>
        <w:rPr>
          <w:rFonts w:ascii="Times New Roman" w:hAnsi="Times New Roman" w:eastAsia="仿宋_GB2312" w:cs="Times New Roman"/>
          <w:sz w:val="32"/>
          <w:szCs w:val="32"/>
        </w:rPr>
        <w:t>胡杨河市、乌苏市、独山子区、奎屯市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伊犁河谷区域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城市环境空气质量综合指数由低到高排名依次为</w:t>
      </w:r>
      <w:r>
        <w:rPr>
          <w:rFonts w:ascii="Times New Roman" w:hAnsi="Times New Roman" w:eastAsia="仿宋_GB2312" w:cs="Times New Roman"/>
          <w:sz w:val="32"/>
          <w:szCs w:val="32"/>
        </w:rPr>
        <w:t>伊宁县、霍城县、可克达拉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sz w:val="32"/>
          <w:szCs w:val="32"/>
        </w:rPr>
        <w:t>、察布查尔县、伊宁市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城市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空气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质量排名见表2。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二、1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" w:eastAsia="zh-CN"/>
        </w:rPr>
        <w:t>-9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月重点区域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环境空气质量状况及排名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（注：本节中优良天数比例、重污染天数比例、PM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、PM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浓度等均为未扣除沙尘天气影响的数据）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天山北坡城市1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  <w:t>90.7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增加0.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个百分点。PM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55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27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同比</w:t>
      </w:r>
      <w:r>
        <w:rPr>
          <w:rFonts w:hint="eastAsia" w:eastAsia="仿宋_GB2312"/>
          <w:sz w:val="32"/>
          <w:szCs w:val="32"/>
        </w:rPr>
        <w:t>均持平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石”区域6市2县平均优良天数比例为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86.3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1.8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个百分点。PM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64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34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浓度同比下降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5.9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浓度同比持平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市1区平均优良天数比例为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88.4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增加0.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个百分点。PM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54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27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ascii="Times New Roman" w:hAnsi="Times New Roman" w:eastAsia="仿宋_GB2312" w:cs="Times New Roman"/>
          <w:sz w:val="32"/>
          <w:szCs w:val="32"/>
        </w:rPr>
        <w:t>浓度同比下降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5.3</w:t>
      </w:r>
      <w:r>
        <w:rPr>
          <w:rFonts w:ascii="Times New Roman" w:hAnsi="Times New Roman" w:eastAsia="仿宋_GB2312" w:cs="Times New Roman"/>
          <w:sz w:val="32"/>
          <w:szCs w:val="32"/>
        </w:rPr>
        <w:t>%，PM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ascii="Times New Roman" w:hAnsi="Times New Roman" w:eastAsia="仿宋_GB2312" w:cs="Times New Roman"/>
          <w:sz w:val="32"/>
          <w:szCs w:val="32"/>
        </w:rPr>
        <w:t>浓度同比持平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伊犁河谷2市3县优良天数比例为9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7.5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同比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 w:eastAsia="zh-CN"/>
        </w:rPr>
        <w:t>0.6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个百分点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46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，同比分别上升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12.2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10.5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区域城市空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气质量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同期对比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石”区域城市环境空气质量综合指数由低到高排名依次为沙湾市、玛纳斯县、呼图壁县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乌鲁木齐市、石河子市、昌吉市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阜康市、五家渠市。“奎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乌”区域城市环境空气质量综合指数由低到高排名依次为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胡杨河市、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乌苏市、独山子区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奎屯市。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伊犁河谷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城市环境空气质量综合指数由低到高排名依次为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霍城县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伊宁县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可克达拉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察布查尔县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伊宁市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" w:eastAsia="zh-CN"/>
        </w:rPr>
        <w:t>-9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区域空气质量排名见表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三、沙尘天气影响情况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区域8县市出现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次沙尘天气，与去年同期相比，</w:t>
      </w:r>
      <w:r>
        <w:rPr>
          <w:rFonts w:ascii="Times New Roman" w:hAnsi="Times New Roman" w:eastAsia="仿宋_GB2312" w:cs="Times New Roman"/>
          <w:sz w:val="32"/>
          <w:szCs w:val="32"/>
        </w:rPr>
        <w:t>沙尘天气增加3次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，沙尘影响日数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/>
          <w:sz w:val="32"/>
          <w:szCs w:val="32"/>
          <w:lang w:val="en" w:eastAsia="zh-CN"/>
        </w:rPr>
        <w:t>17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天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区域3市区出现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2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次沙尘天气，与去年同期相比，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沙尘天气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，沙尘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影响日数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扣除沙尘天气影响后，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天山北坡城市PM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35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12.2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同比分别上升2.9%、5.2%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重污染天数合计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天，同比持平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其中，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12.4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同比分别上升2.9%、2.5%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；重污染天数合计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天，同比持平。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乌”区域PM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33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11.6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同比分别上升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22.2</w:t>
      </w:r>
      <w:r>
        <w:rPr>
          <w:rFonts w:hint="eastAsia" w:ascii="Times New Roman" w:hAnsi="Times New Roman" w:eastAsia="仿宋_GB2312"/>
          <w:sz w:val="32"/>
          <w:szCs w:val="32"/>
        </w:rPr>
        <w:t>%、</w:t>
      </w:r>
      <w:r>
        <w:rPr>
          <w:rFonts w:ascii="Times New Roman" w:hAnsi="Times New Roman" w:eastAsia="仿宋_GB2312" w:cs="Times New Roman"/>
          <w:sz w:val="32"/>
          <w:szCs w:val="32"/>
        </w:rPr>
        <w:t>22.1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；重污染天数合计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，同比持平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伊犁河谷区域PM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37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12.6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分别</w:t>
      </w:r>
      <w:r>
        <w:rPr>
          <w:rFonts w:ascii="Times New Roman" w:hAnsi="Times New Roman" w:eastAsia="仿宋_GB2312" w:cs="Times New Roman"/>
          <w:sz w:val="32"/>
          <w:szCs w:val="32"/>
        </w:rPr>
        <w:t>下降5.1%、3.8%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重污染天数合计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，同比持平。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-9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月，“乌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石”区域6市2县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出现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次沙尘天气，与去年同期相比，沙尘天气增加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次，影响日数</w:t>
      </w:r>
      <w:r>
        <w:rPr>
          <w:rFonts w:ascii="Times New Roman" w:hAnsi="Times New Roman" w:eastAsia="仿宋_GB2312" w:cs="Times New Roman"/>
          <w:sz w:val="32"/>
          <w:szCs w:val="32"/>
        </w:rPr>
        <w:t>增加6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乌”区域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出现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次沙尘天气，与去年同期相比，沙尘天气</w:t>
      </w:r>
      <w:r>
        <w:rPr>
          <w:rFonts w:eastAsia="仿宋_GB2312"/>
          <w:sz w:val="32"/>
          <w:szCs w:val="32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次，影响日数</w:t>
      </w:r>
      <w:r>
        <w:rPr>
          <w:rFonts w:eastAsia="仿宋_GB2312"/>
          <w:sz w:val="32"/>
          <w:szCs w:val="32"/>
        </w:rPr>
        <w:t>持平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扣除沙尘天气影响后，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天山北坡城市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51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27.2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同比分别上升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2.0</w:t>
      </w:r>
      <w:r>
        <w:rPr>
          <w:rFonts w:ascii="Times New Roman" w:hAnsi="Times New Roman" w:eastAsia="仿宋_GB2312" w:cs="Times New Roman"/>
          <w:sz w:val="32"/>
          <w:szCs w:val="32"/>
        </w:rPr>
        <w:t>%、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3.4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；重污染天数合计108天，比例为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1.9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%，与去年同期相比重污染天数减少17天，重污染比例减少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0.5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个百分点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“乌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石”区域PM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61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34.3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分别上升</w:t>
      </w:r>
      <w:r>
        <w:rPr>
          <w:rFonts w:ascii="Times New Roman" w:hAnsi="Times New Roman" w:eastAsia="仿宋_GB2312" w:cs="Times New Roman"/>
          <w:sz w:val="32"/>
          <w:szCs w:val="32"/>
        </w:rPr>
        <w:t>1.7%、3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；重污染天数合计91天，比例为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4.2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%，与去年同期相比重污染天数</w:t>
      </w:r>
      <w:r>
        <w:rPr>
          <w:rFonts w:hint="eastAsia" w:eastAsia="仿宋_GB2312"/>
          <w:sz w:val="32"/>
          <w:szCs w:val="32"/>
        </w:rPr>
        <w:t>及比例持平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“奎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乌”区域PM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、PM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平均浓度分别为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50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26.8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μg/m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同比分别上升2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.0</w:t>
      </w:r>
      <w:r>
        <w:rPr>
          <w:rFonts w:ascii="Times New Roman" w:hAnsi="Times New Roman" w:eastAsia="仿宋_GB2312" w:cs="Times New Roman"/>
          <w:sz w:val="32"/>
          <w:szCs w:val="32"/>
        </w:rPr>
        <w:t>%、0.4%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；重污染天数合计17天，比例为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1.6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%，与去年同期相比重污染天数减少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天，重污染比例减少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/>
        </w:rPr>
        <w:t>1.5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个百分点。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伊犁河谷区域PM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、PM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平均浓度分别为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"/>
        </w:rPr>
        <w:t>43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μ</w:t>
      </w:r>
      <w:r>
        <w:rPr>
          <w:rFonts w:hint="default" w:ascii="Times New Roman" w:hAnsi="Times New Roman" w:eastAsia="仿宋_GB2312" w:cs="Times New Roman"/>
          <w:sz w:val="32"/>
          <w:szCs w:val="28"/>
        </w:rPr>
        <w:t>g/m</w:t>
      </w:r>
      <w:r>
        <w:rPr>
          <w:rFonts w:hint="default" w:ascii="Times New Roman" w:hAnsi="Times New Roman" w:eastAsia="仿宋_GB2312" w:cs="Times New Roman"/>
          <w:sz w:val="32"/>
          <w:szCs w:val="28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"/>
        </w:rPr>
        <w:t>20.4</w:t>
      </w:r>
      <w:r>
        <w:rPr>
          <w:rFonts w:hint="default" w:ascii="Times New Roman" w:hAnsi="Times New Roman" w:eastAsia="仿宋_GB2312" w:cs="Times New Roman"/>
          <w:sz w:val="32"/>
          <w:szCs w:val="28"/>
        </w:rPr>
        <w:t>μg/m</w:t>
      </w:r>
      <w:r>
        <w:rPr>
          <w:rFonts w:hint="default" w:ascii="Times New Roman" w:hAnsi="Times New Roman" w:eastAsia="仿宋_GB2312" w:cs="Times New Roman"/>
          <w:sz w:val="32"/>
          <w:szCs w:val="28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，同比分别上升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"/>
        </w:rPr>
        <w:t>7.5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%、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  <w:lang w:val="en"/>
        </w:rPr>
        <w:t>7.9</w:t>
      </w:r>
      <w:r>
        <w:rPr>
          <w:rFonts w:hint="default" w:ascii="Times New Roman" w:hAnsi="Times New Roman" w:eastAsia="仿宋_GB2312" w:cs="Times New Roman"/>
          <w:kern w:val="0"/>
          <w:sz w:val="32"/>
          <w:szCs w:val="28"/>
        </w:rPr>
        <w:t>%；重污染天数合计0天，同比持平。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985" w:right="1531" w:bottom="1985" w:left="1531" w:header="851" w:footer="992" w:gutter="0"/>
          <w:pgNumType w:fmt="decimal" w:start="1"/>
          <w:cols w:space="720" w:num="1"/>
          <w:docGrid w:type="lines" w:linePitch="435" w:charSpace="0"/>
        </w:sectPr>
      </w:pPr>
    </w:p>
    <w:p>
      <w:pPr>
        <w:spacing w:line="360" w:lineRule="exact"/>
        <w:jc w:val="both"/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 w:val="0"/>
        </w:rPr>
        <w:t>表</w:t>
      </w:r>
      <w:r>
        <w:rPr>
          <w:rFonts w:hint="default" w:ascii="Times New Roman" w:hAnsi="Times New Roman" w:eastAsia="仿宋_GB2312" w:cs="Times New Roman"/>
          <w:b/>
          <w:bCs w:val="0"/>
          <w:lang w:val="en"/>
        </w:rPr>
        <w:t>1</w:t>
      </w:r>
      <w:r>
        <w:rPr>
          <w:rFonts w:hint="default" w:ascii="Times New Roman" w:hAnsi="Times New Roman" w:eastAsia="仿宋_GB2312" w:cs="Times New Roman"/>
          <w:b/>
          <w:bCs w:val="0"/>
        </w:rPr>
        <w:t xml:space="preserve">      </w:t>
      </w:r>
      <w:r>
        <w:rPr>
          <w:rFonts w:hint="default" w:ascii="Times New Roman" w:hAnsi="Times New Roman" w:cs="Times New Roman"/>
          <w:b/>
          <w:bCs w:val="0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 xml:space="preserve">     </w:t>
      </w:r>
      <w:r>
        <w:rPr>
          <w:rFonts w:hint="default" w:ascii="Times New Roman" w:hAnsi="Times New Roman" w:cs="Times New Roman"/>
          <w:b/>
          <w:bCs w:val="0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 w:val="0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2025年</w:t>
      </w:r>
      <w:r>
        <w:rPr>
          <w:rFonts w:hint="default" w:ascii="Times New Roman" w:hAnsi="Times New Roman" w:eastAsia="黑体" w:cs="Times New Roman"/>
          <w:b/>
          <w:bCs w:val="0"/>
          <w:sz w:val="21"/>
          <w:szCs w:val="21"/>
          <w:lang w:val="en" w:eastAsia="zh-CN"/>
        </w:rPr>
        <w:t>9</w:t>
      </w:r>
      <w:r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重点区域城市空气质量</w:t>
      </w:r>
      <w:r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eastAsia="zh-CN"/>
        </w:rPr>
        <w:t>情况</w:t>
      </w:r>
    </w:p>
    <w:tbl>
      <w:tblPr>
        <w:tblStyle w:val="6"/>
        <w:tblW w:w="157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33"/>
        <w:gridCol w:w="833"/>
        <w:gridCol w:w="765"/>
        <w:gridCol w:w="576"/>
        <w:gridCol w:w="576"/>
        <w:gridCol w:w="833"/>
        <w:gridCol w:w="576"/>
        <w:gridCol w:w="576"/>
        <w:gridCol w:w="826"/>
        <w:gridCol w:w="576"/>
        <w:gridCol w:w="576"/>
        <w:gridCol w:w="815"/>
        <w:gridCol w:w="576"/>
        <w:gridCol w:w="651"/>
        <w:gridCol w:w="850"/>
        <w:gridCol w:w="576"/>
        <w:gridCol w:w="576"/>
        <w:gridCol w:w="833"/>
        <w:gridCol w:w="665"/>
        <w:gridCol w:w="710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69" w:type="dxa"/>
            <w:vMerge w:val="restart"/>
            <w:tcBorders>
              <w:top w:val="single" w:color="auto" w:sz="12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6"/>
                <w:szCs w:val="16"/>
              </w:rPr>
            </w:pPr>
            <w:r>
              <w:rPr>
                <w:rFonts w:hint="default" w:ascii="仿宋" w:hAnsi="仿宋" w:eastAsia="仿宋" w:cs="Times New Roman"/>
                <w:kern w:val="0"/>
                <w:sz w:val="18"/>
                <w:szCs w:val="16"/>
              </w:rPr>
              <w:t>城市</w:t>
            </w:r>
          </w:p>
        </w:tc>
        <w:tc>
          <w:tcPr>
            <w:tcW w:w="2431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优良天数比例(AQI)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PM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bscript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1978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PM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bscript"/>
              </w:rPr>
              <w:t>2.5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196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SO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bscript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2077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NO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bscript"/>
              </w:rPr>
              <w:t>2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(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CO(mg/m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217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O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  <w:vertAlign w:val="sub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-8h(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</w:rPr>
              <w:t>μg/m</w:t>
            </w:r>
            <w:r>
              <w:rPr>
                <w:rFonts w:hint="default" w:ascii="Times New Roman" w:hAnsi="Times New Roman" w:eastAsia="仿宋" w:cs="Times New Roman"/>
                <w:color w:val="4B4B4B"/>
                <w:kern w:val="0"/>
                <w:sz w:val="18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169" w:type="dxa"/>
            <w:vMerge w:val="continue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" w:lineRule="atLeast"/>
              <w:ind w:left="0" w:right="0"/>
              <w:jc w:val="left"/>
              <w:rPr>
                <w:rFonts w:hint="default" w:ascii="仿宋" w:hAnsi="仿宋" w:eastAsia="仿宋" w:cs="Times New Roman"/>
                <w:kern w:val="0"/>
                <w:sz w:val="16"/>
                <w:szCs w:val="15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同比变化（百分点）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4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202</w:t>
            </w: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6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年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18"/>
                <w:szCs w:val="16"/>
              </w:rPr>
              <w:t>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天山北坡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20.6%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82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8.3%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-16.7%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6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18"/>
                <w:szCs w:val="16"/>
              </w:rPr>
              <w:t>1、“乌-昌-石”区域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82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8.3%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-5.3%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-16.7%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乌鲁木齐市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7.7%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82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石河子市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42.4%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42.9%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11.8%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-20.0%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昌吉市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-15.4%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-33.3%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98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98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阜康市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3.3%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-11.1%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-11.1%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-16.7%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91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6.6%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五家渠市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-11.8%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0.3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0.3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5.4%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玛纳斯县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29.6%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6.7%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101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-2.0%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呼图壁县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30.3%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5.9%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104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-9.6%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69" w:type="dxa"/>
            <w:tcBorders>
              <w:top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沙湾市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17.6%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9.1%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-17.6%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-16.7%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85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-4.7%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kern w:val="0"/>
                <w:sz w:val="18"/>
                <w:szCs w:val="16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18"/>
                <w:szCs w:val="16"/>
              </w:rPr>
              <w:t>2、“奎-独-乌”区域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44.4%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2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7.7%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-20.0%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4.3%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奎屯市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82.6%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2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23.1%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-16.7%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86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106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23.3%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乌苏市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61.9%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66.7%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11.8%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-20.0%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88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-9.3%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独山子区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20.6%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-33.3%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25.0%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106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-11.3%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胡杨河市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32.1%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-54.5%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0.2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-50.0%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84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98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16.7%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18"/>
                <w:szCs w:val="20"/>
              </w:rPr>
              <w:t>3、伊犁河谷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45 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9.8%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82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7.7%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1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65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5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57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3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91 </w:t>
            </w:r>
          </w:p>
        </w:tc>
        <w:tc>
          <w:tcPr>
            <w:tcW w:w="71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87 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-4.4%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伊宁市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47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51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8.5%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-37.5%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察布查尔县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31.6%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15.4%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25.0%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87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-6.5%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霍城县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7.9%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-15.4%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89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伊宁县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-10.3%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-16.7%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-12.0%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18"/>
                <w:szCs w:val="20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可克达拉市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90 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84 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-6.7%</w:t>
            </w:r>
          </w:p>
        </w:tc>
      </w:tr>
    </w:tbl>
    <w:p>
      <w:pPr>
        <w:spacing w:line="560" w:lineRule="exact"/>
        <w:ind w:firstLine="0" w:firstLineChars="0"/>
        <w:rPr>
          <w:rFonts w:hint="default" w:ascii="Times New Roman" w:hAnsi="Times New Roman" w:cs="Times New Roman"/>
          <w:sz w:val="28"/>
          <w:szCs w:val="28"/>
        </w:rPr>
        <w:sectPr>
          <w:pgSz w:w="16838" w:h="11906" w:orient="landscape"/>
          <w:pgMar w:top="1134" w:right="1797" w:bottom="1134" w:left="1797" w:header="680" w:footer="567" w:gutter="0"/>
          <w:pgNumType w:fmt="decimal"/>
          <w:cols w:space="425" w:num="1"/>
          <w:docGrid w:type="lines" w:linePitch="312" w:charSpace="0"/>
        </w:sectPr>
      </w:pPr>
    </w:p>
    <w:p>
      <w:pPr>
        <w:spacing w:before="217" w:beforeLines="50" w:line="360" w:lineRule="exact"/>
        <w:jc w:val="both"/>
        <w:rPr>
          <w:rFonts w:hint="default" w:ascii="Times New Roman" w:hAnsi="Times New Roman" w:eastAsia="仿宋_GB2312" w:cs="Times New Roman"/>
          <w:b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sz w:val="21"/>
          <w:szCs w:val="21"/>
        </w:rPr>
        <w:t>表2                 2025年</w:t>
      </w:r>
      <w:r>
        <w:rPr>
          <w:rFonts w:hint="default" w:ascii="Times New Roman" w:hAnsi="Times New Roman" w:eastAsia="仿宋_GB2312" w:cs="Times New Roman"/>
          <w:b/>
          <w:sz w:val="21"/>
          <w:szCs w:val="21"/>
          <w:lang w:val="en"/>
        </w:rPr>
        <w:t>9</w:t>
      </w:r>
      <w:r>
        <w:rPr>
          <w:rFonts w:hint="default" w:ascii="Times New Roman" w:hAnsi="Times New Roman" w:eastAsia="仿宋_GB2312" w:cs="Times New Roman"/>
          <w:b/>
          <w:sz w:val="21"/>
          <w:szCs w:val="21"/>
        </w:rPr>
        <w:t>月重点区域城市空气质量综合指数排名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294"/>
        <w:gridCol w:w="1400"/>
        <w:gridCol w:w="1294"/>
        <w:gridCol w:w="1399"/>
        <w:gridCol w:w="129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排名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城市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综合指数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城市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综合指数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城市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综合指数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</w:p>
        </w:tc>
        <w:tc>
          <w:tcPr>
            <w:tcW w:w="271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“乌-昌-石”区域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“奎-独-乌”区域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伊犁河谷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阜康市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2.03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胡杨河市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1.97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伊宁县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沙湾市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2.15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乌苏市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2.02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霍城县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玛纳斯县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独山子区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2.35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可克达拉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五家渠市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奎屯市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2.45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察布查尔县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昌吉市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2.46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伊宁市</w:t>
            </w: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乌鲁木齐市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2.48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呼图壁县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2.49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Cs w:val="21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石河子市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2.64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9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spacing w:line="360" w:lineRule="exact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备注：1.</w:t>
      </w:r>
      <w:r>
        <w:rPr>
          <w:rFonts w:hint="default" w:ascii="Times New Roman" w:hAnsi="Times New Roman" w:eastAsia="仿宋" w:cs="Times New Roman"/>
          <w:sz w:val="24"/>
          <w:szCs w:val="24"/>
        </w:rPr>
        <w:t xml:space="preserve">环境空气质量综合指数越低，空气质量越好。      </w:t>
      </w:r>
    </w:p>
    <w:p>
      <w:pPr>
        <w:spacing w:line="36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  <w:sectPr>
          <w:footerReference r:id="rId4" w:type="default"/>
          <w:pgSz w:w="11906" w:h="16838"/>
          <w:pgMar w:top="1985" w:right="1531" w:bottom="1985" w:left="1531" w:header="851" w:footer="992" w:gutter="0"/>
          <w:pgNumType w:fmt="decimal"/>
          <w:cols w:space="720" w:num="1"/>
          <w:docGrid w:type="lines" w:linePitch="435" w:charSpace="0"/>
        </w:sectPr>
      </w:pPr>
    </w:p>
    <w:p>
      <w:pPr>
        <w:spacing w:line="360" w:lineRule="exact"/>
        <w:jc w:val="both"/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/>
          <w:bCs w:val="0"/>
        </w:rPr>
        <w:t>表</w:t>
      </w:r>
      <w:r>
        <w:rPr>
          <w:rFonts w:hint="default" w:ascii="Times New Roman" w:hAnsi="Times New Roman" w:eastAsia="仿宋_GB2312" w:cs="Times New Roman"/>
          <w:b/>
          <w:bCs w:val="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 w:val="0"/>
        </w:rPr>
        <w:t xml:space="preserve">      </w:t>
      </w:r>
      <w:r>
        <w:rPr>
          <w:rFonts w:hint="default" w:ascii="Times New Roman" w:hAnsi="Times New Roman" w:cs="Times New Roman"/>
          <w:b/>
          <w:bCs w:val="0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 xml:space="preserve">     </w:t>
      </w:r>
      <w:r>
        <w:rPr>
          <w:rFonts w:hint="default" w:ascii="Times New Roman" w:hAnsi="Times New Roman" w:cs="Times New Roman"/>
          <w:b/>
          <w:bCs w:val="0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 w:val="0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2025年</w:t>
      </w:r>
      <w:r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/>
          <w:bCs w:val="0"/>
          <w:sz w:val="21"/>
          <w:szCs w:val="21"/>
          <w:lang w:val="en" w:eastAsia="zh-CN"/>
        </w:rPr>
        <w:t>-9</w:t>
      </w:r>
      <w:r>
        <w:rPr>
          <w:rFonts w:hint="eastAsia" w:ascii="Times New Roman" w:hAnsi="Times New Roman" w:eastAsia="仿宋_GB2312" w:cs="Times New Roman"/>
          <w:b/>
          <w:bCs w:val="0"/>
          <w:sz w:val="21"/>
          <w:szCs w:val="21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重点区域城市环境空气质量同期对比</w:t>
      </w:r>
    </w:p>
    <w:tbl>
      <w:tblPr>
        <w:tblStyle w:val="6"/>
        <w:tblW w:w="15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742"/>
        <w:gridCol w:w="736"/>
        <w:gridCol w:w="670"/>
        <w:gridCol w:w="602"/>
        <w:gridCol w:w="562"/>
        <w:gridCol w:w="826"/>
        <w:gridCol w:w="579"/>
        <w:gridCol w:w="562"/>
        <w:gridCol w:w="844"/>
        <w:gridCol w:w="562"/>
        <w:gridCol w:w="562"/>
        <w:gridCol w:w="843"/>
        <w:gridCol w:w="562"/>
        <w:gridCol w:w="562"/>
        <w:gridCol w:w="844"/>
        <w:gridCol w:w="562"/>
        <w:gridCol w:w="562"/>
        <w:gridCol w:w="843"/>
        <w:gridCol w:w="562"/>
        <w:gridCol w:w="562"/>
        <w:gridCol w:w="8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tblHeader/>
          <w:jc w:val="center"/>
        </w:trPr>
        <w:tc>
          <w:tcPr>
            <w:tcW w:w="1266" w:type="dxa"/>
            <w:vMerge w:val="restart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城市</w:t>
            </w:r>
          </w:p>
        </w:tc>
        <w:tc>
          <w:tcPr>
            <w:tcW w:w="214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优良天数比例(AQI)</w:t>
            </w:r>
          </w:p>
        </w:tc>
        <w:tc>
          <w:tcPr>
            <w:tcW w:w="199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PM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bscript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（μg/m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PM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bscript"/>
              </w:rPr>
              <w:t>2.5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（μg/m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9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SO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（μg/m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9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NO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（μg/m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9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CO（mg/m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  <w:tc>
          <w:tcPr>
            <w:tcW w:w="199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O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b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-8h（μg/m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tblHeader/>
          <w:jc w:val="center"/>
        </w:trPr>
        <w:tc>
          <w:tcPr>
            <w:tcW w:w="1266" w:type="dxa"/>
            <w:vMerge w:val="continue"/>
            <w:tcBorders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20"/>
              </w:rPr>
              <w:t>2024年1-9月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6"/>
                <w:szCs w:val="20"/>
              </w:rPr>
              <w:t>2025年1-9月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18"/>
                <w:szCs w:val="20"/>
              </w:rPr>
              <w:t>同比变化</w:t>
            </w:r>
            <w:r>
              <w:rPr>
                <w:rFonts w:hint="default" w:ascii="Times New Roman" w:hAnsi="Times New Roman" w:eastAsia="仿宋_GB2312" w:cs="Times New Roman"/>
                <w:w w:val="90"/>
                <w:kern w:val="0"/>
                <w:sz w:val="18"/>
                <w:szCs w:val="16"/>
              </w:rPr>
              <w:t>(百分点)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2024年1-9月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2025年1-9月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变化</w:t>
            </w:r>
          </w:p>
        </w:tc>
        <w:tc>
          <w:tcPr>
            <w:tcW w:w="57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2024年1-9月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2025年1-9月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2024年1-9月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2025年1-9月</w:t>
            </w:r>
          </w:p>
        </w:tc>
        <w:tc>
          <w:tcPr>
            <w:tcW w:w="84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2024年1-9月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2025年1-9月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2024年1-9月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2025年1-9月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变化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2024年1-9月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  <w:t>2025年1-9月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同比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  <w:t>变化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266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0"/>
              </w:rPr>
              <w:t>天山北坡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90.1%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6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90.7%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w w:val="90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-63" w:leftChars="-3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66" w:type="dxa"/>
            <w:tcBorders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0"/>
              </w:rPr>
              <w:t>“乌-昌-石”区域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84.5%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86.3%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-5.9%</w:t>
            </w:r>
          </w:p>
        </w:tc>
        <w:tc>
          <w:tcPr>
            <w:tcW w:w="57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-4.8%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乌鲁木齐市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85.8%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87.2%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66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-4.5%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33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3.1%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-16.7%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-16.7%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石河子市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83.9%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85.0%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-6.7%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-5.0%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103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昌吉市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81.4%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85.3%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73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-6.8%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-18.5%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阜康市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85.0%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81.7%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-3.3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9.4%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21.9%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-11.1%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-9.1%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-7.6%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五家渠市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81.0%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81.0%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83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6.4%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19.0%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11.1%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玛纳斯县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86.5%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89.4%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-15.5%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-13.8%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-6.3%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103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呼图壁县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84.6%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87.5%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-14.1%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-6.3%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-10.3%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沙湾市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87.9%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93.4%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-19.4%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-15.0%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89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1.1%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0"/>
              </w:rPr>
              <w:t>“奎-独-乌”区域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87.8%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88.4%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-5.3%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7.1%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101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105 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奎屯市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88.3%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85.0%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-3.3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25.0%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112 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12.0%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乌苏市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89.3%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93.4%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-5.7%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-15.0%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-4.8%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-3.0%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独山子区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84.9%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85.6%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52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-13.3%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-3.1%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-11.8%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0.5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106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-2.8%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胡杨河市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88.6%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89.4%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-27.3%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-11.1%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0.3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-25.0%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105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10.5%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b/>
                <w:szCs w:val="20"/>
              </w:rPr>
              <w:t>伊犁河谷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98.1%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97.5%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-0.6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46 </w:t>
            </w: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12.2%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10.5%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0.7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5.2%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伊宁市</w:t>
            </w:r>
          </w:p>
        </w:tc>
        <w:tc>
          <w:tcPr>
            <w:tcW w:w="7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95.6%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92.7%</w:t>
            </w:r>
          </w:p>
        </w:tc>
        <w:tc>
          <w:tcPr>
            <w:tcW w:w="6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-2.9</w:t>
            </w:r>
          </w:p>
        </w:tc>
        <w:tc>
          <w:tcPr>
            <w:tcW w:w="6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8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28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7.7%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-12.5%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-4.0%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</w:p>
        </w:tc>
        <w:tc>
          <w:tcPr>
            <w:tcW w:w="87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察布查尔县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99.6%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98.2%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-1.4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29.3%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15.8%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23.1%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9.7%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霍城县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97.4%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98.9%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-2.8%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99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-2.9%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伊宁县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98.9%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99.6%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2.6%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-5.6%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-14.3%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0.8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0.9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109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16.0%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266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" w:cs="Times New Roman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Cs w:val="20"/>
              </w:rPr>
              <w:t>可克达拉</w:t>
            </w:r>
            <w:r>
              <w:rPr>
                <w:rFonts w:hint="eastAsia" w:ascii="仿宋" w:hAnsi="仿宋" w:eastAsia="仿宋" w:cs="Times New Roman"/>
                <w:color w:val="000000"/>
                <w:sz w:val="18"/>
                <w:szCs w:val="20"/>
              </w:rPr>
              <w:t>市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98.9%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98.2%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-0.7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17.6%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-5.9%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0.6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95 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 xml:space="preserve">98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3.2%</w:t>
            </w:r>
          </w:p>
        </w:tc>
      </w:tr>
    </w:tbl>
    <w:p>
      <w:pPr>
        <w:spacing w:line="560" w:lineRule="exact"/>
        <w:ind w:firstLine="0" w:firstLineChars="0"/>
        <w:rPr>
          <w:rFonts w:hint="default" w:ascii="Times New Roman" w:hAnsi="Times New Roman" w:cs="Times New Roman"/>
          <w:sz w:val="28"/>
          <w:szCs w:val="28"/>
        </w:rPr>
        <w:sectPr>
          <w:pgSz w:w="16838" w:h="11906" w:orient="landscape"/>
          <w:pgMar w:top="1134" w:right="1797" w:bottom="1134" w:left="1797" w:header="680" w:footer="567" w:gutter="0"/>
          <w:pgNumType w:fmt="decimal"/>
          <w:cols w:space="425" w:num="1"/>
          <w:docGrid w:type="lines" w:linePitch="312" w:charSpace="0"/>
        </w:sectPr>
      </w:pPr>
    </w:p>
    <w:p>
      <w:pPr>
        <w:spacing w:line="360" w:lineRule="exact"/>
        <w:jc w:val="both"/>
        <w:rPr>
          <w:rFonts w:hint="default" w:ascii="Times New Roman" w:hAnsi="Times New Roman" w:eastAsia="仿宋_GB2312" w:cs="Times New Roman"/>
          <w:b/>
          <w:bCs w:val="0"/>
        </w:rPr>
      </w:pPr>
      <w:r>
        <w:rPr>
          <w:rFonts w:hint="default" w:ascii="Times New Roman" w:hAnsi="Times New Roman" w:eastAsia="仿宋_GB2312" w:cs="Times New Roman"/>
          <w:b/>
        </w:rPr>
        <w:t>表</w:t>
      </w:r>
      <w:r>
        <w:rPr>
          <w:rFonts w:hint="default" w:ascii="Times New Roman" w:hAnsi="Times New Roman" w:eastAsia="仿宋_GB2312" w:cs="Times New Roman"/>
          <w:b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2025年1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  <w:lang w:val="en"/>
        </w:rPr>
        <w:t>-9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1"/>
        </w:rPr>
        <w:t>月重点区</w:t>
      </w:r>
      <w:r>
        <w:rPr>
          <w:rFonts w:hint="default" w:ascii="Times New Roman" w:hAnsi="Times New Roman" w:eastAsia="仿宋_GB2312" w:cs="Times New Roman"/>
          <w:b/>
          <w:bCs w:val="0"/>
        </w:rPr>
        <w:t>域空气质量排名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322"/>
        <w:gridCol w:w="1226"/>
        <w:gridCol w:w="1307"/>
        <w:gridCol w:w="1226"/>
        <w:gridCol w:w="1306"/>
        <w:gridCol w:w="122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排名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城市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综合指数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“乌-昌-石”区域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“奎-独-乌”区域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  <w:t>伊犁河谷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沙湾市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2.96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胡杨河市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2.94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霍城县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玛纳斯县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3.07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乌苏市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2.97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伊宁县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2.69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呼图壁县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3.46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独山子区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3.23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可克达拉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乌鲁木齐市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3.77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奎屯市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3.39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察布查尔县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石河子市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3.89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伊宁市</w:t>
            </w: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昌吉市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3.90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阜康市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3.97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2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五家渠市</w:t>
            </w: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4.46</w:t>
            </w:r>
          </w:p>
        </w:tc>
        <w:tc>
          <w:tcPr>
            <w:tcW w:w="13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</w:rPr>
        <w:t>备注：</w:t>
      </w:r>
      <w:r>
        <w:rPr>
          <w:rFonts w:hint="default" w:ascii="Times New Roman" w:hAnsi="Times New Roman" w:eastAsia="仿宋" w:cs="Times New Roman"/>
          <w:sz w:val="24"/>
        </w:rPr>
        <w:t>环境空气质量综合指数越低，空气质量越</w:t>
      </w:r>
      <w:r>
        <w:rPr>
          <w:rFonts w:hint="default" w:ascii="Times New Roman" w:hAnsi="Times New Roman" w:eastAsia="仿宋" w:cs="Times New Roman"/>
          <w:sz w:val="24"/>
          <w:lang w:eastAsia="zh-CN"/>
        </w:rPr>
        <w:t>好。</w:t>
      </w:r>
    </w:p>
    <w:sectPr>
      <w:footerReference r:id="rId5" w:type="default"/>
      <w:pgSz w:w="11907" w:h="16839"/>
      <w:pgMar w:top="1134" w:right="1531" w:bottom="1134" w:left="1531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3435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7.05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DptoFdEAAAADAQAADwAAAAAAAAABACAAAAA4AAAAZHJz&#10;L2Rvd25yZXYueG1sUEsBAhQAFAAAAAgAh07iQKhSQoD1AQAAwQMAAA4AAAAAAAAAAQAgAAAAN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435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3435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7.05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DptoFdEAAAADAQAADwAAAAAAAAABACAAAAA4AAAAZHJz&#10;L2Rvd25yZXYueG1sUEsBAhQAFAAAAAgAh07iQK6A5nH1AQAAwQMAAA4AAAAAAAAAAQAgAAAAN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1C4"/>
    <w:rsid w:val="000777AA"/>
    <w:rsid w:val="000C17D7"/>
    <w:rsid w:val="00132BAB"/>
    <w:rsid w:val="00154EFB"/>
    <w:rsid w:val="00265E32"/>
    <w:rsid w:val="002B4257"/>
    <w:rsid w:val="002C282D"/>
    <w:rsid w:val="002D02BA"/>
    <w:rsid w:val="003C530B"/>
    <w:rsid w:val="003F74C4"/>
    <w:rsid w:val="004163EC"/>
    <w:rsid w:val="00490914"/>
    <w:rsid w:val="005102B7"/>
    <w:rsid w:val="00564334"/>
    <w:rsid w:val="006735D1"/>
    <w:rsid w:val="00724E26"/>
    <w:rsid w:val="00747426"/>
    <w:rsid w:val="00846417"/>
    <w:rsid w:val="00884B4E"/>
    <w:rsid w:val="00986BEB"/>
    <w:rsid w:val="009E25D5"/>
    <w:rsid w:val="009E4898"/>
    <w:rsid w:val="00AF5C44"/>
    <w:rsid w:val="00C34F75"/>
    <w:rsid w:val="00C8265A"/>
    <w:rsid w:val="00CE0842"/>
    <w:rsid w:val="00CF5DC2"/>
    <w:rsid w:val="00D07407"/>
    <w:rsid w:val="00DC0965"/>
    <w:rsid w:val="00E62D88"/>
    <w:rsid w:val="00EC1E7C"/>
    <w:rsid w:val="00EF0B05"/>
    <w:rsid w:val="00F36735"/>
    <w:rsid w:val="00F643A5"/>
    <w:rsid w:val="00F813DB"/>
    <w:rsid w:val="00FD7351"/>
    <w:rsid w:val="00FF5108"/>
    <w:rsid w:val="06FFD9E0"/>
    <w:rsid w:val="079FF717"/>
    <w:rsid w:val="0BDBF7CF"/>
    <w:rsid w:val="0DF71ACF"/>
    <w:rsid w:val="0FBF2E0A"/>
    <w:rsid w:val="12DD18ED"/>
    <w:rsid w:val="13EF08E2"/>
    <w:rsid w:val="151C5BEA"/>
    <w:rsid w:val="15FF890E"/>
    <w:rsid w:val="17479DB2"/>
    <w:rsid w:val="18CFF3EB"/>
    <w:rsid w:val="1BFB02EA"/>
    <w:rsid w:val="1C7BD082"/>
    <w:rsid w:val="1DFAABEB"/>
    <w:rsid w:val="1F39AA6F"/>
    <w:rsid w:val="1F71E2AB"/>
    <w:rsid w:val="1F7EA289"/>
    <w:rsid w:val="1FCBB8DE"/>
    <w:rsid w:val="1FFBD4D1"/>
    <w:rsid w:val="1FFF459D"/>
    <w:rsid w:val="27FFEC42"/>
    <w:rsid w:val="27FFF6B3"/>
    <w:rsid w:val="2BFF2476"/>
    <w:rsid w:val="2DBDEE8B"/>
    <w:rsid w:val="2DEE2527"/>
    <w:rsid w:val="2E1D7CCF"/>
    <w:rsid w:val="2E2C9A9E"/>
    <w:rsid w:val="2F7DDFE6"/>
    <w:rsid w:val="2F7E99FA"/>
    <w:rsid w:val="2F7EBA1B"/>
    <w:rsid w:val="2FDDF9E3"/>
    <w:rsid w:val="2FDF8EFA"/>
    <w:rsid w:val="2FE54F84"/>
    <w:rsid w:val="2FEEDA0F"/>
    <w:rsid w:val="2FEF68E8"/>
    <w:rsid w:val="2FEFF53F"/>
    <w:rsid w:val="2FF76374"/>
    <w:rsid w:val="31DCABBF"/>
    <w:rsid w:val="326BBF20"/>
    <w:rsid w:val="33E93E09"/>
    <w:rsid w:val="35472015"/>
    <w:rsid w:val="35952AE5"/>
    <w:rsid w:val="37DA9274"/>
    <w:rsid w:val="37F2993E"/>
    <w:rsid w:val="37F7EF0D"/>
    <w:rsid w:val="37F9C5EE"/>
    <w:rsid w:val="37FF082E"/>
    <w:rsid w:val="3A8B594D"/>
    <w:rsid w:val="3A9A8982"/>
    <w:rsid w:val="3AEEC046"/>
    <w:rsid w:val="3B1EF8F2"/>
    <w:rsid w:val="3B3EABAB"/>
    <w:rsid w:val="3BDC2AE7"/>
    <w:rsid w:val="3BFD34D7"/>
    <w:rsid w:val="3D7F2C02"/>
    <w:rsid w:val="3DA7191B"/>
    <w:rsid w:val="3DAE51C8"/>
    <w:rsid w:val="3E9E5759"/>
    <w:rsid w:val="3EBE8FA0"/>
    <w:rsid w:val="3EBF67DA"/>
    <w:rsid w:val="3EDF7AA1"/>
    <w:rsid w:val="3EE789AC"/>
    <w:rsid w:val="3EFB0AC2"/>
    <w:rsid w:val="3FDB561B"/>
    <w:rsid w:val="3FED6985"/>
    <w:rsid w:val="3FEFE944"/>
    <w:rsid w:val="3FF7584A"/>
    <w:rsid w:val="435D6729"/>
    <w:rsid w:val="48FFCA8A"/>
    <w:rsid w:val="4BD33FC1"/>
    <w:rsid w:val="4BE6B204"/>
    <w:rsid w:val="4D537ADD"/>
    <w:rsid w:val="4EFDDE8F"/>
    <w:rsid w:val="4F5D3863"/>
    <w:rsid w:val="4FCBE8C6"/>
    <w:rsid w:val="4FEF56B2"/>
    <w:rsid w:val="4FFB0FD6"/>
    <w:rsid w:val="4FFE6021"/>
    <w:rsid w:val="50FF5F49"/>
    <w:rsid w:val="535FEFAF"/>
    <w:rsid w:val="537CE37A"/>
    <w:rsid w:val="56BF5335"/>
    <w:rsid w:val="572F9647"/>
    <w:rsid w:val="57BEFDB4"/>
    <w:rsid w:val="57D71024"/>
    <w:rsid w:val="57E9B9C2"/>
    <w:rsid w:val="57F65FC1"/>
    <w:rsid w:val="57FF04E7"/>
    <w:rsid w:val="59BD4532"/>
    <w:rsid w:val="59DF0331"/>
    <w:rsid w:val="59EF7EC6"/>
    <w:rsid w:val="5B754152"/>
    <w:rsid w:val="5BBE748E"/>
    <w:rsid w:val="5BEF7BFD"/>
    <w:rsid w:val="5C8D697D"/>
    <w:rsid w:val="5CAFF4E1"/>
    <w:rsid w:val="5CDF8347"/>
    <w:rsid w:val="5CF48372"/>
    <w:rsid w:val="5D572F21"/>
    <w:rsid w:val="5D59664B"/>
    <w:rsid w:val="5D953CAD"/>
    <w:rsid w:val="5D97414A"/>
    <w:rsid w:val="5DBB41F4"/>
    <w:rsid w:val="5DE7165F"/>
    <w:rsid w:val="5DF747EE"/>
    <w:rsid w:val="5DFC326A"/>
    <w:rsid w:val="5DFE8E31"/>
    <w:rsid w:val="5E9FB177"/>
    <w:rsid w:val="5FC593EA"/>
    <w:rsid w:val="5FDF381E"/>
    <w:rsid w:val="5FF3260B"/>
    <w:rsid w:val="5FF69C51"/>
    <w:rsid w:val="5FF69CB0"/>
    <w:rsid w:val="5FFBD08A"/>
    <w:rsid w:val="5FFF2478"/>
    <w:rsid w:val="61FEDE34"/>
    <w:rsid w:val="6357D325"/>
    <w:rsid w:val="63EFCC83"/>
    <w:rsid w:val="65DA9197"/>
    <w:rsid w:val="65F25C06"/>
    <w:rsid w:val="67BAD10C"/>
    <w:rsid w:val="67CF1A74"/>
    <w:rsid w:val="67E9C656"/>
    <w:rsid w:val="69C536A4"/>
    <w:rsid w:val="69FEDF95"/>
    <w:rsid w:val="69FF691E"/>
    <w:rsid w:val="6B3E9F3D"/>
    <w:rsid w:val="6BE94668"/>
    <w:rsid w:val="6BFF7FCA"/>
    <w:rsid w:val="6D76B205"/>
    <w:rsid w:val="6D7FC692"/>
    <w:rsid w:val="6DD8C3E7"/>
    <w:rsid w:val="6E5AF3EE"/>
    <w:rsid w:val="6EFD827B"/>
    <w:rsid w:val="6EFF6979"/>
    <w:rsid w:val="6F276D1F"/>
    <w:rsid w:val="6F5BFA5D"/>
    <w:rsid w:val="6F5D9B14"/>
    <w:rsid w:val="6F5FAFAE"/>
    <w:rsid w:val="6F6A43B4"/>
    <w:rsid w:val="6F7EF933"/>
    <w:rsid w:val="6F7FBCDD"/>
    <w:rsid w:val="6F7FDE85"/>
    <w:rsid w:val="6F9FF9AE"/>
    <w:rsid w:val="6FBE19AD"/>
    <w:rsid w:val="6FBE948E"/>
    <w:rsid w:val="6FBF2832"/>
    <w:rsid w:val="6FDBAA7B"/>
    <w:rsid w:val="6FFEB5A5"/>
    <w:rsid w:val="6FFED59C"/>
    <w:rsid w:val="71DDC051"/>
    <w:rsid w:val="724CC94A"/>
    <w:rsid w:val="72CF700E"/>
    <w:rsid w:val="733BAC87"/>
    <w:rsid w:val="73D9F27E"/>
    <w:rsid w:val="73EE2748"/>
    <w:rsid w:val="73EE87B6"/>
    <w:rsid w:val="73FE00E1"/>
    <w:rsid w:val="73FEB6F5"/>
    <w:rsid w:val="757DA2AC"/>
    <w:rsid w:val="757F5532"/>
    <w:rsid w:val="75DBE831"/>
    <w:rsid w:val="75FD5B00"/>
    <w:rsid w:val="766DE0C6"/>
    <w:rsid w:val="766FD30B"/>
    <w:rsid w:val="767B1A14"/>
    <w:rsid w:val="769DE6F6"/>
    <w:rsid w:val="76AD8B10"/>
    <w:rsid w:val="76F6DACD"/>
    <w:rsid w:val="76FAC03F"/>
    <w:rsid w:val="77476FDE"/>
    <w:rsid w:val="7765660B"/>
    <w:rsid w:val="777B62F6"/>
    <w:rsid w:val="777DF895"/>
    <w:rsid w:val="777FE1EA"/>
    <w:rsid w:val="77BD32AA"/>
    <w:rsid w:val="77CD876C"/>
    <w:rsid w:val="77DB4E38"/>
    <w:rsid w:val="77DF1B44"/>
    <w:rsid w:val="77F3FC1F"/>
    <w:rsid w:val="77F5A9FE"/>
    <w:rsid w:val="77FAB34B"/>
    <w:rsid w:val="77FB5720"/>
    <w:rsid w:val="77FF275F"/>
    <w:rsid w:val="77FFF9E9"/>
    <w:rsid w:val="78C71781"/>
    <w:rsid w:val="79AB17C6"/>
    <w:rsid w:val="79AE18E3"/>
    <w:rsid w:val="79AEF2F8"/>
    <w:rsid w:val="79B6B91E"/>
    <w:rsid w:val="79CDD728"/>
    <w:rsid w:val="79DFB711"/>
    <w:rsid w:val="79F89AA4"/>
    <w:rsid w:val="7AEE9BE6"/>
    <w:rsid w:val="7B4BD921"/>
    <w:rsid w:val="7B5541AB"/>
    <w:rsid w:val="7B5BF914"/>
    <w:rsid w:val="7B66D4BA"/>
    <w:rsid w:val="7B6F4207"/>
    <w:rsid w:val="7B73E86D"/>
    <w:rsid w:val="7B9BFBEA"/>
    <w:rsid w:val="7BBBA533"/>
    <w:rsid w:val="7BDF12D2"/>
    <w:rsid w:val="7BDFF5C3"/>
    <w:rsid w:val="7BED133E"/>
    <w:rsid w:val="7BED2C44"/>
    <w:rsid w:val="7BF9D702"/>
    <w:rsid w:val="7BFF44F3"/>
    <w:rsid w:val="7BFF75BD"/>
    <w:rsid w:val="7C5C8AE9"/>
    <w:rsid w:val="7CFEC5BD"/>
    <w:rsid w:val="7D47FB30"/>
    <w:rsid w:val="7D77AEEB"/>
    <w:rsid w:val="7DBC8C2E"/>
    <w:rsid w:val="7DBF9407"/>
    <w:rsid w:val="7DCB2D2F"/>
    <w:rsid w:val="7DD7B1BE"/>
    <w:rsid w:val="7DD7EFB3"/>
    <w:rsid w:val="7DDFB9A6"/>
    <w:rsid w:val="7DE7796D"/>
    <w:rsid w:val="7DFE0774"/>
    <w:rsid w:val="7E1BBCA9"/>
    <w:rsid w:val="7E3F1381"/>
    <w:rsid w:val="7E6D606B"/>
    <w:rsid w:val="7E75CD7A"/>
    <w:rsid w:val="7E97412F"/>
    <w:rsid w:val="7ECB8CA1"/>
    <w:rsid w:val="7ECE0943"/>
    <w:rsid w:val="7EE1C302"/>
    <w:rsid w:val="7EE62535"/>
    <w:rsid w:val="7EF7D169"/>
    <w:rsid w:val="7EFB9B11"/>
    <w:rsid w:val="7EFFA451"/>
    <w:rsid w:val="7EFFB9B5"/>
    <w:rsid w:val="7F1B262C"/>
    <w:rsid w:val="7F1EA5F3"/>
    <w:rsid w:val="7F1F49C3"/>
    <w:rsid w:val="7F576A55"/>
    <w:rsid w:val="7F71E210"/>
    <w:rsid w:val="7F721C9E"/>
    <w:rsid w:val="7F7730EA"/>
    <w:rsid w:val="7F777038"/>
    <w:rsid w:val="7F7FA00F"/>
    <w:rsid w:val="7F7FF8A8"/>
    <w:rsid w:val="7F8D2D85"/>
    <w:rsid w:val="7F96C285"/>
    <w:rsid w:val="7FAF75DA"/>
    <w:rsid w:val="7FBD636F"/>
    <w:rsid w:val="7FBD92C6"/>
    <w:rsid w:val="7FD38CA8"/>
    <w:rsid w:val="7FD69B2E"/>
    <w:rsid w:val="7FD97161"/>
    <w:rsid w:val="7FDA8651"/>
    <w:rsid w:val="7FDEFEFA"/>
    <w:rsid w:val="7FEAD752"/>
    <w:rsid w:val="7FEFAC03"/>
    <w:rsid w:val="7FF31AFC"/>
    <w:rsid w:val="7FF3F184"/>
    <w:rsid w:val="7FF9F7F7"/>
    <w:rsid w:val="7FFAB533"/>
    <w:rsid w:val="7FFC6D53"/>
    <w:rsid w:val="7FFCFC58"/>
    <w:rsid w:val="7FFD03B6"/>
    <w:rsid w:val="7FFE3B13"/>
    <w:rsid w:val="7FFF7B80"/>
    <w:rsid w:val="7FFFE067"/>
    <w:rsid w:val="8C7B1BE1"/>
    <w:rsid w:val="8CA253BF"/>
    <w:rsid w:val="8FF969A4"/>
    <w:rsid w:val="93FEBB37"/>
    <w:rsid w:val="96AFAE07"/>
    <w:rsid w:val="975F96F1"/>
    <w:rsid w:val="97FB920B"/>
    <w:rsid w:val="97FF05AB"/>
    <w:rsid w:val="99F307E9"/>
    <w:rsid w:val="99FED287"/>
    <w:rsid w:val="9A9F72D8"/>
    <w:rsid w:val="9AAF81EF"/>
    <w:rsid w:val="9AD79587"/>
    <w:rsid w:val="9BDF2628"/>
    <w:rsid w:val="9BE704B6"/>
    <w:rsid w:val="9DBB1D63"/>
    <w:rsid w:val="9DF71661"/>
    <w:rsid w:val="9DFF8604"/>
    <w:rsid w:val="9F9FB506"/>
    <w:rsid w:val="9FBB4D8E"/>
    <w:rsid w:val="9FBBDA97"/>
    <w:rsid w:val="9FD54F86"/>
    <w:rsid w:val="9FDE5BB7"/>
    <w:rsid w:val="9FEA9AD6"/>
    <w:rsid w:val="9FEF4DFD"/>
    <w:rsid w:val="9FFF1AE4"/>
    <w:rsid w:val="AB1FBB0F"/>
    <w:rsid w:val="AB9C32DD"/>
    <w:rsid w:val="ABCACB9A"/>
    <w:rsid w:val="ABF54711"/>
    <w:rsid w:val="ABFB7E6A"/>
    <w:rsid w:val="AD7F9175"/>
    <w:rsid w:val="ADBB0CCF"/>
    <w:rsid w:val="ADFF8FA5"/>
    <w:rsid w:val="AF1BA5F4"/>
    <w:rsid w:val="AFFFF2D3"/>
    <w:rsid w:val="B1BFE968"/>
    <w:rsid w:val="B35B7FD3"/>
    <w:rsid w:val="B547666C"/>
    <w:rsid w:val="B6F4BA76"/>
    <w:rsid w:val="B77F7B25"/>
    <w:rsid w:val="B78C224F"/>
    <w:rsid w:val="B7F5921D"/>
    <w:rsid w:val="B7FFEFFD"/>
    <w:rsid w:val="B8DF7E1A"/>
    <w:rsid w:val="B99F0834"/>
    <w:rsid w:val="B9ED9585"/>
    <w:rsid w:val="BA5B0212"/>
    <w:rsid w:val="BBF793C6"/>
    <w:rsid w:val="BBFB1C38"/>
    <w:rsid w:val="BBFFEBAF"/>
    <w:rsid w:val="BD21FE6E"/>
    <w:rsid w:val="BD7B9BC8"/>
    <w:rsid w:val="BDE28CB8"/>
    <w:rsid w:val="BE7D42D1"/>
    <w:rsid w:val="BE9719AF"/>
    <w:rsid w:val="BEFB2584"/>
    <w:rsid w:val="BEFB43F1"/>
    <w:rsid w:val="BEFBF6B3"/>
    <w:rsid w:val="BF2D9C3F"/>
    <w:rsid w:val="BF597CBB"/>
    <w:rsid w:val="BF7B4AC4"/>
    <w:rsid w:val="BF7FBA1D"/>
    <w:rsid w:val="BFDDBB38"/>
    <w:rsid w:val="BFEF233E"/>
    <w:rsid w:val="BFEFD20D"/>
    <w:rsid w:val="BFF9AC4A"/>
    <w:rsid w:val="BFFB5EFA"/>
    <w:rsid w:val="BFFC3BDA"/>
    <w:rsid w:val="C1FFAF3F"/>
    <w:rsid w:val="C79F8BC9"/>
    <w:rsid w:val="C7BC2C13"/>
    <w:rsid w:val="C94BDD7E"/>
    <w:rsid w:val="C97D4347"/>
    <w:rsid w:val="CADF24A3"/>
    <w:rsid w:val="CAF68938"/>
    <w:rsid w:val="CB4E39D0"/>
    <w:rsid w:val="CB730015"/>
    <w:rsid w:val="CDF1A482"/>
    <w:rsid w:val="CDF676B2"/>
    <w:rsid w:val="CF5FF59E"/>
    <w:rsid w:val="CFD7D6AE"/>
    <w:rsid w:val="CFDA6C2B"/>
    <w:rsid w:val="CFE3AA7A"/>
    <w:rsid w:val="CFEED25A"/>
    <w:rsid w:val="CFF6F2C8"/>
    <w:rsid w:val="CFFECFD7"/>
    <w:rsid w:val="CFFF6214"/>
    <w:rsid w:val="CFFF71BF"/>
    <w:rsid w:val="D2FDF220"/>
    <w:rsid w:val="D3F750E5"/>
    <w:rsid w:val="D57F8762"/>
    <w:rsid w:val="D5F7D1BD"/>
    <w:rsid w:val="D5FED38B"/>
    <w:rsid w:val="D7CED01D"/>
    <w:rsid w:val="D7FDA0EE"/>
    <w:rsid w:val="D9FBC506"/>
    <w:rsid w:val="DBB5A214"/>
    <w:rsid w:val="DBCE1B0A"/>
    <w:rsid w:val="DBDC6787"/>
    <w:rsid w:val="DBF79738"/>
    <w:rsid w:val="DBFF4FCA"/>
    <w:rsid w:val="DBFFB16D"/>
    <w:rsid w:val="DCBB1D15"/>
    <w:rsid w:val="DD37EDD8"/>
    <w:rsid w:val="DDA9BB95"/>
    <w:rsid w:val="DDBF6928"/>
    <w:rsid w:val="DDDFD4FD"/>
    <w:rsid w:val="DDFF4761"/>
    <w:rsid w:val="DE3F1B68"/>
    <w:rsid w:val="DEE6A7EC"/>
    <w:rsid w:val="DEF7BD02"/>
    <w:rsid w:val="DF3F3807"/>
    <w:rsid w:val="DF78A383"/>
    <w:rsid w:val="DFBBF0A1"/>
    <w:rsid w:val="DFBF2645"/>
    <w:rsid w:val="DFD79777"/>
    <w:rsid w:val="DFDB88BA"/>
    <w:rsid w:val="DFDEE3F7"/>
    <w:rsid w:val="DFE4FBE7"/>
    <w:rsid w:val="DFFD8137"/>
    <w:rsid w:val="DFFDEB7B"/>
    <w:rsid w:val="DFFEB824"/>
    <w:rsid w:val="E0FBF6C8"/>
    <w:rsid w:val="E35DE486"/>
    <w:rsid w:val="E6FD471A"/>
    <w:rsid w:val="E7BFD8A0"/>
    <w:rsid w:val="E7D5725F"/>
    <w:rsid w:val="E7DF59BE"/>
    <w:rsid w:val="E9136A45"/>
    <w:rsid w:val="E98EE688"/>
    <w:rsid w:val="E9BF74E9"/>
    <w:rsid w:val="EABA74CF"/>
    <w:rsid w:val="EB3F16A1"/>
    <w:rsid w:val="EB773C4E"/>
    <w:rsid w:val="EBBF520C"/>
    <w:rsid w:val="EBD2A607"/>
    <w:rsid w:val="EBED2993"/>
    <w:rsid w:val="EC3D3A5C"/>
    <w:rsid w:val="EC7D4FC3"/>
    <w:rsid w:val="ED7B34AA"/>
    <w:rsid w:val="EDDEC2B7"/>
    <w:rsid w:val="EEDFA37B"/>
    <w:rsid w:val="EEFBDB3F"/>
    <w:rsid w:val="EEFF36B7"/>
    <w:rsid w:val="EF6E8856"/>
    <w:rsid w:val="EF7DA545"/>
    <w:rsid w:val="EFDB0AD1"/>
    <w:rsid w:val="EFDDBDB3"/>
    <w:rsid w:val="EFE7E03F"/>
    <w:rsid w:val="EFEF5351"/>
    <w:rsid w:val="EFF98F98"/>
    <w:rsid w:val="EFFE5E1B"/>
    <w:rsid w:val="F3AE6900"/>
    <w:rsid w:val="F3BFB7F1"/>
    <w:rsid w:val="F3EBF567"/>
    <w:rsid w:val="F3FF8984"/>
    <w:rsid w:val="F53FF0E0"/>
    <w:rsid w:val="F5FF49E2"/>
    <w:rsid w:val="F68731A3"/>
    <w:rsid w:val="F6DDD47D"/>
    <w:rsid w:val="F6FF4E44"/>
    <w:rsid w:val="F6FFE6AC"/>
    <w:rsid w:val="F770C2D7"/>
    <w:rsid w:val="F77E4BC3"/>
    <w:rsid w:val="F7AF46A6"/>
    <w:rsid w:val="F7BBAA53"/>
    <w:rsid w:val="F7D7580A"/>
    <w:rsid w:val="F7F17B7E"/>
    <w:rsid w:val="F7FD4729"/>
    <w:rsid w:val="F7FF0FD1"/>
    <w:rsid w:val="F867EB27"/>
    <w:rsid w:val="F8B1588D"/>
    <w:rsid w:val="F8BDEC54"/>
    <w:rsid w:val="F9692EEF"/>
    <w:rsid w:val="F96ACAE0"/>
    <w:rsid w:val="F97F8C0B"/>
    <w:rsid w:val="FA7F5194"/>
    <w:rsid w:val="FAFFF4A5"/>
    <w:rsid w:val="FB2F4582"/>
    <w:rsid w:val="FB7D3C8B"/>
    <w:rsid w:val="FB7F7E48"/>
    <w:rsid w:val="FBB618AA"/>
    <w:rsid w:val="FBB74295"/>
    <w:rsid w:val="FBBFA3D2"/>
    <w:rsid w:val="FBED296E"/>
    <w:rsid w:val="FBEF33C3"/>
    <w:rsid w:val="FBF7CD3E"/>
    <w:rsid w:val="FBF7F300"/>
    <w:rsid w:val="FBFF68A0"/>
    <w:rsid w:val="FBFF69D2"/>
    <w:rsid w:val="FC7705CA"/>
    <w:rsid w:val="FC8F104D"/>
    <w:rsid w:val="FCAF9AB9"/>
    <w:rsid w:val="FCCF69CA"/>
    <w:rsid w:val="FCEF1958"/>
    <w:rsid w:val="FCF57219"/>
    <w:rsid w:val="FCFF16EB"/>
    <w:rsid w:val="FD3DFD37"/>
    <w:rsid w:val="FD3F5B45"/>
    <w:rsid w:val="FD75A62A"/>
    <w:rsid w:val="FD9932FE"/>
    <w:rsid w:val="FD9A0EB4"/>
    <w:rsid w:val="FD9ED307"/>
    <w:rsid w:val="FDDFD81E"/>
    <w:rsid w:val="FDDFEE3C"/>
    <w:rsid w:val="FDEE30D6"/>
    <w:rsid w:val="FDEF2833"/>
    <w:rsid w:val="FDFB2A65"/>
    <w:rsid w:val="FDFB728C"/>
    <w:rsid w:val="FDFB7DE3"/>
    <w:rsid w:val="FDFD6C5E"/>
    <w:rsid w:val="FDFDDDB4"/>
    <w:rsid w:val="FDFEC8C1"/>
    <w:rsid w:val="FDFFF9BD"/>
    <w:rsid w:val="FE1BDF4E"/>
    <w:rsid w:val="FE2F3A0B"/>
    <w:rsid w:val="FE3E700F"/>
    <w:rsid w:val="FE7753F5"/>
    <w:rsid w:val="FE79980D"/>
    <w:rsid w:val="FE7E9F12"/>
    <w:rsid w:val="FEB7501B"/>
    <w:rsid w:val="FEBE94A9"/>
    <w:rsid w:val="FEBEE448"/>
    <w:rsid w:val="FEEB6103"/>
    <w:rsid w:val="FEEE52FE"/>
    <w:rsid w:val="FEFB00B2"/>
    <w:rsid w:val="FEFBF85D"/>
    <w:rsid w:val="FF07F131"/>
    <w:rsid w:val="FF11619C"/>
    <w:rsid w:val="FF1B7C9A"/>
    <w:rsid w:val="FF2649D4"/>
    <w:rsid w:val="FF3730C1"/>
    <w:rsid w:val="FF455EEA"/>
    <w:rsid w:val="FF47EC18"/>
    <w:rsid w:val="FF5D09F5"/>
    <w:rsid w:val="FF5E7D82"/>
    <w:rsid w:val="FF77DD08"/>
    <w:rsid w:val="FF7E2CE4"/>
    <w:rsid w:val="FF94854A"/>
    <w:rsid w:val="FFA69B6E"/>
    <w:rsid w:val="FFB79ACA"/>
    <w:rsid w:val="FFBB2F56"/>
    <w:rsid w:val="FFBDC5B1"/>
    <w:rsid w:val="FFBF8620"/>
    <w:rsid w:val="FFBFB5DA"/>
    <w:rsid w:val="FFCF8531"/>
    <w:rsid w:val="FFDE9A45"/>
    <w:rsid w:val="FFDEAB7C"/>
    <w:rsid w:val="FFDFDE36"/>
    <w:rsid w:val="FFE447C5"/>
    <w:rsid w:val="FFE79B5A"/>
    <w:rsid w:val="FFE9E3F6"/>
    <w:rsid w:val="FFEEA034"/>
    <w:rsid w:val="FFF3053D"/>
    <w:rsid w:val="FFF3DF94"/>
    <w:rsid w:val="FFF73BFE"/>
    <w:rsid w:val="FFF7C379"/>
    <w:rsid w:val="FFFA997E"/>
    <w:rsid w:val="FFFB3A06"/>
    <w:rsid w:val="FFFEACFE"/>
    <w:rsid w:val="FFFEC1B5"/>
    <w:rsid w:val="FFFEE537"/>
    <w:rsid w:val="FFFF369F"/>
    <w:rsid w:val="FFFF4A3E"/>
    <w:rsid w:val="FFFF8B0B"/>
    <w:rsid w:val="FFFFD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文字 Char"/>
    <w:basedOn w:val="8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批注框文本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965</Words>
  <Characters>5501</Characters>
  <Lines>1</Lines>
  <Paragraphs>1</Paragraphs>
  <TotalTime>3</TotalTime>
  <ScaleCrop>false</ScaleCrop>
  <LinksUpToDate>false</LinksUpToDate>
  <CharactersWithSpaces>6454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2024-03-20T10:06:00Z</dcterms:created>
  <dc:creator>李媛(拟稿)</dc:creator>
  <cp:lastModifiedBy>user</cp:lastModifiedBy>
  <cp:lastPrinted>2025-10-17T20:33:00Z</cp:lastPrinted>
  <dcterms:modified xsi:type="dcterms:W3CDTF">2025-10-21T16:57:34Z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