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  <w:lang w:val="en"/>
        </w:rPr>
        <w:t>6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月和1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" w:eastAsia="zh-CN"/>
        </w:rPr>
        <w:t>-6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重点区域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空气质量状况及排名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按照信息公开要求，现将202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月和1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月重点区域空气质量状况及排名情况公开如下：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6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月重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点区域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环境空气质量状况及排名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（注：本节中优良天数比例、重污染天数比例、PM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浓度等均为未扣除沙尘天气影响的数据）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2025年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月，天山北坡城市平均优良天数比例为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99.7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与去年同期相比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个百分点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轻度污染比例为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%，未出现</w:t>
      </w:r>
      <w:r>
        <w:rPr>
          <w:rFonts w:hint="eastAsia" w:ascii="Times New Roman" w:hAnsi="Times New Roman" w:eastAsia="仿宋_GB2312"/>
          <w:sz w:val="32"/>
          <w:szCs w:val="32"/>
        </w:rPr>
        <w:t>中度、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重度及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严重污染，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首要污染物为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，环境空气质量较去年同期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好转。天山北坡城市PM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39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，同比分别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21.9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27.3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石”区域6市2县平均优良天数比例为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99.2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%，与去年同期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持平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轻度污染比例为</w:t>
      </w:r>
      <w:r>
        <w:rPr>
          <w:rFonts w:ascii="Times New Roman" w:hAnsi="Times New Roman" w:eastAsia="仿宋_GB2312"/>
          <w:sz w:val="32"/>
          <w:szCs w:val="32"/>
        </w:rPr>
        <w:t>0.8%</w:t>
      </w:r>
      <w:r>
        <w:rPr>
          <w:rFonts w:hint="eastAsia" w:ascii="Times New Roman" w:hAnsi="Times New Roman" w:eastAsia="仿宋_GB2312"/>
          <w:sz w:val="32"/>
          <w:szCs w:val="32"/>
        </w:rPr>
        <w:t>，未出现中度、重度及严重污染，首要污染物为PM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和O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，环境空气质量较去年同期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保持稳定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月均浓度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38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11.8</w:t>
      </w:r>
      <w:r>
        <w:rPr>
          <w:rFonts w:hint="eastAsia" w:ascii="Times New Roman" w:hAnsi="Times New Roman" w:eastAsia="仿宋_GB2312"/>
          <w:sz w:val="32"/>
          <w:szCs w:val="32"/>
        </w:rPr>
        <w:t>%、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27.3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市1区平均优良天数比例为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%，与去年同期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持平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未出现污染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环境空气质量较去年同期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保持稳定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月均浓度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37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54.2</w:t>
      </w:r>
      <w:r>
        <w:rPr>
          <w:rFonts w:hint="eastAsia" w:ascii="Times New Roman" w:hAnsi="Times New Roman" w:eastAsia="仿宋_GB2312"/>
          <w:sz w:val="32"/>
          <w:szCs w:val="32"/>
        </w:rPr>
        <w:t>%、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37.5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伊犁河谷区域5县市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增加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2.0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未出现污染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，环境空气质量较去年同期</w:t>
      </w:r>
      <w:r>
        <w:rPr>
          <w:rFonts w:hint="eastAsia" w:ascii="Times New Roman" w:hAnsi="Times New Roman" w:eastAsia="仿宋_GB2312"/>
          <w:sz w:val="32"/>
          <w:szCs w:val="32"/>
        </w:rPr>
        <w:t>略有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好转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。伊犁河谷区域PM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月均浓度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上升1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0.3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21.4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区域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城市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空气质量情况见表1。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石”区域城市环境空气质量综合指数由低到高排名依次为</w:t>
      </w:r>
      <w:r>
        <w:rPr>
          <w:rFonts w:hint="eastAsia" w:ascii="Times New Roman" w:hAnsi="Times New Roman" w:eastAsia="仿宋_GB2312"/>
          <w:sz w:val="32"/>
          <w:szCs w:val="32"/>
        </w:rPr>
        <w:t>沙湾市、玛纳斯县、呼图壁县、阜康市、昌吉市、乌鲁木齐市、石河子市、五家渠市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乌”区域城市环境空气质量综合指数由低到高排名依次为</w:t>
      </w:r>
      <w:r>
        <w:rPr>
          <w:rFonts w:hint="eastAsia" w:ascii="Times New Roman" w:hAnsi="Times New Roman" w:eastAsia="仿宋_GB2312"/>
          <w:sz w:val="32"/>
          <w:szCs w:val="32"/>
        </w:rPr>
        <w:t>乌苏市、奎屯市、独山子区、胡杨河市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伊犁河谷区域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城市环境空气质量综合指数由低到高排名依次为</w:t>
      </w:r>
      <w:r>
        <w:rPr>
          <w:rFonts w:hint="eastAsia" w:ascii="Times New Roman" w:hAnsi="Times New Roman" w:eastAsia="仿宋_GB2312"/>
          <w:sz w:val="32"/>
          <w:szCs w:val="32"/>
        </w:rPr>
        <w:t>霍城县、伊宁县、可克达拉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/>
          <w:sz w:val="32"/>
          <w:szCs w:val="32"/>
        </w:rPr>
        <w:t>、察布查尔县、伊宁市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区域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城市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空气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质量排名见表2。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二、1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" w:eastAsia="zh-CN"/>
        </w:rPr>
        <w:t>-6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月重点区域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环境空气质量状况及排名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（注：本节中优良天数比例、重污染天数比例、PM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浓度等均为未扣除沙尘天气影响的数据）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天山北坡城市1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86.1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增加0.5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个百分点。PM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62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35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浓度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同比下降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6.1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浓度</w:t>
      </w:r>
      <w:r>
        <w:rPr>
          <w:rFonts w:hint="eastAsia" w:eastAsia="仿宋_GB2312"/>
          <w:sz w:val="32"/>
          <w:szCs w:val="32"/>
        </w:rPr>
        <w:t>同比持平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石”区域6市2县平均优良天数比例为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79.4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2.1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个百分点。PM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76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46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浓度同比下降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9.5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浓度同比上升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市1区平均优良天数比例为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82.3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增加0.2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个百分点。PM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63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35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，同比分别下降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5.4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伊犁河谷2市3县优良天数比例为9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6.7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同比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0.6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48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，同比分别上升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9.1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13.6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区域城市空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气质量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同期对比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石”区域城市环境空气质量综合指数由低到高排名依次为沙湾市、玛纳斯县、呼图壁县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乌鲁木齐市、石河子市、昌吉市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阜康市、五家渠市。“奎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乌”区域城市环境空气质量综合指数由低到高排名依次为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胡杨河市、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乌苏市、独山子区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奎屯市。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伊犁河谷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城市环境空气质量综合指数由低到高排名依次为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霍城县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伊宁县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可克达拉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察布查尔县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伊宁市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区域空气质量排名见表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三、沙尘天气影响情况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区域8县市出现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次沙尘天气，与去年同期相比，沙尘天气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次，沙尘影响日数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区域3市区出现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次沙尘天气，与去年同期相比，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沙尘天气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次数持平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，沙尘影响日数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扣除沙尘天气影响后，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天山北坡城市PM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同比分别上升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12.5</w:t>
      </w:r>
      <w:r>
        <w:rPr>
          <w:rFonts w:hint="eastAsia" w:ascii="Times New Roman" w:hAnsi="Times New Roman" w:eastAsia="仿宋_GB2312"/>
          <w:sz w:val="32"/>
          <w:szCs w:val="32"/>
        </w:rPr>
        <w:t>%、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18.2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重污染天数合计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天，同比持平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其中，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37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同比分别上升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2.1</w:t>
      </w:r>
      <w:r>
        <w:rPr>
          <w:rFonts w:hint="eastAsia" w:ascii="Times New Roman" w:hAnsi="Times New Roman" w:eastAsia="仿宋_GB2312"/>
          <w:sz w:val="32"/>
          <w:szCs w:val="32"/>
        </w:rPr>
        <w:t>%、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27.3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；重污染天数合计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天，同比持平。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乌”区域PM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同比分别上升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41.7</w:t>
      </w:r>
      <w:r>
        <w:rPr>
          <w:rFonts w:hint="eastAsia" w:ascii="Times New Roman" w:hAnsi="Times New Roman" w:eastAsia="仿宋_GB2312"/>
          <w:sz w:val="32"/>
          <w:szCs w:val="32"/>
        </w:rPr>
        <w:t>%、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37.5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；重污染天数合计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，同比持平；伊犁河谷区域PM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vertAlign w:val="baseline"/>
          <w:lang w:eastAsia="zh-CN"/>
        </w:rPr>
        <w:t>浓度同比持平，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浓度</w:t>
      </w:r>
      <w:r>
        <w:rPr>
          <w:rFonts w:hint="eastAsia" w:ascii="Times New Roman" w:hAnsi="Times New Roman" w:eastAsia="仿宋_GB2312"/>
          <w:sz w:val="32"/>
          <w:szCs w:val="32"/>
        </w:rPr>
        <w:t>同比上升7.</w:t>
      </w:r>
      <w:r>
        <w:rPr>
          <w:rFonts w:hint="default" w:ascii="Times New Roman" w:hAnsi="Times New Roman" w:eastAsia="仿宋_GB2312"/>
          <w:sz w:val="32"/>
          <w:szCs w:val="32"/>
          <w:lang w:val="en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重污染天数合计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，同比持平。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-6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石”区域6市2县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出现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次沙尘天气，与去年同期相比，沙尘天气增加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次，影响日数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减少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出现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次沙尘天气，与去年同期相比，沙尘天气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减少1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次，影响日数减少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扣除沙尘天气影响后，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天山北坡城市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59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浓度同比持平，PM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浓度同比上升2.9%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；重污染天数合</w:t>
      </w:r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计108天，比例为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2.9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%，与去年同期相比重污染天数减少17天，重污染比例减少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0.8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个百分点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石”区域PM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74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分别上升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4.5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；重污染天数合计91天，比例为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6.3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%，与去年同期相比重污染天数</w:t>
      </w:r>
      <w:r>
        <w:rPr>
          <w:rFonts w:hint="eastAsia" w:eastAsia="仿宋_GB2312"/>
          <w:sz w:val="32"/>
          <w:szCs w:val="32"/>
        </w:rPr>
        <w:t>及比例持平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乌”区域PM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59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，同比分别下降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1.7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2.8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%；重污染天数合计17天，比例为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2.4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%，与去年同期相比重污染天数减少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天，重污染比例减少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2.3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个百分点。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伊犁河谷区域PM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、PM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平均浓度分别为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"/>
        </w:rPr>
        <w:t>45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μ</w:t>
      </w:r>
      <w:r>
        <w:rPr>
          <w:rFonts w:hint="default" w:ascii="Times New Roman" w:hAnsi="Times New Roman" w:eastAsia="仿宋_GB2312" w:cs="Times New Roman"/>
          <w:sz w:val="32"/>
          <w:szCs w:val="28"/>
        </w:rPr>
        <w:t>g/m</w:t>
      </w:r>
      <w:r>
        <w:rPr>
          <w:rFonts w:hint="default" w:ascii="Times New Roman" w:hAnsi="Times New Roman" w:eastAsia="仿宋_GB2312" w:cs="Times New Roman"/>
          <w:sz w:val="32"/>
          <w:szCs w:val="28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28"/>
        </w:rPr>
        <w:t>μg/m</w:t>
      </w:r>
      <w:r>
        <w:rPr>
          <w:rFonts w:hint="default" w:ascii="Times New Roman" w:hAnsi="Times New Roman" w:eastAsia="仿宋_GB2312" w:cs="Times New Roman"/>
          <w:sz w:val="32"/>
          <w:szCs w:val="28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，同比分别上升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"/>
        </w:rPr>
        <w:t>4.7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%、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"/>
        </w:rPr>
        <w:t>9.1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%；重污染天数合计0天，同比持平。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985" w:right="1531" w:bottom="1985" w:left="1531" w:header="851" w:footer="992" w:gutter="0"/>
          <w:pgNumType w:fmt="decimal" w:start="1"/>
          <w:cols w:space="720" w:num="1"/>
          <w:docGrid w:type="lines" w:linePitch="435" w:charSpace="0"/>
        </w:sectPr>
      </w:pPr>
    </w:p>
    <w:p>
      <w:pPr>
        <w:jc w:val="both"/>
        <w:rPr>
          <w:rFonts w:hint="default" w:ascii="Times New Roman" w:hAnsi="Times New Roman" w:eastAsia="仿宋_GB2312" w:cs="Times New Roman"/>
          <w:b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sz w:val="21"/>
          <w:szCs w:val="21"/>
        </w:rPr>
        <w:t>表1                                                2025年</w:t>
      </w:r>
      <w:r>
        <w:rPr>
          <w:rFonts w:hint="default" w:ascii="Times New Roman" w:hAnsi="Times New Roman" w:eastAsia="仿宋_GB2312" w:cs="Times New Roman"/>
          <w:b/>
          <w:sz w:val="21"/>
          <w:szCs w:val="21"/>
          <w:lang w:val="en"/>
        </w:rPr>
        <w:t>6</w:t>
      </w:r>
      <w:r>
        <w:rPr>
          <w:rFonts w:hint="default" w:ascii="Times New Roman" w:hAnsi="Times New Roman" w:eastAsia="仿宋_GB2312" w:cs="Times New Roman"/>
          <w:b/>
          <w:sz w:val="21"/>
          <w:szCs w:val="21"/>
        </w:rPr>
        <w:t>月重点区域城市空气质量情况</w:t>
      </w:r>
    </w:p>
    <w:tbl>
      <w:tblPr>
        <w:tblStyle w:val="6"/>
        <w:tblW w:w="164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866"/>
        <w:gridCol w:w="866"/>
        <w:gridCol w:w="796"/>
        <w:gridCol w:w="600"/>
        <w:gridCol w:w="600"/>
        <w:gridCol w:w="867"/>
        <w:gridCol w:w="600"/>
        <w:gridCol w:w="600"/>
        <w:gridCol w:w="860"/>
        <w:gridCol w:w="600"/>
        <w:gridCol w:w="600"/>
        <w:gridCol w:w="848"/>
        <w:gridCol w:w="600"/>
        <w:gridCol w:w="678"/>
        <w:gridCol w:w="885"/>
        <w:gridCol w:w="600"/>
        <w:gridCol w:w="600"/>
        <w:gridCol w:w="867"/>
        <w:gridCol w:w="692"/>
        <w:gridCol w:w="739"/>
        <w:gridCol w:w="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restart"/>
            <w:tcBorders>
              <w:top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城市</w:t>
            </w:r>
          </w:p>
        </w:tc>
        <w:tc>
          <w:tcPr>
            <w:tcW w:w="243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优良天数比例(AQI)</w:t>
            </w:r>
          </w:p>
        </w:tc>
        <w:tc>
          <w:tcPr>
            <w:tcW w:w="198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10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7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SO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207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NO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CO(mg/m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217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O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-8h(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69" w:type="dxa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kern w:val="0"/>
                <w:sz w:val="16"/>
                <w:szCs w:val="15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同比变化（百分点）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天山北坡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99.1%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99.7%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21.9%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2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1、“乌-昌-石”区域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99.2%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99.2%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11.8%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2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-7.7%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123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乌鲁木齐市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21.2%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2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-11.8%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125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石河子市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42.9%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-9.1%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117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126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昌吉市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8.8%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-23.5%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126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128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阜康市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-8.3%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123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-9.6%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五家渠市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125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玛纳斯县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42.9%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-28.6%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129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呼图壁县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125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108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-13.6%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沙湾市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-28.6%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-7.1%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2、“奎-独-乌”区域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54.2%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2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37.5%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119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121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奎屯市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2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119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126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乌苏市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66.7%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0.2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114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独山子区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17.2%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128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121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胡杨河市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113.6%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112.5%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-37.5%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0.1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0.1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3、伊犁河谷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98.0%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2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21.4%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-23.1%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125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伊宁市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17.6%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-28.6%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-31.6%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127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118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察布查尔县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34.2%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38.5%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-9.1%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霍城县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90.0%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-8.3%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137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117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伊宁县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21.4%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128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可克达拉市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15.4%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-18.8%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127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-8.7%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仿宋_GB2312" w:cs="Times New Roman"/>
          <w:sz w:val="24"/>
          <w:szCs w:val="36"/>
        </w:rPr>
        <w:sectPr>
          <w:footerReference r:id="rId4" w:type="default"/>
          <w:pgSz w:w="16838" w:h="11906" w:orient="landscape"/>
          <w:pgMar w:top="1531" w:right="1304" w:bottom="1531" w:left="1304" w:header="851" w:footer="850" w:gutter="0"/>
          <w:pgNumType w:fmt="decimal"/>
          <w:cols w:space="425" w:num="1"/>
          <w:docGrid w:type="lines" w:linePitch="435" w:charSpace="0"/>
        </w:sectPr>
      </w:pPr>
    </w:p>
    <w:p>
      <w:pPr>
        <w:spacing w:before="217" w:beforeLines="50" w:line="360" w:lineRule="exact"/>
        <w:jc w:val="both"/>
        <w:rPr>
          <w:rFonts w:hint="default" w:ascii="Times New Roman" w:hAnsi="Times New Roman" w:eastAsia="仿宋_GB2312" w:cs="Times New Roman"/>
          <w:b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sz w:val="21"/>
          <w:szCs w:val="21"/>
        </w:rPr>
        <w:t>表2                 2025年</w:t>
      </w:r>
      <w:r>
        <w:rPr>
          <w:rFonts w:hint="default" w:ascii="Times New Roman" w:hAnsi="Times New Roman" w:eastAsia="仿宋_GB2312" w:cs="Times New Roman"/>
          <w:b/>
          <w:sz w:val="21"/>
          <w:szCs w:val="21"/>
          <w:lang w:val="en"/>
        </w:rPr>
        <w:t>6</w:t>
      </w:r>
      <w:r>
        <w:rPr>
          <w:rFonts w:hint="default" w:ascii="Times New Roman" w:hAnsi="Times New Roman" w:eastAsia="仿宋_GB2312" w:cs="Times New Roman"/>
          <w:b/>
          <w:sz w:val="21"/>
          <w:szCs w:val="21"/>
        </w:rPr>
        <w:t>月重点区域城市空气质量综合指数排名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294"/>
        <w:gridCol w:w="1400"/>
        <w:gridCol w:w="1294"/>
        <w:gridCol w:w="1399"/>
        <w:gridCol w:w="129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排名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271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“乌-昌-石”区域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“奎-独-乌”区域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伊犁河谷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沙湾市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2.11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乌苏市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1.87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霍城县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玛纳斯县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2.20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奎屯市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1.94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伊宁县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呼图壁县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2.25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独山子区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2.14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可克达拉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阜康市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2.34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胡杨河市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2.32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察布查尔县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昌吉市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2.37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伊宁市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乌鲁木齐市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2.47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石河子市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2.53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五家渠市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2.69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备注：1.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环境空气质量综合指数越低，空气质量越好。      </w:t>
      </w:r>
    </w:p>
    <w:p>
      <w:pPr>
        <w:spacing w:line="36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footerReference r:id="rId5" w:type="default"/>
          <w:pgSz w:w="11906" w:h="16838"/>
          <w:pgMar w:top="1985" w:right="1531" w:bottom="1985" w:left="1531" w:header="851" w:footer="992" w:gutter="0"/>
          <w:pgNumType w:fmt="decimal"/>
          <w:cols w:space="720" w:num="1"/>
          <w:docGrid w:type="lines" w:linePitch="435" w:charSpace="0"/>
        </w:sectPr>
      </w:pPr>
    </w:p>
    <w:p>
      <w:pPr>
        <w:spacing w:line="360" w:lineRule="exact"/>
        <w:jc w:val="both"/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bCs w:val="0"/>
        </w:rPr>
        <w:t>表</w:t>
      </w:r>
      <w:r>
        <w:rPr>
          <w:rFonts w:hint="default" w:ascii="Times New Roman" w:hAnsi="Times New Roman" w:eastAsia="仿宋_GB2312" w:cs="Times New Roman"/>
          <w:b/>
          <w:bCs w:val="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</w:rPr>
        <w:t xml:space="preserve">      </w:t>
      </w:r>
      <w:r>
        <w:rPr>
          <w:rFonts w:hint="default" w:ascii="Times New Roman" w:hAnsi="Times New Roman" w:cs="Times New Roman"/>
          <w:b/>
          <w:bCs w:val="0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 xml:space="preserve">     </w:t>
      </w:r>
      <w:r>
        <w:rPr>
          <w:rFonts w:hint="default" w:ascii="Times New Roman" w:hAnsi="Times New Roman" w:cs="Times New Roman"/>
          <w:b/>
          <w:bCs w:val="0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 w:val="0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2025年</w:t>
      </w:r>
      <w:r>
        <w:rPr>
          <w:rFonts w:hint="eastAsia" w:ascii="Times New Roman" w:hAnsi="Times New Roman" w:eastAsia="仿宋_GB2312" w:cs="Times New Roman"/>
          <w:b/>
          <w:bCs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/>
          <w:bCs w:val="0"/>
          <w:sz w:val="21"/>
          <w:szCs w:val="21"/>
          <w:lang w:val="en" w:eastAsia="zh-CN"/>
        </w:rPr>
        <w:t>-6</w:t>
      </w:r>
      <w:r>
        <w:rPr>
          <w:rFonts w:hint="eastAsia" w:ascii="Times New Roman" w:hAnsi="Times New Roman" w:eastAsia="仿宋_GB2312" w:cs="Times New Roman"/>
          <w:b/>
          <w:bCs w:val="0"/>
          <w:sz w:val="21"/>
          <w:szCs w:val="21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重点区域城市环境空气质量同期对比</w:t>
      </w:r>
    </w:p>
    <w:tbl>
      <w:tblPr>
        <w:tblStyle w:val="6"/>
        <w:tblW w:w="156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45"/>
        <w:gridCol w:w="742"/>
        <w:gridCol w:w="674"/>
        <w:gridCol w:w="606"/>
        <w:gridCol w:w="652"/>
        <w:gridCol w:w="838"/>
        <w:gridCol w:w="584"/>
        <w:gridCol w:w="616"/>
        <w:gridCol w:w="851"/>
        <w:gridCol w:w="657"/>
        <w:gridCol w:w="567"/>
        <w:gridCol w:w="851"/>
        <w:gridCol w:w="8"/>
        <w:gridCol w:w="559"/>
        <w:gridCol w:w="567"/>
        <w:gridCol w:w="855"/>
        <w:gridCol w:w="8"/>
        <w:gridCol w:w="559"/>
        <w:gridCol w:w="567"/>
        <w:gridCol w:w="850"/>
        <w:gridCol w:w="15"/>
        <w:gridCol w:w="552"/>
        <w:gridCol w:w="567"/>
        <w:gridCol w:w="851"/>
        <w:gridCol w:w="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tblHeader/>
          <w:jc w:val="center"/>
        </w:trPr>
        <w:tc>
          <w:tcPr>
            <w:tcW w:w="1272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城市</w:t>
            </w:r>
          </w:p>
        </w:tc>
        <w:tc>
          <w:tcPr>
            <w:tcW w:w="216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优良天数比例(AQI)</w:t>
            </w:r>
          </w:p>
        </w:tc>
        <w:tc>
          <w:tcPr>
            <w:tcW w:w="209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20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208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8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9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CO（mg/m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202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O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-8h（μg/m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15" w:hRule="atLeast"/>
          <w:tblHeader/>
          <w:jc w:val="center"/>
        </w:trPr>
        <w:tc>
          <w:tcPr>
            <w:tcW w:w="1272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  <w:t>2024年1-6月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  <w:t>2025年1-6月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20"/>
              </w:rPr>
              <w:t>同比变化</w:t>
            </w: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16"/>
              </w:rPr>
              <w:t>(百分点)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2024年1-6月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2025年1-6月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8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2024年1-6月</w:t>
            </w:r>
          </w:p>
        </w:tc>
        <w:tc>
          <w:tcPr>
            <w:tcW w:w="616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2025年1-6月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65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2024年1-6月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2025年1-6月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2024年1-6月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2025年1-6月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2024年1-6月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2025年1-6月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2024年1-6月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2025年1-6月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82" w:hRule="atLeast"/>
          <w:tblHeader/>
          <w:jc w:val="center"/>
        </w:trPr>
        <w:tc>
          <w:tcPr>
            <w:tcW w:w="1272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自治区14城市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69.2%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67.6%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-1.6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15.4%</w:t>
            </w:r>
          </w:p>
        </w:tc>
        <w:tc>
          <w:tcPr>
            <w:tcW w:w="5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1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15.2%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-14.3%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-4.5%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13" w:hRule="atLeast"/>
          <w:tblHeader/>
          <w:jc w:val="center"/>
        </w:trPr>
        <w:tc>
          <w:tcPr>
            <w:tcW w:w="1272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乌鲁木齐市</w:t>
            </w:r>
          </w:p>
        </w:tc>
        <w:tc>
          <w:tcPr>
            <w:tcW w:w="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79.1%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80.7%</w:t>
            </w: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-9.8%</w:t>
            </w:r>
          </w:p>
        </w:tc>
        <w:tc>
          <w:tcPr>
            <w:tcW w:w="5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7.3%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-3.2%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76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克拉玛依市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87.9%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90.6%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-7.7%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3.6%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-25.0%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-16.7%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17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吐鲁番市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52.2%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59.1%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-22.6%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-11.7%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-25.8%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12.5%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-2.9%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20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哈密市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79.1%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85.6%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-28.6%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-23.7%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-12.0%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-20.0%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-6.2%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39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昌吉市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73.1%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77.9%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-8.8%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-4.0%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-14.3%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-17.9%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-12.5%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-2.0%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84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博乐市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93.4%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97.8%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-11.3%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-3.7%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-50.0%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6.3%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44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库尔勒市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61.5%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48.6%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-12.9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33.5%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6.8%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-4.8%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-3.1%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69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阿克苏市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46.2%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32.6%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-13.6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77.5%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62.1%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-16.7%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-4.0%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-12.5%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-2.0%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14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阿图什市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51.6%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41.4%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-10.2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23.4%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28.6%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9.1%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88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喀什市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36.8%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29.3%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-7.5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11.8%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22.4%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-4.0%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48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和田市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16.5%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14.9%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-1.6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29.1%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34.6%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-44.4%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-15.8%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-22.2%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-11.1%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59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伊宁市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93.4%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89.0%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-4.4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13.2%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9.7%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18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塔城市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98.3%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99.4%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-16.7%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-14.3%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-20.0%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83.3%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92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阿勒泰市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-4.3%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-20.0%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-6.7%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33.3%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92" w:hRule="atLeast"/>
          <w:tblHeader/>
          <w:jc w:val="center"/>
        </w:trPr>
        <w:tc>
          <w:tcPr>
            <w:tcW w:w="1272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北疆7城市</w:t>
            </w:r>
          </w:p>
        </w:tc>
        <w:tc>
          <w:tcPr>
            <w:tcW w:w="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89.3%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90.8%</w:t>
            </w: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-7.0%</w:t>
            </w:r>
          </w:p>
        </w:tc>
        <w:tc>
          <w:tcPr>
            <w:tcW w:w="5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-28.6%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92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南疆5城市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42.5%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33.4%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-9.1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32.3%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32.9%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-16.7%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-4.0%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41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东疆2城市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65.7%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72.4%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-25.1%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-16.3%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-17.9%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-5.0%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467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南疆和东疆7城市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49.1%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44.5%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-4.6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20.7%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21.9%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-8.7%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-4.0%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41" w:hRule="atLeast"/>
          <w:tblHeader/>
          <w:jc w:val="center"/>
        </w:trPr>
        <w:tc>
          <w:tcPr>
            <w:tcW w:w="1272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兵团2城市</w:t>
            </w:r>
          </w:p>
        </w:tc>
        <w:tc>
          <w:tcPr>
            <w:tcW w:w="74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73.9%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74.3%</w:t>
            </w: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0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3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-2.1%</w:t>
            </w:r>
          </w:p>
        </w:tc>
        <w:tc>
          <w:tcPr>
            <w:tcW w:w="5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1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7.4%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4.8%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14.3%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41" w:hRule="atLeast"/>
          <w:tblHeader/>
          <w:jc w:val="center"/>
        </w:trPr>
        <w:tc>
          <w:tcPr>
            <w:tcW w:w="1272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石河子市</w:t>
            </w:r>
          </w:p>
        </w:tc>
        <w:tc>
          <w:tcPr>
            <w:tcW w:w="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75.8%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77.3%</w:t>
            </w: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-12.5%</w:t>
            </w:r>
          </w:p>
        </w:tc>
        <w:tc>
          <w:tcPr>
            <w:tcW w:w="5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-9.4%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12.5%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-4.8%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41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五家渠市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72.0%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71.3%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-0.7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8.4%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23.6%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-25.0%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14.3%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-1.1%</w:t>
            </w:r>
          </w:p>
        </w:tc>
      </w:tr>
    </w:tbl>
    <w:p>
      <w:pPr>
        <w:spacing w:line="560" w:lineRule="exact"/>
        <w:ind w:firstLine="0" w:firstLineChars="0"/>
        <w:rPr>
          <w:rFonts w:hint="default" w:ascii="Times New Roman" w:hAnsi="Times New Roman" w:cs="Times New Roman"/>
          <w:sz w:val="28"/>
          <w:szCs w:val="28"/>
        </w:rPr>
        <w:sectPr>
          <w:pgSz w:w="16838" w:h="11906" w:orient="landscape"/>
          <w:pgMar w:top="1134" w:right="1797" w:bottom="1134" w:left="1797" w:header="680" w:footer="567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exact"/>
        <w:jc w:val="both"/>
        <w:rPr>
          <w:rFonts w:hint="default" w:ascii="Times New Roman" w:hAnsi="Times New Roman" w:eastAsia="仿宋_GB2312" w:cs="Times New Roman"/>
          <w:b/>
          <w:bCs w:val="0"/>
        </w:rPr>
      </w:pPr>
      <w:r>
        <w:rPr>
          <w:rFonts w:hint="default" w:ascii="Times New Roman" w:hAnsi="Times New Roman" w:eastAsia="仿宋_GB2312" w:cs="Times New Roman"/>
          <w:b/>
        </w:rPr>
        <w:t>表</w:t>
      </w:r>
      <w:r>
        <w:rPr>
          <w:rFonts w:hint="default" w:ascii="Times New Roman" w:hAnsi="Times New Roman" w:eastAsia="仿宋_GB2312" w:cs="Times New Roman"/>
          <w:b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2025年1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  <w:lang w:val="en"/>
        </w:rPr>
        <w:t>-6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月重点区</w:t>
      </w:r>
      <w:r>
        <w:rPr>
          <w:rFonts w:hint="default" w:ascii="Times New Roman" w:hAnsi="Times New Roman" w:eastAsia="仿宋_GB2312" w:cs="Times New Roman"/>
          <w:b/>
          <w:bCs w:val="0"/>
        </w:rPr>
        <w:t>域空气质量排名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22"/>
        <w:gridCol w:w="1226"/>
        <w:gridCol w:w="1307"/>
        <w:gridCol w:w="1226"/>
        <w:gridCol w:w="1306"/>
        <w:gridCol w:w="122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排名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“乌-昌-石”区域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“奎-独-乌”区域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伊犁河谷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沙湾市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3.33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胡杨河市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3.27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霍城县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2.56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玛纳斯县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3.48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乌苏市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3.35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伊宁县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2.85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呼图壁县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3.91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独山子区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3.66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可克达拉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3.12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乌鲁木齐市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4.3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奎屯市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3.88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察布查尔县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3.35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石河子市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4.46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伊宁市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4.13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昌吉市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4.51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阜康市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4.69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五家渠市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5.37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</w:rPr>
        <w:t>备注：</w:t>
      </w:r>
      <w:r>
        <w:rPr>
          <w:rFonts w:hint="default" w:ascii="Times New Roman" w:hAnsi="Times New Roman" w:eastAsia="仿宋" w:cs="Times New Roman"/>
          <w:sz w:val="24"/>
        </w:rPr>
        <w:t>环境空气质量综合指数越低，空气质量越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好。</w:t>
      </w:r>
    </w:p>
    <w:sectPr>
      <w:footerReference r:id="rId6" w:type="default"/>
      <w:pgSz w:w="11907" w:h="16839"/>
      <w:pgMar w:top="1134" w:right="1531" w:bottom="1134" w:left="153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88842766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lang w:val="zh-CN"/>
                                </w:rPr>
                                <w:fldChar w:fldCharType="begin"/>
                              </w:r>
                              <w:r>
                                <w:rPr>
                                  <w:lang w:val="zh-C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lang w:val="zh-CN"/>
                                </w:rP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88842766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lang w:val="zh-CN"/>
                          </w:rPr>
                          <w:fldChar w:fldCharType="begin"/>
                        </w:r>
                        <w:r>
                          <w:rPr>
                            <w:lang w:val="zh-CN"/>
                          </w:rPr>
                          <w:instrText xml:space="preserve">PAGE   \* MERGEFORMAT</w:instrText>
                        </w:r>
                        <w:r>
                          <w:rPr>
                            <w:lang w:val="zh-CN"/>
                          </w:rP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7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0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DptoFdEAAAADAQAADwAAAAAAAAABACAAAAA4AAAAZHJz&#10;L2Rvd25yZXYueG1sUEsBAhQAFAAAAAgAh07iQKhSQoD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05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DptoFdEAAAADAQAADwAAAAAAAAABACAAAAA4AAAAZHJz&#10;L2Rvd25yZXYueG1sUEsBAhQAFAAAAAgAh07iQK6A5nH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1C4"/>
    <w:rsid w:val="000777AA"/>
    <w:rsid w:val="000C17D7"/>
    <w:rsid w:val="00132BAB"/>
    <w:rsid w:val="00154EFB"/>
    <w:rsid w:val="00265E32"/>
    <w:rsid w:val="002B4257"/>
    <w:rsid w:val="002C282D"/>
    <w:rsid w:val="002D02BA"/>
    <w:rsid w:val="003C530B"/>
    <w:rsid w:val="003F74C4"/>
    <w:rsid w:val="004163EC"/>
    <w:rsid w:val="00490914"/>
    <w:rsid w:val="005102B7"/>
    <w:rsid w:val="00564334"/>
    <w:rsid w:val="006735D1"/>
    <w:rsid w:val="00724E26"/>
    <w:rsid w:val="00747426"/>
    <w:rsid w:val="00846417"/>
    <w:rsid w:val="00884B4E"/>
    <w:rsid w:val="00986BEB"/>
    <w:rsid w:val="009E25D5"/>
    <w:rsid w:val="009E4898"/>
    <w:rsid w:val="00AF5C44"/>
    <w:rsid w:val="00C34F75"/>
    <w:rsid w:val="00C8265A"/>
    <w:rsid w:val="00CE0842"/>
    <w:rsid w:val="00CF5DC2"/>
    <w:rsid w:val="00D07407"/>
    <w:rsid w:val="00DC0965"/>
    <w:rsid w:val="00E62D88"/>
    <w:rsid w:val="00EC1E7C"/>
    <w:rsid w:val="00EF0B05"/>
    <w:rsid w:val="00F36735"/>
    <w:rsid w:val="00F643A5"/>
    <w:rsid w:val="00F813DB"/>
    <w:rsid w:val="00FD7351"/>
    <w:rsid w:val="00FF5108"/>
    <w:rsid w:val="06FFD9E0"/>
    <w:rsid w:val="079FF717"/>
    <w:rsid w:val="0BDBF7CF"/>
    <w:rsid w:val="13EF08E2"/>
    <w:rsid w:val="151C5BEA"/>
    <w:rsid w:val="15FF890E"/>
    <w:rsid w:val="17479DB2"/>
    <w:rsid w:val="18CFF3EB"/>
    <w:rsid w:val="1BFB02EA"/>
    <w:rsid w:val="1C7BD082"/>
    <w:rsid w:val="1DFAABEB"/>
    <w:rsid w:val="1F39AA6F"/>
    <w:rsid w:val="1F71E2AB"/>
    <w:rsid w:val="1F7EA289"/>
    <w:rsid w:val="1FCBB8DE"/>
    <w:rsid w:val="1FFBD4D1"/>
    <w:rsid w:val="1FFF459D"/>
    <w:rsid w:val="27FFEC42"/>
    <w:rsid w:val="2BFF2476"/>
    <w:rsid w:val="2DBDEE8B"/>
    <w:rsid w:val="2E1D7CCF"/>
    <w:rsid w:val="2F7DDFE6"/>
    <w:rsid w:val="2F7E99FA"/>
    <w:rsid w:val="2F7EBA1B"/>
    <w:rsid w:val="2FDDF9E3"/>
    <w:rsid w:val="2FE54F84"/>
    <w:rsid w:val="2FEFF53F"/>
    <w:rsid w:val="31DCABBF"/>
    <w:rsid w:val="33E93E09"/>
    <w:rsid w:val="35472015"/>
    <w:rsid w:val="37F2993E"/>
    <w:rsid w:val="37F7EF0D"/>
    <w:rsid w:val="3A9A8982"/>
    <w:rsid w:val="3AEEC046"/>
    <w:rsid w:val="3B1EF8F2"/>
    <w:rsid w:val="3B3EABAB"/>
    <w:rsid w:val="3BFD34D7"/>
    <w:rsid w:val="3D7F2C02"/>
    <w:rsid w:val="3DA7191B"/>
    <w:rsid w:val="3DAE51C8"/>
    <w:rsid w:val="3E9E5759"/>
    <w:rsid w:val="3EBE8FA0"/>
    <w:rsid w:val="3EDF7AA1"/>
    <w:rsid w:val="3EE789AC"/>
    <w:rsid w:val="3EFB0AC2"/>
    <w:rsid w:val="3FDB561B"/>
    <w:rsid w:val="3FED6985"/>
    <w:rsid w:val="3FEFE944"/>
    <w:rsid w:val="3FF7584A"/>
    <w:rsid w:val="435D6729"/>
    <w:rsid w:val="48FFCA8A"/>
    <w:rsid w:val="4BD33FC1"/>
    <w:rsid w:val="4BE6B204"/>
    <w:rsid w:val="4D537ADD"/>
    <w:rsid w:val="4EFDDE8F"/>
    <w:rsid w:val="4F5D3863"/>
    <w:rsid w:val="4FEF56B2"/>
    <w:rsid w:val="4FFE6021"/>
    <w:rsid w:val="50FF5F49"/>
    <w:rsid w:val="535FEFAF"/>
    <w:rsid w:val="537CE37A"/>
    <w:rsid w:val="572F9647"/>
    <w:rsid w:val="57BEFDB4"/>
    <w:rsid w:val="57D71024"/>
    <w:rsid w:val="57E9B9C2"/>
    <w:rsid w:val="57F65FC1"/>
    <w:rsid w:val="59BD4532"/>
    <w:rsid w:val="59DF0331"/>
    <w:rsid w:val="59EF7EC6"/>
    <w:rsid w:val="5B754152"/>
    <w:rsid w:val="5BBE748E"/>
    <w:rsid w:val="5C8D697D"/>
    <w:rsid w:val="5CAFF4E1"/>
    <w:rsid w:val="5CDF8347"/>
    <w:rsid w:val="5D572F21"/>
    <w:rsid w:val="5D59664B"/>
    <w:rsid w:val="5D953CAD"/>
    <w:rsid w:val="5DF747EE"/>
    <w:rsid w:val="5DFC326A"/>
    <w:rsid w:val="5DFE8E31"/>
    <w:rsid w:val="5FC593EA"/>
    <w:rsid w:val="5FDF381E"/>
    <w:rsid w:val="5FF3260B"/>
    <w:rsid w:val="5FF69CB0"/>
    <w:rsid w:val="5FFBD08A"/>
    <w:rsid w:val="5FFF2478"/>
    <w:rsid w:val="61FEDE34"/>
    <w:rsid w:val="6357D325"/>
    <w:rsid w:val="63EFCC83"/>
    <w:rsid w:val="65DA9197"/>
    <w:rsid w:val="65F25C06"/>
    <w:rsid w:val="67BAD10C"/>
    <w:rsid w:val="67E9C656"/>
    <w:rsid w:val="69C536A4"/>
    <w:rsid w:val="6B3E9F3D"/>
    <w:rsid w:val="6BE94668"/>
    <w:rsid w:val="6BFF7FCA"/>
    <w:rsid w:val="6D7FC692"/>
    <w:rsid w:val="6DD8C3E7"/>
    <w:rsid w:val="6E5AF3EE"/>
    <w:rsid w:val="6EFD827B"/>
    <w:rsid w:val="6EFF6979"/>
    <w:rsid w:val="6F276D1F"/>
    <w:rsid w:val="6F5BFA5D"/>
    <w:rsid w:val="6F6A43B4"/>
    <w:rsid w:val="6F7EF933"/>
    <w:rsid w:val="6F7FBCDD"/>
    <w:rsid w:val="6F7FDE85"/>
    <w:rsid w:val="6FBE19AD"/>
    <w:rsid w:val="6FBE948E"/>
    <w:rsid w:val="6FBF2832"/>
    <w:rsid w:val="6FDBAA7B"/>
    <w:rsid w:val="6FFEB5A5"/>
    <w:rsid w:val="71DDC051"/>
    <w:rsid w:val="724CC94A"/>
    <w:rsid w:val="733BAC87"/>
    <w:rsid w:val="73D9F27E"/>
    <w:rsid w:val="73EE2748"/>
    <w:rsid w:val="73EE87B6"/>
    <w:rsid w:val="73FE00E1"/>
    <w:rsid w:val="73FEB6F5"/>
    <w:rsid w:val="757DA2AC"/>
    <w:rsid w:val="757F5532"/>
    <w:rsid w:val="75FD5B00"/>
    <w:rsid w:val="766DE0C6"/>
    <w:rsid w:val="766FD30B"/>
    <w:rsid w:val="767B1A14"/>
    <w:rsid w:val="769DE6F6"/>
    <w:rsid w:val="76AD8B10"/>
    <w:rsid w:val="76F6DACD"/>
    <w:rsid w:val="7765660B"/>
    <w:rsid w:val="777B62F6"/>
    <w:rsid w:val="777DF895"/>
    <w:rsid w:val="77CD876C"/>
    <w:rsid w:val="77DB4E38"/>
    <w:rsid w:val="77DF1B44"/>
    <w:rsid w:val="77F3FC1F"/>
    <w:rsid w:val="77F5A9FE"/>
    <w:rsid w:val="77FB5720"/>
    <w:rsid w:val="78C71781"/>
    <w:rsid w:val="79AB17C6"/>
    <w:rsid w:val="79AE18E3"/>
    <w:rsid w:val="79AEF2F8"/>
    <w:rsid w:val="79DFB711"/>
    <w:rsid w:val="79F89AA4"/>
    <w:rsid w:val="7AEE9BE6"/>
    <w:rsid w:val="7B4BD921"/>
    <w:rsid w:val="7B5541AB"/>
    <w:rsid w:val="7B5BF914"/>
    <w:rsid w:val="7B6F4207"/>
    <w:rsid w:val="7B9BFBEA"/>
    <w:rsid w:val="7BBBA533"/>
    <w:rsid w:val="7BDF12D2"/>
    <w:rsid w:val="7BDFF5C3"/>
    <w:rsid w:val="7BED2C44"/>
    <w:rsid w:val="7BF9D702"/>
    <w:rsid w:val="7C5C8AE9"/>
    <w:rsid w:val="7CFEC5BD"/>
    <w:rsid w:val="7D77AEEB"/>
    <w:rsid w:val="7DBC8C2E"/>
    <w:rsid w:val="7DBF9407"/>
    <w:rsid w:val="7DCB2D2F"/>
    <w:rsid w:val="7DD7EFB3"/>
    <w:rsid w:val="7DDFB9A6"/>
    <w:rsid w:val="7DE7796D"/>
    <w:rsid w:val="7DFE0774"/>
    <w:rsid w:val="7E1BBCA9"/>
    <w:rsid w:val="7E3F1381"/>
    <w:rsid w:val="7E6D606B"/>
    <w:rsid w:val="7E75CD7A"/>
    <w:rsid w:val="7E97412F"/>
    <w:rsid w:val="7ECB8CA1"/>
    <w:rsid w:val="7EE1C302"/>
    <w:rsid w:val="7EE62535"/>
    <w:rsid w:val="7EFB9B11"/>
    <w:rsid w:val="7EFFB9B5"/>
    <w:rsid w:val="7F1EA5F3"/>
    <w:rsid w:val="7F1F49C3"/>
    <w:rsid w:val="7F71E210"/>
    <w:rsid w:val="7F721C9E"/>
    <w:rsid w:val="7F7730EA"/>
    <w:rsid w:val="7F777038"/>
    <w:rsid w:val="7F7FA00F"/>
    <w:rsid w:val="7F96C285"/>
    <w:rsid w:val="7FAF75DA"/>
    <w:rsid w:val="7FBD636F"/>
    <w:rsid w:val="7FD38CA8"/>
    <w:rsid w:val="7FD97161"/>
    <w:rsid w:val="7FDEFEFA"/>
    <w:rsid w:val="7FEAD752"/>
    <w:rsid w:val="7FEFAC03"/>
    <w:rsid w:val="7FF31AFC"/>
    <w:rsid w:val="7FF3F184"/>
    <w:rsid w:val="7FFAB533"/>
    <w:rsid w:val="7FFC6D53"/>
    <w:rsid w:val="7FFE3B13"/>
    <w:rsid w:val="7FFFE067"/>
    <w:rsid w:val="8C7B1BE1"/>
    <w:rsid w:val="8CA253BF"/>
    <w:rsid w:val="8FF969A4"/>
    <w:rsid w:val="93FEBB37"/>
    <w:rsid w:val="96AFAE07"/>
    <w:rsid w:val="975F96F1"/>
    <w:rsid w:val="97FF05AB"/>
    <w:rsid w:val="99F307E9"/>
    <w:rsid w:val="99FED287"/>
    <w:rsid w:val="9A9F72D8"/>
    <w:rsid w:val="9AAF81EF"/>
    <w:rsid w:val="9AD79587"/>
    <w:rsid w:val="9BDF2628"/>
    <w:rsid w:val="9F9FB506"/>
    <w:rsid w:val="9FBB4D8E"/>
    <w:rsid w:val="9FBBDA97"/>
    <w:rsid w:val="9FD54F86"/>
    <w:rsid w:val="9FEF4DFD"/>
    <w:rsid w:val="9FFF1AE4"/>
    <w:rsid w:val="AB1FBB0F"/>
    <w:rsid w:val="AB9C32DD"/>
    <w:rsid w:val="ABFB7E6A"/>
    <w:rsid w:val="AD7F9175"/>
    <w:rsid w:val="ADBB0CCF"/>
    <w:rsid w:val="ADFF8FA5"/>
    <w:rsid w:val="AF1BA5F4"/>
    <w:rsid w:val="AFFFF2D3"/>
    <w:rsid w:val="B35B7FD3"/>
    <w:rsid w:val="B547666C"/>
    <w:rsid w:val="B6F4BA76"/>
    <w:rsid w:val="B77F7B25"/>
    <w:rsid w:val="B7F5921D"/>
    <w:rsid w:val="B7FFEFFD"/>
    <w:rsid w:val="B8DF7E1A"/>
    <w:rsid w:val="B99F0834"/>
    <w:rsid w:val="BA5B0212"/>
    <w:rsid w:val="BBF793C6"/>
    <w:rsid w:val="BBFB1C38"/>
    <w:rsid w:val="BBFFEBAF"/>
    <w:rsid w:val="BDE28CB8"/>
    <w:rsid w:val="BE7D42D1"/>
    <w:rsid w:val="BE9719AF"/>
    <w:rsid w:val="BEFB2584"/>
    <w:rsid w:val="BEFB43F1"/>
    <w:rsid w:val="BEFBF6B3"/>
    <w:rsid w:val="BF7B4AC4"/>
    <w:rsid w:val="BF7FBA1D"/>
    <w:rsid w:val="BFDDBB38"/>
    <w:rsid w:val="BFEFD20D"/>
    <w:rsid w:val="BFF9AC4A"/>
    <w:rsid w:val="BFFB5EFA"/>
    <w:rsid w:val="C1FFAF3F"/>
    <w:rsid w:val="C79F8BC9"/>
    <w:rsid w:val="C7BC2C13"/>
    <w:rsid w:val="C97D4347"/>
    <w:rsid w:val="CADF24A3"/>
    <w:rsid w:val="CAF68938"/>
    <w:rsid w:val="CB730015"/>
    <w:rsid w:val="CDF676B2"/>
    <w:rsid w:val="CF5FF59E"/>
    <w:rsid w:val="CFD7D6AE"/>
    <w:rsid w:val="CFE3AA7A"/>
    <w:rsid w:val="CFEED25A"/>
    <w:rsid w:val="CFF6F2C8"/>
    <w:rsid w:val="CFFECFD7"/>
    <w:rsid w:val="D2FDF220"/>
    <w:rsid w:val="D5FED38B"/>
    <w:rsid w:val="D7CED01D"/>
    <w:rsid w:val="D7FDA0EE"/>
    <w:rsid w:val="DBB5A214"/>
    <w:rsid w:val="DBCE1B0A"/>
    <w:rsid w:val="DBDC6787"/>
    <w:rsid w:val="DBFF4FCA"/>
    <w:rsid w:val="DBFFB16D"/>
    <w:rsid w:val="DCBB1D15"/>
    <w:rsid w:val="DD37EDD8"/>
    <w:rsid w:val="DDA9BB95"/>
    <w:rsid w:val="DDBF6928"/>
    <w:rsid w:val="DDFF4761"/>
    <w:rsid w:val="DEE6A7EC"/>
    <w:rsid w:val="DEF7BD02"/>
    <w:rsid w:val="DF3F3807"/>
    <w:rsid w:val="DF78A383"/>
    <w:rsid w:val="DFBBF0A1"/>
    <w:rsid w:val="DFBF2645"/>
    <w:rsid w:val="DFDB88BA"/>
    <w:rsid w:val="DFDEE3F7"/>
    <w:rsid w:val="DFE4FBE7"/>
    <w:rsid w:val="DFFD8137"/>
    <w:rsid w:val="DFFDEB7B"/>
    <w:rsid w:val="DFFEB824"/>
    <w:rsid w:val="E0FBF6C8"/>
    <w:rsid w:val="E35DE486"/>
    <w:rsid w:val="E6FD471A"/>
    <w:rsid w:val="E7BFD8A0"/>
    <w:rsid w:val="E7D5725F"/>
    <w:rsid w:val="E9136A45"/>
    <w:rsid w:val="E98EE688"/>
    <w:rsid w:val="EABA74CF"/>
    <w:rsid w:val="EB773C4E"/>
    <w:rsid w:val="EBD2A607"/>
    <w:rsid w:val="EBED2993"/>
    <w:rsid w:val="EC3D3A5C"/>
    <w:rsid w:val="EC7D4FC3"/>
    <w:rsid w:val="EDDEC2B7"/>
    <w:rsid w:val="EEFBDB3F"/>
    <w:rsid w:val="EF6E8856"/>
    <w:rsid w:val="EF7DA545"/>
    <w:rsid w:val="EFDB0AD1"/>
    <w:rsid w:val="EFDDBDB3"/>
    <w:rsid w:val="EFE7E03F"/>
    <w:rsid w:val="EFEF5351"/>
    <w:rsid w:val="EFF98F98"/>
    <w:rsid w:val="EFFE5E1B"/>
    <w:rsid w:val="F3AE6900"/>
    <w:rsid w:val="F3BFB7F1"/>
    <w:rsid w:val="F3EBF567"/>
    <w:rsid w:val="F3FF8984"/>
    <w:rsid w:val="F53FF0E0"/>
    <w:rsid w:val="F5FF49E2"/>
    <w:rsid w:val="F68731A3"/>
    <w:rsid w:val="F6DDD47D"/>
    <w:rsid w:val="F6FF4E44"/>
    <w:rsid w:val="F6FFE6AC"/>
    <w:rsid w:val="F7D7580A"/>
    <w:rsid w:val="F7F17B7E"/>
    <w:rsid w:val="F7FF0FD1"/>
    <w:rsid w:val="F867EB27"/>
    <w:rsid w:val="F8B1588D"/>
    <w:rsid w:val="F9692EEF"/>
    <w:rsid w:val="F97F8C0B"/>
    <w:rsid w:val="FA7F5194"/>
    <w:rsid w:val="FAFFF4A5"/>
    <w:rsid w:val="FB2F4582"/>
    <w:rsid w:val="FB7F7E48"/>
    <w:rsid w:val="FBB618AA"/>
    <w:rsid w:val="FBB74295"/>
    <w:rsid w:val="FBBFA3D2"/>
    <w:rsid w:val="FBEF33C3"/>
    <w:rsid w:val="FBF7F300"/>
    <w:rsid w:val="FBFF68A0"/>
    <w:rsid w:val="FBFF69D2"/>
    <w:rsid w:val="FC7705CA"/>
    <w:rsid w:val="FC8F104D"/>
    <w:rsid w:val="FCAF9AB9"/>
    <w:rsid w:val="FCEF1958"/>
    <w:rsid w:val="FCF57219"/>
    <w:rsid w:val="FD3DFD37"/>
    <w:rsid w:val="FD3F5B45"/>
    <w:rsid w:val="FD75A62A"/>
    <w:rsid w:val="FD9932FE"/>
    <w:rsid w:val="FD9A0EB4"/>
    <w:rsid w:val="FDDFD81E"/>
    <w:rsid w:val="FDDFEE3C"/>
    <w:rsid w:val="FDEE30D6"/>
    <w:rsid w:val="FDEF2833"/>
    <w:rsid w:val="FDFB2A65"/>
    <w:rsid w:val="FDFB7DE3"/>
    <w:rsid w:val="FDFD6C5E"/>
    <w:rsid w:val="FDFDDDB4"/>
    <w:rsid w:val="FDFEC8C1"/>
    <w:rsid w:val="FDFFF9BD"/>
    <w:rsid w:val="FE1BDF4E"/>
    <w:rsid w:val="FE2F3A0B"/>
    <w:rsid w:val="FE3E700F"/>
    <w:rsid w:val="FE7753F5"/>
    <w:rsid w:val="FE79980D"/>
    <w:rsid w:val="FEBE94A9"/>
    <w:rsid w:val="FEEE52FE"/>
    <w:rsid w:val="FEFBF85D"/>
    <w:rsid w:val="FF07F131"/>
    <w:rsid w:val="FF2649D4"/>
    <w:rsid w:val="FF3730C1"/>
    <w:rsid w:val="FF47EC18"/>
    <w:rsid w:val="FF5D09F5"/>
    <w:rsid w:val="FF7E2CE4"/>
    <w:rsid w:val="FFB79ACA"/>
    <w:rsid w:val="FFBB2F56"/>
    <w:rsid w:val="FFBDC5B1"/>
    <w:rsid w:val="FFBF8620"/>
    <w:rsid w:val="FFCF8531"/>
    <w:rsid w:val="FFDE9A45"/>
    <w:rsid w:val="FFDEAB7C"/>
    <w:rsid w:val="FFE79B5A"/>
    <w:rsid w:val="FFEEA034"/>
    <w:rsid w:val="FFF3053D"/>
    <w:rsid w:val="FFF73BFE"/>
    <w:rsid w:val="FFF7C379"/>
    <w:rsid w:val="FFFA997E"/>
    <w:rsid w:val="FFFEACFE"/>
    <w:rsid w:val="FFFEC1B5"/>
    <w:rsid w:val="FFFEE537"/>
    <w:rsid w:val="FFFF4A3E"/>
    <w:rsid w:val="FFFF8B0B"/>
    <w:rsid w:val="FFFFD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文字 Char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965</Words>
  <Characters>5501</Characters>
  <Lines>1</Lines>
  <Paragraphs>1</Paragraphs>
  <TotalTime>0</TotalTime>
  <ScaleCrop>false</ScaleCrop>
  <LinksUpToDate>false</LinksUpToDate>
  <CharactersWithSpaces>6454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2024-03-17T18:06:00Z</dcterms:created>
  <dc:creator>李媛(拟稿)</dc:creator>
  <cp:lastModifiedBy>user</cp:lastModifiedBy>
  <cp:lastPrinted>2025-07-15T09:24:00Z</cp:lastPrinted>
  <dcterms:modified xsi:type="dcterms:W3CDTF">2025-07-14T19:05:40Z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