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F7418">
      <w:pPr>
        <w:pStyle w:val="11"/>
        <w:ind w:left="0" w:leftChars="0" w:firstLine="0" w:firstLineChars="0"/>
        <w:jc w:val="center"/>
        <w:rPr>
          <w:rFonts w:hint="default" w:ascii="Times New Roman" w:hAnsi="Times New Roman" w:cs="Times New Roman"/>
          <w:b/>
          <w:bCs/>
          <w:color w:val="auto"/>
          <w:spacing w:val="-4"/>
          <w:sz w:val="44"/>
          <w:szCs w:val="44"/>
          <w:lang w:val="en-US" w:eastAsia="zh-CN"/>
        </w:rPr>
      </w:pPr>
      <w:bookmarkStart w:id="0" w:name="_Toc15500"/>
      <w:bookmarkStart w:id="1" w:name="_Toc12738"/>
      <w:bookmarkStart w:id="2" w:name="_Toc20798"/>
      <w:bookmarkStart w:id="3" w:name="_Toc32338_WPSOffice_Level1"/>
    </w:p>
    <w:p w14:paraId="21D118CF">
      <w:pPr>
        <w:pStyle w:val="11"/>
        <w:ind w:left="0" w:leftChars="0" w:firstLine="0" w:firstLineChars="0"/>
        <w:jc w:val="center"/>
        <w:rPr>
          <w:rFonts w:hint="default" w:ascii="Times New Roman" w:hAnsi="Times New Roman" w:cs="Times New Roman"/>
          <w:b/>
          <w:bCs/>
          <w:color w:val="auto"/>
          <w:spacing w:val="-4"/>
          <w:sz w:val="44"/>
          <w:szCs w:val="44"/>
          <w:lang w:val="en-US" w:eastAsia="zh-CN"/>
        </w:rPr>
      </w:pPr>
    </w:p>
    <w:p w14:paraId="552E5B3C">
      <w:pPr>
        <w:pStyle w:val="11"/>
        <w:ind w:left="0" w:leftChars="0" w:firstLine="0" w:firstLineChars="0"/>
        <w:jc w:val="center"/>
        <w:rPr>
          <w:rFonts w:hint="default" w:ascii="Times New Roman" w:hAnsi="Times New Roman" w:cs="Times New Roman"/>
          <w:b/>
          <w:bCs/>
          <w:color w:val="auto"/>
          <w:spacing w:val="-4"/>
          <w:sz w:val="44"/>
          <w:szCs w:val="44"/>
          <w:lang w:val="en-US" w:eastAsia="zh-CN"/>
        </w:rPr>
      </w:pPr>
    </w:p>
    <w:p w14:paraId="373C1C7E">
      <w:pPr>
        <w:pStyle w:val="12"/>
        <w:rPr>
          <w:rFonts w:hint="default"/>
          <w:color w:val="auto"/>
          <w:lang w:val="en-US" w:eastAsia="zh-CN"/>
        </w:rPr>
      </w:pPr>
    </w:p>
    <w:p w14:paraId="4EDF7EBE">
      <w:pPr>
        <w:pStyle w:val="11"/>
        <w:spacing w:line="360" w:lineRule="auto"/>
        <w:ind w:left="0" w:leftChars="0" w:firstLine="0" w:firstLineChars="0"/>
        <w:jc w:val="center"/>
        <w:rPr>
          <w:rFonts w:hint="default" w:ascii="Times New Roman" w:hAnsi="Times New Roman" w:cs="Times New Roman"/>
          <w:b/>
          <w:bCs/>
          <w:color w:val="auto"/>
          <w:spacing w:val="-4"/>
          <w:sz w:val="52"/>
          <w:szCs w:val="52"/>
          <w:lang w:val="en-US" w:eastAsia="zh-CN"/>
        </w:rPr>
      </w:pPr>
      <w:r>
        <w:rPr>
          <w:rFonts w:hint="default" w:ascii="Times New Roman" w:hAnsi="Times New Roman" w:cs="Times New Roman"/>
          <w:b/>
          <w:bCs/>
          <w:color w:val="auto"/>
          <w:spacing w:val="-4"/>
          <w:sz w:val="52"/>
          <w:szCs w:val="52"/>
          <w:lang w:val="en-US" w:eastAsia="zh-CN"/>
        </w:rPr>
        <w:t>哈密市金石矿业有限责任公司哈密市大红山北铜矿地下开采建设项目</w:t>
      </w:r>
    </w:p>
    <w:p w14:paraId="1B7B9169">
      <w:pPr>
        <w:pStyle w:val="11"/>
        <w:ind w:left="0" w:leftChars="0" w:firstLine="0" w:firstLineChars="0"/>
        <w:jc w:val="center"/>
        <w:rPr>
          <w:rFonts w:hint="default" w:ascii="Times New Roman" w:hAnsi="Times New Roman" w:cs="Times New Roman"/>
          <w:color w:val="auto"/>
        </w:rPr>
      </w:pPr>
    </w:p>
    <w:p w14:paraId="4BF9372B">
      <w:pPr>
        <w:spacing w:line="240" w:lineRule="auto"/>
        <w:ind w:left="0" w:leftChars="0" w:firstLine="0" w:firstLineChars="0"/>
        <w:jc w:val="center"/>
        <w:rPr>
          <w:rFonts w:hint="default" w:ascii="Times New Roman" w:hAnsi="Times New Roman" w:eastAsia="楷体" w:cs="Times New Roman"/>
          <w:b/>
          <w:bCs/>
          <w:color w:val="auto"/>
          <w:sz w:val="60"/>
          <w:szCs w:val="60"/>
        </w:rPr>
      </w:pPr>
      <w:r>
        <w:rPr>
          <w:rFonts w:hint="default" w:ascii="Times New Roman" w:hAnsi="Times New Roman" w:eastAsia="楷体" w:cs="Times New Roman"/>
          <w:b/>
          <w:bCs/>
          <w:color w:val="auto"/>
          <w:spacing w:val="46"/>
          <w:sz w:val="72"/>
          <w:szCs w:val="72"/>
          <w:lang w:val="en-US" w:eastAsia="zh-CN"/>
        </w:rPr>
        <w:t>生态</w:t>
      </w:r>
      <w:r>
        <w:rPr>
          <w:rFonts w:hint="default" w:ascii="Times New Roman" w:hAnsi="Times New Roman" w:eastAsia="楷体" w:cs="Times New Roman"/>
          <w:b/>
          <w:bCs/>
          <w:color w:val="auto"/>
          <w:spacing w:val="46"/>
          <w:sz w:val="72"/>
          <w:szCs w:val="72"/>
        </w:rPr>
        <w:t>环境影响报告书</w:t>
      </w:r>
    </w:p>
    <w:p w14:paraId="2079CE34">
      <w:pPr>
        <w:pStyle w:val="11"/>
        <w:rPr>
          <w:rFonts w:hint="default" w:ascii="Times New Roman" w:hAnsi="Times New Roman" w:cs="Times New Roman"/>
          <w:color w:val="auto"/>
        </w:rPr>
      </w:pPr>
    </w:p>
    <w:p w14:paraId="2260E42E">
      <w:pPr>
        <w:spacing w:line="360" w:lineRule="auto"/>
        <w:rPr>
          <w:rFonts w:hint="default" w:ascii="Times New Roman" w:hAnsi="Times New Roman" w:eastAsia="隶书" w:cs="Times New Roman"/>
          <w:color w:val="auto"/>
          <w:sz w:val="30"/>
        </w:rPr>
      </w:pPr>
    </w:p>
    <w:p w14:paraId="1831DD9A">
      <w:pPr>
        <w:spacing w:line="360" w:lineRule="auto"/>
        <w:rPr>
          <w:rFonts w:hint="default" w:ascii="Times New Roman" w:hAnsi="Times New Roman" w:eastAsia="隶书" w:cs="Times New Roman"/>
          <w:color w:val="auto"/>
          <w:sz w:val="30"/>
        </w:rPr>
      </w:pPr>
    </w:p>
    <w:p w14:paraId="601F3F99">
      <w:pPr>
        <w:spacing w:line="360" w:lineRule="auto"/>
        <w:rPr>
          <w:rFonts w:hint="default" w:ascii="Times New Roman" w:hAnsi="Times New Roman" w:eastAsia="隶书" w:cs="Times New Roman"/>
          <w:color w:val="auto"/>
          <w:sz w:val="30"/>
          <w:lang w:val="en-US" w:eastAsia="zh-CN"/>
        </w:rPr>
      </w:pPr>
    </w:p>
    <w:p w14:paraId="3D653C12">
      <w:pPr>
        <w:spacing w:line="360" w:lineRule="auto"/>
        <w:rPr>
          <w:rFonts w:hint="default" w:ascii="Times New Roman" w:hAnsi="Times New Roman" w:eastAsia="隶书" w:cs="Times New Roman"/>
          <w:color w:val="auto"/>
          <w:sz w:val="30"/>
          <w:lang w:val="en-US" w:eastAsia="zh-CN"/>
        </w:rPr>
      </w:pPr>
    </w:p>
    <w:p w14:paraId="3F6DB0B0">
      <w:pPr>
        <w:spacing w:line="360" w:lineRule="auto"/>
        <w:rPr>
          <w:rFonts w:hint="default" w:ascii="Times New Roman" w:hAnsi="Times New Roman" w:eastAsia="隶书" w:cs="Times New Roman"/>
          <w:color w:val="auto"/>
          <w:sz w:val="30"/>
          <w:lang w:val="en-US" w:eastAsia="zh-CN"/>
        </w:rPr>
      </w:pPr>
    </w:p>
    <w:p w14:paraId="54BF14A4">
      <w:pPr>
        <w:spacing w:line="360" w:lineRule="auto"/>
        <w:rPr>
          <w:rFonts w:hint="default" w:ascii="Times New Roman" w:hAnsi="Times New Roman" w:eastAsia="隶书" w:cs="Times New Roman"/>
          <w:color w:val="auto"/>
          <w:sz w:val="30"/>
          <w:lang w:val="en-US" w:eastAsia="zh-CN"/>
        </w:rPr>
      </w:pPr>
    </w:p>
    <w:p w14:paraId="27925545">
      <w:pPr>
        <w:spacing w:line="360" w:lineRule="auto"/>
        <w:rPr>
          <w:rFonts w:hint="default" w:ascii="Times New Roman" w:hAnsi="Times New Roman" w:eastAsia="隶书" w:cs="Times New Roman"/>
          <w:color w:val="auto"/>
          <w:sz w:val="30"/>
        </w:rPr>
      </w:pPr>
    </w:p>
    <w:tbl>
      <w:tblPr>
        <w:tblStyle w:val="21"/>
        <w:tblW w:w="6394" w:type="dxa"/>
        <w:jc w:val="center"/>
        <w:tblLayout w:type="fixed"/>
        <w:tblCellMar>
          <w:top w:w="0" w:type="dxa"/>
          <w:left w:w="0" w:type="dxa"/>
          <w:bottom w:w="0" w:type="dxa"/>
          <w:right w:w="0" w:type="dxa"/>
        </w:tblCellMar>
      </w:tblPr>
      <w:tblGrid>
        <w:gridCol w:w="1459"/>
        <w:gridCol w:w="4935"/>
      </w:tblGrid>
      <w:tr w14:paraId="06F16A4A">
        <w:tblPrEx>
          <w:tblCellMar>
            <w:top w:w="0" w:type="dxa"/>
            <w:left w:w="0" w:type="dxa"/>
            <w:bottom w:w="0" w:type="dxa"/>
            <w:right w:w="0" w:type="dxa"/>
          </w:tblCellMar>
        </w:tblPrEx>
        <w:trPr>
          <w:trHeight w:val="510" w:hRule="atLeast"/>
          <w:jc w:val="center"/>
        </w:trPr>
        <w:tc>
          <w:tcPr>
            <w:tcW w:w="1459" w:type="dxa"/>
          </w:tcPr>
          <w:p w14:paraId="6556C96A">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eastAsia="楷体_GB2312" w:cs="Times New Roman"/>
                <w:color w:val="auto"/>
                <w:sz w:val="30"/>
              </w:rPr>
            </w:pPr>
            <w:r>
              <w:rPr>
                <w:rFonts w:hint="default" w:ascii="Times New Roman" w:hAnsi="Times New Roman" w:eastAsia="楷体_GB2312" w:cs="Times New Roman"/>
                <w:color w:val="auto"/>
                <w:sz w:val="30"/>
              </w:rPr>
              <w:t>建设单位：</w:t>
            </w:r>
          </w:p>
        </w:tc>
        <w:tc>
          <w:tcPr>
            <w:tcW w:w="4935" w:type="dxa"/>
          </w:tcPr>
          <w:p w14:paraId="5230162C">
            <w:pPr>
              <w:keepNext w:val="0"/>
              <w:keepLines w:val="0"/>
              <w:pageBreakBefore w:val="0"/>
              <w:widowControl w:val="0"/>
              <w:kinsoku/>
              <w:wordWrap/>
              <w:overflowPunct/>
              <w:topLinePunct w:val="0"/>
              <w:autoSpaceDE/>
              <w:autoSpaceDN/>
              <w:bidi w:val="0"/>
              <w:adjustRightInd/>
              <w:snapToGrid/>
              <w:spacing w:line="480" w:lineRule="exact"/>
              <w:ind w:firstLine="0" w:firstLineChars="0"/>
              <w:jc w:val="distribute"/>
              <w:textAlignment w:val="auto"/>
              <w:rPr>
                <w:rFonts w:hint="default" w:ascii="Times New Roman" w:hAnsi="Times New Roman" w:eastAsia="楷体_GB2312" w:cs="Times New Roman"/>
                <w:color w:val="auto"/>
                <w:spacing w:val="-12"/>
                <w:kern w:val="0"/>
                <w:sz w:val="30"/>
                <w:szCs w:val="30"/>
                <w:lang w:eastAsia="zh-CN"/>
              </w:rPr>
            </w:pPr>
            <w:r>
              <w:rPr>
                <w:rFonts w:hint="default" w:ascii="Times New Roman" w:hAnsi="Times New Roman" w:eastAsia="楷体_GB2312" w:cs="Times New Roman"/>
                <w:color w:val="auto"/>
                <w:spacing w:val="-12"/>
                <w:kern w:val="0"/>
                <w:sz w:val="30"/>
                <w:szCs w:val="30"/>
                <w:lang w:val="en-US" w:eastAsia="zh-CN"/>
              </w:rPr>
              <w:t>哈密市金石矿业有限责任公司</w:t>
            </w:r>
          </w:p>
        </w:tc>
      </w:tr>
      <w:tr w14:paraId="1DF6F1B0">
        <w:tblPrEx>
          <w:tblCellMar>
            <w:top w:w="0" w:type="dxa"/>
            <w:left w:w="0" w:type="dxa"/>
            <w:bottom w:w="0" w:type="dxa"/>
            <w:right w:w="0" w:type="dxa"/>
          </w:tblCellMar>
        </w:tblPrEx>
        <w:trPr>
          <w:trHeight w:val="510" w:hRule="atLeast"/>
          <w:jc w:val="center"/>
        </w:trPr>
        <w:tc>
          <w:tcPr>
            <w:tcW w:w="1459" w:type="dxa"/>
          </w:tcPr>
          <w:p w14:paraId="51273536">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eastAsia="楷体_GB2312" w:cs="Times New Roman"/>
                <w:color w:val="auto"/>
                <w:sz w:val="30"/>
              </w:rPr>
            </w:pPr>
            <w:r>
              <w:rPr>
                <w:rFonts w:hint="default" w:ascii="Times New Roman" w:hAnsi="Times New Roman" w:eastAsia="楷体_GB2312" w:cs="Times New Roman"/>
                <w:color w:val="auto"/>
                <w:sz w:val="30"/>
              </w:rPr>
              <w:t>环评单位：</w:t>
            </w:r>
          </w:p>
        </w:tc>
        <w:tc>
          <w:tcPr>
            <w:tcW w:w="4935" w:type="dxa"/>
          </w:tcPr>
          <w:p w14:paraId="3CB4F3FD">
            <w:pPr>
              <w:keepNext w:val="0"/>
              <w:keepLines w:val="0"/>
              <w:pageBreakBefore w:val="0"/>
              <w:widowControl w:val="0"/>
              <w:kinsoku/>
              <w:wordWrap/>
              <w:overflowPunct/>
              <w:topLinePunct w:val="0"/>
              <w:autoSpaceDE/>
              <w:autoSpaceDN/>
              <w:bidi w:val="0"/>
              <w:adjustRightInd/>
              <w:snapToGrid/>
              <w:spacing w:line="480" w:lineRule="exact"/>
              <w:ind w:firstLine="0" w:firstLineChars="0"/>
              <w:jc w:val="distribute"/>
              <w:textAlignment w:val="auto"/>
              <w:rPr>
                <w:rFonts w:hint="default" w:ascii="Times New Roman" w:hAnsi="Times New Roman" w:eastAsia="楷体_GB2312" w:cs="Times New Roman"/>
                <w:color w:val="auto"/>
                <w:spacing w:val="-12"/>
                <w:kern w:val="0"/>
                <w:sz w:val="30"/>
                <w:szCs w:val="30"/>
                <w:lang w:eastAsia="zh-CN"/>
              </w:rPr>
            </w:pPr>
            <w:r>
              <w:rPr>
                <w:rFonts w:hint="default" w:ascii="Times New Roman" w:hAnsi="Times New Roman" w:eastAsia="楷体_GB2312" w:cs="Times New Roman"/>
                <w:color w:val="auto"/>
                <w:spacing w:val="-12"/>
                <w:kern w:val="0"/>
                <w:sz w:val="30"/>
                <w:szCs w:val="30"/>
                <w:lang w:eastAsia="zh-CN"/>
              </w:rPr>
              <w:t>新疆恒升融裕环保科技有限公司</w:t>
            </w:r>
          </w:p>
        </w:tc>
      </w:tr>
      <w:tr w14:paraId="5E54A718">
        <w:tblPrEx>
          <w:tblCellMar>
            <w:top w:w="0" w:type="dxa"/>
            <w:left w:w="0" w:type="dxa"/>
            <w:bottom w:w="0" w:type="dxa"/>
            <w:right w:w="0" w:type="dxa"/>
          </w:tblCellMar>
        </w:tblPrEx>
        <w:trPr>
          <w:trHeight w:val="510" w:hRule="atLeast"/>
          <w:jc w:val="center"/>
        </w:trPr>
        <w:tc>
          <w:tcPr>
            <w:tcW w:w="1459" w:type="dxa"/>
          </w:tcPr>
          <w:p w14:paraId="42A3E183">
            <w:pPr>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default" w:ascii="Times New Roman" w:hAnsi="Times New Roman" w:eastAsia="楷体_GB2312" w:cs="Times New Roman"/>
                <w:color w:val="auto"/>
                <w:sz w:val="28"/>
                <w:szCs w:val="30"/>
              </w:rPr>
            </w:pPr>
            <w:r>
              <w:rPr>
                <w:rFonts w:hint="default" w:ascii="Times New Roman" w:hAnsi="Times New Roman" w:eastAsia="楷体_GB2312" w:cs="Times New Roman"/>
                <w:color w:val="auto"/>
                <w:sz w:val="30"/>
              </w:rPr>
              <w:t>编制时间：</w:t>
            </w:r>
          </w:p>
        </w:tc>
        <w:tc>
          <w:tcPr>
            <w:tcW w:w="4935" w:type="dxa"/>
          </w:tcPr>
          <w:p w14:paraId="65D73043">
            <w:pPr>
              <w:keepNext w:val="0"/>
              <w:keepLines w:val="0"/>
              <w:pageBreakBefore w:val="0"/>
              <w:widowControl w:val="0"/>
              <w:kinsoku/>
              <w:wordWrap/>
              <w:overflowPunct/>
              <w:topLinePunct w:val="0"/>
              <w:autoSpaceDE/>
              <w:autoSpaceDN/>
              <w:bidi w:val="0"/>
              <w:adjustRightInd/>
              <w:snapToGrid/>
              <w:spacing w:line="480" w:lineRule="exact"/>
              <w:ind w:firstLine="0" w:firstLineChars="0"/>
              <w:jc w:val="distribute"/>
              <w:textAlignment w:val="auto"/>
              <w:rPr>
                <w:rFonts w:hint="default" w:ascii="Times New Roman" w:hAnsi="Times New Roman" w:eastAsia="楷体_GB2312" w:cs="Times New Roman"/>
                <w:color w:val="auto"/>
                <w:sz w:val="28"/>
                <w:szCs w:val="30"/>
              </w:rPr>
            </w:pPr>
            <w:r>
              <w:rPr>
                <w:rFonts w:hint="default" w:ascii="Times New Roman" w:hAnsi="Times New Roman" w:eastAsia="楷体_GB2312" w:cs="Times New Roman"/>
                <w:color w:val="auto"/>
                <w:kern w:val="0"/>
                <w:sz w:val="30"/>
                <w:szCs w:val="30"/>
                <w:lang w:eastAsia="zh-CN"/>
              </w:rPr>
              <w:t>二〇二六</w:t>
            </w:r>
            <w:r>
              <w:rPr>
                <w:rFonts w:hint="default" w:ascii="Times New Roman" w:hAnsi="Times New Roman" w:eastAsia="楷体_GB2312" w:cs="Times New Roman"/>
                <w:color w:val="auto"/>
                <w:kern w:val="0"/>
                <w:sz w:val="30"/>
                <w:szCs w:val="30"/>
              </w:rPr>
              <w:t>年</w:t>
            </w:r>
            <w:r>
              <w:rPr>
                <w:rFonts w:hint="default" w:ascii="Times New Roman" w:hAnsi="Times New Roman" w:eastAsia="楷体_GB2312" w:cs="Times New Roman"/>
                <w:color w:val="auto"/>
                <w:kern w:val="0"/>
                <w:sz w:val="30"/>
                <w:szCs w:val="30"/>
                <w:lang w:val="en-US" w:eastAsia="zh-CN"/>
              </w:rPr>
              <w:t>九</w:t>
            </w:r>
            <w:r>
              <w:rPr>
                <w:rFonts w:hint="default" w:ascii="Times New Roman" w:hAnsi="Times New Roman" w:eastAsia="楷体_GB2312" w:cs="Times New Roman"/>
                <w:color w:val="auto"/>
                <w:kern w:val="0"/>
                <w:sz w:val="30"/>
                <w:szCs w:val="30"/>
              </w:rPr>
              <w:t>月</w:t>
            </w:r>
          </w:p>
        </w:tc>
      </w:tr>
    </w:tbl>
    <w:p w14:paraId="14F4D055">
      <w:pPr>
        <w:rPr>
          <w:rFonts w:hint="default" w:ascii="Times New Roman" w:hAnsi="Times New Roman" w:cs="Times New Roman"/>
          <w:color w:val="auto"/>
        </w:rPr>
      </w:pPr>
    </w:p>
    <w:p w14:paraId="6B9C5EF6">
      <w:pPr>
        <w:rPr>
          <w:rFonts w:hint="default" w:ascii="Times New Roman" w:hAnsi="Times New Roman" w:cs="Times New Roman"/>
          <w:color w:val="auto"/>
        </w:rPr>
        <w:sectPr>
          <w:headerReference r:id="rId5" w:type="default"/>
          <w:headerReference r:id="rId6" w:type="even"/>
          <w:pgSz w:w="11906" w:h="16838"/>
          <w:pgMar w:top="1440" w:right="1800" w:bottom="1440" w:left="1800" w:header="850"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r>
        <w:rPr>
          <w:rFonts w:hint="default" w:ascii="Times New Roman" w:hAnsi="Times New Roman" w:cs="Times New Roman"/>
          <w:color w:val="auto"/>
        </w:rPr>
        <w:br w:type="page"/>
      </w:r>
    </w:p>
    <w:p w14:paraId="55E7E0FA">
      <w:pPr>
        <w:pStyle w:val="11"/>
        <w:rPr>
          <w:rFonts w:hint="default" w:ascii="Times New Roman" w:hAnsi="Times New Roman" w:cs="Times New Roman"/>
          <w:color w:val="auto"/>
        </w:rPr>
        <w:sectPr>
          <w:headerReference r:id="rId7" w:type="first"/>
          <w:footerReference r:id="rId8" w:type="first"/>
          <w:pgSz w:w="11906" w:h="16838"/>
          <w:pgMar w:top="1440" w:right="1800" w:bottom="1440" w:left="1800" w:header="680"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p>
    <w:sdt>
      <w:sdtPr>
        <w:rPr>
          <w:rFonts w:hint="default" w:ascii="Times New Roman" w:hAnsi="Times New Roman" w:eastAsia="宋体" w:cs="Times New Roman"/>
          <w:b/>
          <w:bCs/>
          <w:color w:val="auto"/>
          <w:kern w:val="2"/>
          <w:sz w:val="28"/>
          <w:szCs w:val="28"/>
          <w:lang w:val="en-US" w:eastAsia="zh-CN" w:bidi="ar-SA"/>
        </w:rPr>
        <w:id w:val="147460566"/>
        <w15:color w:val="DBDBDB"/>
        <w:docPartObj>
          <w:docPartGallery w:val="Table of Contents"/>
          <w:docPartUnique/>
        </w:docPartObj>
      </w:sdtPr>
      <w:sdtEndPr>
        <w:rPr>
          <w:rFonts w:hint="default" w:ascii="Times New Roman" w:hAnsi="Times New Roman" w:eastAsia="宋体" w:cs="Times New Roman"/>
          <w:b/>
          <w:bCs/>
          <w:color w:val="auto"/>
          <w:kern w:val="0"/>
          <w:sz w:val="21"/>
          <w:szCs w:val="21"/>
          <w:lang w:val="en-US" w:eastAsia="zh-CN" w:bidi="ar-SA"/>
        </w:rPr>
      </w:sdtEndPr>
      <w:sdtContent>
        <w:p w14:paraId="6E091BB2">
          <w:pPr>
            <w:spacing w:before="0" w:beforeLines="0" w:after="0" w:afterLines="0" w:line="240" w:lineRule="auto"/>
            <w:ind w:left="0" w:leftChars="0" w:right="0" w:rightChars="0" w:firstLine="0" w:firstLineChars="0"/>
            <w:jc w:val="center"/>
            <w:rPr>
              <w:rFonts w:hint="default" w:ascii="Times New Roman" w:hAnsi="Times New Roman" w:cs="Times New Roman"/>
              <w:b/>
              <w:bCs/>
              <w:color w:val="auto"/>
              <w:sz w:val="28"/>
              <w:szCs w:val="28"/>
            </w:rPr>
          </w:pPr>
          <w:r>
            <w:rPr>
              <w:rFonts w:hint="default" w:ascii="Times New Roman" w:hAnsi="Times New Roman" w:eastAsia="宋体" w:cs="Times New Roman"/>
              <w:b/>
              <w:bCs/>
              <w:color w:val="auto"/>
              <w:sz w:val="28"/>
              <w:szCs w:val="28"/>
            </w:rPr>
            <w:t>目录</w:t>
          </w:r>
        </w:p>
        <w:p w14:paraId="2BFA1BD4">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TOC \o "1-2" \h \u </w:instrText>
          </w:r>
          <w:r>
            <w:rPr>
              <w:rFonts w:hint="default" w:ascii="Times New Roman" w:hAnsi="Times New Roman" w:cs="Times New Roman"/>
              <w:color w:val="auto"/>
            </w:rPr>
            <w:fldChar w:fldCharType="separate"/>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_Toc23711 </w:instrText>
          </w:r>
          <w:r>
            <w:rPr>
              <w:rFonts w:hint="default" w:ascii="Times New Roman" w:hAnsi="Times New Roman" w:cs="Times New Roman"/>
              <w:color w:val="auto"/>
            </w:rPr>
            <w:fldChar w:fldCharType="separate"/>
          </w:r>
          <w:r>
            <w:rPr>
              <w:rFonts w:hint="default" w:ascii="Times New Roman" w:hAnsi="Times New Roman" w:cs="Times New Roman"/>
              <w:color w:val="auto"/>
            </w:rPr>
            <w:t>1 概述</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_Toc23711 \h </w:instrText>
          </w:r>
          <w:r>
            <w:rPr>
              <w:rFonts w:hint="default" w:ascii="Times New Roman" w:hAnsi="Times New Roman" w:cs="Times New Roman"/>
              <w:color w:val="auto"/>
            </w:rPr>
            <w:fldChar w:fldCharType="separate"/>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6F26EB2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_Toc7266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1.1 项目背景</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_Toc7266 \h </w:instrText>
          </w:r>
          <w:r>
            <w:rPr>
              <w:rFonts w:hint="default" w:ascii="Times New Roman" w:hAnsi="Times New Roman" w:cs="Times New Roman"/>
              <w:color w:val="auto"/>
            </w:rPr>
            <w:fldChar w:fldCharType="separate"/>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C9EEC5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_Toc22984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1.2 环境影响评价的工作过程</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_Toc22984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3C325FD">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_Toc31540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1.3 分析判定相关情况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_Toc31540 \h </w:instrText>
          </w:r>
          <w:r>
            <w:rPr>
              <w:rFonts w:hint="default" w:ascii="Times New Roman" w:hAnsi="Times New Roman" w:cs="Times New Roman"/>
              <w:color w:val="auto"/>
            </w:rPr>
            <w:fldChar w:fldCharType="separate"/>
          </w:r>
          <w:r>
            <w:rPr>
              <w:rFonts w:hint="default" w:ascii="Times New Roman" w:hAnsi="Times New Roman" w:cs="Times New Roman"/>
              <w:color w:val="auto"/>
            </w:rPr>
            <w:t>3</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63ED5B3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_Toc23298 </w:instrText>
          </w:r>
          <w:r>
            <w:rPr>
              <w:rFonts w:hint="default" w:ascii="Times New Roman" w:hAnsi="Times New Roman" w:cs="Times New Roman"/>
              <w:color w:val="auto"/>
            </w:rPr>
            <w:fldChar w:fldCharType="separate"/>
          </w:r>
          <w:r>
            <w:rPr>
              <w:rFonts w:hint="default" w:ascii="Times New Roman" w:hAnsi="Times New Roman" w:cs="Times New Roman"/>
              <w:color w:val="auto"/>
            </w:rPr>
            <w:t>1.4 关注的主要环境问题及环境影响</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_Toc23298 \h </w:instrText>
          </w:r>
          <w:r>
            <w:rPr>
              <w:rFonts w:hint="default" w:ascii="Times New Roman" w:hAnsi="Times New Roman" w:cs="Times New Roman"/>
              <w:color w:val="auto"/>
            </w:rPr>
            <w:fldChar w:fldCharType="separate"/>
          </w:r>
          <w:r>
            <w:rPr>
              <w:rFonts w:hint="default" w:ascii="Times New Roman" w:hAnsi="Times New Roman" w:cs="Times New Roman"/>
              <w:color w:val="auto"/>
            </w:rPr>
            <w:t>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AC82DD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_Toc15508 </w:instrText>
          </w:r>
          <w:r>
            <w:rPr>
              <w:rFonts w:hint="default" w:ascii="Times New Roman" w:hAnsi="Times New Roman" w:cs="Times New Roman"/>
              <w:color w:val="auto"/>
            </w:rPr>
            <w:fldChar w:fldCharType="separate"/>
          </w:r>
          <w:r>
            <w:rPr>
              <w:rFonts w:hint="default" w:ascii="Times New Roman" w:hAnsi="Times New Roman" w:cs="Times New Roman"/>
              <w:color w:val="auto"/>
            </w:rPr>
            <w:t>1.5 环境影响评价的主要结论</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_Toc15508 \h </w:instrText>
          </w:r>
          <w:r>
            <w:rPr>
              <w:rFonts w:hint="default" w:ascii="Times New Roman" w:hAnsi="Times New Roman" w:cs="Times New Roman"/>
              <w:color w:val="auto"/>
            </w:rPr>
            <w:fldChar w:fldCharType="separate"/>
          </w:r>
          <w:r>
            <w:rPr>
              <w:rFonts w:hint="default" w:ascii="Times New Roman" w:hAnsi="Times New Roman" w:cs="Times New Roman"/>
              <w:color w:val="auto"/>
            </w:rPr>
            <w:t>7</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C534C87">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_Toc27997 </w:instrText>
          </w:r>
          <w:r>
            <w:rPr>
              <w:rFonts w:hint="default" w:ascii="Times New Roman" w:hAnsi="Times New Roman" w:cs="Times New Roman"/>
              <w:color w:val="auto"/>
            </w:rPr>
            <w:fldChar w:fldCharType="separate"/>
          </w:r>
          <w:r>
            <w:rPr>
              <w:rFonts w:hint="default" w:ascii="Times New Roman" w:hAnsi="Times New Roman" w:cs="Times New Roman"/>
              <w:color w:val="auto"/>
            </w:rPr>
            <w:t xml:space="preserve">2 </w:t>
          </w:r>
          <w:r>
            <w:rPr>
              <w:rFonts w:hint="default" w:ascii="Times New Roman" w:hAnsi="Times New Roman" w:cs="Times New Roman"/>
              <w:color w:val="auto"/>
              <w:lang w:val="en-US" w:eastAsia="zh-CN"/>
            </w:rPr>
            <w:t>总则</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_Toc27997 \h </w:instrText>
          </w:r>
          <w:r>
            <w:rPr>
              <w:rFonts w:hint="default" w:ascii="Times New Roman" w:hAnsi="Times New Roman" w:cs="Times New Roman"/>
              <w:color w:val="auto"/>
            </w:rPr>
            <w:fldChar w:fldCharType="separate"/>
          </w:r>
          <w:r>
            <w:rPr>
              <w:rFonts w:hint="default" w:ascii="Times New Roman" w:hAnsi="Times New Roman" w:cs="Times New Roman"/>
              <w:color w:val="auto"/>
            </w:rPr>
            <w:t>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49A3189">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_Toc4407 </w:instrText>
          </w:r>
          <w:r>
            <w:rPr>
              <w:rFonts w:hint="default" w:ascii="Times New Roman" w:hAnsi="Times New Roman" w:cs="Times New Roman"/>
              <w:color w:val="auto"/>
            </w:rPr>
            <w:fldChar w:fldCharType="separate"/>
          </w:r>
          <w:r>
            <w:rPr>
              <w:rFonts w:hint="default" w:ascii="Times New Roman" w:hAnsi="Times New Roman" w:cs="Times New Roman"/>
              <w:color w:val="auto"/>
            </w:rPr>
            <w:t>2.1 评价目的与原则</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_Toc4407 \h </w:instrText>
          </w:r>
          <w:r>
            <w:rPr>
              <w:rFonts w:hint="default" w:ascii="Times New Roman" w:hAnsi="Times New Roman" w:cs="Times New Roman"/>
              <w:color w:val="auto"/>
            </w:rPr>
            <w:fldChar w:fldCharType="separate"/>
          </w:r>
          <w:r>
            <w:rPr>
              <w:rFonts w:hint="default" w:ascii="Times New Roman" w:hAnsi="Times New Roman" w:cs="Times New Roman"/>
              <w:color w:val="auto"/>
            </w:rPr>
            <w:t>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80C10AF">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_Toc7925 </w:instrText>
          </w:r>
          <w:r>
            <w:rPr>
              <w:rFonts w:hint="default" w:ascii="Times New Roman" w:hAnsi="Times New Roman" w:cs="Times New Roman"/>
              <w:color w:val="auto"/>
            </w:rPr>
            <w:fldChar w:fldCharType="separate"/>
          </w:r>
          <w:r>
            <w:rPr>
              <w:rFonts w:hint="default" w:ascii="Times New Roman" w:hAnsi="Times New Roman" w:cs="Times New Roman"/>
              <w:color w:val="auto"/>
            </w:rPr>
            <w:t>2.2 编制依据</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_Toc7925 \h </w:instrText>
          </w:r>
          <w:r>
            <w:rPr>
              <w:rFonts w:hint="default" w:ascii="Times New Roman" w:hAnsi="Times New Roman" w:cs="Times New Roman"/>
              <w:color w:val="auto"/>
            </w:rPr>
            <w:fldChar w:fldCharType="separate"/>
          </w:r>
          <w:r>
            <w:rPr>
              <w:rFonts w:hint="default" w:ascii="Times New Roman" w:hAnsi="Times New Roman" w:cs="Times New Roman"/>
              <w:color w:val="auto"/>
            </w:rPr>
            <w:t>9</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F6674EB">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_Toc27504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2.3 环境影响因素识别和评价因子筛选</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_Toc27504 \h </w:instrText>
          </w:r>
          <w:r>
            <w:rPr>
              <w:rFonts w:hint="default" w:ascii="Times New Roman" w:hAnsi="Times New Roman" w:cs="Times New Roman"/>
              <w:color w:val="auto"/>
            </w:rPr>
            <w:fldChar w:fldCharType="separate"/>
          </w:r>
          <w:r>
            <w:rPr>
              <w:rFonts w:hint="default" w:ascii="Times New Roman" w:hAnsi="Times New Roman" w:cs="Times New Roman"/>
              <w:color w:val="auto"/>
            </w:rPr>
            <w:t>14</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46E8607">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_Toc26901 </w:instrText>
          </w:r>
          <w:r>
            <w:rPr>
              <w:rFonts w:hint="default" w:ascii="Times New Roman" w:hAnsi="Times New Roman" w:cs="Times New Roman"/>
              <w:color w:val="auto"/>
            </w:rPr>
            <w:fldChar w:fldCharType="separate"/>
          </w:r>
          <w:r>
            <w:rPr>
              <w:rFonts w:hint="default" w:ascii="Times New Roman" w:hAnsi="Times New Roman" w:cs="Times New Roman"/>
              <w:color w:val="auto"/>
            </w:rPr>
            <w:t>2.4 环境功能区划和评价标准</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_Toc26901 \h </w:instrText>
          </w:r>
          <w:r>
            <w:rPr>
              <w:rFonts w:hint="default" w:ascii="Times New Roman" w:hAnsi="Times New Roman" w:cs="Times New Roman"/>
              <w:color w:val="auto"/>
            </w:rPr>
            <w:fldChar w:fldCharType="separate"/>
          </w:r>
          <w:r>
            <w:rPr>
              <w:rFonts w:hint="default" w:ascii="Times New Roman" w:hAnsi="Times New Roman" w:cs="Times New Roman"/>
              <w:color w:val="auto"/>
            </w:rPr>
            <w:t>16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6D50A5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_Toc11611 </w:instrText>
          </w:r>
          <w:r>
            <w:rPr>
              <w:rFonts w:hint="default" w:ascii="Times New Roman" w:hAnsi="Times New Roman" w:cs="Times New Roman"/>
              <w:color w:val="auto"/>
            </w:rPr>
            <w:fldChar w:fldCharType="separate"/>
          </w:r>
          <w:r>
            <w:rPr>
              <w:rFonts w:hint="default" w:ascii="Times New Roman" w:hAnsi="Times New Roman" w:cs="Times New Roman"/>
              <w:color w:val="auto"/>
            </w:rPr>
            <w:t>2.5 评价等级和评价范围</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_Toc11611 \h </w:instrText>
          </w:r>
          <w:r>
            <w:rPr>
              <w:rFonts w:hint="default" w:ascii="Times New Roman" w:hAnsi="Times New Roman" w:cs="Times New Roman"/>
              <w:color w:val="auto"/>
            </w:rPr>
            <w:fldChar w:fldCharType="separate"/>
          </w:r>
          <w:r>
            <w:rPr>
              <w:rFonts w:hint="default" w:ascii="Times New Roman" w:hAnsi="Times New Roman" w:cs="Times New Roman"/>
              <w:color w:val="auto"/>
            </w:rPr>
            <w:t>22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B36033C">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_Toc25624 </w:instrText>
          </w:r>
          <w:r>
            <w:rPr>
              <w:rFonts w:hint="default" w:ascii="Times New Roman" w:hAnsi="Times New Roman" w:cs="Times New Roman"/>
              <w:color w:val="auto"/>
            </w:rPr>
            <w:fldChar w:fldCharType="separate"/>
          </w:r>
          <w:r>
            <w:rPr>
              <w:rFonts w:hint="default" w:ascii="Times New Roman" w:hAnsi="Times New Roman" w:cs="Times New Roman"/>
              <w:color w:val="auto"/>
            </w:rPr>
            <w:t>2.6 评价重点</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_Toc25624 \h </w:instrText>
          </w:r>
          <w:r>
            <w:rPr>
              <w:rFonts w:hint="default" w:ascii="Times New Roman" w:hAnsi="Times New Roman" w:cs="Times New Roman"/>
              <w:color w:val="auto"/>
            </w:rPr>
            <w:fldChar w:fldCharType="separate"/>
          </w:r>
          <w:r>
            <w:rPr>
              <w:rFonts w:hint="default" w:ascii="Times New Roman" w:hAnsi="Times New Roman" w:cs="Times New Roman"/>
              <w:color w:val="auto"/>
            </w:rPr>
            <w:t>32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7275697">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_Toc17311 </w:instrText>
          </w:r>
          <w:r>
            <w:rPr>
              <w:rFonts w:hint="default" w:ascii="Times New Roman" w:hAnsi="Times New Roman" w:cs="Times New Roman"/>
              <w:color w:val="auto"/>
            </w:rPr>
            <w:fldChar w:fldCharType="separate"/>
          </w:r>
          <w:r>
            <w:rPr>
              <w:rFonts w:hint="default" w:ascii="Times New Roman" w:hAnsi="Times New Roman" w:cs="Times New Roman"/>
              <w:color w:val="auto"/>
            </w:rPr>
            <w:t>2.7 污染控制与环境保护目标</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_Toc17311 \h </w:instrText>
          </w:r>
          <w:r>
            <w:rPr>
              <w:rFonts w:hint="default" w:ascii="Times New Roman" w:hAnsi="Times New Roman" w:cs="Times New Roman"/>
              <w:color w:val="auto"/>
            </w:rPr>
            <w:fldChar w:fldCharType="separate"/>
          </w:r>
          <w:r>
            <w:rPr>
              <w:rFonts w:hint="default" w:ascii="Times New Roman" w:hAnsi="Times New Roman" w:cs="Times New Roman"/>
              <w:color w:val="auto"/>
            </w:rPr>
            <w:t>32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7DBE63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_Toc11908 </w:instrText>
          </w:r>
          <w:r>
            <w:rPr>
              <w:rFonts w:hint="default" w:ascii="Times New Roman" w:hAnsi="Times New Roman" w:cs="Times New Roman"/>
              <w:color w:val="auto"/>
            </w:rPr>
            <w:fldChar w:fldCharType="separate"/>
          </w:r>
          <w:r>
            <w:rPr>
              <w:rFonts w:hint="default" w:ascii="Times New Roman" w:hAnsi="Times New Roman" w:cs="Times New Roman"/>
              <w:color w:val="auto"/>
            </w:rPr>
            <w:t>2.8 评价时段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_Toc11908 \h </w:instrText>
          </w:r>
          <w:r>
            <w:rPr>
              <w:rFonts w:hint="default" w:ascii="Times New Roman" w:hAnsi="Times New Roman" w:cs="Times New Roman"/>
              <w:color w:val="auto"/>
            </w:rPr>
            <w:fldChar w:fldCharType="separate"/>
          </w:r>
          <w:r>
            <w:rPr>
              <w:rFonts w:hint="default" w:ascii="Times New Roman" w:hAnsi="Times New Roman" w:cs="Times New Roman"/>
              <w:color w:val="auto"/>
            </w:rPr>
            <w:t>34</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6AA3FA9">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_Toc21341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 建设项目工程分析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_Toc21341 \h </w:instrText>
          </w:r>
          <w:r>
            <w:rPr>
              <w:rFonts w:hint="default" w:ascii="Times New Roman" w:hAnsi="Times New Roman" w:cs="Times New Roman"/>
              <w:color w:val="auto"/>
            </w:rPr>
            <w:fldChar w:fldCharType="separate"/>
          </w:r>
          <w:r>
            <w:rPr>
              <w:rFonts w:hint="default" w:ascii="Times New Roman" w:hAnsi="Times New Roman" w:cs="Times New Roman"/>
              <w:color w:val="auto"/>
            </w:rPr>
            <w:t>35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E08762C">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_Toc28264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3.1 矿区范围及资源特征</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_Toc28264 \h </w:instrText>
          </w:r>
          <w:r>
            <w:rPr>
              <w:rFonts w:hint="default" w:ascii="Times New Roman" w:hAnsi="Times New Roman" w:cs="Times New Roman"/>
              <w:color w:val="auto"/>
            </w:rPr>
            <w:fldChar w:fldCharType="separate"/>
          </w:r>
          <w:r>
            <w:rPr>
              <w:rFonts w:hint="default" w:ascii="Times New Roman" w:hAnsi="Times New Roman" w:cs="Times New Roman"/>
              <w:color w:val="auto"/>
            </w:rPr>
            <w:t>35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2B965D1">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_Toc4598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3.2 工程概况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_Toc4598 \h </w:instrText>
          </w:r>
          <w:r>
            <w:rPr>
              <w:rFonts w:hint="default" w:ascii="Times New Roman" w:hAnsi="Times New Roman" w:cs="Times New Roman"/>
              <w:color w:val="auto"/>
            </w:rPr>
            <w:fldChar w:fldCharType="separate"/>
          </w:r>
          <w:r>
            <w:rPr>
              <w:rFonts w:hint="default" w:ascii="Times New Roman" w:hAnsi="Times New Roman" w:cs="Times New Roman"/>
              <w:color w:val="auto"/>
            </w:rPr>
            <w:t>55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DD974C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_Toc21743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3.3 工程分析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_Toc21743 \h </w:instrText>
          </w:r>
          <w:r>
            <w:rPr>
              <w:rFonts w:hint="default" w:ascii="Times New Roman" w:hAnsi="Times New Roman" w:cs="Times New Roman"/>
              <w:color w:val="auto"/>
            </w:rPr>
            <w:fldChar w:fldCharType="separate"/>
          </w:r>
          <w:r>
            <w:rPr>
              <w:rFonts w:hint="default" w:ascii="Times New Roman" w:hAnsi="Times New Roman" w:cs="Times New Roman"/>
              <w:color w:val="auto"/>
            </w:rPr>
            <w:t>61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62A429FD">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_Toc8203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3.4 废石场选址合理性分析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_Toc8203 \h </w:instrText>
          </w:r>
          <w:r>
            <w:rPr>
              <w:rFonts w:hint="default" w:ascii="Times New Roman" w:hAnsi="Times New Roman" w:cs="Times New Roman"/>
              <w:color w:val="auto"/>
            </w:rPr>
            <w:fldChar w:fldCharType="separate"/>
          </w:r>
          <w:r>
            <w:rPr>
              <w:rFonts w:hint="default" w:ascii="Times New Roman" w:hAnsi="Times New Roman" w:cs="Times New Roman"/>
              <w:color w:val="auto"/>
            </w:rPr>
            <w:t>101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3142DA6">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_Toc27597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3.5 产业政策符合性及规划符合性分析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_Toc27597 \h </w:instrText>
          </w:r>
          <w:r>
            <w:rPr>
              <w:rFonts w:hint="default" w:ascii="Times New Roman" w:hAnsi="Times New Roman" w:cs="Times New Roman"/>
              <w:color w:val="auto"/>
            </w:rPr>
            <w:fldChar w:fldCharType="separate"/>
          </w:r>
          <w:r>
            <w:rPr>
              <w:rFonts w:hint="default" w:ascii="Times New Roman" w:hAnsi="Times New Roman" w:cs="Times New Roman"/>
              <w:color w:val="auto"/>
            </w:rPr>
            <w:t>102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F765CC8">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_Toc1461 </w:instrText>
          </w:r>
          <w:r>
            <w:rPr>
              <w:rFonts w:hint="default" w:ascii="Times New Roman" w:hAnsi="Times New Roman" w:cs="Times New Roman"/>
              <w:color w:val="auto"/>
            </w:rPr>
            <w:fldChar w:fldCharType="separate"/>
          </w:r>
          <w:r>
            <w:rPr>
              <w:rFonts w:hint="default" w:ascii="Times New Roman" w:hAnsi="Times New Roman" w:cs="Times New Roman"/>
              <w:color w:val="auto"/>
            </w:rPr>
            <w:t>4 环境现状调查与评价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_Toc1461 \h </w:instrText>
          </w:r>
          <w:r>
            <w:rPr>
              <w:rFonts w:hint="default" w:ascii="Times New Roman" w:hAnsi="Times New Roman" w:cs="Times New Roman"/>
              <w:color w:val="auto"/>
            </w:rPr>
            <w:fldChar w:fldCharType="separate"/>
          </w:r>
          <w:r>
            <w:rPr>
              <w:rFonts w:hint="default" w:ascii="Times New Roman" w:hAnsi="Times New Roman" w:cs="Times New Roman"/>
              <w:color w:val="auto"/>
            </w:rPr>
            <w:t>127</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D281B82">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_Toc29478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4.1 区域自然环境概况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_Toc29478 \h </w:instrText>
          </w:r>
          <w:r>
            <w:rPr>
              <w:rFonts w:hint="default" w:ascii="Times New Roman" w:hAnsi="Times New Roman" w:cs="Times New Roman"/>
              <w:color w:val="auto"/>
            </w:rPr>
            <w:fldChar w:fldCharType="separate"/>
          </w:r>
          <w:r>
            <w:rPr>
              <w:rFonts w:hint="default" w:ascii="Times New Roman" w:hAnsi="Times New Roman" w:cs="Times New Roman"/>
              <w:color w:val="auto"/>
            </w:rPr>
            <w:t>127</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31DCFDD">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_Toc8518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4.2 环境质量现状调查与评价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_Toc8518 \h </w:instrText>
          </w:r>
          <w:r>
            <w:rPr>
              <w:rFonts w:hint="default" w:ascii="Times New Roman" w:hAnsi="Times New Roman" w:cs="Times New Roman"/>
              <w:color w:val="auto"/>
            </w:rPr>
            <w:fldChar w:fldCharType="separate"/>
          </w:r>
          <w:r>
            <w:rPr>
              <w:rFonts w:hint="default" w:ascii="Times New Roman" w:hAnsi="Times New Roman" w:cs="Times New Roman"/>
              <w:color w:val="auto"/>
            </w:rPr>
            <w:t>135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5A1B725">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_Toc31674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highlight w:val="none"/>
              <w:lang w:val="en-US" w:eastAsia="zh-CN"/>
            </w:rPr>
            <w:t>4.3区域生态环境现状调查与评价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_Toc31674 \h </w:instrText>
          </w:r>
          <w:r>
            <w:rPr>
              <w:rFonts w:hint="default" w:ascii="Times New Roman" w:hAnsi="Times New Roman" w:cs="Times New Roman"/>
              <w:color w:val="auto"/>
            </w:rPr>
            <w:fldChar w:fldCharType="separate"/>
          </w:r>
          <w:r>
            <w:rPr>
              <w:rFonts w:hint="default" w:ascii="Times New Roman" w:hAnsi="Times New Roman" w:cs="Times New Roman"/>
              <w:color w:val="auto"/>
            </w:rPr>
            <w:t>153</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5843BCF">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_Toc9555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highlight w:val="none"/>
              <w:lang w:val="en-US" w:eastAsia="zh-CN"/>
            </w:rPr>
            <w:t>4.4矿石辐射监测结果及评价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_Toc9555 \h </w:instrText>
          </w:r>
          <w:r>
            <w:rPr>
              <w:rFonts w:hint="default" w:ascii="Times New Roman" w:hAnsi="Times New Roman" w:cs="Times New Roman"/>
              <w:color w:val="auto"/>
            </w:rPr>
            <w:fldChar w:fldCharType="separate"/>
          </w:r>
          <w:r>
            <w:rPr>
              <w:rFonts w:hint="default" w:ascii="Times New Roman" w:hAnsi="Times New Roman" w:cs="Times New Roman"/>
              <w:color w:val="auto"/>
            </w:rPr>
            <w:t>160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6763E3CB">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_Toc1877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 环境影响预测与评价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_Toc1877 \h </w:instrText>
          </w:r>
          <w:r>
            <w:rPr>
              <w:rFonts w:hint="default" w:ascii="Times New Roman" w:hAnsi="Times New Roman" w:cs="Times New Roman"/>
              <w:color w:val="auto"/>
            </w:rPr>
            <w:fldChar w:fldCharType="separate"/>
          </w:r>
          <w:r>
            <w:rPr>
              <w:rFonts w:hint="default" w:ascii="Times New Roman" w:hAnsi="Times New Roman" w:cs="Times New Roman"/>
              <w:color w:val="auto"/>
            </w:rPr>
            <w:t>161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6A453127">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_Toc26589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5.1 施工期环境影响分析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_Toc26589 \h </w:instrText>
          </w:r>
          <w:r>
            <w:rPr>
              <w:rFonts w:hint="default" w:ascii="Times New Roman" w:hAnsi="Times New Roman" w:cs="Times New Roman"/>
              <w:color w:val="auto"/>
            </w:rPr>
            <w:fldChar w:fldCharType="separate"/>
          </w:r>
          <w:r>
            <w:rPr>
              <w:rFonts w:hint="default" w:ascii="Times New Roman" w:hAnsi="Times New Roman" w:cs="Times New Roman"/>
              <w:color w:val="auto"/>
            </w:rPr>
            <w:t>161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08E7CF3">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_Toc2512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5.2 大气环境影响预测与评价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_Toc2512 \h </w:instrText>
          </w:r>
          <w:r>
            <w:rPr>
              <w:rFonts w:hint="default" w:ascii="Times New Roman" w:hAnsi="Times New Roman" w:cs="Times New Roman"/>
              <w:color w:val="auto"/>
            </w:rPr>
            <w:fldChar w:fldCharType="separate"/>
          </w:r>
          <w:r>
            <w:rPr>
              <w:rFonts w:hint="default" w:ascii="Times New Roman" w:hAnsi="Times New Roman" w:cs="Times New Roman"/>
              <w:color w:val="auto"/>
            </w:rPr>
            <w:t>172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4AC9368">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_Toc5060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5.3 地表水环境影响预测与评价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_Toc5060 \h </w:instrText>
          </w:r>
          <w:r>
            <w:rPr>
              <w:rFonts w:hint="default" w:ascii="Times New Roman" w:hAnsi="Times New Roman" w:cs="Times New Roman"/>
              <w:color w:val="auto"/>
            </w:rPr>
            <w:fldChar w:fldCharType="separate"/>
          </w:r>
          <w:r>
            <w:rPr>
              <w:rFonts w:hint="default" w:ascii="Times New Roman" w:hAnsi="Times New Roman" w:cs="Times New Roman"/>
              <w:color w:val="auto"/>
            </w:rPr>
            <w:t>176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52C690F">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_Toc14131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5.4 地下水环境影响预测与评价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_Toc14131 \h </w:instrText>
          </w:r>
          <w:r>
            <w:rPr>
              <w:rFonts w:hint="default" w:ascii="Times New Roman" w:hAnsi="Times New Roman" w:cs="Times New Roman"/>
              <w:color w:val="auto"/>
            </w:rPr>
            <w:fldChar w:fldCharType="separate"/>
          </w:r>
          <w:r>
            <w:rPr>
              <w:rFonts w:hint="default" w:ascii="Times New Roman" w:hAnsi="Times New Roman" w:cs="Times New Roman"/>
              <w:color w:val="auto"/>
            </w:rPr>
            <w:t>181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497DBDC">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_Toc5878 </w:instrText>
          </w:r>
          <w:r>
            <w:rPr>
              <w:rFonts w:hint="default" w:ascii="Times New Roman" w:hAnsi="Times New Roman" w:cs="Times New Roman"/>
              <w:color w:val="auto"/>
            </w:rPr>
            <w:fldChar w:fldCharType="separate"/>
          </w:r>
          <w:r>
            <w:rPr>
              <w:rFonts w:hint="default" w:ascii="Times New Roman" w:hAnsi="Times New Roman" w:cs="Times New Roman"/>
              <w:color w:val="auto"/>
            </w:rPr>
            <w:t>5.5 声环境影响预测与评价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_Toc5878 \h </w:instrText>
          </w:r>
          <w:r>
            <w:rPr>
              <w:rFonts w:hint="default" w:ascii="Times New Roman" w:hAnsi="Times New Roman" w:cs="Times New Roman"/>
              <w:color w:val="auto"/>
            </w:rPr>
            <w:fldChar w:fldCharType="separate"/>
          </w:r>
          <w:r>
            <w:rPr>
              <w:rFonts w:hint="default" w:ascii="Times New Roman" w:hAnsi="Times New Roman" w:cs="Times New Roman"/>
              <w:color w:val="auto"/>
            </w:rPr>
            <w:t>206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423250D">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_Toc12204 </w:instrText>
          </w:r>
          <w:r>
            <w:rPr>
              <w:rFonts w:hint="default" w:ascii="Times New Roman" w:hAnsi="Times New Roman" w:cs="Times New Roman"/>
              <w:color w:val="auto"/>
            </w:rPr>
            <w:fldChar w:fldCharType="separate"/>
          </w:r>
          <w:r>
            <w:rPr>
              <w:rFonts w:hint="default" w:ascii="Times New Roman" w:hAnsi="Times New Roman" w:cs="Times New Roman"/>
              <w:color w:val="auto"/>
            </w:rPr>
            <w:t>5.6 固废环境影响分析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_Toc12204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210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E78E7C1">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_Toc24699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5.7 土壤环境影响评价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_Toc24699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213</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58848C8">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_Toc26884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5.8 生态环境影响评价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_Toc26884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221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1D41AD3">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_Toc32676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5.9 环境风险分析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_Toc32676 \h </w:instrText>
          </w:r>
          <w:r>
            <w:rPr>
              <w:rFonts w:hint="default" w:ascii="Times New Roman" w:hAnsi="Times New Roman" w:cs="Times New Roman"/>
              <w:color w:val="auto"/>
            </w:rPr>
            <w:fldChar w:fldCharType="separate"/>
          </w:r>
          <w:r>
            <w:rPr>
              <w:rFonts w:hint="default" w:ascii="Times New Roman" w:hAnsi="Times New Roman" w:cs="Times New Roman"/>
              <w:color w:val="auto"/>
            </w:rPr>
            <w:t>226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D76FCFE">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_Toc3488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kern w:val="0"/>
              <w:position w:val="0"/>
              <w:szCs w:val="44"/>
              <w:lang w:val="en-US" w:eastAsia="zh-CN"/>
            </w:rPr>
            <w:t xml:space="preserve">6 </w:t>
          </w:r>
          <w:r>
            <w:rPr>
              <w:rFonts w:hint="default" w:ascii="Times New Roman" w:hAnsi="Times New Roman" w:eastAsia="宋体" w:cs="Times New Roman"/>
              <w:bCs/>
              <w:color w:val="auto"/>
              <w:spacing w:val="0"/>
              <w:w w:val="100"/>
              <w:kern w:val="0"/>
              <w:position w:val="0"/>
              <w:szCs w:val="44"/>
              <w:highlight w:val="none"/>
              <w:lang w:val="en-US" w:eastAsia="zh-CN"/>
            </w:rPr>
            <w:t>环境保护措施及其可行性论证</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_Toc3488 \h </w:instrText>
          </w:r>
          <w:r>
            <w:rPr>
              <w:rFonts w:hint="default" w:ascii="Times New Roman" w:hAnsi="Times New Roman" w:cs="Times New Roman"/>
              <w:color w:val="auto"/>
            </w:rPr>
            <w:fldChar w:fldCharType="separate"/>
          </w:r>
          <w:r>
            <w:rPr>
              <w:rFonts w:hint="default" w:ascii="Times New Roman" w:hAnsi="Times New Roman" w:cs="Times New Roman"/>
              <w:color w:val="auto"/>
            </w:rPr>
            <w:t>240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6F8CF1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_Toc8710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6.1 施工期环境污染防治及可行性论证</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_Toc8710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240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C592473">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_Toc25156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6.2 运营期污染防治措施分析及可行性论证</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_Toc25156 \h </w:instrText>
          </w:r>
          <w:r>
            <w:rPr>
              <w:rFonts w:hint="default" w:ascii="Times New Roman" w:hAnsi="Times New Roman" w:cs="Times New Roman"/>
              <w:color w:val="auto"/>
            </w:rPr>
            <w:fldChar w:fldCharType="separate"/>
          </w:r>
          <w:r>
            <w:rPr>
              <w:rFonts w:hint="default" w:ascii="Times New Roman" w:hAnsi="Times New Roman" w:cs="Times New Roman"/>
              <w:color w:val="auto"/>
            </w:rPr>
            <w:t>242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D7C9CC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_Toc8893 </w:instrText>
          </w:r>
          <w:r>
            <w:rPr>
              <w:rFonts w:hint="default" w:ascii="Times New Roman" w:hAnsi="Times New Roman" w:cs="Times New Roman"/>
              <w:color w:val="auto"/>
            </w:rPr>
            <w:fldChar w:fldCharType="separate"/>
          </w:r>
          <w:r>
            <w:rPr>
              <w:rFonts w:hint="default" w:ascii="Times New Roman" w:hAnsi="Times New Roman" w:cs="Times New Roman"/>
              <w:color w:val="auto"/>
              <w:lang w:val="en-US" w:eastAsia="zh-CN"/>
            </w:rPr>
            <w:t>6.3 闭矿期污染防治措施</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_Toc8893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C4E0564">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_Toc22519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highlight w:val="none"/>
              <w:lang w:val="en-US" w:eastAsia="zh-CN"/>
            </w:rPr>
            <w:t>7环境影响经济损益分析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_Toc22519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9F1AB0A">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_Toc18319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7.1分析方法</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_Toc18319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A67068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_Toc12641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7.2经济效益分析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_Toc12641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239B3A33">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_Toc22218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7.3环保投资估算</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_Toc22218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259</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C54CB37">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_Toc22499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7.4社会效益分析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_Toc22499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259</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5B5FB96">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_Toc29380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7.5环境效益分析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_Toc29380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E25464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_Toc12559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position w:val="0"/>
              <w:lang w:val="en-US" w:eastAsia="zh-CN"/>
            </w:rPr>
            <w:t>7.6小结</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_Toc12559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D19F201">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_Toc19734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highlight w:val="none"/>
            </w:rPr>
            <w:t>8.环境管理与监测计划</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_Toc19734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1B7B2EB">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_Toc10553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8.1建设项目环境管理</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_Toc10553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280CB43">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_Toc9565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8.2施工期环境管理</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_Toc9565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9CEC989">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_Toc23483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8.3环境监测计划</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_Toc23483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267</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8E7DA7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_Toc25329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8.4环境管理措施及环保行动计划</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_Toc25329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270</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E6784E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_Toc3663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8.5环境保护竣工验收计划</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_Toc3663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271</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52C0472">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_Toc18783 </w:instrText>
          </w:r>
          <w:r>
            <w:rPr>
              <w:rFonts w:hint="default" w:ascii="Times New Roman" w:hAnsi="Times New Roman" w:cs="Times New Roman"/>
              <w:color w:val="auto"/>
            </w:rPr>
            <w:fldChar w:fldCharType="separate"/>
          </w:r>
          <w:r>
            <w:rPr>
              <w:rFonts w:hint="default" w:ascii="Times New Roman" w:hAnsi="Times New Roman" w:eastAsia="宋体" w:cs="Times New Roman"/>
              <w:color w:val="auto"/>
              <w:spacing w:val="0"/>
              <w:w w:val="100"/>
              <w:position w:val="0"/>
              <w:lang w:val="en-US" w:eastAsia="zh-CN"/>
            </w:rPr>
            <w:t>8.6排污清单</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_Toc18783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272</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8CF8B3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_Toc8227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kern w:val="2"/>
              <w:position w:val="0"/>
              <w:szCs w:val="32"/>
              <w:lang w:val="en-US" w:eastAsia="zh-CN" w:bidi="ar-SA"/>
            </w:rPr>
            <w:t>8.7总量</w:t>
          </w:r>
          <w:r>
            <w:rPr>
              <w:rFonts w:hint="default" w:ascii="Times New Roman" w:hAnsi="Times New Roman" w:cs="Times New Roman"/>
              <w:bCs/>
              <w:color w:val="auto"/>
              <w:spacing w:val="0"/>
              <w:w w:val="100"/>
              <w:kern w:val="2"/>
              <w:position w:val="0"/>
              <w:szCs w:val="32"/>
              <w:lang w:val="en-US" w:eastAsia="zh-CN" w:bidi="ar-SA"/>
            </w:rPr>
            <w:t>控制</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_Toc8227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274</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400ACC9">
          <w:pPr>
            <w:pStyle w:val="15"/>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_Toc1449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spacing w:val="0"/>
              <w:w w:val="100"/>
              <w:kern w:val="0"/>
              <w:position w:val="0"/>
              <w:szCs w:val="44"/>
              <w:highlight w:val="none"/>
              <w:lang w:val="en-US" w:eastAsia="zh-CN"/>
            </w:rPr>
            <w:t>9结论与建议</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_Toc1449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C37A20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_Toc21137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9.1工程概况</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_Toc21137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16CC3F4E">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_Toc668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9.2符合性分析</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_Toc668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275</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472630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_Toc16550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9.3环境质量现状</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_Toc16550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06970644">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_Toc9401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9.4环境影响评价</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_Toc9401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276</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62F527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_Toc17374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9.5总量控制</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_Toc17374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4FF87010">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_Toc21124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9.6公众参与调查结论</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_Toc21124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7CAB2C1A">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_Toc14270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w:t>
          </w:r>
          <w:r>
            <w:rPr>
              <w:rFonts w:hint="default" w:ascii="Times New Roman" w:hAnsi="Times New Roman" w:cs="Times New Roman"/>
              <w:bCs/>
              <w:color w:val="auto"/>
              <w:kern w:val="0"/>
              <w:szCs w:val="32"/>
              <w:highlight w:val="none"/>
              <w:lang w:val="en-US" w:eastAsia="zh-CN"/>
            </w:rPr>
            <w:t>7</w:t>
          </w:r>
          <w:r>
            <w:rPr>
              <w:rFonts w:hint="default" w:ascii="Times New Roman" w:hAnsi="Times New Roman" w:eastAsia="宋体" w:cs="Times New Roman"/>
              <w:bCs/>
              <w:color w:val="auto"/>
              <w:kern w:val="0"/>
              <w:szCs w:val="32"/>
              <w:highlight w:val="none"/>
              <w:lang w:val="en-US" w:eastAsia="zh-CN"/>
            </w:rPr>
            <w:t>总体结论</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_Toc14270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33366C47">
          <w:pPr>
            <w:pStyle w:val="17"/>
            <w:tabs>
              <w:tab w:val="right" w:leader="dot" w:pos="8306"/>
            </w:tabs>
            <w:rPr>
              <w:rFonts w:hint="default" w:ascii="Times New Roman" w:hAnsi="Times New Roman" w:cs="Times New Roman"/>
              <w:color w:val="auto"/>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\l _Toc5180 </w:instrText>
          </w:r>
          <w:r>
            <w:rPr>
              <w:rFonts w:hint="default" w:ascii="Times New Roman" w:hAnsi="Times New Roman" w:cs="Times New Roman"/>
              <w:color w:val="auto"/>
            </w:rPr>
            <w:fldChar w:fldCharType="separate"/>
          </w:r>
          <w:r>
            <w:rPr>
              <w:rFonts w:hint="default" w:ascii="Times New Roman" w:hAnsi="Times New Roman" w:eastAsia="宋体" w:cs="Times New Roman"/>
              <w:bCs/>
              <w:color w:val="auto"/>
              <w:kern w:val="0"/>
              <w:szCs w:val="32"/>
              <w:highlight w:val="none"/>
              <w:lang w:val="en-US" w:eastAsia="zh-CN"/>
            </w:rPr>
            <w:t>9.</w:t>
          </w:r>
          <w:r>
            <w:rPr>
              <w:rFonts w:hint="default" w:ascii="Times New Roman" w:hAnsi="Times New Roman" w:cs="Times New Roman"/>
              <w:bCs/>
              <w:color w:val="auto"/>
              <w:kern w:val="0"/>
              <w:szCs w:val="32"/>
              <w:highlight w:val="none"/>
              <w:lang w:val="en-US" w:eastAsia="zh-CN"/>
            </w:rPr>
            <w:t>8</w:t>
          </w:r>
          <w:r>
            <w:rPr>
              <w:rFonts w:hint="default" w:ascii="Times New Roman" w:hAnsi="Times New Roman" w:eastAsia="宋体" w:cs="Times New Roman"/>
              <w:bCs/>
              <w:color w:val="auto"/>
              <w:kern w:val="0"/>
              <w:szCs w:val="32"/>
              <w:highlight w:val="none"/>
              <w:lang w:val="en-US" w:eastAsia="zh-CN"/>
            </w:rPr>
            <w:t>建议</w:t>
          </w:r>
          <w:r>
            <w:rPr>
              <w:rFonts w:hint="default" w:ascii="Times New Roman" w:hAnsi="Times New Roman" w:cs="Times New Roman"/>
              <w:color w:val="auto"/>
            </w:rPr>
            <w:tab/>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PAGEREF _Toc5180 \h </w:instrText>
          </w:r>
          <w:r>
            <w:rPr>
              <w:rFonts w:hint="default" w:ascii="Times New Roman" w:hAnsi="Times New Roman" w:cs="Times New Roman"/>
              <w:color w:val="auto"/>
            </w:rPr>
            <w:fldChar w:fldCharType="separate"/>
          </w:r>
          <w:r>
            <w:rPr>
              <w:rFonts w:hint="default" w:ascii="Times New Roman" w:hAnsi="Times New Roman" w:cs="Times New Roman"/>
              <w:color w:val="auto"/>
            </w:rPr>
            <w:t>278</w:t>
          </w:r>
          <w:r>
            <w:rPr>
              <w:rFonts w:hint="default" w:ascii="Times New Roman" w:hAnsi="Times New Roman" w:cs="Times New Roman"/>
              <w:color w:val="auto"/>
            </w:rPr>
            <w:fldChar w:fldCharType="end"/>
          </w:r>
          <w:r>
            <w:rPr>
              <w:rFonts w:hint="default" w:ascii="Times New Roman" w:hAnsi="Times New Roman" w:cs="Times New Roman"/>
              <w:color w:val="auto"/>
            </w:rPr>
            <w:fldChar w:fldCharType="end"/>
          </w:r>
        </w:p>
        <w:p w14:paraId="54A92215">
          <w:pPr>
            <w:pStyle w:val="11"/>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rPr>
            <w:fldChar w:fldCharType="end"/>
          </w:r>
        </w:p>
      </w:sdtContent>
    </w:sdt>
    <w:p w14:paraId="22719362">
      <w:pPr>
        <w:pStyle w:val="12"/>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eastAsia"/>
          <w:b/>
          <w:bCs/>
          <w:sz w:val="21"/>
          <w:szCs w:val="21"/>
          <w:lang w:val="en-US" w:eastAsia="zh-CN"/>
        </w:rPr>
      </w:pPr>
      <w:r>
        <w:rPr>
          <w:rFonts w:hint="eastAsia"/>
          <w:b/>
          <w:bCs/>
          <w:sz w:val="21"/>
          <w:szCs w:val="21"/>
          <w:lang w:val="en-US" w:eastAsia="zh-CN"/>
        </w:rPr>
        <w:t>附图：</w:t>
      </w:r>
    </w:p>
    <w:p w14:paraId="53661E6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图2.5-1     评价范围及保护目标图</w:t>
      </w:r>
    </w:p>
    <w:p w14:paraId="04A748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图3.2-1    总平面布置图</w:t>
      </w:r>
    </w:p>
    <w:p w14:paraId="7FB0B06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图3.5-1     生态环境分区管控单元查询图</w:t>
      </w:r>
    </w:p>
    <w:p w14:paraId="4184CDF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图4.1-1   地理位置图</w:t>
      </w:r>
    </w:p>
    <w:p w14:paraId="5055676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图4.1-2     区域位置图</w:t>
      </w:r>
    </w:p>
    <w:p w14:paraId="1E4AC7C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z w:val="21"/>
          <w:szCs w:val="21"/>
          <w:lang w:val="en-US" w:eastAsia="zh-CN"/>
        </w:rPr>
      </w:pPr>
      <w:r>
        <w:rPr>
          <w:rFonts w:hint="eastAsia"/>
          <w:b w:val="0"/>
          <w:bCs w:val="0"/>
          <w:sz w:val="21"/>
          <w:szCs w:val="21"/>
          <w:lang w:val="en-US" w:eastAsia="zh-CN"/>
        </w:rPr>
        <w:t>图4.2-1    监测布点图</w:t>
      </w:r>
    </w:p>
    <w:p w14:paraId="337B719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图4.3-1    生态功能区划图</w:t>
      </w:r>
    </w:p>
    <w:p w14:paraId="1C98DDD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图4.3-2    土地利用类型图</w:t>
      </w:r>
    </w:p>
    <w:p w14:paraId="7C28B44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图4.3-3   土壤类型图</w:t>
      </w:r>
    </w:p>
    <w:p w14:paraId="232DC22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图4.3-5    植被类型图</w:t>
      </w:r>
    </w:p>
    <w:p w14:paraId="64A55E4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eastAsia="宋体"/>
          <w:b/>
          <w:bCs/>
          <w:sz w:val="21"/>
          <w:szCs w:val="21"/>
          <w:lang w:val="en-US" w:eastAsia="zh-CN"/>
        </w:rPr>
      </w:pPr>
      <w:r>
        <w:rPr>
          <w:rFonts w:hint="eastAsia" w:eastAsia="宋体"/>
          <w:b/>
          <w:bCs/>
          <w:sz w:val="21"/>
          <w:szCs w:val="21"/>
          <w:lang w:val="en-US" w:eastAsia="zh-CN"/>
        </w:rPr>
        <w:t>附件：</w:t>
      </w:r>
    </w:p>
    <w:p w14:paraId="4033848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附件1环评委托书</w:t>
      </w:r>
    </w:p>
    <w:p w14:paraId="30E3B8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附件2采矿许可证</w:t>
      </w:r>
    </w:p>
    <w:p w14:paraId="56E028E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附件3储量评审备案证明及评审意见书</w:t>
      </w:r>
    </w:p>
    <w:p w14:paraId="0BEB1DC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附件4开采方案审查意见</w:t>
      </w:r>
    </w:p>
    <w:p w14:paraId="68BC75F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附件5 关于〈关于查询哈密市大红山北铜矿矿权范围内“三区”情况的申请函》的复函</w:t>
      </w:r>
    </w:p>
    <w:p w14:paraId="1149E64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eastAsia="宋体"/>
          <w:b w:val="0"/>
          <w:bCs w:val="0"/>
          <w:sz w:val="21"/>
          <w:szCs w:val="21"/>
          <w:lang w:val="en-US" w:eastAsia="zh-CN"/>
        </w:rPr>
      </w:pPr>
      <w:r>
        <w:rPr>
          <w:rFonts w:hint="eastAsia" w:eastAsia="宋体"/>
          <w:b w:val="0"/>
          <w:bCs w:val="0"/>
          <w:sz w:val="21"/>
          <w:szCs w:val="21"/>
          <w:lang w:val="en-US" w:eastAsia="zh-CN"/>
        </w:rPr>
        <w:t>附件6划定矿区范围的批复</w:t>
      </w:r>
    </w:p>
    <w:p w14:paraId="2D7774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eastAsia="宋体"/>
          <w:b w:val="0"/>
          <w:bCs w:val="0"/>
          <w:sz w:val="21"/>
          <w:szCs w:val="21"/>
          <w:lang w:val="en-US" w:eastAsia="zh-CN"/>
        </w:rPr>
      </w:pPr>
      <w:r>
        <w:rPr>
          <w:rFonts w:hint="eastAsia" w:eastAsia="宋体"/>
          <w:b w:val="0"/>
          <w:bCs w:val="0"/>
          <w:sz w:val="21"/>
          <w:szCs w:val="21"/>
          <w:lang w:val="en-US" w:eastAsia="zh-CN"/>
        </w:rPr>
        <w:t>附件7监测报告</w:t>
      </w:r>
    </w:p>
    <w:p w14:paraId="525E1F5B">
      <w:pPr>
        <w:rPr>
          <w:rFonts w:hint="default" w:eastAsia="宋体"/>
          <w:b/>
          <w:bCs/>
          <w:lang w:val="en-US" w:eastAsia="zh-CN"/>
        </w:rPr>
      </w:pPr>
    </w:p>
    <w:p w14:paraId="32EFA3AA">
      <w:pPr>
        <w:rPr>
          <w:rFonts w:hint="eastAsia"/>
          <w:lang w:val="en-US" w:eastAsia="zh-CN"/>
        </w:rPr>
      </w:pPr>
    </w:p>
    <w:p w14:paraId="1655AC9E">
      <w:pPr>
        <w:rPr>
          <w:rFonts w:hint="default"/>
          <w:lang w:val="en-US" w:eastAsia="zh-CN"/>
        </w:rPr>
        <w:sectPr>
          <w:pgSz w:w="11906" w:h="16838"/>
          <w:pgMar w:top="1440" w:right="1800" w:bottom="1440" w:left="1800" w:header="680"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p>
    <w:p w14:paraId="5730005B">
      <w:pPr>
        <w:pStyle w:val="11"/>
        <w:rPr>
          <w:rFonts w:hint="default" w:ascii="Times New Roman" w:hAnsi="Times New Roman" w:cs="Times New Roman"/>
          <w:color w:val="auto"/>
        </w:rPr>
        <w:sectPr>
          <w:pgSz w:w="11906" w:h="16838"/>
          <w:pgMar w:top="1440" w:right="1800" w:bottom="1440" w:left="1800" w:header="680"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p>
    <w:p w14:paraId="651C3883">
      <w:pPr>
        <w:pStyle w:val="2"/>
        <w:bidi w:val="0"/>
        <w:rPr>
          <w:rFonts w:hint="default" w:ascii="Times New Roman" w:hAnsi="Times New Roman" w:cs="Times New Roman"/>
          <w:color w:val="auto"/>
        </w:rPr>
      </w:pPr>
      <w:bookmarkStart w:id="4" w:name="_Toc23711"/>
      <w:r>
        <w:rPr>
          <w:rFonts w:hint="default" w:ascii="Times New Roman" w:hAnsi="Times New Roman" w:cs="Times New Roman"/>
          <w:color w:val="auto"/>
        </w:rPr>
        <w:t>概述</w:t>
      </w:r>
      <w:bookmarkEnd w:id="0"/>
      <w:bookmarkEnd w:id="1"/>
      <w:bookmarkEnd w:id="2"/>
      <w:bookmarkEnd w:id="3"/>
      <w:bookmarkEnd w:id="4"/>
    </w:p>
    <w:p w14:paraId="33E2A06F">
      <w:pPr>
        <w:pStyle w:val="3"/>
        <w:bidi w:val="0"/>
        <w:rPr>
          <w:rFonts w:hint="default" w:ascii="Times New Roman" w:hAnsi="Times New Roman" w:cs="Times New Roman"/>
          <w:color w:val="auto"/>
          <w:lang w:val="en-US" w:eastAsia="zh-CN"/>
        </w:rPr>
      </w:pPr>
      <w:bookmarkStart w:id="5" w:name="_Toc17554"/>
      <w:bookmarkStart w:id="6" w:name="_Toc8035"/>
      <w:bookmarkStart w:id="7" w:name="_Toc18857"/>
      <w:bookmarkStart w:id="8" w:name="_Toc7266"/>
      <w:bookmarkStart w:id="9" w:name="_Toc474747825"/>
      <w:r>
        <w:rPr>
          <w:rFonts w:hint="default" w:ascii="Times New Roman" w:hAnsi="Times New Roman" w:cs="Times New Roman"/>
          <w:color w:val="auto"/>
          <w:lang w:val="en-US" w:eastAsia="zh-CN"/>
        </w:rPr>
        <w:t>项目背景</w:t>
      </w:r>
      <w:bookmarkEnd w:id="5"/>
      <w:bookmarkEnd w:id="6"/>
      <w:bookmarkEnd w:id="7"/>
      <w:bookmarkEnd w:id="8"/>
    </w:p>
    <w:p w14:paraId="4A3F7F5A">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新疆哈密市大红山北铜矿开采矿种为铜矿，矿业权人为哈密市金石矿业有限责任公司，</w:t>
      </w:r>
      <w:r>
        <w:rPr>
          <w:rFonts w:hint="default" w:ascii="Times New Roman" w:hAnsi="Times New Roman" w:eastAsia="宋体" w:cs="Times New Roman"/>
          <w:color w:val="auto"/>
          <w:spacing w:val="0"/>
          <w:w w:val="100"/>
          <w:position w:val="0"/>
          <w:sz w:val="24"/>
          <w:szCs w:val="24"/>
        </w:rPr>
        <w:t>矿区位于哈密市东南直距180</w:t>
      </w:r>
      <w:r>
        <w:rPr>
          <w:rFonts w:hint="default" w:ascii="Times New Roman" w:hAnsi="Times New Roman" w:cs="Times New Roman"/>
          <w:color w:val="auto"/>
          <w:spacing w:val="0"/>
          <w:w w:val="100"/>
          <w:position w:val="0"/>
          <w:sz w:val="24"/>
          <w:szCs w:val="24"/>
          <w:lang w:val="en-US" w:eastAsia="zh-CN"/>
        </w:rPr>
        <w:t>km</w:t>
      </w:r>
      <w:r>
        <w:rPr>
          <w:rFonts w:hint="default" w:ascii="Times New Roman" w:hAnsi="Times New Roman" w:eastAsia="宋体" w:cs="Times New Roman"/>
          <w:color w:val="auto"/>
          <w:spacing w:val="0"/>
          <w:w w:val="100"/>
          <w:position w:val="0"/>
          <w:sz w:val="24"/>
          <w:szCs w:val="24"/>
        </w:rPr>
        <w:t>处，行政</w:t>
      </w:r>
      <w:r>
        <w:rPr>
          <w:rFonts w:hint="default" w:ascii="Times New Roman" w:hAnsi="Times New Roman" w:cs="Times New Roman"/>
          <w:color w:val="auto"/>
          <w:spacing w:val="0"/>
          <w:w w:val="100"/>
          <w:position w:val="0"/>
          <w:sz w:val="24"/>
          <w:szCs w:val="24"/>
          <w:lang w:val="en-US" w:eastAsia="zh-CN"/>
        </w:rPr>
        <w:t>区划隶</w:t>
      </w:r>
      <w:r>
        <w:rPr>
          <w:rFonts w:hint="default" w:ascii="Times New Roman" w:hAnsi="Times New Roman" w:eastAsia="宋体" w:cs="Times New Roman"/>
          <w:color w:val="auto"/>
          <w:spacing w:val="0"/>
          <w:w w:val="100"/>
          <w:position w:val="0"/>
          <w:sz w:val="24"/>
          <w:szCs w:val="24"/>
        </w:rPr>
        <w:t>属哈密市伊州区双井子乡</w:t>
      </w:r>
      <w:r>
        <w:rPr>
          <w:rFonts w:hint="default" w:ascii="Times New Roman" w:hAnsi="Times New Roman" w:cs="Times New Roman"/>
          <w:color w:val="auto"/>
          <w:spacing w:val="0"/>
          <w:w w:val="100"/>
          <w:position w:val="0"/>
          <w:sz w:val="24"/>
          <w:szCs w:val="24"/>
          <w:lang w:val="en-US" w:eastAsia="zh-CN"/>
        </w:rPr>
        <w:t>管辖</w:t>
      </w:r>
      <w:r>
        <w:rPr>
          <w:rFonts w:hint="default" w:ascii="Times New Roman" w:hAnsi="Times New Roman" w:eastAsia="宋体" w:cs="Times New Roman"/>
          <w:color w:val="auto"/>
          <w:spacing w:val="0"/>
          <w:w w:val="100"/>
          <w:position w:val="0"/>
          <w:sz w:val="24"/>
          <w:szCs w:val="24"/>
        </w:rPr>
        <w:t>，地理坐标为（CGCS2000坐标系）：</w:t>
      </w:r>
      <w:r>
        <w:rPr>
          <w:rFonts w:hint="eastAsia"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rPr>
        <w:t>矿区面积</w:t>
      </w:r>
      <w:r>
        <w:rPr>
          <w:rFonts w:hint="default" w:ascii="Times New Roman" w:hAnsi="Times New Roman" w:eastAsia="宋体" w:cs="Times New Roman"/>
          <w:color w:val="auto"/>
          <w:spacing w:val="0"/>
          <w:w w:val="100"/>
          <w:position w:val="0"/>
          <w:sz w:val="24"/>
          <w:szCs w:val="24"/>
          <w:highlight w:val="none"/>
          <w:lang w:val="en-US" w:eastAsia="zh-CN"/>
        </w:rPr>
        <w:t>2.7131km</w:t>
      </w:r>
      <w:r>
        <w:rPr>
          <w:rFonts w:hint="default" w:ascii="Times New Roman" w:hAnsi="Times New Roman" w:eastAsia="宋体" w:cs="Times New Roman"/>
          <w:color w:val="auto"/>
          <w:spacing w:val="0"/>
          <w:w w:val="100"/>
          <w:position w:val="0"/>
          <w:sz w:val="24"/>
          <w:szCs w:val="24"/>
          <w:highlight w:val="none"/>
          <w:vertAlign w:val="superscript"/>
          <w:lang w:val="en-US" w:eastAsia="zh-CN"/>
        </w:rPr>
        <w:t>2</w:t>
      </w:r>
      <w:r>
        <w:rPr>
          <w:rFonts w:hint="default" w:ascii="Times New Roman" w:hAnsi="Times New Roman" w:cs="Times New Roman"/>
          <w:color w:val="auto"/>
          <w:spacing w:val="0"/>
          <w:w w:val="100"/>
          <w:position w:val="0"/>
          <w:sz w:val="24"/>
          <w:szCs w:val="24"/>
          <w:highlight w:val="none"/>
          <w:lang w:val="en-US" w:eastAsia="zh-CN"/>
        </w:rPr>
        <w:t>。</w:t>
      </w:r>
    </w:p>
    <w:p w14:paraId="1F3ED25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2016年3月，乌鲁木齐天助工程设计院在《新疆哈密市大红山北铜矿详查报告》的基础上，编制了《新疆哈密市大红山北铜矿矿产资源开发利用方案》。根据</w:t>
      </w:r>
      <w:r>
        <w:rPr>
          <w:rFonts w:hint="default" w:ascii="Times New Roman" w:hAnsi="Times New Roman" w:cs="Times New Roman"/>
          <w:color w:val="auto"/>
          <w:spacing w:val="0"/>
          <w:w w:val="100"/>
          <w:position w:val="0"/>
          <w:sz w:val="24"/>
          <w:szCs w:val="24"/>
          <w:highlight w:val="none"/>
          <w:lang w:val="en-US" w:eastAsia="zh-CN"/>
        </w:rPr>
        <w:t>原</w:t>
      </w:r>
      <w:r>
        <w:rPr>
          <w:rFonts w:hint="default" w:ascii="Times New Roman" w:hAnsi="Times New Roman" w:eastAsia="宋体" w:cs="Times New Roman"/>
          <w:color w:val="auto"/>
          <w:spacing w:val="0"/>
          <w:w w:val="100"/>
          <w:position w:val="0"/>
          <w:sz w:val="24"/>
          <w:szCs w:val="24"/>
          <w:highlight w:val="none"/>
          <w:lang w:val="en-US" w:eastAsia="zh-CN"/>
        </w:rPr>
        <w:t>新疆维吾尔自治区国土资源厅划定矿区范围批复（新国土资采划〔2014〕第003号），开采标高为2052～1702m。后期经采矿许可证延续变更，</w:t>
      </w:r>
      <w:r>
        <w:rPr>
          <w:rFonts w:hint="default" w:ascii="Times New Roman" w:hAnsi="Times New Roman" w:cs="Times New Roman"/>
          <w:color w:val="auto"/>
          <w:spacing w:val="0"/>
          <w:w w:val="100"/>
          <w:position w:val="0"/>
          <w:sz w:val="24"/>
          <w:szCs w:val="24"/>
          <w:highlight w:val="none"/>
          <w:lang w:val="en-US" w:eastAsia="zh-CN"/>
        </w:rPr>
        <w:t>现有</w:t>
      </w:r>
      <w:r>
        <w:rPr>
          <w:rFonts w:hint="default" w:ascii="Times New Roman" w:hAnsi="Times New Roman" w:eastAsia="宋体" w:cs="Times New Roman"/>
          <w:color w:val="auto"/>
          <w:spacing w:val="0"/>
          <w:w w:val="100"/>
          <w:position w:val="0"/>
          <w:sz w:val="24"/>
          <w:szCs w:val="24"/>
          <w:highlight w:val="none"/>
          <w:lang w:val="en-US" w:eastAsia="zh-CN"/>
        </w:rPr>
        <w:t>采矿许可证（采矿权证号XC6500002017053210144562），开采标高2108～1702m，开采矿种为铜矿</w:t>
      </w:r>
      <w:r>
        <w:rPr>
          <w:rFonts w:hint="default" w:ascii="Times New Roman" w:hAnsi="Times New Roman" w:cs="Times New Roman"/>
          <w:color w:val="auto"/>
          <w:spacing w:val="0"/>
          <w:w w:val="100"/>
          <w:position w:val="0"/>
          <w:sz w:val="24"/>
          <w:szCs w:val="24"/>
          <w:highlight w:val="none"/>
          <w:lang w:val="en-US" w:eastAsia="zh-CN"/>
        </w:rPr>
        <w:t>、银矿</w:t>
      </w:r>
      <w:r>
        <w:rPr>
          <w:rFonts w:hint="default" w:ascii="Times New Roman" w:hAnsi="Times New Roman" w:eastAsia="宋体" w:cs="Times New Roman"/>
          <w:color w:val="auto"/>
          <w:spacing w:val="0"/>
          <w:w w:val="100"/>
          <w:position w:val="0"/>
          <w:sz w:val="24"/>
          <w:szCs w:val="24"/>
          <w:highlight w:val="none"/>
          <w:lang w:val="en-US" w:eastAsia="zh-CN"/>
        </w:rPr>
        <w:t>，开采方式为地下开采，面积2.7131km</w:t>
      </w:r>
      <w:r>
        <w:rPr>
          <w:rFonts w:hint="default" w:ascii="Times New Roman" w:hAnsi="Times New Roman" w:eastAsia="宋体" w:cs="Times New Roman"/>
          <w:color w:val="auto"/>
          <w:spacing w:val="0"/>
          <w:w w:val="100"/>
          <w:position w:val="0"/>
          <w:sz w:val="24"/>
          <w:szCs w:val="24"/>
          <w:highlight w:val="none"/>
          <w:vertAlign w:val="superscript"/>
          <w:lang w:val="en-US" w:eastAsia="zh-CN"/>
        </w:rPr>
        <w:t>2</w:t>
      </w:r>
      <w:r>
        <w:rPr>
          <w:rFonts w:hint="default" w:ascii="Times New Roman" w:hAnsi="Times New Roman" w:eastAsia="宋体" w:cs="Times New Roman"/>
          <w:color w:val="auto"/>
          <w:spacing w:val="0"/>
          <w:w w:val="100"/>
          <w:position w:val="0"/>
          <w:sz w:val="24"/>
          <w:szCs w:val="24"/>
          <w:highlight w:val="none"/>
          <w:lang w:val="en-US" w:eastAsia="zh-CN"/>
        </w:rPr>
        <w:t>，有效期限为202</w:t>
      </w:r>
      <w:r>
        <w:rPr>
          <w:rFonts w:hint="default" w:ascii="Times New Roman" w:hAnsi="Times New Roman" w:cs="Times New Roman"/>
          <w:color w:val="auto"/>
          <w:spacing w:val="0"/>
          <w:w w:val="100"/>
          <w:position w:val="0"/>
          <w:sz w:val="24"/>
          <w:szCs w:val="24"/>
          <w:highlight w:val="none"/>
          <w:lang w:val="en-US" w:eastAsia="zh-CN"/>
        </w:rPr>
        <w:t>6</w:t>
      </w:r>
      <w:r>
        <w:rPr>
          <w:rFonts w:hint="default" w:ascii="Times New Roman" w:hAnsi="Times New Roman" w:eastAsia="宋体" w:cs="Times New Roman"/>
          <w:color w:val="auto"/>
          <w:spacing w:val="0"/>
          <w:w w:val="100"/>
          <w:position w:val="0"/>
          <w:sz w:val="24"/>
          <w:szCs w:val="24"/>
          <w:highlight w:val="none"/>
          <w:lang w:val="en-US" w:eastAsia="zh-CN"/>
        </w:rPr>
        <w:t>年8月2</w:t>
      </w:r>
      <w:r>
        <w:rPr>
          <w:rFonts w:hint="default" w:ascii="Times New Roman" w:hAnsi="Times New Roman" w:cs="Times New Roman"/>
          <w:color w:val="auto"/>
          <w:spacing w:val="0"/>
          <w:w w:val="100"/>
          <w:position w:val="0"/>
          <w:sz w:val="24"/>
          <w:szCs w:val="24"/>
          <w:highlight w:val="none"/>
          <w:lang w:val="en-US" w:eastAsia="zh-CN"/>
        </w:rPr>
        <w:t>7</w:t>
      </w:r>
      <w:r>
        <w:rPr>
          <w:rFonts w:hint="default" w:ascii="Times New Roman" w:hAnsi="Times New Roman" w:eastAsia="宋体" w:cs="Times New Roman"/>
          <w:color w:val="auto"/>
          <w:spacing w:val="0"/>
          <w:w w:val="100"/>
          <w:position w:val="0"/>
          <w:sz w:val="24"/>
          <w:szCs w:val="24"/>
          <w:highlight w:val="none"/>
          <w:lang w:val="en-US" w:eastAsia="zh-CN"/>
        </w:rPr>
        <w:t>日至20</w:t>
      </w:r>
      <w:r>
        <w:rPr>
          <w:rFonts w:hint="default" w:ascii="Times New Roman" w:hAnsi="Times New Roman" w:cs="Times New Roman"/>
          <w:color w:val="auto"/>
          <w:spacing w:val="0"/>
          <w:w w:val="100"/>
          <w:position w:val="0"/>
          <w:sz w:val="24"/>
          <w:szCs w:val="24"/>
          <w:highlight w:val="none"/>
          <w:lang w:val="en-US" w:eastAsia="zh-CN"/>
        </w:rPr>
        <w:t>34</w:t>
      </w:r>
      <w:r>
        <w:rPr>
          <w:rFonts w:hint="default" w:ascii="Times New Roman" w:hAnsi="Times New Roman" w:eastAsia="宋体" w:cs="Times New Roman"/>
          <w:color w:val="auto"/>
          <w:spacing w:val="0"/>
          <w:w w:val="100"/>
          <w:position w:val="0"/>
          <w:sz w:val="24"/>
          <w:szCs w:val="24"/>
          <w:highlight w:val="none"/>
          <w:lang w:val="en-US" w:eastAsia="zh-CN"/>
        </w:rPr>
        <w:t>年</w:t>
      </w:r>
      <w:r>
        <w:rPr>
          <w:rFonts w:hint="default" w:ascii="Times New Roman" w:hAnsi="Times New Roman" w:cs="Times New Roman"/>
          <w:color w:val="auto"/>
          <w:spacing w:val="0"/>
          <w:w w:val="100"/>
          <w:position w:val="0"/>
          <w:sz w:val="24"/>
          <w:szCs w:val="24"/>
          <w:highlight w:val="none"/>
          <w:lang w:val="en-US" w:eastAsia="zh-CN"/>
        </w:rPr>
        <w:t>6</w:t>
      </w:r>
      <w:r>
        <w:rPr>
          <w:rFonts w:hint="default" w:ascii="Times New Roman" w:hAnsi="Times New Roman" w:eastAsia="宋体" w:cs="Times New Roman"/>
          <w:color w:val="auto"/>
          <w:spacing w:val="0"/>
          <w:w w:val="100"/>
          <w:position w:val="0"/>
          <w:sz w:val="24"/>
          <w:szCs w:val="24"/>
          <w:highlight w:val="none"/>
          <w:lang w:val="en-US" w:eastAsia="zh-CN"/>
        </w:rPr>
        <w:t>月</w:t>
      </w:r>
      <w:r>
        <w:rPr>
          <w:rFonts w:hint="default" w:ascii="Times New Roman" w:hAnsi="Times New Roman" w:cs="Times New Roman"/>
          <w:color w:val="auto"/>
          <w:spacing w:val="0"/>
          <w:w w:val="100"/>
          <w:position w:val="0"/>
          <w:sz w:val="24"/>
          <w:szCs w:val="24"/>
          <w:highlight w:val="none"/>
          <w:lang w:val="en-US" w:eastAsia="zh-CN"/>
        </w:rPr>
        <w:t>15</w:t>
      </w:r>
      <w:r>
        <w:rPr>
          <w:rFonts w:hint="default" w:ascii="Times New Roman" w:hAnsi="Times New Roman" w:eastAsia="宋体" w:cs="Times New Roman"/>
          <w:color w:val="auto"/>
          <w:spacing w:val="0"/>
          <w:w w:val="100"/>
          <w:position w:val="0"/>
          <w:sz w:val="24"/>
          <w:szCs w:val="24"/>
          <w:highlight w:val="none"/>
          <w:lang w:val="en-US" w:eastAsia="zh-CN"/>
        </w:rPr>
        <w:t>日。</w:t>
      </w:r>
    </w:p>
    <w:p w14:paraId="3D47ED5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pacing w:val="0"/>
          <w:sz w:val="24"/>
          <w:szCs w:val="24"/>
          <w:highlight w:val="none"/>
        </w:rPr>
      </w:pPr>
      <w:r>
        <w:rPr>
          <w:rFonts w:hint="default" w:ascii="Times New Roman" w:hAnsi="Times New Roman" w:eastAsia="宋体" w:cs="Times New Roman"/>
          <w:color w:val="auto"/>
          <w:spacing w:val="0"/>
          <w:w w:val="100"/>
          <w:position w:val="0"/>
          <w:sz w:val="24"/>
          <w:szCs w:val="24"/>
          <w:highlight w:val="none"/>
        </w:rPr>
        <w:t>2025年5月</w:t>
      </w:r>
      <w:r>
        <w:rPr>
          <w:rFonts w:hint="default" w:ascii="Times New Roman" w:hAnsi="Times New Roman"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哈密市金石矿业有限责任公司委托中国冶金地质总局西北地质勘查院编制完成《新疆哈密市大红山北铜矿资源储量核实报告》。新疆维吾尔自治区矿产资源量评审中心于2025年6月26日组织有关专家对该报告进行了评审，新疆维吾尔自治区</w:t>
      </w:r>
      <w:r>
        <w:rPr>
          <w:rFonts w:hint="default" w:ascii="Times New Roman" w:hAnsi="Times New Roman" w:cs="Times New Roman"/>
          <w:color w:val="auto"/>
          <w:spacing w:val="0"/>
          <w:w w:val="100"/>
          <w:position w:val="0"/>
          <w:sz w:val="24"/>
          <w:szCs w:val="24"/>
          <w:highlight w:val="none"/>
          <w:lang w:val="en-US" w:eastAsia="zh-CN"/>
        </w:rPr>
        <w:t>自然资源厅于</w:t>
      </w:r>
      <w:r>
        <w:rPr>
          <w:rFonts w:hint="default" w:ascii="Times New Roman" w:hAnsi="Times New Roman" w:eastAsia="宋体" w:cs="Times New Roman"/>
          <w:color w:val="auto"/>
          <w:spacing w:val="0"/>
          <w:w w:val="100"/>
          <w:position w:val="0"/>
          <w:sz w:val="24"/>
          <w:szCs w:val="24"/>
          <w:highlight w:val="none"/>
        </w:rPr>
        <w:t>2025年9月30日对评审意见书（新矿评储字〔</w:t>
      </w:r>
      <w:r>
        <w:rPr>
          <w:rFonts w:hint="default" w:ascii="Times New Roman" w:hAnsi="Times New Roman" w:eastAsia="宋体" w:cs="Times New Roman"/>
          <w:color w:val="auto"/>
          <w:spacing w:val="0"/>
          <w:w w:val="100"/>
          <w:position w:val="0"/>
          <w:sz w:val="24"/>
          <w:szCs w:val="24"/>
          <w:highlight w:val="none"/>
          <w:lang w:val="en-US" w:eastAsia="zh-CN"/>
        </w:rPr>
        <w:t>20</w:t>
      </w:r>
      <w:r>
        <w:rPr>
          <w:rFonts w:hint="default" w:ascii="Times New Roman" w:hAnsi="Times New Roman" w:cs="Times New Roman"/>
          <w:color w:val="auto"/>
          <w:spacing w:val="0"/>
          <w:w w:val="100"/>
          <w:position w:val="0"/>
          <w:sz w:val="24"/>
          <w:szCs w:val="24"/>
          <w:highlight w:val="none"/>
          <w:lang w:val="en-US" w:eastAsia="zh-CN"/>
        </w:rPr>
        <w:t>25</w:t>
      </w:r>
      <w:r>
        <w:rPr>
          <w:rFonts w:hint="default" w:ascii="Times New Roman" w:hAnsi="Times New Roman" w:eastAsia="宋体" w:cs="Times New Roman"/>
          <w:color w:val="auto"/>
          <w:spacing w:val="0"/>
          <w:w w:val="100"/>
          <w:position w:val="0"/>
          <w:sz w:val="24"/>
          <w:szCs w:val="24"/>
          <w:highlight w:val="none"/>
        </w:rPr>
        <w:t>〕50号）的资源量进行了备案，备案文号为新自然资储备字〔</w:t>
      </w:r>
      <w:r>
        <w:rPr>
          <w:rFonts w:hint="default" w:ascii="Times New Roman" w:hAnsi="Times New Roman" w:eastAsia="宋体" w:cs="Times New Roman"/>
          <w:color w:val="auto"/>
          <w:spacing w:val="0"/>
          <w:w w:val="100"/>
          <w:position w:val="0"/>
          <w:sz w:val="24"/>
          <w:szCs w:val="24"/>
          <w:highlight w:val="none"/>
          <w:lang w:val="en-US" w:eastAsia="zh-CN"/>
        </w:rPr>
        <w:t>20</w:t>
      </w:r>
      <w:r>
        <w:rPr>
          <w:rFonts w:hint="default" w:ascii="Times New Roman" w:hAnsi="Times New Roman" w:cs="Times New Roman"/>
          <w:color w:val="auto"/>
          <w:spacing w:val="0"/>
          <w:w w:val="100"/>
          <w:position w:val="0"/>
          <w:sz w:val="24"/>
          <w:szCs w:val="24"/>
          <w:highlight w:val="none"/>
          <w:lang w:val="en-US" w:eastAsia="zh-CN"/>
        </w:rPr>
        <w:t>25</w:t>
      </w:r>
      <w:r>
        <w:rPr>
          <w:rFonts w:hint="default" w:ascii="Times New Roman" w:hAnsi="Times New Roman" w:eastAsia="宋体" w:cs="Times New Roman"/>
          <w:color w:val="auto"/>
          <w:spacing w:val="0"/>
          <w:w w:val="100"/>
          <w:position w:val="0"/>
          <w:sz w:val="24"/>
          <w:szCs w:val="24"/>
          <w:highlight w:val="none"/>
        </w:rPr>
        <w:t>〕50号。</w:t>
      </w:r>
    </w:p>
    <w:p w14:paraId="412DDF7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color w:val="auto"/>
          <w:sz w:val="24"/>
          <w:szCs w:val="24"/>
          <w:highlight w:val="none"/>
          <w:lang w:val="en-US" w:eastAsia="zh-CN"/>
        </w:rPr>
        <w:t>2025年12月，哈密市金石矿业有限责任公司委托</w:t>
      </w:r>
      <w:r>
        <w:rPr>
          <w:rFonts w:hint="default" w:ascii="Times New Roman" w:hAnsi="Times New Roman" w:cs="Times New Roman"/>
          <w:color w:val="auto"/>
          <w:sz w:val="24"/>
          <w:szCs w:val="24"/>
          <w:highlight w:val="none"/>
        </w:rPr>
        <w:t>新疆宝源利丰地质工程有限公司</w:t>
      </w:r>
      <w:r>
        <w:rPr>
          <w:rFonts w:hint="default" w:ascii="Times New Roman" w:hAnsi="Times New Roman" w:cs="Times New Roman"/>
          <w:color w:val="auto"/>
          <w:sz w:val="24"/>
          <w:szCs w:val="24"/>
          <w:highlight w:val="none"/>
          <w:lang w:val="en-US" w:eastAsia="zh-CN"/>
        </w:rPr>
        <w:t>编制了《哈密市金石矿业有限责任公司哈密市大红山北铜矿开采方案》，并取得《哈密市金石矿业有限责任公司哈密市大红山北铜矿开采方案》评审意见书（新矿开评字</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9号）。根据开采方案，</w:t>
      </w:r>
      <w:r>
        <w:rPr>
          <w:rFonts w:hint="default" w:ascii="Times New Roman" w:hAnsi="Times New Roman" w:cs="Times New Roman" w:eastAsiaTheme="minorEastAsia"/>
          <w:color w:val="auto"/>
          <w:sz w:val="24"/>
          <w:szCs w:val="24"/>
          <w:highlight w:val="none"/>
        </w:rPr>
        <w:t>开采方式为地下开采，面积2.7131km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，生产规模</w:t>
      </w:r>
      <w:r>
        <w:rPr>
          <w:rFonts w:hint="default" w:ascii="Times New Roman" w:hAnsi="Times New Roman" w:cs="Times New Roman" w:eastAsiaTheme="minorEastAsia"/>
          <w:color w:val="auto"/>
          <w:sz w:val="24"/>
          <w:szCs w:val="24"/>
          <w:highlight w:val="none"/>
          <w:lang w:val="en-US" w:eastAsia="zh-CN"/>
        </w:rPr>
        <w:t>调整为30</w:t>
      </w:r>
      <w:r>
        <w:rPr>
          <w:rFonts w:hint="default" w:ascii="Times New Roman" w:hAnsi="Times New Roman" w:cs="Times New Roman" w:eastAsiaTheme="minorEastAsia"/>
          <w:color w:val="auto"/>
          <w:sz w:val="24"/>
          <w:szCs w:val="24"/>
          <w:highlight w:val="none"/>
        </w:rPr>
        <w:t>万吨/年。</w:t>
      </w:r>
    </w:p>
    <w:p w14:paraId="787F76B1">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highlight w:val="none"/>
          <w:lang w:val="zh-CN" w:eastAsia="zh-CN"/>
        </w:rPr>
      </w:pPr>
      <w:r>
        <w:rPr>
          <w:rFonts w:hint="default" w:ascii="Times New Roman" w:hAnsi="Times New Roman" w:cs="Times New Roman" w:eastAsiaTheme="minorEastAsia"/>
          <w:color w:val="auto"/>
          <w:sz w:val="24"/>
          <w:szCs w:val="24"/>
          <w:highlight w:val="none"/>
        </w:rPr>
        <w:t>本</w:t>
      </w:r>
      <w:r>
        <w:rPr>
          <w:rFonts w:hint="default" w:ascii="Times New Roman" w:hAnsi="Times New Roman" w:cs="Times New Roman" w:eastAsiaTheme="minorEastAsia"/>
          <w:color w:val="auto"/>
          <w:sz w:val="24"/>
          <w:szCs w:val="24"/>
          <w:highlight w:val="none"/>
          <w:lang w:val="en-US" w:eastAsia="zh-CN"/>
        </w:rPr>
        <w:t>次</w:t>
      </w:r>
      <w:r>
        <w:rPr>
          <w:rFonts w:hint="default" w:ascii="Times New Roman" w:hAnsi="Times New Roman" w:cs="Times New Roman" w:eastAsiaTheme="minorEastAsia"/>
          <w:color w:val="auto"/>
          <w:sz w:val="24"/>
          <w:szCs w:val="24"/>
          <w:highlight w:val="none"/>
        </w:rPr>
        <w:t>环评只针对采矿工程。根据矿区矿产储量核查报告，</w:t>
      </w:r>
      <w:r>
        <w:rPr>
          <w:rFonts w:hint="default" w:ascii="Times New Roman" w:hAnsi="Times New Roman" w:cs="Times New Roman" w:eastAsiaTheme="minorEastAsia"/>
          <w:color w:val="auto"/>
          <w:spacing w:val="0"/>
          <w:sz w:val="24"/>
          <w:szCs w:val="24"/>
          <w:highlight w:val="none"/>
          <w:lang w:eastAsia="zh-CN"/>
        </w:rPr>
        <w:t>截至</w:t>
      </w:r>
      <w:r>
        <w:rPr>
          <w:rFonts w:hint="default" w:ascii="Times New Roman" w:hAnsi="Times New Roman" w:cs="Times New Roman"/>
          <w:color w:val="auto"/>
          <w:spacing w:val="0"/>
          <w:sz w:val="24"/>
          <w:szCs w:val="24"/>
          <w:highlight w:val="none"/>
        </w:rPr>
        <w:t>20</w:t>
      </w:r>
      <w:r>
        <w:rPr>
          <w:rFonts w:hint="default" w:ascii="Times New Roman" w:hAnsi="Times New Roman" w:cs="Times New Roman"/>
          <w:color w:val="auto"/>
          <w:spacing w:val="0"/>
          <w:sz w:val="24"/>
          <w:szCs w:val="24"/>
          <w:highlight w:val="none"/>
          <w:lang w:val="en-US" w:eastAsia="zh-CN"/>
        </w:rPr>
        <w:t>24</w:t>
      </w:r>
      <w:r>
        <w:rPr>
          <w:rFonts w:hint="default" w:ascii="Times New Roman" w:hAnsi="Times New Roman" w:cs="Times New Roman"/>
          <w:color w:val="auto"/>
          <w:spacing w:val="0"/>
          <w:sz w:val="24"/>
          <w:szCs w:val="24"/>
          <w:highlight w:val="none"/>
        </w:rPr>
        <w:t>年</w:t>
      </w:r>
      <w:r>
        <w:rPr>
          <w:rFonts w:hint="default" w:ascii="Times New Roman" w:hAnsi="Times New Roman" w:cs="Times New Roman"/>
          <w:color w:val="auto"/>
          <w:spacing w:val="0"/>
          <w:sz w:val="24"/>
          <w:szCs w:val="24"/>
          <w:highlight w:val="none"/>
          <w:lang w:val="en-US" w:eastAsia="zh-CN"/>
        </w:rPr>
        <w:t>12</w:t>
      </w:r>
      <w:r>
        <w:rPr>
          <w:rFonts w:hint="default" w:ascii="Times New Roman" w:hAnsi="Times New Roman" w:cs="Times New Roman"/>
          <w:color w:val="auto"/>
          <w:spacing w:val="0"/>
          <w:sz w:val="24"/>
          <w:szCs w:val="24"/>
          <w:highlight w:val="none"/>
        </w:rPr>
        <w:t>月3</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cs="Times New Roman"/>
          <w:color w:val="auto"/>
          <w:spacing w:val="0"/>
          <w:sz w:val="24"/>
          <w:szCs w:val="24"/>
          <w:highlight w:val="none"/>
        </w:rPr>
        <w:t>日，</w:t>
      </w:r>
      <w:r>
        <w:rPr>
          <w:rFonts w:hint="default" w:ascii="Times New Roman" w:hAnsi="Times New Roman" w:cs="Times New Roman"/>
          <w:color w:val="auto"/>
          <w:spacing w:val="0"/>
          <w:sz w:val="24"/>
          <w:szCs w:val="24"/>
          <w:highlight w:val="none"/>
          <w:lang w:val="en-US" w:eastAsia="zh-CN"/>
        </w:rPr>
        <w:t>采矿权区范围</w:t>
      </w:r>
      <w:r>
        <w:rPr>
          <w:rFonts w:hint="default" w:ascii="Times New Roman" w:hAnsi="Times New Roman" w:cs="Times New Roman"/>
          <w:color w:val="auto"/>
          <w:spacing w:val="0"/>
          <w:sz w:val="24"/>
          <w:szCs w:val="24"/>
          <w:highlight w:val="none"/>
        </w:rPr>
        <w:t>内</w:t>
      </w:r>
      <w:r>
        <w:rPr>
          <w:rFonts w:hint="default" w:ascii="Times New Roman" w:hAnsi="Times New Roman" w:cs="Times New Roman"/>
          <w:color w:val="auto"/>
          <w:spacing w:val="0"/>
          <w:sz w:val="24"/>
          <w:szCs w:val="24"/>
          <w:highlight w:val="none"/>
          <w:lang w:val="en-US" w:eastAsia="zh-CN"/>
        </w:rPr>
        <w:t>累计查明铜</w:t>
      </w:r>
      <w:r>
        <w:rPr>
          <w:rFonts w:hint="default" w:ascii="Times New Roman" w:hAnsi="Times New Roman" w:cs="Times New Roman"/>
          <w:color w:val="auto"/>
          <w:spacing w:val="0"/>
          <w:sz w:val="24"/>
          <w:szCs w:val="24"/>
          <w:highlight w:val="none"/>
        </w:rPr>
        <w:t>矿石量（KZ+TD）为</w:t>
      </w:r>
      <w:r>
        <w:rPr>
          <w:rFonts w:hint="default" w:ascii="Times New Roman" w:hAnsi="Times New Roman" w:cs="Times New Roman"/>
          <w:color w:val="auto"/>
          <w:spacing w:val="0"/>
          <w:sz w:val="24"/>
          <w:szCs w:val="24"/>
          <w:highlight w:val="none"/>
          <w:lang w:val="en-US" w:eastAsia="zh-CN"/>
        </w:rPr>
        <w:t>339.5</w:t>
      </w:r>
      <w:r>
        <w:rPr>
          <w:rFonts w:hint="default" w:ascii="Times New Roman" w:hAnsi="Times New Roman" w:cs="Times New Roman"/>
          <w:color w:val="auto"/>
          <w:spacing w:val="0"/>
          <w:sz w:val="24"/>
          <w:szCs w:val="24"/>
          <w:highlight w:val="none"/>
        </w:rPr>
        <w:t>万吨</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铜金属量22038吨，矿床Cu</w:t>
      </w:r>
      <w:r>
        <w:rPr>
          <w:rFonts w:hint="default" w:ascii="Times New Roman" w:hAnsi="Times New Roman" w:cs="Times New Roman"/>
          <w:color w:val="auto"/>
          <w:spacing w:val="0"/>
          <w:sz w:val="24"/>
          <w:szCs w:val="24"/>
          <w:highlight w:val="none"/>
        </w:rPr>
        <w:t>平均品位</w:t>
      </w:r>
      <w:r>
        <w:rPr>
          <w:rFonts w:hint="default" w:ascii="Times New Roman" w:hAnsi="Times New Roman" w:cs="Times New Roman"/>
          <w:color w:val="auto"/>
          <w:spacing w:val="0"/>
          <w:sz w:val="24"/>
          <w:szCs w:val="24"/>
          <w:highlight w:val="none"/>
          <w:lang w:val="en-US" w:eastAsia="zh-CN"/>
        </w:rPr>
        <w:t>0.65</w:t>
      </w:r>
      <w:r>
        <w:rPr>
          <w:rFonts w:hint="default" w:ascii="Times New Roman" w:hAnsi="Times New Roman" w:cs="Times New Roman"/>
          <w:color w:val="auto"/>
          <w:spacing w:val="0"/>
          <w:sz w:val="24"/>
          <w:szCs w:val="24"/>
          <w:highlight w:val="none"/>
        </w:rPr>
        <w:t>%。其中控制资源量（KZ）</w:t>
      </w:r>
      <w:r>
        <w:rPr>
          <w:rFonts w:hint="default" w:ascii="Times New Roman" w:hAnsi="Times New Roman" w:cs="Times New Roman"/>
          <w:color w:val="auto"/>
          <w:spacing w:val="0"/>
          <w:sz w:val="24"/>
          <w:szCs w:val="24"/>
          <w:highlight w:val="none"/>
          <w:lang w:val="en-US" w:eastAsia="zh-CN"/>
        </w:rPr>
        <w:t>矿石量174.6</w:t>
      </w:r>
      <w:r>
        <w:rPr>
          <w:rFonts w:hint="default" w:ascii="Times New Roman" w:hAnsi="Times New Roman" w:cs="Times New Roman"/>
          <w:color w:val="auto"/>
          <w:spacing w:val="0"/>
          <w:sz w:val="24"/>
          <w:szCs w:val="24"/>
          <w:highlight w:val="none"/>
        </w:rPr>
        <w:t>万吨</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金属量12067吨，Cu</w:t>
      </w:r>
      <w:r>
        <w:rPr>
          <w:rFonts w:hint="default" w:ascii="Times New Roman" w:hAnsi="Times New Roman" w:cs="Times New Roman"/>
          <w:color w:val="auto"/>
          <w:spacing w:val="0"/>
          <w:sz w:val="24"/>
          <w:szCs w:val="24"/>
          <w:highlight w:val="none"/>
        </w:rPr>
        <w:t>平均品位</w:t>
      </w:r>
      <w:r>
        <w:rPr>
          <w:rFonts w:hint="default" w:ascii="Times New Roman" w:hAnsi="Times New Roman" w:cs="Times New Roman"/>
          <w:color w:val="auto"/>
          <w:spacing w:val="0"/>
          <w:sz w:val="24"/>
          <w:szCs w:val="24"/>
          <w:highlight w:val="none"/>
          <w:lang w:val="en-US" w:eastAsia="zh-CN"/>
        </w:rPr>
        <w:t>0.69</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占全区总资源量的</w:t>
      </w:r>
      <w:r>
        <w:rPr>
          <w:rFonts w:hint="default" w:ascii="Times New Roman" w:hAnsi="Times New Roman" w:cs="Times New Roman"/>
          <w:color w:val="auto"/>
          <w:spacing w:val="0"/>
          <w:sz w:val="24"/>
          <w:szCs w:val="24"/>
          <w:highlight w:val="none"/>
          <w:lang w:val="en-US" w:eastAsia="zh-CN"/>
        </w:rPr>
        <w:t>51.43</w:t>
      </w:r>
      <w:r>
        <w:rPr>
          <w:rFonts w:hint="default" w:ascii="Times New Roman" w:hAnsi="Times New Roman" w:cs="Times New Roman"/>
          <w:color w:val="auto"/>
          <w:spacing w:val="0"/>
          <w:sz w:val="24"/>
          <w:szCs w:val="24"/>
          <w:highlight w:val="none"/>
        </w:rPr>
        <w:t>%；推断资源量（TD）</w:t>
      </w:r>
      <w:r>
        <w:rPr>
          <w:rFonts w:hint="default" w:ascii="Times New Roman" w:hAnsi="Times New Roman" w:cs="Times New Roman"/>
          <w:color w:val="auto"/>
          <w:spacing w:val="0"/>
          <w:sz w:val="24"/>
          <w:szCs w:val="24"/>
          <w:highlight w:val="none"/>
          <w:lang w:val="en-US" w:eastAsia="zh-CN"/>
        </w:rPr>
        <w:t>矿石量164.9</w:t>
      </w:r>
      <w:r>
        <w:rPr>
          <w:rFonts w:hint="default" w:ascii="Times New Roman" w:hAnsi="Times New Roman" w:cs="Times New Roman"/>
          <w:color w:val="auto"/>
          <w:spacing w:val="0"/>
          <w:sz w:val="24"/>
          <w:szCs w:val="24"/>
          <w:highlight w:val="none"/>
        </w:rPr>
        <w:t>万吨</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lang w:val="en-US" w:eastAsia="zh-CN"/>
        </w:rPr>
        <w:t>金属量9971吨</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val="en-US" w:eastAsia="zh-CN"/>
        </w:rPr>
        <w:t>Cu</w:t>
      </w:r>
      <w:r>
        <w:rPr>
          <w:rFonts w:hint="default" w:ascii="Times New Roman" w:hAnsi="Times New Roman" w:cs="Times New Roman"/>
          <w:color w:val="auto"/>
          <w:spacing w:val="0"/>
          <w:sz w:val="24"/>
          <w:szCs w:val="24"/>
          <w:highlight w:val="none"/>
        </w:rPr>
        <w:t>平均品位</w:t>
      </w:r>
      <w:r>
        <w:rPr>
          <w:rFonts w:hint="default" w:ascii="Times New Roman" w:hAnsi="Times New Roman" w:cs="Times New Roman"/>
          <w:color w:val="auto"/>
          <w:spacing w:val="0"/>
          <w:sz w:val="24"/>
          <w:szCs w:val="24"/>
          <w:highlight w:val="none"/>
          <w:lang w:val="en-US" w:eastAsia="zh-CN"/>
        </w:rPr>
        <w:t>0.60</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占全区</w:t>
      </w:r>
      <w:r>
        <w:rPr>
          <w:rFonts w:hint="default" w:ascii="Times New Roman" w:hAnsi="Times New Roman" w:cs="Times New Roman"/>
          <w:color w:val="auto"/>
          <w:spacing w:val="0"/>
          <w:sz w:val="24"/>
          <w:szCs w:val="24"/>
          <w:highlight w:val="none"/>
          <w:lang w:val="en-US" w:eastAsia="zh-CN"/>
        </w:rPr>
        <w:t>总资源量</w:t>
      </w:r>
      <w:r>
        <w:rPr>
          <w:rFonts w:hint="default" w:ascii="Times New Roman" w:hAnsi="Times New Roman" w:cs="Times New Roman"/>
          <w:color w:val="auto"/>
          <w:spacing w:val="0"/>
          <w:sz w:val="24"/>
          <w:szCs w:val="24"/>
          <w:highlight w:val="none"/>
        </w:rPr>
        <w:t>的</w:t>
      </w:r>
      <w:r>
        <w:rPr>
          <w:rFonts w:hint="default" w:ascii="Times New Roman" w:hAnsi="Times New Roman" w:cs="Times New Roman"/>
          <w:color w:val="auto"/>
          <w:spacing w:val="0"/>
          <w:sz w:val="24"/>
          <w:szCs w:val="24"/>
          <w:highlight w:val="none"/>
          <w:lang w:val="en-US" w:eastAsia="zh-CN"/>
        </w:rPr>
        <w:t>48.57</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伴生A</w:t>
      </w:r>
      <w:r>
        <w:rPr>
          <w:rFonts w:hint="default" w:ascii="Times New Roman" w:hAnsi="Times New Roman" w:cs="Times New Roman"/>
          <w:color w:val="auto"/>
          <w:spacing w:val="0"/>
          <w:sz w:val="24"/>
          <w:szCs w:val="24"/>
          <w:highlight w:val="none"/>
          <w:lang w:val="en-US" w:eastAsia="zh-CN"/>
        </w:rPr>
        <w:t>u</w:t>
      </w:r>
      <w:r>
        <w:rPr>
          <w:rFonts w:hint="default" w:ascii="Times New Roman" w:hAnsi="Times New Roman" w:eastAsia="宋体" w:cs="Times New Roman"/>
          <w:color w:val="auto"/>
          <w:spacing w:val="0"/>
          <w:sz w:val="24"/>
          <w:szCs w:val="24"/>
          <w:highlight w:val="none"/>
        </w:rPr>
        <w:t>金属量</w:t>
      </w:r>
      <w:r>
        <w:rPr>
          <w:rFonts w:hint="default" w:ascii="Times New Roman" w:hAnsi="Times New Roman" w:cs="Times New Roman"/>
          <w:color w:val="auto"/>
          <w:spacing w:val="0"/>
          <w:sz w:val="24"/>
          <w:szCs w:val="24"/>
          <w:highlight w:val="none"/>
          <w:lang w:val="en-US" w:eastAsia="zh-CN"/>
        </w:rPr>
        <w:t>612kg</w:t>
      </w:r>
      <w:r>
        <w:rPr>
          <w:rFonts w:hint="default" w:ascii="Times New Roman" w:hAnsi="Times New Roman" w:eastAsia="宋体" w:cs="Times New Roman"/>
          <w:color w:val="auto"/>
          <w:spacing w:val="0"/>
          <w:sz w:val="24"/>
          <w:szCs w:val="24"/>
          <w:highlight w:val="none"/>
        </w:rPr>
        <w:t>，平均品位</w:t>
      </w:r>
      <w:r>
        <w:rPr>
          <w:rFonts w:hint="default" w:ascii="Times New Roman" w:hAnsi="Times New Roman" w:cs="Times New Roman"/>
          <w:color w:val="auto"/>
          <w:spacing w:val="0"/>
          <w:sz w:val="24"/>
          <w:szCs w:val="24"/>
          <w:highlight w:val="none"/>
          <w:lang w:val="en-US" w:eastAsia="zh-CN"/>
        </w:rPr>
        <w:t>0.38</w:t>
      </w:r>
      <w:r>
        <w:rPr>
          <w:rFonts w:hint="default" w:ascii="Times New Roman" w:hAnsi="Times New Roman" w:eastAsia="宋体" w:cs="Times New Roman"/>
          <w:color w:val="auto"/>
          <w:spacing w:val="0"/>
          <w:sz w:val="24"/>
          <w:szCs w:val="24"/>
          <w:highlight w:val="none"/>
        </w:rPr>
        <w:t>g/t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伴生银金属量</w:t>
      </w:r>
      <w:r>
        <w:rPr>
          <w:rFonts w:hint="default" w:ascii="Times New Roman" w:hAnsi="Times New Roman" w:cs="Times New Roman"/>
          <w:color w:val="auto"/>
          <w:spacing w:val="0"/>
          <w:sz w:val="24"/>
          <w:szCs w:val="24"/>
          <w:highlight w:val="none"/>
          <w:lang w:val="en-US" w:eastAsia="zh-CN"/>
        </w:rPr>
        <w:t>10</w:t>
      </w:r>
      <w:r>
        <w:rPr>
          <w:rFonts w:hint="default" w:ascii="Times New Roman" w:hAnsi="Times New Roman" w:eastAsia="宋体" w:cs="Times New Roman"/>
          <w:color w:val="auto"/>
          <w:spacing w:val="0"/>
          <w:sz w:val="24"/>
          <w:szCs w:val="24"/>
          <w:highlight w:val="none"/>
          <w:lang w:val="en-US" w:eastAsia="zh-CN"/>
        </w:rPr>
        <w:t>吨</w:t>
      </w:r>
      <w:r>
        <w:rPr>
          <w:rFonts w:hint="default" w:ascii="Times New Roman" w:hAnsi="Times New Roman"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rPr>
        <w:t>平均品位</w:t>
      </w:r>
      <w:r>
        <w:rPr>
          <w:rFonts w:hint="default" w:ascii="Times New Roman" w:hAnsi="Times New Roman" w:cs="Times New Roman"/>
          <w:color w:val="auto"/>
          <w:spacing w:val="0"/>
          <w:sz w:val="24"/>
          <w:szCs w:val="24"/>
          <w:highlight w:val="none"/>
          <w:lang w:val="en-US" w:eastAsia="zh-CN"/>
        </w:rPr>
        <w:t>2.90g/t</w:t>
      </w:r>
      <w:r>
        <w:rPr>
          <w:rFonts w:hint="default" w:ascii="Times New Roman" w:hAnsi="Times New Roman" w:cs="Times New Roman"/>
          <w:color w:val="auto"/>
          <w:spacing w:val="0"/>
          <w:sz w:val="24"/>
          <w:szCs w:val="24"/>
          <w:highlight w:val="none"/>
        </w:rPr>
        <w:t>。</w:t>
      </w:r>
      <w:r>
        <w:rPr>
          <w:rFonts w:hint="default" w:ascii="Times New Roman" w:hAnsi="Times New Roman" w:cs="Times New Roman" w:eastAsiaTheme="minorEastAsia"/>
          <w:color w:val="auto"/>
          <w:sz w:val="24"/>
          <w:szCs w:val="24"/>
          <w:highlight w:val="none"/>
        </w:rPr>
        <w:t>设计采矿规模为</w:t>
      </w:r>
      <w:r>
        <w:rPr>
          <w:rFonts w:hint="default" w:ascii="Times New Roman" w:hAnsi="Times New Roman" w:cs="Times New Roman" w:eastAsiaTheme="minorEastAsia"/>
          <w:color w:val="auto"/>
          <w:sz w:val="24"/>
          <w:szCs w:val="24"/>
          <w:highlight w:val="none"/>
          <w:lang w:val="en-US" w:eastAsia="zh-CN"/>
        </w:rPr>
        <w:t>30万</w:t>
      </w:r>
      <w:r>
        <w:rPr>
          <w:rFonts w:hint="default" w:ascii="Times New Roman" w:hAnsi="Times New Roman" w:cs="Times New Roman" w:eastAsiaTheme="minorEastAsia"/>
          <w:color w:val="auto"/>
          <w:sz w:val="24"/>
          <w:szCs w:val="24"/>
          <w:highlight w:val="none"/>
        </w:rPr>
        <w:t>t/a，</w:t>
      </w:r>
      <w:r>
        <w:rPr>
          <w:rFonts w:hint="default" w:ascii="Times New Roman" w:hAnsi="Times New Roman" w:eastAsia="宋体" w:cs="Times New Roman"/>
          <w:color w:val="auto"/>
          <w:spacing w:val="0"/>
          <w:w w:val="100"/>
          <w:position w:val="0"/>
          <w:sz w:val="24"/>
          <w:szCs w:val="24"/>
          <w:highlight w:val="none"/>
          <w:lang w:val="zh-CN" w:eastAsia="zh-CN"/>
        </w:rPr>
        <w:t>开采标高2058m至1697m，服务年限为10.</w:t>
      </w:r>
      <w:r>
        <w:rPr>
          <w:rFonts w:hint="default" w:ascii="Times New Roman" w:hAnsi="Times New Roman" w:cs="Times New Roman"/>
          <w:color w:val="auto"/>
          <w:spacing w:val="0"/>
          <w:w w:val="100"/>
          <w:position w:val="0"/>
          <w:sz w:val="24"/>
          <w:szCs w:val="24"/>
          <w:highlight w:val="none"/>
          <w:lang w:val="en-US" w:eastAsia="zh-CN"/>
        </w:rPr>
        <w:t>4</w:t>
      </w:r>
      <w:r>
        <w:rPr>
          <w:rFonts w:hint="default" w:ascii="Times New Roman" w:hAnsi="Times New Roman" w:eastAsia="宋体" w:cs="Times New Roman"/>
          <w:color w:val="auto"/>
          <w:spacing w:val="0"/>
          <w:w w:val="100"/>
          <w:position w:val="0"/>
          <w:sz w:val="24"/>
          <w:szCs w:val="24"/>
          <w:highlight w:val="none"/>
          <w:lang w:val="zh-CN" w:eastAsia="zh-CN"/>
        </w:rPr>
        <w:t>年。</w:t>
      </w:r>
    </w:p>
    <w:p w14:paraId="4F1CD326">
      <w:pPr>
        <w:pStyle w:val="3"/>
        <w:bidi w:val="0"/>
        <w:rPr>
          <w:rFonts w:hint="default" w:ascii="Times New Roman" w:hAnsi="Times New Roman" w:cs="Times New Roman"/>
          <w:color w:val="auto"/>
          <w:lang w:val="en-US" w:eastAsia="zh-CN"/>
        </w:rPr>
      </w:pPr>
      <w:bookmarkStart w:id="10" w:name="_Toc25793"/>
      <w:bookmarkStart w:id="11" w:name="_Toc8709"/>
      <w:bookmarkStart w:id="12" w:name="_Toc4610_WPSOffice_Level1"/>
      <w:bookmarkStart w:id="13" w:name="_Toc22984"/>
      <w:bookmarkStart w:id="14" w:name="_Toc7811"/>
      <w:r>
        <w:rPr>
          <w:rFonts w:hint="default" w:ascii="Times New Roman" w:hAnsi="Times New Roman" w:cs="Times New Roman"/>
          <w:color w:val="auto"/>
          <w:lang w:val="en-US" w:eastAsia="zh-CN"/>
        </w:rPr>
        <w:t>环境影响评价的工作过程</w:t>
      </w:r>
      <w:bookmarkEnd w:id="9"/>
      <w:bookmarkEnd w:id="10"/>
      <w:bookmarkEnd w:id="11"/>
      <w:bookmarkEnd w:id="12"/>
      <w:bookmarkEnd w:id="13"/>
      <w:bookmarkEnd w:id="14"/>
    </w:p>
    <w:p w14:paraId="7351BE0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根据《中华人民共和国</w:t>
      </w:r>
      <w:r>
        <w:rPr>
          <w:rFonts w:hint="default" w:ascii="Times New Roman" w:hAnsi="Times New Roman" w:cs="Times New Roman"/>
          <w:color w:val="auto"/>
          <w:spacing w:val="0"/>
          <w:w w:val="100"/>
          <w:position w:val="0"/>
          <w:sz w:val="24"/>
          <w:szCs w:val="24"/>
          <w:lang w:val="en-US" w:eastAsia="zh-CN"/>
        </w:rPr>
        <w:t>生态环境法典</w:t>
      </w:r>
      <w:r>
        <w:rPr>
          <w:rFonts w:hint="default" w:ascii="Times New Roman" w:hAnsi="Times New Roman" w:eastAsia="宋体" w:cs="Times New Roman"/>
          <w:color w:val="auto"/>
          <w:spacing w:val="0"/>
          <w:w w:val="100"/>
          <w:position w:val="0"/>
          <w:sz w:val="24"/>
          <w:szCs w:val="24"/>
          <w:lang w:val="en-US" w:eastAsia="zh-CN"/>
        </w:rPr>
        <w:t>》和《建设项目环境保护管理条例》（国务院令第682号）等有关</w:t>
      </w:r>
      <w:r>
        <w:rPr>
          <w:rFonts w:hint="default" w:ascii="Times New Roman" w:hAnsi="Times New Roman" w:cs="Times New Roman"/>
          <w:color w:val="auto"/>
          <w:spacing w:val="0"/>
          <w:w w:val="100"/>
          <w:position w:val="0"/>
          <w:sz w:val="24"/>
          <w:szCs w:val="24"/>
          <w:lang w:val="en-US" w:eastAsia="zh-CN"/>
        </w:rPr>
        <w:t>法律法规</w:t>
      </w:r>
      <w:r>
        <w:rPr>
          <w:rFonts w:hint="default" w:ascii="Times New Roman" w:hAnsi="Times New Roman" w:eastAsia="宋体" w:cs="Times New Roman"/>
          <w:color w:val="auto"/>
          <w:spacing w:val="0"/>
          <w:w w:val="100"/>
          <w:position w:val="0"/>
          <w:sz w:val="24"/>
          <w:szCs w:val="24"/>
          <w:lang w:val="en-US" w:eastAsia="zh-CN"/>
        </w:rPr>
        <w:t>规定，</w:t>
      </w:r>
      <w:r>
        <w:rPr>
          <w:rFonts w:hint="default" w:ascii="Times New Roman" w:hAnsi="Times New Roman" w:cs="Times New Roman"/>
          <w:color w:val="auto"/>
          <w:spacing w:val="0"/>
          <w:w w:val="100"/>
          <w:position w:val="0"/>
          <w:sz w:val="24"/>
          <w:szCs w:val="24"/>
          <w:lang w:val="en-US" w:eastAsia="zh-CN"/>
        </w:rPr>
        <w:t>建设项目</w:t>
      </w:r>
      <w:r>
        <w:rPr>
          <w:rFonts w:hint="default" w:ascii="Times New Roman" w:hAnsi="Times New Roman" w:eastAsia="宋体" w:cs="Times New Roman"/>
          <w:color w:val="auto"/>
          <w:spacing w:val="0"/>
          <w:w w:val="100"/>
          <w:position w:val="0"/>
          <w:sz w:val="24"/>
          <w:szCs w:val="24"/>
          <w:lang w:val="en-US" w:eastAsia="zh-CN"/>
        </w:rPr>
        <w:t>须进行环境影响评价工作。对照《国民经济行业分类》（GB/T4754-2017），项目属于―B0911 铜矿采选；对照生态环境部《建设项目环境影响评价分类管理名录》（2021年版）及关于修改《建设项目环境影响评价分类管理目录》部分内容的决定，本项目属于七、有色金属矿采选业09中常用有色金属矿采选091，应编制环境影响报告书。</w:t>
      </w:r>
    </w:p>
    <w:p w14:paraId="132E7B5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20</w:t>
      </w:r>
      <w:r>
        <w:rPr>
          <w:rFonts w:hint="default" w:ascii="Times New Roman" w:hAnsi="Times New Roman" w:cs="Times New Roman"/>
          <w:color w:val="auto"/>
          <w:spacing w:val="0"/>
          <w:w w:val="100"/>
          <w:position w:val="0"/>
          <w:sz w:val="24"/>
          <w:szCs w:val="24"/>
          <w:lang w:val="en-US" w:eastAsia="zh-CN"/>
        </w:rPr>
        <w:t>26</w:t>
      </w:r>
      <w:r>
        <w:rPr>
          <w:rFonts w:hint="default" w:ascii="Times New Roman" w:hAnsi="Times New Roman" w:eastAsia="宋体" w:cs="Times New Roman"/>
          <w:color w:val="auto"/>
          <w:spacing w:val="0"/>
          <w:w w:val="100"/>
          <w:position w:val="0"/>
          <w:sz w:val="24"/>
          <w:szCs w:val="24"/>
          <w:lang w:val="en-US" w:eastAsia="zh-CN"/>
        </w:rPr>
        <w:t>年</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lang w:val="en-US" w:eastAsia="zh-CN"/>
        </w:rPr>
        <w:t>月，受</w:t>
      </w:r>
      <w:r>
        <w:rPr>
          <w:rFonts w:hint="default" w:ascii="Times New Roman" w:hAnsi="Times New Roman" w:eastAsia="宋体" w:cs="Times New Roman"/>
          <w:color w:val="auto"/>
          <w:spacing w:val="0"/>
          <w:w w:val="100"/>
          <w:position w:val="0"/>
          <w:sz w:val="24"/>
          <w:szCs w:val="24"/>
          <w:highlight w:val="none"/>
          <w:lang w:val="en-US" w:eastAsia="zh-CN"/>
        </w:rPr>
        <w:t>建设单位</w:t>
      </w:r>
      <w:r>
        <w:rPr>
          <w:rFonts w:hint="default" w:ascii="Times New Roman" w:hAnsi="Times New Roman" w:eastAsia="宋体" w:cs="Times New Roman"/>
          <w:color w:val="auto"/>
          <w:spacing w:val="0"/>
          <w:w w:val="100"/>
          <w:position w:val="0"/>
          <w:sz w:val="24"/>
          <w:szCs w:val="24"/>
          <w:lang w:val="en-US" w:eastAsia="zh-CN"/>
        </w:rPr>
        <w:t>委托，新疆恒升融裕环保科技有限公司（以下简称“编制单位”）承担</w:t>
      </w:r>
      <w:r>
        <w:rPr>
          <w:rFonts w:hint="eastAsia" w:ascii="Times New Roman" w:hAnsi="Times New Roman" w:cs="Times New Roman"/>
          <w:color w:val="auto"/>
          <w:spacing w:val="0"/>
          <w:w w:val="100"/>
          <w:position w:val="0"/>
          <w:sz w:val="24"/>
          <w:szCs w:val="24"/>
          <w:lang w:val="en-US" w:eastAsia="zh-CN"/>
        </w:rPr>
        <w:t>哈密市金石矿业有限责任公司哈密市大红山北铜矿地下开采建设项目</w:t>
      </w:r>
      <w:r>
        <w:rPr>
          <w:rFonts w:hint="default" w:ascii="Times New Roman" w:hAnsi="Times New Roman" w:eastAsia="宋体" w:cs="Times New Roman"/>
          <w:color w:val="auto"/>
          <w:spacing w:val="0"/>
          <w:w w:val="100"/>
          <w:position w:val="0"/>
          <w:sz w:val="24"/>
          <w:szCs w:val="24"/>
          <w:lang w:val="en-US" w:eastAsia="zh-CN"/>
        </w:rPr>
        <w:t>（以下简称“本项目”）环境影响评价工作。接受委托后，编制单位立即进行了现场踏勘和资料收集，结合有关资料和当地环境特征，按国家、新疆维吾尔自治区环境保护政策以及环评技术导则、规范的要求，开展了本项目的环境影响评价工作。对本项目进行初步的工程分析，同时开展初步的环境状况调查及公众意见调查。识别本项目的环境影响因素，筛选主要的环境影响评价因子，明确评价重点和环境保护目标，确定环境影响评价的范围、评价工作等级和评价标准，最后制订工作方案。在进一步工程分析，环境现状调查、监测并开展环境质量现状评价的基础上进行环境影响预测及评价，提出减少环境污染和生态影响的环境管理措施和工程措施。从环境保护的角度确定项目建设的可行性，给出评价结论和提出进一步减缓环境影响的措施，并最终完成环境影响报告书编制。环境影响评价工作一般分为三个阶段，即调查分析和工作方案制定阶段，分析论证和预测评价阶段，环境影响报告书编制阶段，见图1.2-1（环境影响评价工作程序图）。</w:t>
      </w:r>
    </w:p>
    <w:p w14:paraId="510FFB9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default" w:ascii="Times New Roman" w:hAnsi="Times New Roman" w:eastAsia="宋体" w:cs="Times New Roman"/>
          <w:color w:val="auto"/>
          <w:spacing w:val="0"/>
          <w:w w:val="100"/>
          <w:position w:val="0"/>
          <w:sz w:val="24"/>
          <w:szCs w:val="24"/>
          <w:lang w:val="en-US" w:eastAsia="zh-CN"/>
        </w:rPr>
        <w:sectPr>
          <w:footerReference r:id="rId11" w:type="first"/>
          <w:footerReference r:id="rId9" w:type="default"/>
          <w:footerReference r:id="rId10" w:type="even"/>
          <w:pgSz w:w="11906" w:h="16838"/>
          <w:pgMar w:top="1440" w:right="1800" w:bottom="1440" w:left="1800" w:header="680" w:footer="850" w:gutter="0"/>
          <w:pgBorders>
            <w:top w:val="none" w:sz="0" w:space="0"/>
            <w:left w:val="none" w:sz="0" w:space="0"/>
            <w:bottom w:val="none" w:sz="0" w:space="0"/>
            <w:right w:val="none" w:sz="0" w:space="0"/>
          </w:pgBorders>
          <w:pgNumType w:fmt="decimal" w:start="1"/>
          <w:cols w:space="720" w:num="1"/>
          <w:titlePg/>
          <w:rtlGutter w:val="0"/>
          <w:docGrid w:linePitch="312" w:charSpace="0"/>
        </w:sectPr>
      </w:pPr>
    </w:p>
    <w:p w14:paraId="0F9657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r>
        <w:rPr>
          <w:rFonts w:hint="default" w:ascii="Times New Roman" w:hAnsi="Times New Roman" w:eastAsia="宋体" w:cs="Times New Roman"/>
          <w:color w:val="auto"/>
          <w:spacing w:val="0"/>
          <w:w w:val="100"/>
          <w:position w:val="0"/>
          <w:sz w:val="24"/>
        </w:rPr>
        <mc:AlternateContent>
          <mc:Choice Requires="wpg">
            <w:drawing>
              <wp:anchor distT="0" distB="0" distL="114300" distR="114300" simplePos="0" relativeHeight="251660288" behindDoc="0" locked="0" layoutInCell="1" allowOverlap="1">
                <wp:simplePos x="0" y="0"/>
                <wp:positionH relativeFrom="column">
                  <wp:posOffset>-17780</wp:posOffset>
                </wp:positionH>
                <wp:positionV relativeFrom="paragraph">
                  <wp:posOffset>97790</wp:posOffset>
                </wp:positionV>
                <wp:extent cx="5347970" cy="6644640"/>
                <wp:effectExtent l="6350" t="6350" r="17780" b="16510"/>
                <wp:wrapNone/>
                <wp:docPr id="175" name="组合 175"/>
                <wp:cNvGraphicFramePr/>
                <a:graphic xmlns:a="http://schemas.openxmlformats.org/drawingml/2006/main">
                  <a:graphicData uri="http://schemas.microsoft.com/office/word/2010/wordprocessingGroup">
                    <wpg:wgp>
                      <wpg:cNvGrpSpPr/>
                      <wpg:grpSpPr>
                        <a:xfrm>
                          <a:off x="0" y="0"/>
                          <a:ext cx="5347970" cy="6644640"/>
                          <a:chOff x="1991" y="18920"/>
                          <a:chExt cx="8422" cy="11078"/>
                        </a:xfrm>
                      </wpg:grpSpPr>
                      <wps:wsp>
                        <wps:cNvPr id="182" name="矩形 6"/>
                        <wps:cNvSpPr/>
                        <wps:spPr>
                          <a:xfrm>
                            <a:off x="1991" y="18920"/>
                            <a:ext cx="8394" cy="11079"/>
                          </a:xfrm>
                          <a:prstGeom prst="rect">
                            <a:avLst/>
                          </a:prstGeom>
                          <a:noFill/>
                          <a:ln w="12700" cap="flat" cmpd="sng">
                            <a:solidFill>
                              <a:schemeClr val="tx1"/>
                            </a:solidFill>
                            <a:prstDash val="dash"/>
                            <a:miter/>
                            <a:headEnd type="none" w="med" len="med"/>
                            <a:tailEnd type="none" w="med" len="med"/>
                          </a:ln>
                        </wps:spPr>
                        <wps:bodyPr upright="1"/>
                      </wps:wsp>
                      <wps:wsp>
                        <wps:cNvPr id="200" name="直接连接符 16"/>
                        <wps:cNvCnPr/>
                        <wps:spPr>
                          <a:xfrm>
                            <a:off x="1993" y="24011"/>
                            <a:ext cx="8383"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1" name="直接连接符 30"/>
                        <wps:cNvCnPr/>
                        <wps:spPr>
                          <a:xfrm>
                            <a:off x="2031" y="27205"/>
                            <a:ext cx="8383"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4pt;margin-top:7.7pt;height:523.2pt;width:421.1pt;z-index:251660288;mso-width-relative:page;mso-height-relative:page;" coordorigin="1991,18920" coordsize="8422,11078" o:gfxdata="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">
                <o:lock v:ext="edit" aspectratio="f"/>
                <v:rect id="矩形 6" o:spid="_x0000_s1026" o:spt="1" style="position:absolute;left:1991;top:18920;height:11079;width:8394;" filled="f" stroked="t" coordsize="21600,21600" o:gfxdata="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unH2W5AAAA3AAA&#10;AA8AAAAAAAAAAQAgAAAAIgAAAGRycy9kb3ducmV2LnhtbFBLAQIUABQAAAAIAIdO4kAzLwWeOwAA&#10;ADkAAAAQAAAAAAAAAAEAIAAAAAgBAABkcnMvc2hhcGV4bWwueG1sUEsFBgAAAAAGAAYAWwEAALID&#10;AAAAAA==&#10;">
                  <v:fill on="f" focussize="0,0"/>
                  <v:stroke weight="1pt" color="#000000 [3213]" joinstyle="miter" dashstyle="dash"/>
                  <v:imagedata o:title=""/>
                  <o:lock v:ext="edit" aspectratio="f"/>
                </v:rect>
                <v:line id="直接连接符 16" o:spid="_x0000_s1026" o:spt="20" style="position:absolute;left:1993;top:24011;height:0;width:8383;" filled="f" stroked="t" coordsize="21600,21600" o:gfxdata="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BiGSO5AAAA3AAA&#10;AA8AAAAAAAAAAQAgAAAAIgAAAGRycy9kb3ducmV2LnhtbFBLAQIUABQAAAAIAIdO4kAzLwWeOwAA&#10;ADkAAAAQAAAAAAAAAAEAIAAAAAgBAABkcnMvc2hhcGV4bWwueG1sUEsFBgAAAAAGAAYAWwEAALID&#10;AAAAAA==&#10;">
                  <v:fill on="f" focussize="0,0"/>
                  <v:stroke weight="1pt" color="#000000 [3213]" miterlimit="8" joinstyle="miter" dashstyle="dash"/>
                  <v:imagedata o:title=""/>
                  <o:lock v:ext="edit" aspectratio="f"/>
                </v:line>
                <v:line id="直接连接符 30" o:spid="_x0000_s1026" o:spt="20" style="position:absolute;left:2031;top:27205;height:0;width:8383;" filled="f" stroked="t" coordsize="21600,21600" o:gfxdata="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Lry4vQAA&#10;ANwAAAAPAAAAAAAAAAEAIAAAACIAAABkcnMvZG93bnJldi54bWxQSwECFAAUAAAACACHTuJAMy8F&#10;njsAAAA5AAAAEAAAAAAAAAABACAAAAAMAQAAZHJzL3NoYXBleG1sLnhtbFBLBQYAAAAABgAGAFsB&#10;AAC2AwAAAAA=&#10;">
                  <v:fill on="f" focussize="0,0"/>
                  <v:stroke weight="1pt" color="#000000 [3213]" miterlimit="8" joinstyle="miter" dashstyle="dash"/>
                  <v:imagedata o:title=""/>
                  <o:lock v:ext="edit" aspectratio="f"/>
                </v:line>
              </v:group>
            </w:pict>
          </mc:Fallback>
        </mc:AlternateContent>
      </w:r>
      <w:r>
        <w:rPr>
          <w:rFonts w:hint="default" w:ascii="Times New Roman" w:hAnsi="Times New Roman" w:eastAsia="宋体" w:cs="Times New Roman"/>
          <w:b/>
          <w:bCs/>
          <w:color w:val="auto"/>
          <w:spacing w:val="0"/>
          <w:w w:val="100"/>
          <w:position w:val="0"/>
          <w:sz w:val="24"/>
        </w:rPr>
        <mc:AlternateContent>
          <mc:Choice Requires="wps">
            <w:drawing>
              <wp:anchor distT="0" distB="0" distL="114300" distR="114300" simplePos="0" relativeHeight="251663360" behindDoc="0" locked="0" layoutInCell="1" allowOverlap="1">
                <wp:simplePos x="0" y="0"/>
                <wp:positionH relativeFrom="column">
                  <wp:posOffset>274955</wp:posOffset>
                </wp:positionH>
                <wp:positionV relativeFrom="paragraph">
                  <wp:posOffset>3522345</wp:posOffset>
                </wp:positionV>
                <wp:extent cx="392430" cy="983615"/>
                <wp:effectExtent l="0" t="0" r="7620" b="6985"/>
                <wp:wrapNone/>
                <wp:docPr id="48" name="文本框 48"/>
                <wp:cNvGraphicFramePr/>
                <a:graphic xmlns:a="http://schemas.openxmlformats.org/drawingml/2006/main">
                  <a:graphicData uri="http://schemas.microsoft.com/office/word/2010/wordprocessingShape">
                    <wps:wsp>
                      <wps:cNvSpPr txBox="1"/>
                      <wps:spPr>
                        <a:xfrm>
                          <a:off x="0" y="0"/>
                          <a:ext cx="392430" cy="9836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D63ED55">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二阶段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65pt;margin-top:277.35pt;height:77.45pt;width:30.9pt;z-index:251663360;mso-width-relative:page;mso-height-relative:page;" fillcolor="#FFFFFF [3201]" filled="t" stroked="f" coordsize="21600,21600" o:gfxdata="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wLCxZ1gAAAAoBAAAPAAAA&#10;AAAAAAEAIAAAACIAAABkcnMvZG93bnJldi54bWxQSwECFAAUAAAACACHTuJAjxifb1ACAACQBAAA&#10;DgAAAAAAAAABACAAAAAlAQAAZHJzL2Uyb0RvYy54bWxQSwUGAAAAAAYABgBZAQAA5wUAAAAA&#10;">
                <v:fill on="t" focussize="0,0"/>
                <v:stroke on="f" weight="0.5pt"/>
                <v:imagedata o:title=""/>
                <o:lock v:ext="edit" aspectratio="f"/>
                <v:textbox>
                  <w:txbxContent>
                    <w:p w14:paraId="3D63ED55">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二阶段</w:t>
                      </w:r>
                    </w:p>
                  </w:txbxContent>
                </v:textbox>
              </v:shape>
            </w:pict>
          </mc:Fallback>
        </mc:AlternateContent>
      </w:r>
      <w:r>
        <w:rPr>
          <w:rFonts w:hint="default" w:ascii="Times New Roman" w:hAnsi="Times New Roman" w:eastAsia="宋体" w:cs="Times New Roman"/>
          <w:b/>
          <w:bCs/>
          <w:color w:val="auto"/>
          <w:spacing w:val="0"/>
          <w:w w:val="100"/>
          <w:position w:val="0"/>
          <w:sz w:val="24"/>
        </w:rPr>
        <mc:AlternateContent>
          <mc:Choice Requires="wps">
            <w:drawing>
              <wp:anchor distT="0" distB="0" distL="114300" distR="114300" simplePos="0" relativeHeight="251664384" behindDoc="0" locked="0" layoutInCell="1" allowOverlap="1">
                <wp:simplePos x="0" y="0"/>
                <wp:positionH relativeFrom="column">
                  <wp:posOffset>292100</wp:posOffset>
                </wp:positionH>
                <wp:positionV relativeFrom="paragraph">
                  <wp:posOffset>5340350</wp:posOffset>
                </wp:positionV>
                <wp:extent cx="392430" cy="983615"/>
                <wp:effectExtent l="0" t="0" r="7620" b="6985"/>
                <wp:wrapNone/>
                <wp:docPr id="50" name="文本框 50"/>
                <wp:cNvGraphicFramePr/>
                <a:graphic xmlns:a="http://schemas.openxmlformats.org/drawingml/2006/main">
                  <a:graphicData uri="http://schemas.microsoft.com/office/word/2010/wordprocessingShape">
                    <wps:wsp>
                      <wps:cNvSpPr txBox="1"/>
                      <wps:spPr>
                        <a:xfrm>
                          <a:off x="0" y="0"/>
                          <a:ext cx="392430" cy="9836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60DFD21">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三阶段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420.5pt;height:77.45pt;width:30.9pt;z-index:251664384;mso-width-relative:page;mso-height-relative:page;" fillcolor="#FFFFFF [3201]" filled="t" stroked="f" coordsize="21600,21600" o:gfxdata="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9aIlM1QAAAAoBAAAPAAAAAAAA&#10;AAEAIAAAACIAAABkcnMvZG93bnJldi54bWxQSwECFAAUAAAACACHTuJAHaAXf04CAACQBAAADgAA&#10;AAAAAAABACAAAAAkAQAAZHJzL2Uyb0RvYy54bWxQSwUGAAAAAAYABgBZAQAA5AUAAAAA&#10;">
                <v:fill on="t" focussize="0,0"/>
                <v:stroke on="f" weight="0.5pt"/>
                <v:imagedata o:title=""/>
                <o:lock v:ext="edit" aspectratio="f"/>
                <v:textbox>
                  <w:txbxContent>
                    <w:p w14:paraId="360DFD21">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三阶段</w:t>
                      </w:r>
                    </w:p>
                  </w:txbxContent>
                </v:textbox>
              </v:shape>
            </w:pict>
          </mc:Fallback>
        </mc:AlternateContent>
      </w:r>
      <w:r>
        <w:rPr>
          <w:rFonts w:hint="default" w:ascii="Times New Roman" w:hAnsi="Times New Roman" w:eastAsia="宋体" w:cs="Times New Roman"/>
          <w:b/>
          <w:bCs/>
          <w:color w:val="auto"/>
          <w:spacing w:val="0"/>
          <w:w w:val="100"/>
          <w:position w:val="0"/>
          <w:sz w:val="24"/>
        </w:rPr>
        <mc:AlternateContent>
          <mc:Choice Requires="wpg">
            <w:drawing>
              <wp:anchor distT="0" distB="0" distL="114300" distR="114300" simplePos="0" relativeHeight="251661312" behindDoc="0" locked="0" layoutInCell="1" allowOverlap="1">
                <wp:simplePos x="0" y="0"/>
                <wp:positionH relativeFrom="column">
                  <wp:posOffset>1370965</wp:posOffset>
                </wp:positionH>
                <wp:positionV relativeFrom="paragraph">
                  <wp:posOffset>305435</wp:posOffset>
                </wp:positionV>
                <wp:extent cx="3011805" cy="6351905"/>
                <wp:effectExtent l="4445" t="4445" r="12700" b="6350"/>
                <wp:wrapNone/>
                <wp:docPr id="144" name="组合 144"/>
                <wp:cNvGraphicFramePr/>
                <a:graphic xmlns:a="http://schemas.openxmlformats.org/drawingml/2006/main">
                  <a:graphicData uri="http://schemas.microsoft.com/office/word/2010/wordprocessingGroup">
                    <wpg:wgp>
                      <wpg:cNvGrpSpPr/>
                      <wpg:grpSpPr>
                        <a:xfrm>
                          <a:off x="0" y="0"/>
                          <a:ext cx="3011805" cy="6351905"/>
                          <a:chOff x="4528" y="19364"/>
                          <a:chExt cx="4743" cy="10003"/>
                        </a:xfrm>
                      </wpg:grpSpPr>
                      <wpg:grpSp>
                        <wpg:cNvPr id="145" name="组合 15"/>
                        <wpg:cNvGrpSpPr/>
                        <wpg:grpSpPr>
                          <a:xfrm>
                            <a:off x="4646" y="19364"/>
                            <a:ext cx="4625" cy="4154"/>
                            <a:chOff x="6518" y="19364"/>
                            <a:chExt cx="4625" cy="4154"/>
                          </a:xfrm>
                        </wpg:grpSpPr>
                        <wpg:grpSp>
                          <wpg:cNvPr id="146" name="组合 14"/>
                          <wpg:cNvGrpSpPr/>
                          <wpg:grpSpPr>
                            <a:xfrm>
                              <a:off x="6594" y="19875"/>
                              <a:ext cx="4482" cy="3643"/>
                              <a:chOff x="3905" y="54127"/>
                              <a:chExt cx="4482" cy="3643"/>
                            </a:xfrm>
                          </wpg:grpSpPr>
                          <wps:wsp>
                            <wps:cNvPr id="148" name="矩形 8"/>
                            <wps:cNvSpPr/>
                            <wps:spPr>
                              <a:xfrm>
                                <a:off x="3905" y="54489"/>
                                <a:ext cx="4470" cy="1083"/>
                              </a:xfrm>
                              <a:prstGeom prst="rect">
                                <a:avLst/>
                              </a:prstGeom>
                              <a:solidFill>
                                <a:srgbClr val="FFFFFF"/>
                              </a:solidFill>
                              <a:ln w="9525" cap="flat" cmpd="sng">
                                <a:solidFill>
                                  <a:srgbClr val="000000"/>
                                </a:solidFill>
                                <a:prstDash val="solid"/>
                                <a:miter lim="200000"/>
                                <a:headEnd type="none" w="med" len="med"/>
                                <a:tailEnd type="none" w="med" len="med"/>
                              </a:ln>
                            </wps:spPr>
                            <wps:txbx>
                              <w:txbxContent>
                                <w:p w14:paraId="2B02E713">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1 </w:t>
                                  </w:r>
                                  <w:r>
                                    <w:rPr>
                                      <w:rFonts w:hint="eastAsia" w:ascii="Times New Roman" w:hAnsi="Times New Roman" w:cs="Times New Roman"/>
                                      <w:szCs w:val="21"/>
                                    </w:rPr>
                                    <w:t>研究相关技术文件和其他有关文件</w:t>
                                  </w:r>
                                </w:p>
                                <w:p w14:paraId="17992844">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进行初步工程分析</w:t>
                                  </w:r>
                                </w:p>
                                <w:p w14:paraId="6859F645">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szCs w:val="21"/>
                                    </w:rPr>
                                  </w:pPr>
                                  <w:r>
                                    <w:rPr>
                                      <w:rFonts w:ascii="Times New Roman" w:hAnsi="Times New Roman" w:cs="Times New Roman"/>
                                      <w:szCs w:val="21"/>
                                    </w:rPr>
                                    <w:t xml:space="preserve">3 </w:t>
                                  </w:r>
                                  <w:r>
                                    <w:rPr>
                                      <w:rFonts w:hint="eastAsia" w:ascii="Times New Roman" w:hAnsi="Times New Roman" w:cs="Times New Roman"/>
                                      <w:szCs w:val="21"/>
                                    </w:rPr>
                                    <w:t>开</w:t>
                                  </w:r>
                                  <w:r>
                                    <w:rPr>
                                      <w:rFonts w:hint="eastAsia"/>
                                      <w:szCs w:val="21"/>
                                    </w:rPr>
                                    <w:t>展初步的环境</w:t>
                                  </w:r>
                                  <w:r>
                                    <w:rPr>
                                      <w:rFonts w:hint="eastAsia"/>
                                      <w:szCs w:val="21"/>
                                      <w:lang w:eastAsia="zh-CN"/>
                                    </w:rPr>
                                    <w:t>现状</w:t>
                                  </w:r>
                                  <w:r>
                                    <w:rPr>
                                      <w:rFonts w:hint="eastAsia"/>
                                      <w:szCs w:val="21"/>
                                    </w:rPr>
                                    <w:t>调查</w:t>
                                  </w:r>
                                </w:p>
                              </w:txbxContent>
                            </wps:txbx>
                            <wps:bodyPr upright="1"/>
                          </wps:wsp>
                          <wps:wsp>
                            <wps:cNvPr id="149" name="直接箭头连接符 9"/>
                            <wps:cNvCnPr/>
                            <wps:spPr>
                              <a:xfrm>
                                <a:off x="6244" y="54127"/>
                                <a:ext cx="1" cy="349"/>
                              </a:xfrm>
                              <a:prstGeom prst="straightConnector1">
                                <a:avLst/>
                              </a:prstGeom>
                              <a:ln w="9525" cap="flat" cmpd="sng">
                                <a:solidFill>
                                  <a:srgbClr val="000000"/>
                                </a:solidFill>
                                <a:prstDash val="solid"/>
                                <a:headEnd type="none" w="med" len="med"/>
                                <a:tailEnd type="triangle" w="med" len="med"/>
                              </a:ln>
                            </wps:spPr>
                            <wps:bodyPr/>
                          </wps:wsp>
                          <wps:wsp>
                            <wps:cNvPr id="150" name="直接箭头连接符 10"/>
                            <wps:cNvCnPr/>
                            <wps:spPr>
                              <a:xfrm>
                                <a:off x="6268" y="55597"/>
                                <a:ext cx="1" cy="309"/>
                              </a:xfrm>
                              <a:prstGeom prst="straightConnector1">
                                <a:avLst/>
                              </a:prstGeom>
                              <a:ln w="9525" cap="flat" cmpd="sng">
                                <a:solidFill>
                                  <a:srgbClr val="000000"/>
                                </a:solidFill>
                                <a:prstDash val="solid"/>
                                <a:headEnd type="none" w="med" len="med"/>
                                <a:tailEnd type="triangle" w="med" len="med"/>
                              </a:ln>
                            </wps:spPr>
                            <wps:bodyPr/>
                          </wps:wsp>
                          <wps:wsp>
                            <wps:cNvPr id="151" name="矩形 11"/>
                            <wps:cNvSpPr/>
                            <wps:spPr>
                              <a:xfrm>
                                <a:off x="3917" y="55919"/>
                                <a:ext cx="4470" cy="1083"/>
                              </a:xfrm>
                              <a:prstGeom prst="rect">
                                <a:avLst/>
                              </a:prstGeom>
                              <a:solidFill>
                                <a:srgbClr val="FFFFFF"/>
                              </a:solidFill>
                              <a:ln w="9525" cap="flat" cmpd="sng">
                                <a:solidFill>
                                  <a:srgbClr val="000000"/>
                                </a:solidFill>
                                <a:prstDash val="solid"/>
                                <a:miter lim="200000"/>
                                <a:headEnd type="none" w="med" len="med"/>
                                <a:tailEnd type="none" w="med" len="med"/>
                              </a:ln>
                            </wps:spPr>
                            <wps:txbx>
                              <w:txbxContent>
                                <w:p w14:paraId="63C12D66">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1 </w:t>
                                  </w:r>
                                  <w:r>
                                    <w:rPr>
                                      <w:rFonts w:hint="eastAsia" w:ascii="Times New Roman" w:hAnsi="Times New Roman" w:cs="Times New Roman"/>
                                      <w:szCs w:val="21"/>
                                    </w:rPr>
                                    <w:t>环境影响识别和评价因子筛选</w:t>
                                  </w:r>
                                </w:p>
                                <w:p w14:paraId="4D0782B4">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明确评价重点和环境保护目标</w:t>
                                  </w:r>
                                </w:p>
                                <w:p w14:paraId="51A9B37B">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3 </w:t>
                                  </w:r>
                                  <w:r>
                                    <w:rPr>
                                      <w:rFonts w:hint="eastAsia" w:ascii="Times New Roman" w:hAnsi="Times New Roman" w:cs="Times New Roman"/>
                                      <w:szCs w:val="21"/>
                                    </w:rPr>
                                    <w:t>确定工作等级、评价范围和评价标准</w:t>
                                  </w:r>
                                </w:p>
                              </w:txbxContent>
                            </wps:txbx>
                            <wps:bodyPr upright="1"/>
                          </wps:wsp>
                          <wps:wsp>
                            <wps:cNvPr id="152" name="直接箭头连接符 12"/>
                            <wps:cNvCnPr/>
                            <wps:spPr>
                              <a:xfrm>
                                <a:off x="6280" y="56997"/>
                                <a:ext cx="1" cy="309"/>
                              </a:xfrm>
                              <a:prstGeom prst="straightConnector1">
                                <a:avLst/>
                              </a:prstGeom>
                              <a:ln w="9525" cap="flat" cmpd="sng">
                                <a:solidFill>
                                  <a:srgbClr val="000000"/>
                                </a:solidFill>
                                <a:prstDash val="solid"/>
                                <a:headEnd type="none" w="med" len="med"/>
                                <a:tailEnd type="triangle" w="med" len="med"/>
                              </a:ln>
                            </wps:spPr>
                            <wps:bodyPr/>
                          </wps:wsp>
                          <wps:wsp>
                            <wps:cNvPr id="153" name="矩形 13"/>
                            <wps:cNvSpPr/>
                            <wps:spPr>
                              <a:xfrm>
                                <a:off x="5280" y="57306"/>
                                <a:ext cx="1935" cy="465"/>
                              </a:xfrm>
                              <a:prstGeom prst="rect">
                                <a:avLst/>
                              </a:prstGeom>
                              <a:solidFill>
                                <a:srgbClr val="FFFFFF"/>
                              </a:solidFill>
                              <a:ln w="9525" cap="flat" cmpd="sng">
                                <a:solidFill>
                                  <a:srgbClr val="000000"/>
                                </a:solidFill>
                                <a:prstDash val="solid"/>
                                <a:miter lim="200000"/>
                                <a:headEnd type="none" w="med" len="med"/>
                                <a:tailEnd type="none" w="med" len="med"/>
                              </a:ln>
                            </wps:spPr>
                            <wps:txbx>
                              <w:txbxContent>
                                <w:p w14:paraId="0D237234">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制定工作方案</w:t>
                                  </w:r>
                                </w:p>
                              </w:txbxContent>
                            </wps:txbx>
                            <wps:bodyPr upright="1"/>
                          </wps:wsp>
                        </wpg:grpSp>
                        <wps:wsp>
                          <wps:cNvPr id="155" name="矩形 7"/>
                          <wps:cNvSpPr/>
                          <wps:spPr>
                            <a:xfrm>
                              <a:off x="6518" y="19364"/>
                              <a:ext cx="4625" cy="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7D025F">
                                <w:pPr>
                                  <w:pStyle w:val="28"/>
                                  <w:keepNext w:val="0"/>
                                  <w:keepLines w:val="0"/>
                                  <w:pageBreakBefore w:val="0"/>
                                  <w:widowControl w:val="0"/>
                                  <w:kinsoku/>
                                  <w:wordWrap/>
                                  <w:overflowPunct/>
                                  <w:topLinePunct w:val="0"/>
                                  <w:autoSpaceDE/>
                                  <w:autoSpaceDN/>
                                  <w:bidi w:val="0"/>
                                  <w:adjustRightInd/>
                                  <w:snapToGrid/>
                                  <w:spacing w:before="0" w:after="0"/>
                                  <w:textAlignment w:val="auto"/>
                                  <w:rPr>
                                    <w:szCs w:val="21"/>
                                  </w:rPr>
                                </w:pPr>
                                <w:r>
                                  <w:rPr>
                                    <w:rFonts w:hint="eastAsia"/>
                                    <w:szCs w:val="21"/>
                                  </w:rPr>
                                  <w:t>依据相关规定确定环境影响评价文件类型</w:t>
                                </w:r>
                              </w:p>
                            </w:txbxContent>
                          </wps:txbx>
                          <wps:bodyPr upright="1"/>
                        </wps:wsp>
                      </wpg:grpSp>
                      <wpg:grpSp>
                        <wpg:cNvPr id="156" name="组合 29"/>
                        <wpg:cNvGrpSpPr/>
                        <wpg:grpSpPr>
                          <a:xfrm>
                            <a:off x="4528" y="23535"/>
                            <a:ext cx="4705" cy="3705"/>
                            <a:chOff x="3678" y="57787"/>
                            <a:chExt cx="4705" cy="3705"/>
                          </a:xfrm>
                        </wpg:grpSpPr>
                        <wps:wsp>
                          <wps:cNvPr id="157" name="直接箭头连接符 17"/>
                          <wps:cNvCnPr/>
                          <wps:spPr>
                            <a:xfrm flipH="1">
                              <a:off x="6275" y="57787"/>
                              <a:ext cx="7" cy="465"/>
                            </a:xfrm>
                            <a:prstGeom prst="straightConnector1">
                              <a:avLst/>
                            </a:prstGeom>
                            <a:ln w="9525" cap="flat" cmpd="sng">
                              <a:solidFill>
                                <a:srgbClr val="000000"/>
                              </a:solidFill>
                              <a:prstDash val="solid"/>
                              <a:headEnd type="none" w="med" len="med"/>
                              <a:tailEnd type="triangle" w="med" len="med"/>
                            </a:ln>
                          </wps:spPr>
                          <wps:bodyPr/>
                        </wps:wsp>
                        <wps:wsp>
                          <wps:cNvPr id="158" name="直接箭头连接符 18"/>
                          <wps:cNvCnPr/>
                          <wps:spPr>
                            <a:xfrm>
                              <a:off x="4671" y="58250"/>
                              <a:ext cx="2940" cy="1"/>
                            </a:xfrm>
                            <a:prstGeom prst="straightConnector1">
                              <a:avLst/>
                            </a:prstGeom>
                            <a:ln w="9525" cap="flat" cmpd="sng">
                              <a:solidFill>
                                <a:srgbClr val="000000"/>
                              </a:solidFill>
                              <a:prstDash val="solid"/>
                              <a:headEnd type="none" w="med" len="med"/>
                              <a:tailEnd type="none" w="med" len="med"/>
                            </a:ln>
                          </wps:spPr>
                          <wps:bodyPr/>
                        </wps:wsp>
                        <wps:wsp>
                          <wps:cNvPr id="159" name="直接箭头连接符 19"/>
                          <wps:cNvCnPr/>
                          <wps:spPr>
                            <a:xfrm>
                              <a:off x="4685" y="58236"/>
                              <a:ext cx="1" cy="426"/>
                            </a:xfrm>
                            <a:prstGeom prst="straightConnector1">
                              <a:avLst/>
                            </a:prstGeom>
                            <a:ln w="9525" cap="flat" cmpd="sng">
                              <a:solidFill>
                                <a:srgbClr val="000000"/>
                              </a:solidFill>
                              <a:prstDash val="solid"/>
                              <a:headEnd type="none" w="med" len="med"/>
                              <a:tailEnd type="none" w="med" len="med"/>
                            </a:ln>
                          </wps:spPr>
                          <wps:bodyPr/>
                        </wps:wsp>
                        <wps:wsp>
                          <wps:cNvPr id="160" name="直接箭头连接符 20"/>
                          <wps:cNvCnPr/>
                          <wps:spPr>
                            <a:xfrm>
                              <a:off x="7612" y="58251"/>
                              <a:ext cx="1" cy="446"/>
                            </a:xfrm>
                            <a:prstGeom prst="straightConnector1">
                              <a:avLst/>
                            </a:prstGeom>
                            <a:ln w="9525" cap="flat" cmpd="sng">
                              <a:solidFill>
                                <a:srgbClr val="000000"/>
                              </a:solidFill>
                              <a:prstDash val="solid"/>
                              <a:headEnd type="none" w="med" len="med"/>
                              <a:tailEnd type="none" w="med" len="med"/>
                            </a:ln>
                          </wps:spPr>
                          <wps:bodyPr/>
                        </wps:wsp>
                        <wps:wsp>
                          <wps:cNvPr id="161" name="矩形 21"/>
                          <wps:cNvSpPr/>
                          <wps:spPr>
                            <a:xfrm>
                              <a:off x="3678" y="58665"/>
                              <a:ext cx="2042" cy="7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C63939">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环境现状调查监测与评价</w:t>
                                </w:r>
                              </w:p>
                            </w:txbxContent>
                          </wps:txbx>
                          <wps:bodyPr upright="1"/>
                        </wps:wsp>
                        <wps:wsp>
                          <wps:cNvPr id="162" name="矩形 22"/>
                          <wps:cNvSpPr/>
                          <wps:spPr>
                            <a:xfrm>
                              <a:off x="6948" y="58677"/>
                              <a:ext cx="1435" cy="7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F45EA5">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建设项目工程分析</w:t>
                                </w:r>
                              </w:p>
                            </w:txbxContent>
                          </wps:txbx>
                          <wps:bodyPr upright="1"/>
                        </wps:wsp>
                        <wps:wsp>
                          <wps:cNvPr id="163" name="直接箭头连接符 23"/>
                          <wps:cNvCnPr/>
                          <wps:spPr>
                            <a:xfrm>
                              <a:off x="6253" y="59787"/>
                              <a:ext cx="1" cy="399"/>
                            </a:xfrm>
                            <a:prstGeom prst="straightConnector1">
                              <a:avLst/>
                            </a:prstGeom>
                            <a:ln w="9525" cap="flat" cmpd="sng">
                              <a:solidFill>
                                <a:srgbClr val="000000"/>
                              </a:solidFill>
                              <a:prstDash val="solid"/>
                              <a:headEnd type="none" w="med" len="med"/>
                              <a:tailEnd type="triangle" w="med" len="med"/>
                            </a:ln>
                          </wps:spPr>
                          <wps:bodyPr/>
                        </wps:wsp>
                        <wps:wsp>
                          <wps:cNvPr id="164" name="直接箭头连接符 24"/>
                          <wps:cNvCnPr/>
                          <wps:spPr>
                            <a:xfrm>
                              <a:off x="4699" y="59435"/>
                              <a:ext cx="1" cy="357"/>
                            </a:xfrm>
                            <a:prstGeom prst="straightConnector1">
                              <a:avLst/>
                            </a:prstGeom>
                            <a:ln w="9525" cap="flat" cmpd="sng">
                              <a:solidFill>
                                <a:srgbClr val="000000"/>
                              </a:solidFill>
                              <a:prstDash val="solid"/>
                              <a:headEnd type="none" w="med" len="med"/>
                              <a:tailEnd type="none" w="med" len="med"/>
                            </a:ln>
                          </wps:spPr>
                          <wps:bodyPr/>
                        </wps:wsp>
                        <wps:wsp>
                          <wps:cNvPr id="165" name="直接箭头连接符 25"/>
                          <wps:cNvCnPr/>
                          <wps:spPr>
                            <a:xfrm>
                              <a:off x="7640" y="59382"/>
                              <a:ext cx="1" cy="432"/>
                            </a:xfrm>
                            <a:prstGeom prst="straightConnector1">
                              <a:avLst/>
                            </a:prstGeom>
                            <a:ln w="9525" cap="flat" cmpd="sng">
                              <a:solidFill>
                                <a:srgbClr val="000000"/>
                              </a:solidFill>
                              <a:prstDash val="solid"/>
                              <a:headEnd type="none" w="med" len="med"/>
                              <a:tailEnd type="none" w="med" len="med"/>
                            </a:ln>
                          </wps:spPr>
                          <wps:bodyPr/>
                        </wps:wsp>
                        <wps:wsp>
                          <wps:cNvPr id="166" name="直接箭头连接符 26"/>
                          <wps:cNvCnPr/>
                          <wps:spPr>
                            <a:xfrm>
                              <a:off x="4683" y="59788"/>
                              <a:ext cx="2940" cy="1"/>
                            </a:xfrm>
                            <a:prstGeom prst="straightConnector1">
                              <a:avLst/>
                            </a:prstGeom>
                            <a:ln w="9525" cap="flat" cmpd="sng">
                              <a:solidFill>
                                <a:srgbClr val="000000"/>
                              </a:solidFill>
                              <a:prstDash val="solid"/>
                              <a:headEnd type="none" w="med" len="med"/>
                              <a:tailEnd type="none" w="med" len="med"/>
                            </a:ln>
                          </wps:spPr>
                          <wps:bodyPr/>
                        </wps:wsp>
                        <wps:wsp>
                          <wps:cNvPr id="167" name="矩形 27"/>
                          <wps:cNvSpPr/>
                          <wps:spPr>
                            <a:xfrm>
                              <a:off x="4250" y="60176"/>
                              <a:ext cx="3885" cy="8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FFAF4E">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各环境要素环境影响预测与评价</w:t>
                                </w:r>
                              </w:p>
                              <w:p w14:paraId="1CC36F7C">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各专题环境影响分析与评价</w:t>
                                </w:r>
                              </w:p>
                            </w:txbxContent>
                          </wps:txbx>
                          <wps:bodyPr upright="1"/>
                        </wps:wsp>
                        <wps:wsp>
                          <wps:cNvPr id="169" name="直接箭头连接符 28"/>
                          <wps:cNvCnPr/>
                          <wps:spPr>
                            <a:xfrm flipH="1">
                              <a:off x="6251" y="61043"/>
                              <a:ext cx="3" cy="449"/>
                            </a:xfrm>
                            <a:prstGeom prst="straightConnector1">
                              <a:avLst/>
                            </a:prstGeom>
                            <a:ln w="9525" cap="flat" cmpd="sng">
                              <a:solidFill>
                                <a:srgbClr val="000000"/>
                              </a:solidFill>
                              <a:prstDash val="solid"/>
                              <a:headEnd type="none" w="med" len="med"/>
                              <a:tailEnd type="triangle" w="med" len="med"/>
                            </a:ln>
                          </wps:spPr>
                          <wps:bodyPr/>
                        </wps:wsp>
                      </wpg:grpSp>
                      <wpg:grpSp>
                        <wpg:cNvPr id="170" name="组合 34"/>
                        <wpg:cNvGrpSpPr/>
                        <wpg:grpSpPr>
                          <a:xfrm>
                            <a:off x="5032" y="27249"/>
                            <a:ext cx="4170" cy="2118"/>
                            <a:chOff x="4115" y="61484"/>
                            <a:chExt cx="4170" cy="2118"/>
                          </a:xfrm>
                        </wpg:grpSpPr>
                        <wps:wsp>
                          <wps:cNvPr id="171" name="矩形 31"/>
                          <wps:cNvSpPr/>
                          <wps:spPr>
                            <a:xfrm>
                              <a:off x="4115" y="61484"/>
                              <a:ext cx="4170" cy="129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AFE5BFF">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szCs w:val="21"/>
                                  </w:rPr>
                                  <w:t>1</w:t>
                                </w:r>
                                <w:r>
                                  <w:rPr>
                                    <w:rFonts w:hint="eastAsia"/>
                                    <w:szCs w:val="21"/>
                                    <w:lang w:val="en-US" w:eastAsia="zh-CN"/>
                                  </w:rPr>
                                  <w:t xml:space="preserve"> </w:t>
                                </w:r>
                                <w:r>
                                  <w:rPr>
                                    <w:rFonts w:hint="eastAsia" w:ascii="Times New Roman" w:hAnsi="Times New Roman" w:cs="Times New Roman"/>
                                    <w:szCs w:val="21"/>
                                  </w:rPr>
                                  <w:t>提出环境保护措施，进行技术经济论证</w:t>
                                </w:r>
                              </w:p>
                              <w:p w14:paraId="6511B567">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给出污染物排放清单</w:t>
                                </w:r>
                              </w:p>
                              <w:p w14:paraId="05C25B86">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hint="eastAsia"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给出建设项目环境影响评价结论</w:t>
                                </w:r>
                              </w:p>
                            </w:txbxContent>
                          </wps:txbx>
                          <wps:bodyPr upright="1"/>
                        </wps:wsp>
                        <wps:wsp>
                          <wps:cNvPr id="172" name="直接箭头连接符 32"/>
                          <wps:cNvCnPr/>
                          <wps:spPr>
                            <a:xfrm>
                              <a:off x="6213" y="62795"/>
                              <a:ext cx="1" cy="363"/>
                            </a:xfrm>
                            <a:prstGeom prst="straightConnector1">
                              <a:avLst/>
                            </a:prstGeom>
                            <a:ln w="9525" cap="flat" cmpd="sng">
                              <a:solidFill>
                                <a:srgbClr val="000000"/>
                              </a:solidFill>
                              <a:prstDash val="solid"/>
                              <a:headEnd type="none" w="med" len="med"/>
                              <a:tailEnd type="triangle" w="med" len="med"/>
                            </a:ln>
                          </wps:spPr>
                          <wps:bodyPr/>
                        </wps:wsp>
                        <wps:wsp>
                          <wps:cNvPr id="174" name="矩形 33"/>
                          <wps:cNvSpPr/>
                          <wps:spPr>
                            <a:xfrm>
                              <a:off x="4723" y="63152"/>
                              <a:ext cx="2909" cy="450"/>
                            </a:xfrm>
                            <a:prstGeom prst="rect">
                              <a:avLst/>
                            </a:prstGeom>
                            <a:solidFill>
                              <a:srgbClr val="FFFFFF"/>
                            </a:solidFill>
                            <a:ln w="9525" cap="flat" cmpd="sng">
                              <a:solidFill>
                                <a:srgbClr val="000000"/>
                              </a:solidFill>
                              <a:prstDash val="solid"/>
                              <a:miter lim="200000"/>
                              <a:headEnd type="none" w="med" len="med"/>
                              <a:tailEnd type="none" w="med" len="med"/>
                            </a:ln>
                          </wps:spPr>
                          <wps:txbx>
                            <w:txbxContent>
                              <w:p w14:paraId="2664C533">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编制环境影响报告书</w:t>
                                </w:r>
                              </w:p>
                            </w:txbxContent>
                          </wps:txbx>
                          <wps:bodyPr upright="1"/>
                        </wps:wsp>
                      </wpg:grpSp>
                    </wpg:wgp>
                  </a:graphicData>
                </a:graphic>
              </wp:anchor>
            </w:drawing>
          </mc:Choice>
          <mc:Fallback>
            <w:pict>
              <v:group id="_x0000_s1026" o:spid="_x0000_s1026" o:spt="203" style="position:absolute;left:0pt;margin-left:107.95pt;margin-top:24.05pt;height:500.15pt;width:237.15pt;z-index:251661312;mso-width-relative:page;mso-height-relative:page;" coordorigin="4528,19364" coordsize="4743,10003" o:gfxdata="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">
                <o:lock v:ext="edit" aspectratio="f"/>
                <v:group id="组合 15" o:spid="_x0000_s1026" o:spt="203" style="position:absolute;left:4646;top:19364;height:4154;width:4625;" coordorigin="6518,19364" coordsize="4625,4154" o:gfxdata="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4eHib0AAADcAAAADwAAAAAAAAABACAAAAAiAAAAZHJzL2Rvd25yZXYueG1s&#10;UEsBAhQAFAAAAAgAh07iQDMvBZ47AAAAOQAAABUAAAAAAAAAAQAgAAAADAEAAGRycy9ncm91cHNo&#10;YXBleG1sLnhtbFBLBQYAAAAABgAGAGABAADJAwAAAAA=&#10;">
                  <o:lock v:ext="edit" aspectratio="f"/>
                  <v:group id="组合 14" o:spid="_x0000_s1026" o:spt="203" style="position:absolute;left:6594;top:19875;height:3643;width:4482;" coordorigin="3905,54127" coordsize="4482,3643" o:gfxdata="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UZ/r0AAADcAAAADwAAAAAAAAABACAAAAAiAAAAZHJzL2Rvd25yZXYueG1s&#10;UEsBAhQAFAAAAAgAh07iQDMvBZ47AAAAOQAAABUAAAAAAAAAAQAgAAAADAEAAGRycy9ncm91cHNo&#10;YXBleG1sLnhtbFBLBQYAAAAABgAGAGABAADJAwAAAAA=&#10;">
                    <o:lock v:ext="edit" aspectratio="f"/>
                    <v:rect id="矩形 8" o:spid="_x0000_s1026" o:spt="1" style="position:absolute;left:3905;top:54489;height:1083;width:4470;" fillcolor="#FFFFFF" filled="t" stroked="t" coordsize="21600,21600" o:gfxdata="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1dfRr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14:paraId="2B02E713">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1 </w:t>
                            </w:r>
                            <w:r>
                              <w:rPr>
                                <w:rFonts w:hint="eastAsia" w:ascii="Times New Roman" w:hAnsi="Times New Roman" w:cs="Times New Roman"/>
                                <w:szCs w:val="21"/>
                              </w:rPr>
                              <w:t>研究相关技术文件和其他有关文件</w:t>
                            </w:r>
                          </w:p>
                          <w:p w14:paraId="17992844">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进行初步工程分析</w:t>
                            </w:r>
                          </w:p>
                          <w:p w14:paraId="6859F645">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szCs w:val="21"/>
                              </w:rPr>
                            </w:pPr>
                            <w:r>
                              <w:rPr>
                                <w:rFonts w:ascii="Times New Roman" w:hAnsi="Times New Roman" w:cs="Times New Roman"/>
                                <w:szCs w:val="21"/>
                              </w:rPr>
                              <w:t xml:space="preserve">3 </w:t>
                            </w:r>
                            <w:r>
                              <w:rPr>
                                <w:rFonts w:hint="eastAsia" w:ascii="Times New Roman" w:hAnsi="Times New Roman" w:cs="Times New Roman"/>
                                <w:szCs w:val="21"/>
                              </w:rPr>
                              <w:t>开</w:t>
                            </w:r>
                            <w:r>
                              <w:rPr>
                                <w:rFonts w:hint="eastAsia"/>
                                <w:szCs w:val="21"/>
                              </w:rPr>
                              <w:t>展初步的环境</w:t>
                            </w:r>
                            <w:r>
                              <w:rPr>
                                <w:rFonts w:hint="eastAsia"/>
                                <w:szCs w:val="21"/>
                                <w:lang w:eastAsia="zh-CN"/>
                              </w:rPr>
                              <w:t>现状</w:t>
                            </w:r>
                            <w:r>
                              <w:rPr>
                                <w:rFonts w:hint="eastAsia"/>
                                <w:szCs w:val="21"/>
                              </w:rPr>
                              <w:t>调查</w:t>
                            </w:r>
                          </w:p>
                        </w:txbxContent>
                      </v:textbox>
                    </v:rect>
                    <v:shape id="直接箭头连接符 9" o:spid="_x0000_s1026" o:spt="32" type="#_x0000_t32" style="position:absolute;left:6244;top:54127;height:349;width:1;" filled="f" stroked="t" coordsize="21600,21600" o:gfxdata="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s2VK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直接箭头连接符 10" o:spid="_x0000_s1026" o:spt="32" type="#_x0000_t32" style="position:absolute;left:6268;top:55597;height:309;width:1;" filled="f" stroked="t" coordsize="21600,21600" o:gfxdata="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z+YS&#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shape>
                    <v:rect id="矩形 11" o:spid="_x0000_s1026" o:spt="1" style="position:absolute;left:3917;top:55919;height:1083;width:4470;" fillcolor="#FFFFFF" filled="t" stroked="t" coordsize="21600,21600" o:gfxdata="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7RgBrsAAADc&#10;AAAADwAAAAAAAAABACAAAAAiAAAAZHJzL2Rvd25yZXYueG1sUEsBAhQAFAAAAAgAh07iQDMvBZ47&#10;AAAAOQAAABAAAAAAAAAAAQAgAAAACgEAAGRycy9zaGFwZXhtbC54bWxQSwUGAAAAAAYABgBbAQAA&#10;tAMAAAAA&#10;">
                      <v:fill on="t" focussize="0,0"/>
                      <v:stroke color="#000000" miterlimit="2" joinstyle="miter"/>
                      <v:imagedata o:title=""/>
                      <o:lock v:ext="edit" aspectratio="f"/>
                      <v:textbox>
                        <w:txbxContent>
                          <w:p w14:paraId="63C12D66">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1 </w:t>
                            </w:r>
                            <w:r>
                              <w:rPr>
                                <w:rFonts w:hint="eastAsia" w:ascii="Times New Roman" w:hAnsi="Times New Roman" w:cs="Times New Roman"/>
                                <w:szCs w:val="21"/>
                              </w:rPr>
                              <w:t>环境影响识别和评价因子筛选</w:t>
                            </w:r>
                          </w:p>
                          <w:p w14:paraId="4D0782B4">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明确评价重点和环境保护目标</w:t>
                            </w:r>
                          </w:p>
                          <w:p w14:paraId="51A9B37B">
                            <w:pPr>
                              <w:pStyle w:val="28"/>
                              <w:keepNext w:val="0"/>
                              <w:keepLines w:val="0"/>
                              <w:pageBreakBefore w:val="0"/>
                              <w:widowControl w:val="0"/>
                              <w:kinsoku/>
                              <w:wordWrap/>
                              <w:overflowPunct/>
                              <w:topLinePunct w:val="0"/>
                              <w:autoSpaceDE/>
                              <w:autoSpaceDN/>
                              <w:bidi w:val="0"/>
                              <w:adjustRightInd/>
                              <w:snapToGrid/>
                              <w:spacing w:before="0" w:after="0"/>
                              <w:ind w:firstLine="0"/>
                              <w:jc w:val="both"/>
                              <w:textAlignment w:val="auto"/>
                              <w:rPr>
                                <w:rFonts w:ascii="Times New Roman" w:hAnsi="Times New Roman" w:cs="Times New Roman"/>
                                <w:szCs w:val="21"/>
                              </w:rPr>
                            </w:pPr>
                            <w:r>
                              <w:rPr>
                                <w:rFonts w:ascii="Times New Roman" w:hAnsi="Times New Roman" w:cs="Times New Roman"/>
                                <w:szCs w:val="21"/>
                              </w:rPr>
                              <w:t xml:space="preserve">3 </w:t>
                            </w:r>
                            <w:r>
                              <w:rPr>
                                <w:rFonts w:hint="eastAsia" w:ascii="Times New Roman" w:hAnsi="Times New Roman" w:cs="Times New Roman"/>
                                <w:szCs w:val="21"/>
                              </w:rPr>
                              <w:t>确定工作等级、评价范围和评价标准</w:t>
                            </w:r>
                          </w:p>
                        </w:txbxContent>
                      </v:textbox>
                    </v:rect>
                    <v:shape id="直接箭头连接符 12" o:spid="_x0000_s1026" o:spt="32" type="#_x0000_t32" style="position:absolute;left:6280;top:56997;height:309;width:1;" filled="f" stroked="t" coordsize="21600,21600" o:gfxdata="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Ud3+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rect id="矩形 13" o:spid="_x0000_s1026" o:spt="1" style="position:absolute;left:5280;top:57306;height:465;width:1935;" fillcolor="#FFFFFF" filled="t" stroked="t" coordsize="21600,21600" o:gfxdata="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Cpb6rsAAADc&#10;AAAADwAAAAAAAAABACAAAAAiAAAAZHJzL2Rvd25yZXYueG1sUEsBAhQAFAAAAAgAh07iQDMvBZ47&#10;AAAAOQAAABAAAAAAAAAAAQAgAAAACgEAAGRycy9zaGFwZXhtbC54bWxQSwUGAAAAAAYABgBbAQAA&#10;tAMAAAAA&#10;">
                      <v:fill on="t" focussize="0,0"/>
                      <v:stroke color="#000000" miterlimit="2" joinstyle="miter"/>
                      <v:imagedata o:title=""/>
                      <o:lock v:ext="edit" aspectratio="f"/>
                      <v:textbox>
                        <w:txbxContent>
                          <w:p w14:paraId="0D237234">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制定工作方案</w:t>
                            </w:r>
                          </w:p>
                        </w:txbxContent>
                      </v:textbox>
                    </v:rect>
                  </v:group>
                  <v:rect id="矩形 7" o:spid="_x0000_s1026" o:spt="1" style="position:absolute;left:6518;top:19364;height:450;width:4625;" fillcolor="#FFFFFF" filled="t" stroked="t" coordsize="21600,21600" o:gfxdata="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19J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77D025F">
                          <w:pPr>
                            <w:pStyle w:val="28"/>
                            <w:keepNext w:val="0"/>
                            <w:keepLines w:val="0"/>
                            <w:pageBreakBefore w:val="0"/>
                            <w:widowControl w:val="0"/>
                            <w:kinsoku/>
                            <w:wordWrap/>
                            <w:overflowPunct/>
                            <w:topLinePunct w:val="0"/>
                            <w:autoSpaceDE/>
                            <w:autoSpaceDN/>
                            <w:bidi w:val="0"/>
                            <w:adjustRightInd/>
                            <w:snapToGrid/>
                            <w:spacing w:before="0" w:after="0"/>
                            <w:textAlignment w:val="auto"/>
                            <w:rPr>
                              <w:szCs w:val="21"/>
                            </w:rPr>
                          </w:pPr>
                          <w:r>
                            <w:rPr>
                              <w:rFonts w:hint="eastAsia"/>
                              <w:szCs w:val="21"/>
                            </w:rPr>
                            <w:t>依据相关规定确定环境影响评价文件类型</w:t>
                          </w:r>
                        </w:p>
                      </w:txbxContent>
                    </v:textbox>
                  </v:rect>
                </v:group>
                <v:group id="组合 29" o:spid="_x0000_s1026" o:spt="203" style="position:absolute;left:4528;top:23535;height:3705;width:4705;" coordorigin="3678,57787" coordsize="4705,3705" o:gfxdata="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jI8jvAAAANwAAAAPAAAAAAAAAAEAIAAAACIAAABkcnMvZG93bnJldi54bWxQ&#10;SwECFAAUAAAACACHTuJAMy8FnjsAAAA5AAAAFQAAAAAAAAABACAAAAALAQAAZHJzL2dyb3Vwc2hh&#10;cGV4bWwueG1sUEsFBgAAAAAGAAYAYAEAAMgDAAAAAA==&#10;">
                  <o:lock v:ext="edit" aspectratio="f"/>
                  <v:shape id="直接箭头连接符 17" o:spid="_x0000_s1026" o:spt="32" type="#_x0000_t32" style="position:absolute;left:6275;top:57787;flip:x;height:465;width:7;" filled="f" stroked="t" coordsize="21600,21600" o:gfxdata="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JLKR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直接箭头连接符 18" o:spid="_x0000_s1026" o:spt="32" type="#_x0000_t32" style="position:absolute;left:4671;top:58250;height:1;width:2940;" filled="f" stroked="t" coordsize="21600,21600" o:gfxdata="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YYS5r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直接箭头连接符 19" o:spid="_x0000_s1026" o:spt="32" type="#_x0000_t32" style="position:absolute;left:4685;top:58236;height:426;width:1;" filled="f" stroked="t" coordsize="21600,21600" o:gfxdata="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yrd9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直接箭头连接符 20" o:spid="_x0000_s1026" o:spt="32" type="#_x0000_t32" style="position:absolute;left:7612;top:58251;height:446;width:1;" filled="f" stroked="t" coordsize="21600,21600" o:gfxdata="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zUX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rect id="矩形 21" o:spid="_x0000_s1026" o:spt="1" style="position:absolute;left:3678;top:58665;height:770;width:2042;" fillcolor="#FFFFFF" filled="t" stroked="t" coordsize="21600,21600" o:gfxdata="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Yjgk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9C63939">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环境现状调查监测与评价</w:t>
                          </w:r>
                        </w:p>
                      </w:txbxContent>
                    </v:textbox>
                  </v:rect>
                  <v:rect id="矩形 22" o:spid="_x0000_s1026" o:spt="1" style="position:absolute;left:6948;top:58677;height:703;width:1435;" fillcolor="#FFFFFF" filled="t" stroked="t" coordsize="21600,21600" o:gfxdata="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sKZTugAAANw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5F45EA5">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建设项目工程分析</w:t>
                          </w:r>
                        </w:p>
                      </w:txbxContent>
                    </v:textbox>
                  </v:rect>
                  <v:shape id="直接箭头连接符 23" o:spid="_x0000_s1026" o:spt="32" type="#_x0000_t32" style="position:absolute;left:6253;top:59787;height:399;width:1;" filled="f" stroked="t" coordsize="21600,21600" o:gfxdata="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sti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直接箭头连接符 24" o:spid="_x0000_s1026" o:spt="32" type="#_x0000_t32" style="position:absolute;left:4699;top:59435;height:357;width:1;" filled="f" stroked="t" coordsize="21600,21600" o:gfxdata="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p9Je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直接箭头连接符 25" o:spid="_x0000_s1026" o:spt="32" type="#_x0000_t32" style="position:absolute;left:7640;top:59382;height:432;width:1;" filled="f" stroked="t" coordsize="21600,21600" o:gfxdata="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3rd8W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直接箭头连接符 26" o:spid="_x0000_s1026" o:spt="32" type="#_x0000_t32" style="position:absolute;left:4683;top:59788;height:1;width:2940;" filled="f" stroked="t" coordsize="21600,21600" o:gfxdata="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56bK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rect id="矩形 27" o:spid="_x0000_s1026" o:spt="1" style="position:absolute;left:4250;top:60176;height:845;width:3885;" fillcolor="#FFFFFF" filled="t" stroked="t" coordsize="21600,21600" o:gfxdata="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HBcu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8FFAF4E">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1</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各环境要素环境影响预测与评价</w:t>
                          </w:r>
                        </w:p>
                        <w:p w14:paraId="1CC36F7C">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 xml:space="preserve">2 </w:t>
                          </w:r>
                          <w:r>
                            <w:rPr>
                              <w:rFonts w:hint="eastAsia" w:ascii="Times New Roman" w:hAnsi="Times New Roman" w:cs="Times New Roman"/>
                              <w:szCs w:val="21"/>
                            </w:rPr>
                            <w:t>各专题环境影响分析与评价</w:t>
                          </w:r>
                        </w:p>
                      </w:txbxContent>
                    </v:textbox>
                  </v:rect>
                  <v:shape id="直接箭头连接符 28" o:spid="_x0000_s1026" o:spt="32" type="#_x0000_t32" style="position:absolute;left:6251;top:61043;flip:x;height:449;width:3;" filled="f" stroked="t" coordsize="21600,21600" o:gfxdata="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m0nF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group>
                <v:group id="组合 34" o:spid="_x0000_s1026" o:spt="203" style="position:absolute;left:5032;top:27249;height:2118;width:4170;" coordorigin="4115,61484" coordsize="4170,2118" o:gfxdata="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VnO6svwAAANwAAAAPAAAAAAAAAAEAIAAAACIAAABkcnMvZG93bnJldi54&#10;bWxQSwECFAAUAAAACACHTuJAMy8FnjsAAAA5AAAAFQAAAAAAAAABACAAAAAOAQAAZHJzL2dyb3Vw&#10;c2hhcGV4bWwueG1sUEsFBgAAAAAGAAYAYAEAAMsDAAAAAA==&#10;">
                  <o:lock v:ext="edit" aspectratio="f"/>
                  <v:rect id="矩形 31" o:spid="_x0000_s1026" o:spt="1" style="position:absolute;left:4115;top:61484;height:1294;width:4170;" fillcolor="#FFFFFF" filled="t" stroked="t" coordsize="21600,21600" o:gfxdata="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7uu+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AFE5BFF">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szCs w:val="21"/>
                            </w:rPr>
                            <w:t>1</w:t>
                          </w:r>
                          <w:r>
                            <w:rPr>
                              <w:rFonts w:hint="eastAsia"/>
                              <w:szCs w:val="21"/>
                              <w:lang w:val="en-US" w:eastAsia="zh-CN"/>
                            </w:rPr>
                            <w:t xml:space="preserve"> </w:t>
                          </w:r>
                          <w:r>
                            <w:rPr>
                              <w:rFonts w:hint="eastAsia" w:ascii="Times New Roman" w:hAnsi="Times New Roman" w:cs="Times New Roman"/>
                              <w:szCs w:val="21"/>
                            </w:rPr>
                            <w:t>提出环境保护措施，进行技术经济论证</w:t>
                          </w:r>
                        </w:p>
                        <w:p w14:paraId="6511B567">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ascii="Times New Roman" w:hAnsi="Times New Roman" w:cs="Times New Roman"/>
                              <w:szCs w:val="21"/>
                            </w:rPr>
                          </w:pPr>
                          <w:r>
                            <w:rPr>
                              <w:rFonts w:ascii="Times New Roman" w:hAnsi="Times New Roman" w:cs="Times New Roman"/>
                              <w:szCs w:val="21"/>
                            </w:rPr>
                            <w:t>2</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给出污染物排放清单</w:t>
                          </w:r>
                        </w:p>
                        <w:p w14:paraId="05C25B86">
                          <w:pPr>
                            <w:pStyle w:val="28"/>
                            <w:keepNext w:val="0"/>
                            <w:keepLines w:val="0"/>
                            <w:pageBreakBefore w:val="0"/>
                            <w:widowControl w:val="0"/>
                            <w:kinsoku/>
                            <w:wordWrap/>
                            <w:overflowPunct/>
                            <w:topLinePunct w:val="0"/>
                            <w:autoSpaceDE/>
                            <w:autoSpaceDN/>
                            <w:bidi w:val="0"/>
                            <w:adjustRightInd/>
                            <w:snapToGrid/>
                            <w:spacing w:before="0" w:after="0"/>
                            <w:ind w:firstLine="0"/>
                            <w:jc w:val="left"/>
                            <w:textAlignment w:val="auto"/>
                            <w:rPr>
                              <w:rFonts w:hint="eastAsia" w:ascii="Times New Roman" w:hAnsi="Times New Roman" w:cs="Times New Roman"/>
                              <w:szCs w:val="21"/>
                            </w:rPr>
                          </w:pPr>
                          <w:r>
                            <w:rPr>
                              <w:rFonts w:ascii="Times New Roman" w:hAnsi="Times New Roman" w:cs="Times New Roman"/>
                              <w:szCs w:val="21"/>
                            </w:rPr>
                            <w:t>3</w:t>
                          </w:r>
                          <w:r>
                            <w:rPr>
                              <w:rFonts w:hint="eastAsia" w:ascii="Times New Roman" w:hAnsi="Times New Roman" w:cs="Times New Roman"/>
                              <w:szCs w:val="21"/>
                              <w:lang w:val="en-US" w:eastAsia="zh-CN"/>
                            </w:rPr>
                            <w:t xml:space="preserve"> </w:t>
                          </w:r>
                          <w:r>
                            <w:rPr>
                              <w:rFonts w:hint="eastAsia" w:ascii="Times New Roman" w:hAnsi="Times New Roman" w:cs="Times New Roman"/>
                              <w:szCs w:val="21"/>
                            </w:rPr>
                            <w:t>给出建设项目环境影响评价结论</w:t>
                          </w:r>
                        </w:p>
                      </w:txbxContent>
                    </v:textbox>
                  </v:rect>
                  <v:shape id="直接箭头连接符 32" o:spid="_x0000_s1026" o:spt="32" type="#_x0000_t32" style="position:absolute;left:6213;top:62795;height:363;width:1;" filled="f" stroked="t" coordsize="21600,21600" o:gfxdata="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3kgZ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rect id="矩形 33" o:spid="_x0000_s1026" o:spt="1" style="position:absolute;left:4723;top:63152;height:450;width:2909;" fillcolor="#FFFFFF" filled="t" stroked="t" coordsize="21600,21600" o:gfxdata="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Haf/rsAAADc&#10;AAAADwAAAAAAAAABACAAAAAiAAAAZHJzL2Rvd25yZXYueG1sUEsBAhQAFAAAAAgAh07iQDMvBZ47&#10;AAAAOQAAABAAAAAAAAAAAQAgAAAACgEAAGRycy9zaGFwZXhtbC54bWxQSwUGAAAAAAYABgBbAQAA&#10;tAMAAAAA&#10;">
                    <v:fill on="t" focussize="0,0"/>
                    <v:stroke color="#000000" miterlimit="2" joinstyle="miter"/>
                    <v:imagedata o:title=""/>
                    <o:lock v:ext="edit" aspectratio="f"/>
                    <v:textbox>
                      <w:txbxContent>
                        <w:p w14:paraId="2664C533">
                          <w:pPr>
                            <w:pStyle w:val="28"/>
                            <w:keepNext w:val="0"/>
                            <w:keepLines w:val="0"/>
                            <w:pageBreakBefore w:val="0"/>
                            <w:widowControl w:val="0"/>
                            <w:kinsoku/>
                            <w:wordWrap/>
                            <w:overflowPunct/>
                            <w:topLinePunct w:val="0"/>
                            <w:autoSpaceDE/>
                            <w:autoSpaceDN/>
                            <w:bidi w:val="0"/>
                            <w:adjustRightInd/>
                            <w:snapToGrid/>
                            <w:spacing w:before="0" w:after="0"/>
                            <w:ind w:firstLine="0"/>
                            <w:jc w:val="center"/>
                            <w:textAlignment w:val="auto"/>
                            <w:rPr>
                              <w:rFonts w:ascii="Times New Roman" w:hAnsi="Times New Roman" w:cs="Times New Roman"/>
                              <w:szCs w:val="21"/>
                            </w:rPr>
                          </w:pPr>
                          <w:r>
                            <w:rPr>
                              <w:rFonts w:hint="eastAsia" w:ascii="Times New Roman" w:hAnsi="Times New Roman" w:cs="Times New Roman"/>
                              <w:szCs w:val="21"/>
                            </w:rPr>
                            <w:t>编制环境影响报告书</w:t>
                          </w:r>
                        </w:p>
                      </w:txbxContent>
                    </v:textbox>
                  </v:rect>
                </v:group>
              </v:group>
            </w:pict>
          </mc:Fallback>
        </mc:AlternateContent>
      </w:r>
    </w:p>
    <w:p w14:paraId="38BEF3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23EECB88">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color w:val="auto"/>
          <w:spacing w:val="0"/>
          <w:w w:val="100"/>
          <w:position w:val="0"/>
          <w:sz w:val="24"/>
        </w:rPr>
      </w:pPr>
      <w:r>
        <w:rPr>
          <w:rFonts w:hint="default" w:ascii="Times New Roman" w:hAnsi="Times New Roman" w:eastAsia="宋体" w:cs="Times New Roman"/>
          <w:b/>
          <w:bCs/>
          <w:color w:val="auto"/>
          <w:spacing w:val="0"/>
          <w:w w:val="100"/>
          <w:position w:val="0"/>
          <w:sz w:val="24"/>
        </w:rPr>
        <mc:AlternateContent>
          <mc:Choice Requires="wps">
            <w:drawing>
              <wp:anchor distT="0" distB="0" distL="114300" distR="114300" simplePos="0" relativeHeight="251662336" behindDoc="0" locked="0" layoutInCell="1" allowOverlap="1">
                <wp:simplePos x="0" y="0"/>
                <wp:positionH relativeFrom="column">
                  <wp:posOffset>268605</wp:posOffset>
                </wp:positionH>
                <wp:positionV relativeFrom="paragraph">
                  <wp:posOffset>72390</wp:posOffset>
                </wp:positionV>
                <wp:extent cx="392430" cy="867410"/>
                <wp:effectExtent l="0" t="0" r="7620" b="8890"/>
                <wp:wrapNone/>
                <wp:docPr id="49" name="文本框 49"/>
                <wp:cNvGraphicFramePr/>
                <a:graphic xmlns:a="http://schemas.openxmlformats.org/drawingml/2006/main">
                  <a:graphicData uri="http://schemas.microsoft.com/office/word/2010/wordprocessingShape">
                    <wps:wsp>
                      <wps:cNvSpPr txBox="1"/>
                      <wps:spPr>
                        <a:xfrm>
                          <a:off x="0" y="0"/>
                          <a:ext cx="392430" cy="867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1FCEA3">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一阶段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5pt;margin-top:5.7pt;height:68.3pt;width:30.9pt;z-index:251662336;mso-width-relative:page;mso-height-relative:page;" fillcolor="#FFFFFF [3201]" filled="t" stroked="f" coordsize="21600,21600" o:gfxdata="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mjysT1AAAAAkBAAAPAAAA&#10;AAAAAAEAIAAAACIAAABkcnMvZG93bnJldi54bWxQSwECFAAUAAAACACHTuJA/D+TnVICAACQBAAA&#10;DgAAAAAAAAABACAAAAAjAQAAZHJzL2Uyb0RvYy54bWxQSwUGAAAAAAYABgBZAQAA5wUAAAAA&#10;">
                <v:fill on="t" focussize="0,0"/>
                <v:stroke on="f" weight="0.5pt"/>
                <v:imagedata o:title=""/>
                <o:lock v:ext="edit" aspectratio="f"/>
                <v:textbox>
                  <w:txbxContent>
                    <w:p w14:paraId="5E1FCEA3">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eastAsia" w:eastAsiaTheme="minorEastAsia"/>
                          <w:lang w:eastAsia="zh-CN"/>
                        </w:rPr>
                      </w:pPr>
                      <w:r>
                        <w:rPr>
                          <w:rFonts w:hint="eastAsia"/>
                          <w:lang w:eastAsia="zh-CN"/>
                        </w:rPr>
                        <w:t>一阶段</w:t>
                      </w:r>
                    </w:p>
                  </w:txbxContent>
                </v:textbox>
              </v:shape>
            </w:pict>
          </mc:Fallback>
        </mc:AlternateContent>
      </w:r>
    </w:p>
    <w:p w14:paraId="1721492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01B6FD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4EB275A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713E725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1F0B67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55B287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782089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06F560DA">
      <w:pPr>
        <w:pStyle w:val="11"/>
        <w:ind w:left="0" w:leftChars="0" w:firstLine="0" w:firstLineChars="0"/>
        <w:rPr>
          <w:rFonts w:hint="default" w:ascii="Times New Roman" w:hAnsi="Times New Roman" w:eastAsia="宋体" w:cs="Times New Roman"/>
          <w:color w:val="auto"/>
          <w:spacing w:val="0"/>
          <w:w w:val="100"/>
          <w:position w:val="0"/>
        </w:rPr>
      </w:pPr>
    </w:p>
    <w:p w14:paraId="2710BF6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7D55FF4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1D1A7D6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410BB27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35A0A5E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39C0DE1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47C3C5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5AB091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39BBCDF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50D597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58E80C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p>
    <w:p w14:paraId="5E472F4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center"/>
        <w:textAlignment w:val="auto"/>
        <w:rPr>
          <w:rFonts w:hint="default" w:ascii="Times New Roman" w:hAnsi="Times New Roman" w:eastAsia="宋体" w:cs="Times New Roman"/>
          <w:b/>
          <w:bCs/>
          <w:color w:val="auto"/>
          <w:spacing w:val="0"/>
          <w:w w:val="100"/>
          <w:position w:val="0"/>
          <w:sz w:val="24"/>
          <w:lang w:val="en-US" w:eastAsia="zh-CN"/>
        </w:rPr>
      </w:pPr>
      <w:bookmarkStart w:id="15" w:name="_Toc30459"/>
      <w:bookmarkStart w:id="16" w:name="_Toc31889"/>
      <w:bookmarkStart w:id="17" w:name="_Toc20640"/>
      <w:bookmarkStart w:id="18" w:name="_Toc32649"/>
      <w:bookmarkStart w:id="19" w:name="_Toc12995"/>
      <w:r>
        <w:rPr>
          <w:rFonts w:hint="default" w:ascii="Times New Roman" w:hAnsi="Times New Roman" w:eastAsia="宋体" w:cs="Times New Roman"/>
          <w:b/>
          <w:bCs/>
          <w:color w:val="auto"/>
          <w:spacing w:val="0"/>
          <w:w w:val="100"/>
          <w:position w:val="0"/>
          <w:sz w:val="24"/>
          <w:lang w:val="en-US" w:eastAsia="zh-CN"/>
        </w:rPr>
        <w:t>图1.2-1    环境影响评价工作程序图</w:t>
      </w:r>
    </w:p>
    <w:bookmarkEnd w:id="15"/>
    <w:bookmarkEnd w:id="16"/>
    <w:bookmarkEnd w:id="17"/>
    <w:bookmarkEnd w:id="18"/>
    <w:bookmarkEnd w:id="19"/>
    <w:p w14:paraId="4F78D24A">
      <w:pPr>
        <w:pStyle w:val="3"/>
        <w:bidi w:val="0"/>
        <w:rPr>
          <w:rFonts w:hint="default" w:ascii="Times New Roman" w:hAnsi="Times New Roman" w:cs="Times New Roman"/>
          <w:color w:val="auto"/>
          <w:lang w:val="en-US" w:eastAsia="zh-CN"/>
        </w:rPr>
      </w:pPr>
      <w:bookmarkStart w:id="20" w:name="_Toc31540"/>
      <w:bookmarkStart w:id="21" w:name="_Toc29353"/>
      <w:bookmarkStart w:id="22" w:name="_Toc474747826"/>
      <w:bookmarkStart w:id="23" w:name="_Toc17984"/>
      <w:bookmarkStart w:id="24" w:name="_Toc22335"/>
      <w:bookmarkStart w:id="25" w:name="_Toc3567_WPSOffice_Level1"/>
      <w:bookmarkStart w:id="26" w:name="_Toc474747827"/>
      <w:r>
        <w:rPr>
          <w:rFonts w:hint="default" w:ascii="Times New Roman" w:hAnsi="Times New Roman" w:cs="Times New Roman"/>
          <w:color w:val="auto"/>
          <w:lang w:val="en-US" w:eastAsia="zh-CN"/>
        </w:rPr>
        <w:t>分析判定相关情况</w:t>
      </w:r>
      <w:bookmarkEnd w:id="20"/>
      <w:bookmarkEnd w:id="21"/>
      <w:bookmarkEnd w:id="22"/>
      <w:bookmarkEnd w:id="23"/>
      <w:bookmarkEnd w:id="24"/>
      <w:bookmarkEnd w:id="25"/>
    </w:p>
    <w:p w14:paraId="7D1D3F8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hd w:val="clear" w:color="auto" w:fill="auto"/>
          <w:lang w:val="en-US" w:eastAsia="zh-CN"/>
        </w:rPr>
      </w:pPr>
      <w:r>
        <w:rPr>
          <w:rFonts w:hint="default" w:ascii="Times New Roman" w:hAnsi="Times New Roman" w:eastAsia="宋体" w:cs="Times New Roman"/>
          <w:color w:val="auto"/>
          <w:spacing w:val="0"/>
          <w:w w:val="100"/>
          <w:position w:val="0"/>
          <w:sz w:val="24"/>
          <w:lang w:val="en-US" w:eastAsia="zh-CN"/>
        </w:rPr>
        <w:t>本项目为铜矿采矿项目，根据《产业结构调整指导目录（2024年本）》，不属于产业政策鼓</w:t>
      </w:r>
      <w:r>
        <w:rPr>
          <w:rFonts w:hint="default" w:ascii="Times New Roman" w:hAnsi="Times New Roman" w:eastAsia="宋体" w:cs="Times New Roman"/>
          <w:color w:val="auto"/>
          <w:spacing w:val="0"/>
          <w:w w:val="100"/>
          <w:position w:val="0"/>
          <w:sz w:val="24"/>
          <w:shd w:val="clear" w:color="auto" w:fill="auto"/>
          <w:lang w:val="en-US" w:eastAsia="zh-CN"/>
        </w:rPr>
        <w:t>励类、限制类、淘汰类项目，视为允许类，本项目的建设符合国家产业政策。</w:t>
      </w:r>
    </w:p>
    <w:p w14:paraId="082FDFE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lang w:val="en-US" w:eastAsia="zh-CN"/>
        </w:rPr>
        <w:t>对照《西部地区鼓励类产业目录（202</w:t>
      </w:r>
      <w:r>
        <w:rPr>
          <w:rFonts w:hint="default" w:ascii="Times New Roman" w:hAnsi="Times New Roman" w:cs="Times New Roman"/>
          <w:color w:val="auto"/>
          <w:spacing w:val="0"/>
          <w:w w:val="100"/>
          <w:position w:val="0"/>
          <w:sz w:val="24"/>
          <w:lang w:val="en-US" w:eastAsia="zh-CN"/>
        </w:rPr>
        <w:t>5</w:t>
      </w:r>
      <w:r>
        <w:rPr>
          <w:rFonts w:hint="default" w:ascii="Times New Roman" w:hAnsi="Times New Roman" w:eastAsia="宋体" w:cs="Times New Roman"/>
          <w:color w:val="auto"/>
          <w:spacing w:val="0"/>
          <w:w w:val="100"/>
          <w:position w:val="0"/>
          <w:sz w:val="24"/>
          <w:lang w:val="en-US" w:eastAsia="zh-CN"/>
        </w:rPr>
        <w:t>年本）》，本项目属于新疆维吾尔自</w:t>
      </w:r>
      <w:r>
        <w:rPr>
          <w:rFonts w:hint="default" w:ascii="Times New Roman" w:hAnsi="Times New Roman" w:cs="Times New Roman"/>
          <w:color w:val="auto"/>
          <w:spacing w:val="0"/>
          <w:w w:val="100"/>
          <w:position w:val="0"/>
          <w:sz w:val="24"/>
          <w:lang w:val="en-US" w:eastAsia="zh-CN"/>
        </w:rPr>
        <w:t>治区</w:t>
      </w:r>
      <w:r>
        <w:rPr>
          <w:rFonts w:hint="default" w:ascii="Times New Roman" w:hAnsi="Times New Roman" w:eastAsia="宋体" w:cs="Times New Roman"/>
          <w:color w:val="auto"/>
          <w:spacing w:val="0"/>
          <w:w w:val="100"/>
          <w:position w:val="0"/>
          <w:sz w:val="24"/>
          <w:lang w:val="en-US" w:eastAsia="zh-CN"/>
        </w:rPr>
        <w:t>（含新疆生产建设兵团）中19.铁、锰、</w:t>
      </w:r>
      <w:r>
        <w:rPr>
          <w:rFonts w:hint="default" w:ascii="Times New Roman" w:hAnsi="Times New Roman" w:eastAsia="宋体" w:cs="Times New Roman"/>
          <w:b/>
          <w:bCs/>
          <w:color w:val="auto"/>
          <w:spacing w:val="0"/>
          <w:w w:val="100"/>
          <w:position w:val="0"/>
          <w:sz w:val="24"/>
          <w:lang w:val="en-US" w:eastAsia="zh-CN"/>
        </w:rPr>
        <w:t>铜</w:t>
      </w:r>
      <w:r>
        <w:rPr>
          <w:rFonts w:hint="default" w:ascii="Times New Roman" w:hAnsi="Times New Roman" w:eastAsia="宋体" w:cs="Times New Roman"/>
          <w:color w:val="auto"/>
          <w:spacing w:val="0"/>
          <w:w w:val="100"/>
          <w:position w:val="0"/>
          <w:sz w:val="24"/>
          <w:lang w:val="en-US" w:eastAsia="zh-CN"/>
        </w:rPr>
        <w:t>、镍、铅、锌、钨、锡、钛、锑、镁、稀有金属和稀散金属勘探、有序开采、精深加工、加工新技术开发及应用，符合《西部地区鼓励类产业目录（202</w:t>
      </w:r>
      <w:r>
        <w:rPr>
          <w:rFonts w:hint="default" w:ascii="Times New Roman" w:hAnsi="Times New Roman" w:cs="Times New Roman"/>
          <w:color w:val="auto"/>
          <w:spacing w:val="0"/>
          <w:w w:val="100"/>
          <w:position w:val="0"/>
          <w:sz w:val="24"/>
          <w:lang w:val="en-US" w:eastAsia="zh-CN"/>
        </w:rPr>
        <w:t>5</w:t>
      </w:r>
      <w:r>
        <w:rPr>
          <w:rFonts w:hint="default" w:ascii="Times New Roman" w:hAnsi="Times New Roman" w:eastAsia="宋体" w:cs="Times New Roman"/>
          <w:color w:val="auto"/>
          <w:spacing w:val="0"/>
          <w:w w:val="100"/>
          <w:position w:val="0"/>
          <w:sz w:val="24"/>
          <w:lang w:val="en-US" w:eastAsia="zh-CN"/>
        </w:rPr>
        <w:t>年本）》鼓励类产业要求。</w:t>
      </w:r>
    </w:p>
    <w:p w14:paraId="71A8916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lang w:val="en-US" w:eastAsia="zh-CN"/>
        </w:rPr>
        <w:t>本项目为铜矿采矿项目，在《矿产资源开发利用辐射环境监督管理名录》中，根据矿石检测报告，该项目矿石、废石含有的铀（钍）系单个核素活度浓度均未超过1贝可/克（Bq/g）。根据《关于发布</w:t>
      </w:r>
      <w:r>
        <w:rPr>
          <w:rFonts w:hint="default" w:ascii="Times New Roman" w:hAnsi="Times New Roman" w:cs="Times New Roman"/>
          <w:color w:val="auto"/>
          <w:spacing w:val="0"/>
          <w:w w:val="100"/>
          <w:position w:val="0"/>
          <w:sz w:val="24"/>
          <w:lang w:val="en-US" w:eastAsia="zh-CN"/>
        </w:rPr>
        <w:t>〈</w:t>
      </w:r>
      <w:r>
        <w:rPr>
          <w:rFonts w:hint="default" w:ascii="Times New Roman" w:hAnsi="Times New Roman" w:eastAsia="宋体" w:cs="Times New Roman"/>
          <w:color w:val="auto"/>
          <w:spacing w:val="0"/>
          <w:w w:val="100"/>
          <w:position w:val="0"/>
          <w:sz w:val="24"/>
          <w:lang w:val="en-US" w:eastAsia="zh-CN"/>
        </w:rPr>
        <w:t>矿产资源开发利用辐射环境监督管理名录</w:t>
      </w:r>
      <w:r>
        <w:rPr>
          <w:rFonts w:hint="default" w:ascii="Times New Roman" w:hAnsi="Times New Roman" w:cs="Times New Roman"/>
          <w:color w:val="auto"/>
          <w:spacing w:val="0"/>
          <w:w w:val="100"/>
          <w:position w:val="0"/>
          <w:sz w:val="24"/>
          <w:lang w:val="en-US" w:eastAsia="zh-CN"/>
        </w:rPr>
        <w:t>〉</w:t>
      </w:r>
      <w:r>
        <w:rPr>
          <w:rFonts w:hint="default" w:ascii="Times New Roman" w:hAnsi="Times New Roman" w:eastAsia="宋体" w:cs="Times New Roman"/>
          <w:color w:val="auto"/>
          <w:spacing w:val="0"/>
          <w:w w:val="100"/>
          <w:position w:val="0"/>
          <w:sz w:val="24"/>
          <w:lang w:val="en-US" w:eastAsia="zh-CN"/>
        </w:rPr>
        <w:t>的公告》（生态环境部公告2020第54号）规</w:t>
      </w:r>
      <w:r>
        <w:rPr>
          <w:rFonts w:hint="default" w:ascii="Times New Roman" w:hAnsi="Times New Roman" w:eastAsia="宋体" w:cs="Times New Roman"/>
          <w:color w:val="auto"/>
          <w:spacing w:val="0"/>
          <w:w w:val="100"/>
          <w:position w:val="0"/>
          <w:sz w:val="24"/>
          <w:highlight w:val="none"/>
          <w:lang w:val="en-US" w:eastAsia="zh-CN"/>
        </w:rPr>
        <w:t>定，本项目不单独设置辐射环境影响评价专篇。</w:t>
      </w:r>
    </w:p>
    <w:p w14:paraId="7DA6C2E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shd w:val="clear" w:color="auto" w:fill="auto"/>
          <w:lang w:val="en-US" w:eastAsia="zh-CN"/>
        </w:rPr>
      </w:pPr>
      <w:r>
        <w:rPr>
          <w:rFonts w:hint="default" w:ascii="Times New Roman" w:hAnsi="Times New Roman" w:eastAsia="宋体" w:cs="Times New Roman"/>
          <w:color w:val="auto"/>
          <w:spacing w:val="0"/>
          <w:w w:val="100"/>
          <w:position w:val="0"/>
          <w:sz w:val="24"/>
          <w:highlight w:val="none"/>
          <w:shd w:val="clear" w:color="auto" w:fill="auto"/>
          <w:lang w:val="en-US" w:eastAsia="zh-CN"/>
        </w:rPr>
        <w:t>根据《关于进一步加强矿产资源储量管理工作有关问题的通知》（新国土资发〔2008〕148号文）的有关内容：申请新立采矿权，煤矿勘查程度应按相关要求确定，生产规模在15万吨/年（含）以下的应达到详查程度并符合开采设计要求，15万吨/年以上的应达到勘探程度；非煤矿山原则上应达到勘探程度，简单矿床应达到详查程度并符合开采设计要求，小型非金属矿山原则上应达到普查（含）以上程度并符合开采设计要求，申请新立采矿权</w:t>
      </w:r>
      <w:r>
        <w:rPr>
          <w:rFonts w:hint="default" w:ascii="Times New Roman" w:hAnsi="Times New Roman" w:cs="Times New Roman"/>
          <w:color w:val="auto"/>
          <w:spacing w:val="0"/>
          <w:w w:val="100"/>
          <w:position w:val="0"/>
          <w:sz w:val="24"/>
          <w:highlight w:val="none"/>
          <w:shd w:val="clear" w:color="auto" w:fill="auto"/>
          <w:lang w:val="en-US" w:eastAsia="zh-CN"/>
        </w:rPr>
        <w:t>至少满足矿山最低开采规模五年</w:t>
      </w:r>
      <w:r>
        <w:rPr>
          <w:rFonts w:hint="default" w:ascii="Times New Roman" w:hAnsi="Times New Roman" w:eastAsia="宋体" w:cs="Times New Roman"/>
          <w:color w:val="auto"/>
          <w:spacing w:val="0"/>
          <w:w w:val="100"/>
          <w:position w:val="0"/>
          <w:sz w:val="24"/>
          <w:highlight w:val="none"/>
          <w:shd w:val="clear" w:color="auto" w:fill="auto"/>
          <w:lang w:val="en-US" w:eastAsia="zh-CN"/>
        </w:rPr>
        <w:t>的资源量（推断的333类别及以上，不含开采及设计损失量）。本项目为铜矿</w:t>
      </w:r>
      <w:r>
        <w:rPr>
          <w:rFonts w:hint="default" w:ascii="Times New Roman" w:hAnsi="Times New Roman" w:cs="Times New Roman"/>
          <w:color w:val="auto"/>
          <w:spacing w:val="0"/>
          <w:w w:val="100"/>
          <w:position w:val="0"/>
          <w:sz w:val="24"/>
          <w:highlight w:val="none"/>
          <w:shd w:val="clear" w:color="auto" w:fill="auto"/>
          <w:lang w:val="en-US" w:eastAsia="zh-CN"/>
        </w:rPr>
        <w:t>开采</w:t>
      </w:r>
      <w:r>
        <w:rPr>
          <w:rFonts w:hint="default" w:ascii="Times New Roman" w:hAnsi="Times New Roman" w:eastAsia="宋体" w:cs="Times New Roman"/>
          <w:color w:val="auto"/>
          <w:spacing w:val="0"/>
          <w:w w:val="100"/>
          <w:position w:val="0"/>
          <w:sz w:val="24"/>
          <w:highlight w:val="none"/>
          <w:shd w:val="clear" w:color="auto" w:fill="auto"/>
          <w:lang w:val="en-US" w:eastAsia="zh-CN"/>
        </w:rPr>
        <w:t>项目，属于非煤矿山，在资源储量核实报告上编制</w:t>
      </w:r>
      <w:r>
        <w:rPr>
          <w:rFonts w:hint="default" w:ascii="Times New Roman" w:hAnsi="Times New Roman" w:cs="Times New Roman"/>
          <w:color w:val="auto"/>
          <w:spacing w:val="0"/>
          <w:w w:val="100"/>
          <w:position w:val="0"/>
          <w:sz w:val="24"/>
          <w:highlight w:val="none"/>
          <w:shd w:val="clear" w:color="auto" w:fill="auto"/>
          <w:lang w:val="en-US" w:eastAsia="zh-CN"/>
        </w:rPr>
        <w:t>开采方案</w:t>
      </w:r>
      <w:r>
        <w:rPr>
          <w:rFonts w:hint="default" w:ascii="Times New Roman" w:hAnsi="Times New Roman" w:eastAsia="宋体" w:cs="Times New Roman"/>
          <w:color w:val="auto"/>
          <w:spacing w:val="0"/>
          <w:w w:val="100"/>
          <w:position w:val="0"/>
          <w:sz w:val="24"/>
          <w:highlight w:val="none"/>
          <w:shd w:val="clear" w:color="auto" w:fill="auto"/>
          <w:lang w:val="en-US" w:eastAsia="zh-CN"/>
        </w:rPr>
        <w:t>，</w:t>
      </w:r>
      <w:r>
        <w:rPr>
          <w:rFonts w:hint="default" w:ascii="Times New Roman" w:hAnsi="Times New Roman" w:cs="Times New Roman"/>
          <w:color w:val="auto"/>
          <w:spacing w:val="0"/>
          <w:w w:val="100"/>
          <w:position w:val="0"/>
          <w:sz w:val="24"/>
          <w:szCs w:val="24"/>
          <w:highlight w:val="none"/>
          <w:lang w:val="en-US" w:eastAsia="zh-CN"/>
        </w:rPr>
        <w:t>设计采用地下开采</w:t>
      </w:r>
      <w:r>
        <w:rPr>
          <w:rFonts w:hint="default" w:ascii="Times New Roman" w:hAnsi="Times New Roman" w:eastAsia="宋体" w:cs="Times New Roman"/>
          <w:color w:val="auto"/>
          <w:spacing w:val="0"/>
          <w:w w:val="100"/>
          <w:position w:val="0"/>
          <w:sz w:val="24"/>
          <w:szCs w:val="24"/>
          <w:highlight w:val="none"/>
          <w:lang w:val="en-US" w:eastAsia="zh-CN"/>
        </w:rPr>
        <w:t>，设计生产规模为</w:t>
      </w:r>
      <w:r>
        <w:rPr>
          <w:rFonts w:hint="default" w:ascii="Times New Roman" w:hAnsi="Times New Roman" w:cs="Times New Roman"/>
          <w:color w:val="auto"/>
          <w:spacing w:val="0"/>
          <w:w w:val="100"/>
          <w:position w:val="0"/>
          <w:sz w:val="24"/>
          <w:szCs w:val="24"/>
          <w:highlight w:val="none"/>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0×10</w:t>
      </w:r>
      <w:r>
        <w:rPr>
          <w:rFonts w:hint="default" w:ascii="Times New Roman" w:hAnsi="Times New Roman" w:eastAsia="宋体" w:cs="Times New Roman"/>
          <w:color w:val="auto"/>
          <w:spacing w:val="0"/>
          <w:w w:val="100"/>
          <w:position w:val="0"/>
          <w:sz w:val="24"/>
          <w:szCs w:val="24"/>
          <w:highlight w:val="none"/>
          <w:vertAlign w:val="superscript"/>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t/a，服务年限为10</w:t>
      </w:r>
      <w:r>
        <w:rPr>
          <w:rFonts w:hint="default" w:ascii="Times New Roman" w:hAnsi="Times New Roman" w:cs="Times New Roman"/>
          <w:color w:val="auto"/>
          <w:spacing w:val="0"/>
          <w:w w:val="100"/>
          <w:position w:val="0"/>
          <w:sz w:val="24"/>
          <w:szCs w:val="24"/>
          <w:highlight w:val="none"/>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a，</w:t>
      </w:r>
      <w:r>
        <w:rPr>
          <w:rFonts w:hint="default" w:ascii="Times New Roman" w:hAnsi="Times New Roman" w:eastAsia="宋体" w:cs="Times New Roman"/>
          <w:color w:val="auto"/>
          <w:spacing w:val="0"/>
          <w:w w:val="100"/>
          <w:position w:val="0"/>
          <w:sz w:val="24"/>
          <w:highlight w:val="none"/>
          <w:shd w:val="clear" w:color="auto" w:fill="auto"/>
          <w:lang w:val="en-US" w:eastAsia="zh-CN"/>
        </w:rPr>
        <w:t>满足铜矿开采最低生产规模（铜矿6万吨/年）的要求，符合《关于进一步加强矿产资源储量管理工作有关问题的通知》（新国土资发〔2008〕148号文）的有关内容。</w:t>
      </w:r>
    </w:p>
    <w:p w14:paraId="20F027F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shd w:val="clear" w:color="auto" w:fill="auto"/>
          <w:lang w:val="en-US" w:eastAsia="zh-CN"/>
        </w:rPr>
      </w:pPr>
      <w:r>
        <w:rPr>
          <w:rFonts w:hint="default" w:ascii="Times New Roman" w:hAnsi="Times New Roman" w:eastAsia="宋体" w:cs="Times New Roman"/>
          <w:color w:val="auto"/>
          <w:spacing w:val="0"/>
          <w:w w:val="100"/>
          <w:position w:val="0"/>
          <w:sz w:val="24"/>
          <w:highlight w:val="none"/>
          <w:shd w:val="clear" w:color="auto" w:fill="auto"/>
          <w:lang w:val="en-US" w:eastAsia="zh-CN"/>
        </w:rPr>
        <w:t>根据《关于印发</w:t>
      </w:r>
      <w:r>
        <w:rPr>
          <w:rFonts w:hint="default" w:ascii="Times New Roman" w:hAnsi="Times New Roman" w:cs="Times New Roman"/>
          <w:color w:val="auto"/>
          <w:spacing w:val="0"/>
          <w:w w:val="100"/>
          <w:position w:val="0"/>
          <w:sz w:val="24"/>
          <w:highlight w:val="none"/>
          <w:shd w:val="clear" w:color="auto" w:fill="auto"/>
          <w:lang w:val="en-US" w:eastAsia="zh-CN"/>
        </w:rPr>
        <w:t>〈</w:t>
      </w:r>
      <w:r>
        <w:rPr>
          <w:rFonts w:hint="default" w:ascii="Times New Roman" w:hAnsi="Times New Roman" w:eastAsia="宋体" w:cs="Times New Roman"/>
          <w:color w:val="auto"/>
          <w:spacing w:val="0"/>
          <w:w w:val="100"/>
          <w:position w:val="0"/>
          <w:sz w:val="24"/>
          <w:highlight w:val="none"/>
          <w:shd w:val="clear" w:color="auto" w:fill="auto"/>
          <w:lang w:val="en-US" w:eastAsia="zh-CN"/>
        </w:rPr>
        <w:t>新疆维吾尔自治区非煤矿种（12种）矿山最小生产规模和最低服务年限（暂行）</w:t>
      </w:r>
      <w:r>
        <w:rPr>
          <w:rFonts w:hint="default" w:ascii="Times New Roman" w:hAnsi="Times New Roman" w:cs="Times New Roman"/>
          <w:color w:val="auto"/>
          <w:spacing w:val="0"/>
          <w:w w:val="100"/>
          <w:position w:val="0"/>
          <w:sz w:val="24"/>
          <w:highlight w:val="none"/>
          <w:shd w:val="clear" w:color="auto" w:fill="auto"/>
          <w:lang w:val="en-US" w:eastAsia="zh-CN"/>
        </w:rPr>
        <w:t>〉</w:t>
      </w:r>
      <w:r>
        <w:rPr>
          <w:rFonts w:hint="default" w:ascii="Times New Roman" w:hAnsi="Times New Roman" w:eastAsia="宋体" w:cs="Times New Roman"/>
          <w:color w:val="auto"/>
          <w:spacing w:val="0"/>
          <w:w w:val="100"/>
          <w:position w:val="0"/>
          <w:sz w:val="24"/>
          <w:highlight w:val="none"/>
          <w:shd w:val="clear" w:color="auto" w:fill="auto"/>
          <w:lang w:val="en-US" w:eastAsia="zh-CN"/>
        </w:rPr>
        <w:t>的通知》（新自然资发〔2019〕25号），规定的铜矿最低开采规模为6万吨/年，最低服务年限为9年。本项目</w:t>
      </w:r>
      <w:r>
        <w:rPr>
          <w:rFonts w:hint="default" w:ascii="Times New Roman" w:hAnsi="Times New Roman" w:cs="Times New Roman"/>
          <w:color w:val="auto"/>
          <w:spacing w:val="0"/>
          <w:w w:val="100"/>
          <w:position w:val="0"/>
          <w:sz w:val="24"/>
          <w:szCs w:val="24"/>
          <w:highlight w:val="none"/>
          <w:lang w:val="en-US" w:eastAsia="zh-CN"/>
        </w:rPr>
        <w:t>设计采用地下开采</w:t>
      </w:r>
      <w:r>
        <w:rPr>
          <w:rFonts w:hint="default" w:ascii="Times New Roman" w:hAnsi="Times New Roman" w:eastAsia="宋体" w:cs="Times New Roman"/>
          <w:color w:val="auto"/>
          <w:spacing w:val="0"/>
          <w:w w:val="100"/>
          <w:position w:val="0"/>
          <w:sz w:val="24"/>
          <w:szCs w:val="24"/>
          <w:highlight w:val="none"/>
          <w:lang w:val="en-US" w:eastAsia="zh-CN"/>
        </w:rPr>
        <w:t>，设计生产规模为</w:t>
      </w:r>
      <w:r>
        <w:rPr>
          <w:rFonts w:hint="default" w:ascii="Times New Roman" w:hAnsi="Times New Roman" w:cs="Times New Roman"/>
          <w:color w:val="auto"/>
          <w:spacing w:val="0"/>
          <w:w w:val="100"/>
          <w:position w:val="0"/>
          <w:sz w:val="24"/>
          <w:szCs w:val="24"/>
          <w:highlight w:val="none"/>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0×10</w:t>
      </w:r>
      <w:r>
        <w:rPr>
          <w:rFonts w:hint="default" w:ascii="Times New Roman" w:hAnsi="Times New Roman" w:eastAsia="宋体" w:cs="Times New Roman"/>
          <w:color w:val="auto"/>
          <w:spacing w:val="0"/>
          <w:w w:val="100"/>
          <w:position w:val="0"/>
          <w:sz w:val="24"/>
          <w:szCs w:val="24"/>
          <w:highlight w:val="none"/>
          <w:vertAlign w:val="superscript"/>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t/a，服务年限为10</w:t>
      </w:r>
      <w:r>
        <w:rPr>
          <w:rFonts w:hint="default" w:ascii="Times New Roman" w:hAnsi="Times New Roman" w:cs="Times New Roman"/>
          <w:color w:val="auto"/>
          <w:spacing w:val="0"/>
          <w:w w:val="100"/>
          <w:position w:val="0"/>
          <w:sz w:val="24"/>
          <w:szCs w:val="24"/>
          <w:highlight w:val="none"/>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a</w:t>
      </w:r>
      <w:r>
        <w:rPr>
          <w:rFonts w:hint="default" w:ascii="Times New Roman" w:hAnsi="Times New Roman" w:eastAsia="宋体" w:cs="Times New Roman"/>
          <w:color w:val="auto"/>
          <w:spacing w:val="0"/>
          <w:w w:val="100"/>
          <w:position w:val="0"/>
          <w:sz w:val="24"/>
          <w:highlight w:val="none"/>
          <w:shd w:val="clear" w:color="auto" w:fill="auto"/>
          <w:lang w:val="en-US" w:eastAsia="zh-CN"/>
        </w:rPr>
        <w:t>，开采规模达到上述文件对应的规模，符合《关于印发</w:t>
      </w:r>
      <w:r>
        <w:rPr>
          <w:rFonts w:hint="default" w:ascii="Times New Roman" w:hAnsi="Times New Roman" w:cs="Times New Roman"/>
          <w:color w:val="auto"/>
          <w:spacing w:val="0"/>
          <w:w w:val="100"/>
          <w:position w:val="0"/>
          <w:sz w:val="24"/>
          <w:highlight w:val="none"/>
          <w:shd w:val="clear" w:color="auto" w:fill="auto"/>
          <w:lang w:val="en-US" w:eastAsia="zh-CN"/>
        </w:rPr>
        <w:t>〈</w:t>
      </w:r>
      <w:r>
        <w:rPr>
          <w:rFonts w:hint="default" w:ascii="Times New Roman" w:hAnsi="Times New Roman" w:eastAsia="宋体" w:cs="Times New Roman"/>
          <w:color w:val="auto"/>
          <w:spacing w:val="0"/>
          <w:w w:val="100"/>
          <w:position w:val="0"/>
          <w:sz w:val="24"/>
          <w:highlight w:val="none"/>
          <w:shd w:val="clear" w:color="auto" w:fill="auto"/>
          <w:lang w:val="en-US" w:eastAsia="zh-CN"/>
        </w:rPr>
        <w:t>新疆维吾尔自治区非煤矿种（12种）矿山最小生产规模和最低服务年限（暂行）</w:t>
      </w:r>
      <w:r>
        <w:rPr>
          <w:rFonts w:hint="default" w:ascii="Times New Roman" w:hAnsi="Times New Roman" w:cs="Times New Roman"/>
          <w:color w:val="auto"/>
          <w:spacing w:val="0"/>
          <w:w w:val="100"/>
          <w:position w:val="0"/>
          <w:sz w:val="24"/>
          <w:highlight w:val="none"/>
          <w:shd w:val="clear" w:color="auto" w:fill="auto"/>
          <w:lang w:val="en-US" w:eastAsia="zh-CN"/>
        </w:rPr>
        <w:t>〉</w:t>
      </w:r>
      <w:r>
        <w:rPr>
          <w:rFonts w:hint="default" w:ascii="Times New Roman" w:hAnsi="Times New Roman" w:eastAsia="宋体" w:cs="Times New Roman"/>
          <w:color w:val="auto"/>
          <w:spacing w:val="0"/>
          <w:w w:val="100"/>
          <w:position w:val="0"/>
          <w:sz w:val="24"/>
          <w:highlight w:val="none"/>
          <w:shd w:val="clear" w:color="auto" w:fill="auto"/>
          <w:lang w:val="en-US" w:eastAsia="zh-CN"/>
        </w:rPr>
        <w:t>的通知》（新自然资发〔2019〕25号）中的规定。</w:t>
      </w:r>
    </w:p>
    <w:p w14:paraId="5968C97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shd w:val="clear" w:color="auto" w:fill="auto"/>
          <w:lang w:val="en-US" w:eastAsia="zh-CN"/>
        </w:rPr>
        <w:t>根据《新疆维吾尔自治区重点行业生态环境准入条件（2024年）》中关于金属矿采选行业环境准入</w:t>
      </w:r>
      <w:r>
        <w:rPr>
          <w:rFonts w:hint="default" w:ascii="Times New Roman" w:hAnsi="Times New Roman" w:eastAsia="宋体" w:cs="Times New Roman"/>
          <w:color w:val="auto"/>
          <w:spacing w:val="0"/>
          <w:w w:val="100"/>
          <w:position w:val="0"/>
          <w:sz w:val="24"/>
          <w:shd w:val="clear" w:color="auto" w:fill="auto"/>
          <w:lang w:val="en-US" w:eastAsia="zh-CN"/>
        </w:rPr>
        <w:t>条件要求：“铁路、高速公路、国道、省道等重要交通干线两侧200米范围以内（其中，禁止在铁路、国道、省道两侧的直观可视范围内进行露天开采），重要工业区、大型水利工程设施、城镇市政工程设施所在区域，军事管理区、机场、国防工程设施圈定的区域，居民聚集区1000米以内、伊犁河、额尔齐斯河等重要河流源头区、水环境功能区划为I、Ⅱ类和具有饮用功能的</w:t>
      </w:r>
      <w:bookmarkStart w:id="27" w:name="OLE_LINK5"/>
      <w:r>
        <w:rPr>
          <w:rFonts w:hint="default" w:ascii="Times New Roman" w:hAnsi="Times New Roman" w:eastAsia="宋体" w:cs="Times New Roman"/>
          <w:color w:val="auto"/>
          <w:spacing w:val="0"/>
          <w:w w:val="100"/>
          <w:position w:val="0"/>
          <w:sz w:val="24"/>
          <w:shd w:val="clear" w:color="auto" w:fill="auto"/>
          <w:lang w:val="en-US" w:eastAsia="zh-CN"/>
        </w:rPr>
        <w:t>Ⅲ</w:t>
      </w:r>
      <w:bookmarkEnd w:id="27"/>
      <w:r>
        <w:rPr>
          <w:rFonts w:hint="default" w:ascii="Times New Roman" w:hAnsi="Times New Roman" w:eastAsia="宋体" w:cs="Times New Roman"/>
          <w:color w:val="auto"/>
          <w:spacing w:val="0"/>
          <w:w w:val="100"/>
          <w:position w:val="0"/>
          <w:sz w:val="24"/>
          <w:shd w:val="clear" w:color="auto" w:fill="auto"/>
          <w:lang w:val="en-US" w:eastAsia="zh-CN"/>
        </w:rPr>
        <w:t>类水体岸边1000米以内，</w:t>
      </w:r>
      <w:r>
        <w:rPr>
          <w:rFonts w:hint="default" w:ascii="Times New Roman" w:hAnsi="Times New Roman" w:cs="Times New Roman"/>
          <w:color w:val="auto"/>
          <w:spacing w:val="0"/>
          <w:w w:val="100"/>
          <w:position w:val="0"/>
          <w:sz w:val="24"/>
          <w:shd w:val="clear" w:color="auto" w:fill="auto"/>
          <w:lang w:val="en-US" w:eastAsia="zh-CN"/>
        </w:rPr>
        <w:t>其他</w:t>
      </w:r>
      <w:r>
        <w:rPr>
          <w:rFonts w:hint="default" w:ascii="Times New Roman" w:hAnsi="Times New Roman" w:eastAsia="宋体" w:cs="Times New Roman"/>
          <w:color w:val="auto"/>
          <w:spacing w:val="0"/>
          <w:w w:val="100"/>
          <w:position w:val="0"/>
          <w:sz w:val="24"/>
          <w:shd w:val="clear" w:color="auto" w:fill="auto"/>
          <w:lang w:val="en-US" w:eastAsia="zh-CN"/>
        </w:rPr>
        <w:t>Ⅲ类水体岸边200米以内，原则上不得建设涉及汞、镉、铬、铅、砷等重有色金属矿采选的工业场地、露天矿或尾矿库。存在山体等阻隔地形或建设人工地下水阻隔设施和严格防尘措施的，可适当放宽距离要求，具体根据专业机构论证结论确定。其他水体根据矿产资源开发利用结论和环境影响评价结论管控</w:t>
      </w:r>
      <w:r>
        <w:rPr>
          <w:rFonts w:hint="default" w:ascii="Times New Roman" w:hAnsi="Times New Roman" w:eastAsia="宋体" w:cs="Times New Roman"/>
          <w:color w:val="auto"/>
          <w:spacing w:val="0"/>
          <w:w w:val="100"/>
          <w:position w:val="0"/>
          <w:sz w:val="24"/>
          <w:highlight w:val="none"/>
          <w:shd w:val="clear" w:color="auto" w:fill="auto"/>
          <w:lang w:val="en-US" w:eastAsia="zh-CN"/>
        </w:rPr>
        <w:t>”，</w:t>
      </w:r>
      <w:r>
        <w:rPr>
          <w:rFonts w:hint="default" w:ascii="Times New Roman" w:hAnsi="Times New Roman" w:eastAsia="宋体" w:cs="Times New Roman"/>
          <w:color w:val="auto"/>
          <w:spacing w:val="0"/>
          <w:w w:val="100"/>
          <w:position w:val="0"/>
          <w:sz w:val="24"/>
          <w:highlight w:val="none"/>
          <w:lang w:val="en-US" w:eastAsia="zh-CN"/>
        </w:rPr>
        <w:t>本项目不在文件提到的禁止开采区，本项目</w:t>
      </w:r>
      <w:r>
        <w:rPr>
          <w:rFonts w:hint="default" w:ascii="Times New Roman" w:hAnsi="Times New Roman" w:cs="Times New Roman"/>
          <w:color w:val="auto"/>
          <w:spacing w:val="0"/>
          <w:w w:val="100"/>
          <w:position w:val="0"/>
          <w:sz w:val="24"/>
          <w:highlight w:val="none"/>
          <w:lang w:val="en-US" w:eastAsia="zh-CN"/>
        </w:rPr>
        <w:t>200m范围内无铁路，高速公路、国道、省道等重要交通干线，</w:t>
      </w:r>
      <w:r>
        <w:rPr>
          <w:rFonts w:hint="default" w:ascii="Times New Roman" w:hAnsi="Times New Roman" w:eastAsia="宋体" w:cs="Times New Roman"/>
          <w:color w:val="auto"/>
          <w:spacing w:val="0"/>
          <w:w w:val="100"/>
          <w:position w:val="0"/>
          <w:sz w:val="24"/>
          <w:highlight w:val="none"/>
          <w:lang w:val="en-US" w:eastAsia="zh-CN"/>
        </w:rPr>
        <w:t>周边无重要工业、水利设施和军事管理区、国防工程等；矿区1km范围内无居民集中区，周边</w:t>
      </w:r>
      <w:r>
        <w:rPr>
          <w:rFonts w:hint="default" w:ascii="Times New Roman" w:hAnsi="Times New Roman" w:cs="Times New Roman"/>
          <w:color w:val="auto"/>
          <w:spacing w:val="0"/>
          <w:w w:val="100"/>
          <w:position w:val="0"/>
          <w:sz w:val="24"/>
          <w:highlight w:val="none"/>
          <w:lang w:val="en-US" w:eastAsia="zh-CN"/>
        </w:rPr>
        <w:t>1</w:t>
      </w:r>
      <w:r>
        <w:rPr>
          <w:rFonts w:hint="default" w:ascii="Times New Roman" w:hAnsi="Times New Roman" w:eastAsia="宋体" w:cs="Times New Roman"/>
          <w:color w:val="auto"/>
          <w:spacing w:val="0"/>
          <w:w w:val="100"/>
          <w:position w:val="0"/>
          <w:sz w:val="24"/>
          <w:highlight w:val="none"/>
          <w:lang w:val="en-US" w:eastAsia="zh-CN"/>
        </w:rPr>
        <w:t>km范围内无地表水体，本项目的建设符合</w:t>
      </w:r>
      <w:r>
        <w:rPr>
          <w:rFonts w:hint="default" w:ascii="Times New Roman" w:hAnsi="Times New Roman" w:eastAsia="宋体" w:cs="Times New Roman"/>
          <w:color w:val="auto"/>
          <w:spacing w:val="0"/>
          <w:w w:val="100"/>
          <w:position w:val="0"/>
          <w:sz w:val="24"/>
          <w:highlight w:val="none"/>
          <w:shd w:val="clear" w:color="auto" w:fill="auto"/>
          <w:lang w:val="en-US" w:eastAsia="zh-CN"/>
        </w:rPr>
        <w:t>《新疆维吾尔自治区重点行业生态环境准入条件（2024年）》</w:t>
      </w:r>
      <w:r>
        <w:rPr>
          <w:rFonts w:hint="default" w:ascii="Times New Roman" w:hAnsi="Times New Roman" w:eastAsia="宋体" w:cs="Times New Roman"/>
          <w:color w:val="auto"/>
          <w:spacing w:val="0"/>
          <w:w w:val="100"/>
          <w:position w:val="0"/>
          <w:sz w:val="24"/>
          <w:highlight w:val="none"/>
          <w:lang w:val="en-US" w:eastAsia="zh-CN"/>
        </w:rPr>
        <w:t>中的相关要求。</w:t>
      </w:r>
    </w:p>
    <w:p w14:paraId="4EEFA22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新疆维吾尔自治区环境保护条例》第三十条中指出：任何单位和个人不得在水源涵养区、饮用水水源保护区内和河流、湖泊、水库周围建设重化工、涉重金属等工业污染项目；对已建成的工业污染项目，当地人民政府应当组织限期搬迁。本项目属于铜矿开采项目，矿区不在水源涵养区、饮用水水源保护区内和河流、湖泊、水库等范围内，符合《新疆维吾尔自治区环境保护条例》的相关要求。</w:t>
      </w:r>
    </w:p>
    <w:p w14:paraId="0838627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w:t>
      </w:r>
      <w:r>
        <w:rPr>
          <w:rFonts w:hint="default" w:ascii="Times New Roman" w:hAnsi="Times New Roman" w:cs="Times New Roman"/>
          <w:color w:val="auto"/>
          <w:spacing w:val="0"/>
          <w:w w:val="100"/>
          <w:position w:val="0"/>
          <w:sz w:val="24"/>
          <w:highlight w:val="none"/>
          <w:lang w:val="en-US" w:eastAsia="zh-CN"/>
        </w:rPr>
        <w:t>属于</w:t>
      </w:r>
      <w:r>
        <w:rPr>
          <w:rFonts w:hint="default" w:ascii="Times New Roman" w:hAnsi="Times New Roman" w:eastAsia="宋体" w:cs="Times New Roman"/>
          <w:color w:val="auto"/>
          <w:spacing w:val="0"/>
          <w:w w:val="100"/>
          <w:position w:val="0"/>
          <w:sz w:val="24"/>
          <w:szCs w:val="24"/>
          <w:highlight w:val="none"/>
          <w:lang w:val="en-US" w:eastAsia="zh-CN"/>
        </w:rPr>
        <w:t>哈密市</w:t>
      </w:r>
      <w:r>
        <w:rPr>
          <w:rFonts w:hint="default" w:ascii="Times New Roman" w:hAnsi="Times New Roman" w:eastAsia="宋体" w:cs="Times New Roman"/>
          <w:color w:val="auto"/>
          <w:sz w:val="24"/>
          <w:szCs w:val="24"/>
        </w:rPr>
        <w:t>伊州区</w:t>
      </w:r>
      <w:r>
        <w:rPr>
          <w:rFonts w:hint="default" w:ascii="Times New Roman" w:hAnsi="Times New Roman" w:cs="Times New Roman"/>
          <w:color w:val="auto"/>
          <w:sz w:val="24"/>
          <w:szCs w:val="24"/>
          <w:lang w:val="en-US" w:eastAsia="zh-CN"/>
        </w:rPr>
        <w:t>双井子乡一般管控单元（ZH65050230008）</w:t>
      </w:r>
      <w:r>
        <w:rPr>
          <w:rFonts w:hint="default" w:ascii="Times New Roman" w:hAnsi="Times New Roman" w:eastAsia="宋体" w:cs="Times New Roman"/>
          <w:color w:val="auto"/>
          <w:spacing w:val="0"/>
          <w:w w:val="100"/>
          <w:position w:val="0"/>
          <w:sz w:val="24"/>
          <w:szCs w:val="24"/>
          <w:highlight w:val="none"/>
          <w:lang w:val="en-US" w:eastAsia="zh-CN"/>
        </w:rPr>
        <w:t>，本项目的建设符合《新疆维吾尔自治区生态环境分区管控动态更新成果》</w:t>
      </w:r>
      <w:r>
        <w:rPr>
          <w:rFonts w:hint="default" w:ascii="Times New Roman" w:hAnsi="Times New Roman" w:eastAsia="宋体" w:cs="Times New Roman"/>
          <w:color w:val="auto"/>
          <w:spacing w:val="0"/>
          <w:w w:val="100"/>
          <w:kern w:val="10"/>
          <w:position w:val="0"/>
          <w:sz w:val="24"/>
          <w:szCs w:val="24"/>
          <w:highlight w:val="none"/>
          <w:lang w:val="en-US" w:eastAsia="zh-CN"/>
        </w:rPr>
        <w:t>及《哈密市生态环境分区管控动态更新成果》中的相关要求。</w:t>
      </w:r>
    </w:p>
    <w:p w14:paraId="72C91C8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所在地不属于依法划定的自然保护区、风景名胜区和饮用水水源保护区，也不属于地质灾害危险区等生态脆弱区；矿区所采用方法均为国内普遍运用的采矿方法，矿井涌水经沉淀后循环使用不外排，开采期废石暂存于临时废石场内，</w:t>
      </w:r>
      <w:r>
        <w:rPr>
          <w:rFonts w:hint="default" w:ascii="Times New Roman" w:hAnsi="Times New Roman" w:cs="Times New Roman"/>
          <w:color w:val="auto"/>
          <w:spacing w:val="0"/>
          <w:w w:val="100"/>
          <w:position w:val="0"/>
          <w:sz w:val="24"/>
          <w:highlight w:val="none"/>
          <w:lang w:val="en-US" w:eastAsia="zh-CN"/>
        </w:rPr>
        <w:t>作为充填原料回填于采空区</w:t>
      </w:r>
      <w:r>
        <w:rPr>
          <w:rFonts w:hint="default" w:ascii="Times New Roman" w:hAnsi="Times New Roman" w:eastAsia="宋体" w:cs="Times New Roman"/>
          <w:color w:val="auto"/>
          <w:spacing w:val="0"/>
          <w:w w:val="100"/>
          <w:position w:val="0"/>
          <w:sz w:val="24"/>
          <w:highlight w:val="none"/>
          <w:lang w:val="en-US" w:eastAsia="zh-CN"/>
        </w:rPr>
        <w:t>，综合利用。因此，本项目</w:t>
      </w:r>
      <w:r>
        <w:rPr>
          <w:rFonts w:hint="default" w:ascii="Times New Roman" w:hAnsi="Times New Roman" w:cs="Times New Roman"/>
          <w:color w:val="auto"/>
          <w:spacing w:val="0"/>
          <w:w w:val="100"/>
          <w:position w:val="0"/>
          <w:sz w:val="24"/>
          <w:highlight w:val="none"/>
          <w:lang w:val="en-US" w:eastAsia="zh-CN"/>
        </w:rPr>
        <w:t>的</w:t>
      </w:r>
      <w:r>
        <w:rPr>
          <w:rFonts w:hint="default" w:ascii="Times New Roman" w:hAnsi="Times New Roman" w:eastAsia="宋体" w:cs="Times New Roman"/>
          <w:color w:val="auto"/>
          <w:spacing w:val="0"/>
          <w:w w:val="100"/>
          <w:position w:val="0"/>
          <w:sz w:val="24"/>
          <w:highlight w:val="none"/>
          <w:lang w:val="en-US" w:eastAsia="zh-CN"/>
        </w:rPr>
        <w:t>建设符合《矿山生</w:t>
      </w:r>
      <w:r>
        <w:rPr>
          <w:rFonts w:hint="default" w:ascii="Times New Roman" w:hAnsi="Times New Roman" w:eastAsia="宋体" w:cs="Times New Roman"/>
          <w:color w:val="auto"/>
          <w:spacing w:val="0"/>
          <w:w w:val="100"/>
          <w:position w:val="0"/>
          <w:sz w:val="24"/>
          <w:lang w:val="en-US" w:eastAsia="zh-CN"/>
        </w:rPr>
        <w:t>态环境保护与污染防治技术政策》。</w:t>
      </w:r>
    </w:p>
    <w:p w14:paraId="215FFF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bidi="ar"/>
        </w:rPr>
      </w:pPr>
      <w:r>
        <w:rPr>
          <w:rFonts w:hint="default" w:ascii="Times New Roman" w:hAnsi="Times New Roman" w:eastAsia="宋体" w:cs="Times New Roman"/>
          <w:color w:val="auto"/>
          <w:spacing w:val="0"/>
          <w:w w:val="100"/>
          <w:position w:val="0"/>
          <w:sz w:val="24"/>
          <w:highlight w:val="none"/>
          <w:lang w:val="en-US" w:eastAsia="zh-CN"/>
        </w:rPr>
        <w:t>本项目属于铜矿采矿项目</w:t>
      </w:r>
      <w:r>
        <w:rPr>
          <w:rFonts w:hint="default" w:ascii="Times New Roman" w:hAnsi="Times New Roman" w:eastAsia="宋体" w:cs="Times New Roman"/>
          <w:color w:val="auto"/>
          <w:spacing w:val="0"/>
          <w:w w:val="100"/>
          <w:position w:val="0"/>
          <w:sz w:val="24"/>
          <w:lang w:val="en-US" w:eastAsia="zh-CN"/>
        </w:rPr>
        <w:t>，符合《新疆维吾尔自治区国民经济和社会发展第十五个五年规划纲要》（2</w:t>
      </w:r>
      <w:r>
        <w:rPr>
          <w:rFonts w:hint="default" w:ascii="Times New Roman" w:hAnsi="Times New Roman" w:cs="Times New Roman"/>
          <w:color w:val="auto"/>
          <w:spacing w:val="0"/>
          <w:w w:val="100"/>
          <w:position w:val="0"/>
          <w:sz w:val="24"/>
          <w:lang w:val="en-US" w:eastAsia="zh-CN"/>
        </w:rPr>
        <w:t>026.3</w:t>
      </w:r>
      <w:r>
        <w:rPr>
          <w:rFonts w:hint="default" w:ascii="Times New Roman" w:hAnsi="Times New Roman" w:eastAsia="宋体" w:cs="Times New Roman"/>
          <w:color w:val="auto"/>
          <w:spacing w:val="0"/>
          <w:w w:val="100"/>
          <w:position w:val="0"/>
          <w:sz w:val="24"/>
          <w:lang w:val="en-US" w:eastAsia="zh-CN"/>
        </w:rPr>
        <w:t>）中的“加强矿产资源勘查。实施新一轮找矿突破战略行动，围绕阿尔泰、东一西准噶尔、东一西一西南天山、昆仑一阿尔金等重点成矿区带，开展重要矿产资源调查评价和勘探开发。尽快形成一批战略性矿产和优势矿产勘查后备区、战略接续区，新发现一批找矿靶区和矿产地。持续整治“圈而不探”行为，加快矿产资源“探转采”步伐。完善多元化地质勘查投入模式，推动国有资本、鼓励社会资本加大勘查投入。”相关规定，同时，本项目</w:t>
      </w:r>
      <w:r>
        <w:rPr>
          <w:rFonts w:hint="default" w:ascii="Times New Roman" w:hAnsi="Times New Roman" w:eastAsia="宋体" w:cs="Times New Roman"/>
          <w:color w:val="auto"/>
          <w:spacing w:val="0"/>
          <w:w w:val="100"/>
          <w:position w:val="0"/>
          <w:sz w:val="24"/>
          <w:szCs w:val="24"/>
          <w:lang w:val="en-US" w:eastAsia="zh-CN"/>
        </w:rPr>
        <w:t>的</w:t>
      </w:r>
      <w:r>
        <w:rPr>
          <w:rFonts w:hint="default" w:ascii="Times New Roman" w:hAnsi="Times New Roman" w:eastAsia="宋体" w:cs="Times New Roman"/>
          <w:color w:val="auto"/>
          <w:spacing w:val="0"/>
          <w:w w:val="100"/>
          <w:position w:val="0"/>
          <w:sz w:val="24"/>
          <w:szCs w:val="24"/>
          <w:highlight w:val="none"/>
          <w:lang w:val="en-US" w:eastAsia="zh-CN"/>
        </w:rPr>
        <w:t>建设也符合《哈密市国民经济和社会发展第十五个五年规划纲要</w:t>
      </w:r>
      <w:r>
        <w:rPr>
          <w:rFonts w:hint="default" w:ascii="Times New Roman" w:hAnsi="Times New Roman" w:eastAsia="宋体" w:cs="Times New Roman"/>
          <w:color w:val="auto"/>
          <w:spacing w:val="0"/>
          <w:w w:val="100"/>
          <w:position w:val="0"/>
          <w:sz w:val="24"/>
          <w:szCs w:val="24"/>
          <w:highlight w:val="none"/>
          <w:lang w:val="en-US" w:eastAsia="zh-CN" w:bidi="ar"/>
        </w:rPr>
        <w:t>》中的相关内容。</w:t>
      </w:r>
    </w:p>
    <w:p w14:paraId="3ECCD5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bidi="ar"/>
        </w:rPr>
        <w:t>本项目为</w:t>
      </w:r>
      <w:r>
        <w:rPr>
          <w:rFonts w:hint="default" w:ascii="Times New Roman" w:hAnsi="Times New Roman" w:eastAsia="宋体" w:cs="Times New Roman"/>
          <w:color w:val="auto"/>
          <w:spacing w:val="0"/>
          <w:w w:val="100"/>
          <w:position w:val="0"/>
          <w:sz w:val="24"/>
          <w:highlight w:val="none"/>
          <w:lang w:val="en-US" w:eastAsia="zh-CN"/>
        </w:rPr>
        <w:t>铜矿采矿项目</w:t>
      </w:r>
      <w:r>
        <w:rPr>
          <w:rFonts w:hint="default" w:ascii="Times New Roman" w:hAnsi="Times New Roman" w:eastAsia="宋体" w:cs="Times New Roman"/>
          <w:color w:val="auto"/>
          <w:spacing w:val="0"/>
          <w:w w:val="100"/>
          <w:position w:val="0"/>
          <w:sz w:val="24"/>
          <w:szCs w:val="24"/>
          <w:highlight w:val="none"/>
          <w:lang w:val="en-US" w:eastAsia="zh-CN" w:bidi="ar"/>
        </w:rPr>
        <w:t>，符合《新疆维吾尔自治区矿产资源总体规划》（2021</w:t>
      </w:r>
      <w:r>
        <w:rPr>
          <w:rFonts w:hint="default" w:ascii="Times New Roman" w:hAnsi="Times New Roman" w:cs="Times New Roman"/>
          <w:color w:val="auto"/>
          <w:spacing w:val="0"/>
          <w:w w:val="100"/>
          <w:position w:val="0"/>
          <w:sz w:val="24"/>
          <w:szCs w:val="24"/>
          <w:highlight w:val="none"/>
          <w:lang w:val="en-US" w:eastAsia="zh-CN" w:bidi="ar"/>
        </w:rPr>
        <w:t>—</w:t>
      </w:r>
      <w:r>
        <w:rPr>
          <w:rFonts w:hint="default" w:ascii="Times New Roman" w:hAnsi="Times New Roman" w:eastAsia="宋体" w:cs="Times New Roman"/>
          <w:color w:val="auto"/>
          <w:spacing w:val="0"/>
          <w:w w:val="100"/>
          <w:position w:val="0"/>
          <w:sz w:val="24"/>
          <w:szCs w:val="24"/>
          <w:highlight w:val="none"/>
          <w:lang w:val="en-US" w:eastAsia="zh-CN" w:bidi="ar"/>
        </w:rPr>
        <w:t>2025</w:t>
      </w:r>
      <w:r>
        <w:rPr>
          <w:rFonts w:hint="default" w:ascii="Times New Roman" w:hAnsi="Times New Roman" w:eastAsia="宋体" w:cs="Times New Roman"/>
          <w:color w:val="auto"/>
          <w:spacing w:val="0"/>
          <w:w w:val="100"/>
          <w:position w:val="0"/>
          <w:sz w:val="24"/>
          <w:szCs w:val="24"/>
          <w:highlight w:val="none"/>
        </w:rPr>
        <w:t>年）</w:t>
      </w:r>
      <w:r>
        <w:rPr>
          <w:rFonts w:hint="default" w:ascii="Times New Roman" w:hAnsi="Times New Roman" w:eastAsia="宋体" w:cs="Times New Roman"/>
          <w:color w:val="auto"/>
          <w:spacing w:val="0"/>
          <w:w w:val="100"/>
          <w:position w:val="0"/>
          <w:sz w:val="24"/>
          <w:szCs w:val="24"/>
          <w:highlight w:val="none"/>
          <w:lang w:val="en-US" w:eastAsia="zh-CN"/>
        </w:rPr>
        <w:t>中的“加大吐鲁番、哈密市铁、锰、</w:t>
      </w:r>
      <w:r>
        <w:rPr>
          <w:rFonts w:hint="default" w:ascii="Times New Roman" w:hAnsi="Times New Roman" w:eastAsia="宋体" w:cs="Times New Roman"/>
          <w:b/>
          <w:bCs/>
          <w:color w:val="auto"/>
          <w:spacing w:val="0"/>
          <w:w w:val="100"/>
          <w:position w:val="0"/>
          <w:sz w:val="24"/>
          <w:szCs w:val="24"/>
          <w:highlight w:val="none"/>
          <w:lang w:val="en-US" w:eastAsia="zh-CN"/>
        </w:rPr>
        <w:t>铜</w:t>
      </w:r>
      <w:r>
        <w:rPr>
          <w:rFonts w:hint="default" w:ascii="Times New Roman" w:hAnsi="Times New Roman" w:eastAsia="宋体" w:cs="Times New Roman"/>
          <w:color w:val="auto"/>
          <w:spacing w:val="0"/>
          <w:w w:val="100"/>
          <w:position w:val="0"/>
          <w:sz w:val="24"/>
          <w:szCs w:val="24"/>
          <w:highlight w:val="none"/>
          <w:lang w:val="en-US" w:eastAsia="zh-CN"/>
        </w:rPr>
        <w:t>、镍、金、银、钒、钛、镁、硅质原料等矿产资源的勘查与开发”相关规定</w:t>
      </w:r>
      <w:r>
        <w:rPr>
          <w:rFonts w:hint="default" w:ascii="Times New Roman" w:hAnsi="Times New Roman" w:eastAsia="宋体" w:cs="Times New Roman"/>
          <w:color w:val="auto"/>
          <w:spacing w:val="0"/>
          <w:w w:val="100"/>
          <w:position w:val="0"/>
          <w:sz w:val="24"/>
          <w:szCs w:val="24"/>
          <w:highlight w:val="none"/>
          <w:lang w:val="en-US" w:eastAsia="zh-CN" w:bidi="ar"/>
        </w:rPr>
        <w:t>，且矿区不在禁止开发区域和限制开发区域。同时本项目也</w:t>
      </w:r>
      <w:r>
        <w:rPr>
          <w:rFonts w:hint="default" w:ascii="Times New Roman" w:hAnsi="Times New Roman" w:eastAsia="宋体" w:cs="Times New Roman"/>
          <w:color w:val="auto"/>
          <w:spacing w:val="0"/>
          <w:w w:val="100"/>
          <w:position w:val="0"/>
          <w:sz w:val="24"/>
          <w:szCs w:val="24"/>
          <w:highlight w:val="none"/>
          <w:lang w:val="en-US" w:eastAsia="zh-CN"/>
        </w:rPr>
        <w:t>符合《</w:t>
      </w:r>
      <w:r>
        <w:rPr>
          <w:rFonts w:hint="default" w:ascii="Times New Roman" w:hAnsi="Times New Roman" w:eastAsia="宋体" w:cs="Times New Roman"/>
          <w:color w:val="auto"/>
          <w:spacing w:val="0"/>
          <w:w w:val="100"/>
          <w:position w:val="0"/>
          <w:sz w:val="24"/>
          <w:szCs w:val="24"/>
          <w:highlight w:val="none"/>
          <w:lang w:val="en-US" w:eastAsia="zh-CN" w:bidi="ar"/>
        </w:rPr>
        <w:t>哈密市伊州区矿产资源总体规划（2</w:t>
      </w:r>
      <w:r>
        <w:rPr>
          <w:rFonts w:hint="default" w:ascii="Times New Roman" w:hAnsi="Times New Roman" w:eastAsia="宋体" w:cs="Times New Roman"/>
          <w:color w:val="auto"/>
          <w:spacing w:val="0"/>
          <w:w w:val="100"/>
          <w:position w:val="0"/>
          <w:sz w:val="24"/>
          <w:szCs w:val="24"/>
          <w:highlight w:val="none"/>
          <w:lang w:val="en-US" w:eastAsia="zh-CN"/>
        </w:rPr>
        <w:t>021~2025）》。</w:t>
      </w:r>
    </w:p>
    <w:p w14:paraId="460C8C7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综上，本项目的建设符合相关法律法规、规划及政策要求。</w:t>
      </w:r>
    </w:p>
    <w:p w14:paraId="46A4A525">
      <w:pPr>
        <w:pStyle w:val="3"/>
        <w:bidi w:val="0"/>
        <w:rPr>
          <w:rFonts w:hint="default" w:ascii="Times New Roman" w:hAnsi="Times New Roman" w:cs="Times New Roman"/>
          <w:color w:val="auto"/>
        </w:rPr>
      </w:pPr>
      <w:bookmarkStart w:id="28" w:name="_Toc23298"/>
      <w:bookmarkStart w:id="29" w:name="_Toc25862"/>
      <w:bookmarkStart w:id="30" w:name="_Toc24314_WPSOffice_Level1"/>
      <w:bookmarkStart w:id="31" w:name="_Toc5907"/>
      <w:bookmarkStart w:id="32" w:name="_Toc12253"/>
      <w:r>
        <w:rPr>
          <w:rFonts w:hint="default" w:ascii="Times New Roman" w:hAnsi="Times New Roman" w:cs="Times New Roman"/>
          <w:color w:val="auto"/>
        </w:rPr>
        <w:t>关注的主要环境问题及环境影响</w:t>
      </w:r>
      <w:bookmarkEnd w:id="26"/>
      <w:bookmarkEnd w:id="28"/>
      <w:bookmarkEnd w:id="29"/>
      <w:bookmarkEnd w:id="30"/>
      <w:bookmarkEnd w:id="31"/>
      <w:bookmarkEnd w:id="32"/>
    </w:p>
    <w:p w14:paraId="119808B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bookmarkStart w:id="33" w:name="_Toc474747828"/>
      <w:bookmarkStart w:id="34" w:name="_Toc12566_WPSOffice_Level1"/>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cs="Times New Roman"/>
          <w:color w:val="auto"/>
          <w:spacing w:val="0"/>
          <w:w w:val="100"/>
          <w:position w:val="0"/>
          <w:sz w:val="24"/>
          <w:highlight w:val="none"/>
          <w:lang w:val="en-US" w:eastAsia="zh-CN"/>
        </w:rPr>
        <w:t>1</w:t>
      </w:r>
      <w:r>
        <w:rPr>
          <w:rFonts w:hint="default" w:ascii="Times New Roman" w:hAnsi="Times New Roman" w:eastAsia="宋体" w:cs="Times New Roman"/>
          <w:color w:val="auto"/>
          <w:spacing w:val="0"/>
          <w:w w:val="100"/>
          <w:position w:val="0"/>
          <w:sz w:val="24"/>
          <w:highlight w:val="none"/>
          <w:lang w:val="en-US" w:eastAsia="zh-CN"/>
        </w:rPr>
        <w:t>）本项目采矿过程中排放的</w:t>
      </w:r>
      <w:r>
        <w:rPr>
          <w:rFonts w:hint="default" w:ascii="Times New Roman" w:hAnsi="Times New Roman" w:cs="Times New Roman"/>
          <w:color w:val="auto"/>
          <w:spacing w:val="0"/>
          <w:w w:val="100"/>
          <w:position w:val="0"/>
          <w:sz w:val="24"/>
          <w:highlight w:val="none"/>
          <w:lang w:val="en-US" w:eastAsia="zh-CN"/>
        </w:rPr>
        <w:t>粉尘</w:t>
      </w:r>
      <w:r>
        <w:rPr>
          <w:rFonts w:hint="default" w:ascii="Times New Roman" w:hAnsi="Times New Roman" w:eastAsia="宋体" w:cs="Times New Roman"/>
          <w:color w:val="auto"/>
          <w:spacing w:val="0"/>
          <w:w w:val="100"/>
          <w:position w:val="0"/>
          <w:sz w:val="24"/>
          <w:highlight w:val="none"/>
          <w:lang w:val="en-US" w:eastAsia="zh-CN"/>
        </w:rPr>
        <w:t>会对外环境造成影响，因而大气污染是本项目应重点关注的环境问题。</w:t>
      </w:r>
    </w:p>
    <w:p w14:paraId="4595FF7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根据评价分析：</w:t>
      </w:r>
    </w:p>
    <w:p w14:paraId="7509D07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矿山开采采用湿式凿岩、洒水降尘；废石场</w:t>
      </w:r>
      <w:r>
        <w:rPr>
          <w:rFonts w:hint="eastAsia" w:ascii="Times New Roman" w:hAnsi="Times New Roman" w:cs="Times New Roman"/>
          <w:color w:val="auto"/>
          <w:spacing w:val="0"/>
          <w:w w:val="100"/>
          <w:position w:val="0"/>
          <w:sz w:val="24"/>
          <w:highlight w:val="none"/>
          <w:lang w:val="en-US" w:eastAsia="zh-CN"/>
        </w:rPr>
        <w:t>采取</w:t>
      </w:r>
      <w:r>
        <w:rPr>
          <w:rFonts w:hint="default" w:ascii="Times New Roman" w:hAnsi="Times New Roman" w:eastAsia="宋体" w:cs="Times New Roman"/>
          <w:color w:val="auto"/>
          <w:spacing w:val="0"/>
          <w:w w:val="100"/>
          <w:position w:val="0"/>
          <w:sz w:val="24"/>
          <w:highlight w:val="none"/>
          <w:lang w:val="en-US" w:eastAsia="zh-CN"/>
        </w:rPr>
        <w:t>洒水抑尘</w:t>
      </w:r>
      <w:r>
        <w:rPr>
          <w:rFonts w:hint="eastAsia" w:ascii="Times New Roman" w:hAnsi="Times New Roman" w:cs="Times New Roman"/>
          <w:color w:val="auto"/>
          <w:spacing w:val="0"/>
          <w:w w:val="100"/>
          <w:position w:val="0"/>
          <w:sz w:val="24"/>
          <w:highlight w:val="none"/>
          <w:lang w:val="en-US" w:eastAsia="zh-CN"/>
        </w:rPr>
        <w:t>措施</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cs="Times New Roman"/>
          <w:color w:val="auto"/>
          <w:spacing w:val="0"/>
          <w:w w:val="100"/>
          <w:position w:val="0"/>
          <w:sz w:val="24"/>
          <w:highlight w:val="none"/>
          <w:lang w:val="en-US" w:eastAsia="zh-CN"/>
        </w:rPr>
        <w:t>废石破碎</w:t>
      </w:r>
      <w:r>
        <w:rPr>
          <w:rFonts w:hint="default" w:ascii="Times New Roman" w:hAnsi="Times New Roman" w:eastAsia="宋体" w:cs="Times New Roman"/>
          <w:color w:val="auto"/>
          <w:spacing w:val="0"/>
          <w:w w:val="100"/>
          <w:position w:val="0"/>
          <w:sz w:val="24"/>
          <w:highlight w:val="none"/>
          <w:lang w:val="en-US" w:eastAsia="zh-CN"/>
        </w:rPr>
        <w:t>采取</w:t>
      </w:r>
      <w:r>
        <w:rPr>
          <w:rFonts w:hint="eastAsia" w:ascii="Times New Roman" w:hAnsi="Times New Roman" w:cs="Times New Roman"/>
          <w:color w:val="auto"/>
          <w:spacing w:val="0"/>
          <w:w w:val="100"/>
          <w:position w:val="0"/>
          <w:sz w:val="24"/>
          <w:highlight w:val="none"/>
          <w:lang w:val="en-US" w:eastAsia="zh-CN"/>
        </w:rPr>
        <w:t>“封闭式车间+布袋收尘”</w:t>
      </w:r>
      <w:r>
        <w:rPr>
          <w:rFonts w:hint="default" w:ascii="Times New Roman" w:hAnsi="Times New Roman" w:eastAsia="宋体" w:cs="Times New Roman"/>
          <w:color w:val="auto"/>
          <w:spacing w:val="0"/>
          <w:w w:val="100"/>
          <w:position w:val="0"/>
          <w:sz w:val="24"/>
          <w:highlight w:val="none"/>
          <w:lang w:val="en-US" w:eastAsia="zh-CN"/>
        </w:rPr>
        <w:t>进行控制，除尘效率≥</w:t>
      </w:r>
      <w:r>
        <w:rPr>
          <w:rFonts w:hint="default" w:ascii="Times New Roman" w:hAnsi="Times New Roman" w:cs="Times New Roman"/>
          <w:color w:val="auto"/>
          <w:spacing w:val="0"/>
          <w:w w:val="100"/>
          <w:position w:val="0"/>
          <w:sz w:val="24"/>
          <w:highlight w:val="none"/>
          <w:lang w:val="en-US" w:eastAsia="zh-CN"/>
        </w:rPr>
        <w:t>99</w:t>
      </w:r>
      <w:r>
        <w:rPr>
          <w:rFonts w:hint="default" w:ascii="Times New Roman" w:hAnsi="Times New Roman" w:eastAsia="宋体" w:cs="Times New Roman"/>
          <w:color w:val="auto"/>
          <w:spacing w:val="0"/>
          <w:w w:val="100"/>
          <w:position w:val="0"/>
          <w:sz w:val="24"/>
          <w:highlight w:val="none"/>
          <w:lang w:val="en-US" w:eastAsia="zh-CN"/>
        </w:rPr>
        <w:t>%，最终颗粒物排放浓度满足</w:t>
      </w:r>
      <w:r>
        <w:rPr>
          <w:rFonts w:hint="default" w:ascii="Times New Roman" w:hAnsi="Times New Roman" w:cs="Times New Roman"/>
          <w:color w:val="auto"/>
          <w:spacing w:val="0"/>
          <w:w w:val="100"/>
          <w:position w:val="0"/>
          <w:sz w:val="24"/>
          <w:highlight w:val="none"/>
          <w:lang w:val="en-US" w:eastAsia="zh-CN"/>
        </w:rPr>
        <w:t>《铜、镍、钴工业污染物排放标准》（GB25467-2010）及其修改单</w:t>
      </w:r>
      <w:r>
        <w:rPr>
          <w:rFonts w:hint="default" w:ascii="Times New Roman" w:hAnsi="Times New Roman" w:eastAsia="宋体" w:cs="Times New Roman"/>
          <w:color w:val="auto"/>
          <w:spacing w:val="0"/>
          <w:w w:val="100"/>
          <w:position w:val="0"/>
          <w:sz w:val="24"/>
          <w:highlight w:val="none"/>
          <w:lang w:val="en-US" w:eastAsia="zh-CN"/>
        </w:rPr>
        <w:t>中的限值要求。通过上述措施无组织废气可得到一定控制。</w:t>
      </w:r>
    </w:p>
    <w:p w14:paraId="6B699D8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估算结果表明：本项目各污染物最大浓度占标率均小于10%。本项目大气环境影响可以接受。</w:t>
      </w:r>
    </w:p>
    <w:p w14:paraId="063513C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cs="Times New Roman"/>
          <w:color w:val="auto"/>
          <w:spacing w:val="0"/>
          <w:w w:val="100"/>
          <w:position w:val="0"/>
          <w:sz w:val="24"/>
          <w:highlight w:val="none"/>
          <w:lang w:val="en-US" w:eastAsia="zh-CN"/>
        </w:rPr>
        <w:t>2</w:t>
      </w:r>
      <w:r>
        <w:rPr>
          <w:rFonts w:hint="default" w:ascii="Times New Roman" w:hAnsi="Times New Roman" w:eastAsia="宋体" w:cs="Times New Roman"/>
          <w:color w:val="auto"/>
          <w:spacing w:val="0"/>
          <w:w w:val="100"/>
          <w:position w:val="0"/>
          <w:sz w:val="24"/>
          <w:highlight w:val="none"/>
          <w:lang w:val="en-US" w:eastAsia="zh-CN"/>
        </w:rPr>
        <w:t>）作为铜矿采矿项目，服务年限内将排放大量的废石，因而固废处置措施的安全可靠性、风险状况下的应急处置亦是本项目应重点关注的环境问题。</w:t>
      </w:r>
    </w:p>
    <w:p w14:paraId="4530550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经鉴别，矿山的废石属于第Ⅰ类一般工业固体废物。地下开采期废石堆存于临时废石场，</w:t>
      </w:r>
      <w:r>
        <w:rPr>
          <w:rFonts w:hint="default" w:ascii="Times New Roman" w:hAnsi="Times New Roman" w:cs="Times New Roman"/>
          <w:color w:val="auto"/>
          <w:spacing w:val="0"/>
          <w:w w:val="100"/>
          <w:position w:val="0"/>
          <w:sz w:val="24"/>
          <w:highlight w:val="none"/>
          <w:lang w:val="en-US" w:eastAsia="zh-CN"/>
        </w:rPr>
        <w:t>作为充填站原料定期回填于井下采空区。</w:t>
      </w:r>
      <w:r>
        <w:rPr>
          <w:rFonts w:hint="default" w:ascii="Times New Roman" w:hAnsi="Times New Roman" w:eastAsia="宋体" w:cs="Times New Roman"/>
          <w:color w:val="auto"/>
          <w:spacing w:val="0"/>
          <w:w w:val="100"/>
          <w:position w:val="0"/>
          <w:sz w:val="24"/>
          <w:highlight w:val="none"/>
          <w:lang w:val="en-US" w:eastAsia="zh-CN"/>
        </w:rPr>
        <w:t>同时废石场按《一般工业固体废物贮存和填埋污染控制标准》（GB18599-2020）的相关要求建设。</w:t>
      </w:r>
    </w:p>
    <w:p w14:paraId="0971667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考虑到废石堆场对环境的影响主要是扬尘，通过定期对废石场洒水降尘，可有效</w:t>
      </w:r>
      <w:r>
        <w:rPr>
          <w:rFonts w:hint="default" w:ascii="Times New Roman" w:hAnsi="Times New Roman" w:cs="Times New Roman"/>
          <w:color w:val="auto"/>
          <w:spacing w:val="0"/>
          <w:w w:val="100"/>
          <w:position w:val="0"/>
          <w:sz w:val="24"/>
          <w:highlight w:val="none"/>
          <w:lang w:val="en-US" w:eastAsia="zh-CN"/>
        </w:rPr>
        <w:t>减少</w:t>
      </w:r>
      <w:r>
        <w:rPr>
          <w:rFonts w:hint="default" w:ascii="Times New Roman" w:hAnsi="Times New Roman" w:eastAsia="宋体" w:cs="Times New Roman"/>
          <w:color w:val="auto"/>
          <w:spacing w:val="0"/>
          <w:w w:val="100"/>
          <w:position w:val="0"/>
          <w:sz w:val="24"/>
          <w:highlight w:val="none"/>
          <w:lang w:val="en-US" w:eastAsia="zh-CN"/>
        </w:rPr>
        <w:t>堆场扬尘对周边环境的影响；同时通过严格按照设计进行固废堆放的措施，可尽可能减少占地，在一定程度上减少对区域景观影响，减轻水土流失。</w:t>
      </w:r>
    </w:p>
    <w:p w14:paraId="21D06F5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综上，评价认为本工程废石的处理处置是合理可行的，在做好防尘、及时复垦等措施后，不会造成明显不利的环境影响。同时风险情况下环境影响较小，风险可接受。</w:t>
      </w:r>
    </w:p>
    <w:p w14:paraId="77E03CC5">
      <w:pPr>
        <w:pStyle w:val="3"/>
        <w:bidi w:val="0"/>
        <w:rPr>
          <w:rFonts w:hint="default" w:ascii="Times New Roman" w:hAnsi="Times New Roman" w:cs="Times New Roman"/>
          <w:color w:val="auto"/>
        </w:rPr>
      </w:pPr>
      <w:bookmarkStart w:id="35" w:name="_Toc15508"/>
      <w:bookmarkStart w:id="36" w:name="_Toc6594"/>
      <w:bookmarkStart w:id="37" w:name="_Toc25453"/>
      <w:bookmarkStart w:id="38" w:name="_Toc18162"/>
      <w:r>
        <w:rPr>
          <w:rFonts w:hint="default" w:ascii="Times New Roman" w:hAnsi="Times New Roman" w:cs="Times New Roman"/>
          <w:color w:val="auto"/>
        </w:rPr>
        <w:t>环境影响评价的主要结论</w:t>
      </w:r>
      <w:bookmarkEnd w:id="33"/>
      <w:bookmarkEnd w:id="34"/>
      <w:bookmarkEnd w:id="35"/>
      <w:bookmarkEnd w:id="36"/>
      <w:bookmarkEnd w:id="37"/>
      <w:bookmarkEnd w:id="38"/>
    </w:p>
    <w:p w14:paraId="48DDCA0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pacing w:val="0"/>
          <w:w w:val="100"/>
          <w:position w:val="0"/>
          <w:sz w:val="24"/>
          <w:szCs w:val="24"/>
          <w:lang w:val="en-US" w:eastAsia="zh-CN"/>
        </w:rPr>
        <w:sectPr>
          <w:headerReference r:id="rId12"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pacing w:val="0"/>
          <w:w w:val="100"/>
          <w:position w:val="0"/>
          <w:sz w:val="24"/>
          <w:szCs w:val="24"/>
        </w:rPr>
        <w:t>本项目属于铜矿</w:t>
      </w: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项目，工艺选择符合清洁生产要求；项目产生的各类污染物均采取了有效的防治措施，可达标排放并符合污染物总量控制要求，经预测拟建项目投产后不会对周围环境产生明显影响；项目建设过程中应认真贯彻环境保护“三同时”制度，严格落实设计和环评报告提出的污染防治措施和环境保护措施，并加强对环保设施的运行维护和管理，保证各种环保设施的正常运行和污染物达标排放。在落实并保证以上条件实施的前提下，从环保角度分析，该项目的建设是可行的</w:t>
      </w:r>
      <w:r>
        <w:rPr>
          <w:rFonts w:hint="default" w:ascii="Times New Roman" w:hAnsi="Times New Roman" w:eastAsia="宋体" w:cs="Times New Roman"/>
          <w:color w:val="auto"/>
          <w:spacing w:val="0"/>
          <w:w w:val="100"/>
          <w:position w:val="0"/>
          <w:sz w:val="24"/>
          <w:szCs w:val="24"/>
          <w:lang w:val="en-US" w:eastAsia="zh-CN"/>
        </w:rPr>
        <w:t>。</w:t>
      </w:r>
    </w:p>
    <w:p w14:paraId="5C467598">
      <w:pPr>
        <w:pStyle w:val="2"/>
        <w:bidi w:val="0"/>
        <w:rPr>
          <w:rFonts w:hint="default" w:ascii="Times New Roman" w:hAnsi="Times New Roman" w:cs="Times New Roman"/>
          <w:color w:val="auto"/>
        </w:rPr>
      </w:pPr>
      <w:bookmarkStart w:id="39" w:name="_Toc475111949"/>
      <w:bookmarkStart w:id="40" w:name="_Toc28180"/>
      <w:bookmarkStart w:id="41" w:name="_Toc26484"/>
      <w:bookmarkStart w:id="42" w:name="_Toc28668_WPSOffice_Level1"/>
      <w:bookmarkStart w:id="43" w:name="_Toc27997"/>
      <w:bookmarkStart w:id="44" w:name="_Toc8433"/>
      <w:r>
        <w:rPr>
          <w:rFonts w:hint="default" w:ascii="Times New Roman" w:hAnsi="Times New Roman" w:cs="Times New Roman"/>
          <w:color w:val="auto"/>
          <w:lang w:val="en-US" w:eastAsia="zh-CN"/>
        </w:rPr>
        <w:t>总则</w:t>
      </w:r>
      <w:bookmarkEnd w:id="39"/>
      <w:bookmarkEnd w:id="40"/>
      <w:bookmarkEnd w:id="41"/>
      <w:bookmarkEnd w:id="42"/>
      <w:bookmarkEnd w:id="43"/>
      <w:bookmarkEnd w:id="44"/>
    </w:p>
    <w:p w14:paraId="23B21613">
      <w:pPr>
        <w:pStyle w:val="3"/>
        <w:bidi w:val="0"/>
        <w:rPr>
          <w:rFonts w:hint="default" w:ascii="Times New Roman" w:hAnsi="Times New Roman" w:cs="Times New Roman"/>
          <w:color w:val="auto"/>
        </w:rPr>
      </w:pPr>
      <w:bookmarkStart w:id="45" w:name="_Toc21326"/>
      <w:bookmarkStart w:id="46" w:name="_Toc26747"/>
      <w:bookmarkStart w:id="47" w:name="_Toc4407"/>
      <w:bookmarkStart w:id="48" w:name="_Toc14958"/>
      <w:bookmarkStart w:id="49" w:name="_Toc266374521"/>
      <w:bookmarkStart w:id="50" w:name="_Toc366104784"/>
      <w:bookmarkStart w:id="51" w:name="_Toc474747832"/>
      <w:bookmarkStart w:id="52" w:name="_Toc276469895"/>
      <w:bookmarkStart w:id="53" w:name="_Toc190909894"/>
      <w:bookmarkStart w:id="54" w:name="_Toc9376_WPSOffice_Level1"/>
      <w:bookmarkStart w:id="55" w:name="_Toc273372165"/>
      <w:bookmarkStart w:id="56" w:name="_Toc218485488"/>
      <w:bookmarkStart w:id="57" w:name="_Toc312318136"/>
      <w:bookmarkStart w:id="58" w:name="_Toc273373250"/>
      <w:bookmarkStart w:id="59" w:name="_Toc286827180"/>
      <w:bookmarkStart w:id="60" w:name="_Toc191903736"/>
      <w:r>
        <w:rPr>
          <w:rFonts w:hint="default" w:ascii="Times New Roman" w:hAnsi="Times New Roman" w:cs="Times New Roman"/>
          <w:color w:val="auto"/>
        </w:rPr>
        <w:t>评价目的与原则</w:t>
      </w:r>
      <w:bookmarkEnd w:id="45"/>
      <w:bookmarkEnd w:id="46"/>
      <w:bookmarkEnd w:id="47"/>
    </w:p>
    <w:p w14:paraId="26ABE73A">
      <w:pPr>
        <w:pStyle w:val="4"/>
        <w:bidi w:val="0"/>
        <w:rPr>
          <w:rFonts w:hint="default" w:ascii="Times New Roman" w:hAnsi="Times New Roman" w:cs="Times New Roman"/>
          <w:color w:val="auto"/>
        </w:rPr>
      </w:pPr>
      <w:bookmarkStart w:id="61" w:name="_Toc19414"/>
      <w:bookmarkStart w:id="62" w:name="_Toc29407"/>
      <w:bookmarkStart w:id="63" w:name="_Toc10775"/>
      <w:bookmarkStart w:id="64" w:name="_Toc8642"/>
      <w:bookmarkStart w:id="65" w:name="_Toc17179"/>
      <w:bookmarkStart w:id="66" w:name="_Toc20095"/>
      <w:bookmarkStart w:id="67" w:name="_Toc25934"/>
      <w:bookmarkStart w:id="68" w:name="_Toc17312"/>
      <w:bookmarkStart w:id="69" w:name="_Toc6866"/>
      <w:bookmarkStart w:id="70" w:name="_Toc7015"/>
      <w:r>
        <w:rPr>
          <w:rFonts w:hint="default" w:ascii="Times New Roman" w:hAnsi="Times New Roman" w:cs="Times New Roman"/>
          <w:color w:val="auto"/>
        </w:rPr>
        <w:t>评价目的</w:t>
      </w:r>
      <w:bookmarkEnd w:id="61"/>
      <w:bookmarkEnd w:id="62"/>
      <w:bookmarkEnd w:id="63"/>
      <w:bookmarkEnd w:id="64"/>
      <w:bookmarkEnd w:id="65"/>
    </w:p>
    <w:p w14:paraId="23D41EDA">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（1）通过现场调查、资料收集及环境监测，了解项目所在地自然环境、环境质量现状以及存在的主要环境问题；</w:t>
      </w:r>
    </w:p>
    <w:p w14:paraId="3244700E">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2）通过工程分析，明确建设项目的主要环境影响，筛选对环境造成影响的因子，尤其关注建设项目产生的主要污染因子。并通过类比调查、物料衡算，核算污染源源强，预测项目建设对环境影响的程度与范围；</w:t>
      </w:r>
    </w:p>
    <w:p w14:paraId="6B507842">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（3）从工艺着手，分析生产工艺、生产设备及原辅材料的消耗，掌握主要污染源及排放状况；</w:t>
      </w:r>
    </w:p>
    <w:p w14:paraId="725252F5">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（4）通过分析和计算，预测污染物排放对周围环境</w:t>
      </w:r>
      <w:r>
        <w:rPr>
          <w:rFonts w:hint="default" w:ascii="Times New Roman" w:hAnsi="Times New Roman" w:eastAsia="宋体" w:cs="Times New Roman"/>
          <w:color w:val="auto"/>
          <w:spacing w:val="0"/>
          <w:w w:val="100"/>
          <w:position w:val="0"/>
          <w:sz w:val="24"/>
          <w:szCs w:val="24"/>
          <w:highlight w:val="none"/>
          <w:lang w:val="en-US" w:eastAsia="zh-CN"/>
        </w:rPr>
        <w:t>敏感目标</w:t>
      </w:r>
      <w:r>
        <w:rPr>
          <w:rFonts w:hint="default" w:ascii="Times New Roman" w:hAnsi="Times New Roman" w:eastAsia="宋体" w:cs="Times New Roman"/>
          <w:color w:val="auto"/>
          <w:spacing w:val="0"/>
          <w:w w:val="100"/>
          <w:position w:val="0"/>
          <w:sz w:val="24"/>
          <w:szCs w:val="24"/>
          <w:highlight w:val="none"/>
        </w:rPr>
        <w:t>的影响程度，判断其是否满足环境质量标准和总量控制要求；</w:t>
      </w:r>
    </w:p>
    <w:p w14:paraId="2E8D91CA">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（5）从技术、经济角度分析拟采取的环保措施的可行性，为项目环保措施的设计和环境管理提供依据；</w:t>
      </w:r>
    </w:p>
    <w:p w14:paraId="001EDCB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sz w:val="24"/>
          <w:szCs w:val="24"/>
          <w:highlight w:val="none"/>
        </w:rPr>
        <w:t>（6）从环保法规、产业政策、环境特点、污染防治等方面进行综合分析，对拟建项目的环境可行性做出明确结论，为项目的决策、污染控制和环境管理提供科学依据。</w:t>
      </w:r>
    </w:p>
    <w:p w14:paraId="22957322">
      <w:pPr>
        <w:pStyle w:val="4"/>
        <w:bidi w:val="0"/>
        <w:rPr>
          <w:rFonts w:hint="default" w:ascii="Times New Roman" w:hAnsi="Times New Roman" w:cs="Times New Roman"/>
          <w:color w:val="auto"/>
        </w:rPr>
      </w:pPr>
      <w:r>
        <w:rPr>
          <w:rFonts w:hint="default" w:ascii="Times New Roman" w:hAnsi="Times New Roman" w:cs="Times New Roman"/>
          <w:color w:val="auto"/>
        </w:rPr>
        <w:t>评价原则</w:t>
      </w:r>
      <w:bookmarkEnd w:id="66"/>
      <w:bookmarkEnd w:id="67"/>
      <w:bookmarkEnd w:id="68"/>
      <w:bookmarkEnd w:id="69"/>
      <w:bookmarkEnd w:id="70"/>
    </w:p>
    <w:p w14:paraId="39AA3A8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bookmarkStart w:id="71" w:name="_Toc384828343"/>
      <w:r>
        <w:rPr>
          <w:rFonts w:hint="default" w:ascii="Times New Roman" w:hAnsi="Times New Roman" w:eastAsia="宋体" w:cs="Times New Roman"/>
          <w:color w:val="auto"/>
          <w:spacing w:val="0"/>
          <w:w w:val="100"/>
          <w:position w:val="0"/>
          <w:sz w:val="24"/>
          <w:szCs w:val="24"/>
          <w:highlight w:val="none"/>
        </w:rPr>
        <w:t>（1）依法评价</w:t>
      </w:r>
    </w:p>
    <w:p w14:paraId="74CD24D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贯彻执行我国环境保护相关法律法规、标准、政策和规划等，优化项目建设，服务环境管理。</w:t>
      </w:r>
    </w:p>
    <w:p w14:paraId="21AF198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（2）科学评价</w:t>
      </w:r>
    </w:p>
    <w:p w14:paraId="14A5B24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规范环境影响评价方法，科学分析项目建设对环境质量的影响。</w:t>
      </w:r>
    </w:p>
    <w:p w14:paraId="1758AA0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（3）突出重点</w:t>
      </w:r>
    </w:p>
    <w:p w14:paraId="38C9555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根据建设项目的工程内容及其特点，明确与环境要素间的作用效应关系，根据规划环境影响评价结论和审查意见，充分利用符合时效的数据资料及成果，对建设项目主要环境影响予以重点分析和评价。</w:t>
      </w:r>
    </w:p>
    <w:bookmarkEnd w:id="71"/>
    <w:p w14:paraId="190BD5CB">
      <w:pPr>
        <w:pStyle w:val="3"/>
        <w:bidi w:val="0"/>
        <w:rPr>
          <w:rFonts w:hint="default" w:ascii="Times New Roman" w:hAnsi="Times New Roman" w:cs="Times New Roman"/>
          <w:color w:val="auto"/>
        </w:rPr>
      </w:pPr>
      <w:bookmarkStart w:id="72" w:name="_Toc7925"/>
      <w:bookmarkStart w:id="73" w:name="_Toc24389"/>
      <w:bookmarkStart w:id="74" w:name="_Toc26211"/>
      <w:r>
        <w:rPr>
          <w:rFonts w:hint="default" w:ascii="Times New Roman" w:hAnsi="Times New Roman" w:cs="Times New Roman"/>
          <w:color w:val="auto"/>
        </w:rPr>
        <w:t>编制依据</w:t>
      </w:r>
      <w:bookmarkEnd w:id="48"/>
      <w:bookmarkEnd w:id="49"/>
      <w:bookmarkEnd w:id="50"/>
      <w:bookmarkEnd w:id="51"/>
      <w:bookmarkEnd w:id="52"/>
      <w:bookmarkEnd w:id="53"/>
      <w:bookmarkEnd w:id="54"/>
      <w:bookmarkEnd w:id="55"/>
      <w:bookmarkEnd w:id="56"/>
      <w:bookmarkEnd w:id="57"/>
      <w:bookmarkEnd w:id="58"/>
      <w:bookmarkEnd w:id="59"/>
      <w:bookmarkEnd w:id="60"/>
      <w:bookmarkEnd w:id="72"/>
      <w:bookmarkEnd w:id="73"/>
      <w:bookmarkEnd w:id="74"/>
    </w:p>
    <w:p w14:paraId="30D98833">
      <w:pPr>
        <w:pStyle w:val="4"/>
        <w:bidi w:val="0"/>
        <w:rPr>
          <w:rFonts w:hint="default" w:ascii="Times New Roman" w:hAnsi="Times New Roman" w:cs="Times New Roman"/>
          <w:color w:val="auto"/>
        </w:rPr>
      </w:pPr>
      <w:bookmarkStart w:id="75" w:name="_Toc5957"/>
      <w:bookmarkStart w:id="76" w:name="_Toc22314"/>
      <w:bookmarkStart w:id="77" w:name="_Toc10294"/>
      <w:bookmarkStart w:id="78" w:name="_Toc3496"/>
      <w:bookmarkStart w:id="79" w:name="_Toc30232"/>
      <w:r>
        <w:rPr>
          <w:rFonts w:hint="default" w:ascii="Times New Roman" w:hAnsi="Times New Roman" w:cs="Times New Roman"/>
          <w:color w:val="auto"/>
        </w:rPr>
        <w:t>法律法规</w:t>
      </w:r>
      <w:bookmarkEnd w:id="75"/>
      <w:bookmarkEnd w:id="76"/>
      <w:bookmarkEnd w:id="77"/>
      <w:bookmarkEnd w:id="78"/>
      <w:bookmarkEnd w:id="79"/>
    </w:p>
    <w:tbl>
      <w:tblPr>
        <w:tblStyle w:val="21"/>
        <w:tblW w:w="838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38"/>
        <w:gridCol w:w="4599"/>
        <w:gridCol w:w="21"/>
        <w:gridCol w:w="2115"/>
        <w:gridCol w:w="1114"/>
      </w:tblGrid>
      <w:tr w14:paraId="4283E2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tblHeader/>
          <w:jc w:val="center"/>
        </w:trPr>
        <w:tc>
          <w:tcPr>
            <w:tcW w:w="538" w:type="dxa"/>
            <w:tcBorders>
              <w:tl2br w:val="nil"/>
              <w:tr2bl w:val="nil"/>
            </w:tcBorders>
            <w:vAlign w:val="center"/>
          </w:tcPr>
          <w:p w14:paraId="6C8D7CB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序号</w:t>
            </w:r>
          </w:p>
        </w:tc>
        <w:tc>
          <w:tcPr>
            <w:tcW w:w="4620" w:type="dxa"/>
            <w:gridSpan w:val="2"/>
            <w:tcBorders>
              <w:tl2br w:val="nil"/>
              <w:tr2bl w:val="nil"/>
            </w:tcBorders>
            <w:vAlign w:val="center"/>
          </w:tcPr>
          <w:p w14:paraId="7EBBF8D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依据名称</w:t>
            </w:r>
          </w:p>
        </w:tc>
        <w:tc>
          <w:tcPr>
            <w:tcW w:w="2115" w:type="dxa"/>
            <w:tcBorders>
              <w:tl2br w:val="nil"/>
              <w:tr2bl w:val="nil"/>
            </w:tcBorders>
            <w:vAlign w:val="center"/>
          </w:tcPr>
          <w:p w14:paraId="0248F41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会议、主席令、文号</w:t>
            </w:r>
          </w:p>
        </w:tc>
        <w:tc>
          <w:tcPr>
            <w:tcW w:w="1114" w:type="dxa"/>
            <w:tcBorders>
              <w:tl2br w:val="nil"/>
              <w:tr2bl w:val="nil"/>
            </w:tcBorders>
            <w:vAlign w:val="center"/>
          </w:tcPr>
          <w:p w14:paraId="27F644A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实施时间</w:t>
            </w:r>
          </w:p>
        </w:tc>
      </w:tr>
      <w:tr w14:paraId="58F2DC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182B66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一</w:t>
            </w:r>
          </w:p>
        </w:tc>
        <w:tc>
          <w:tcPr>
            <w:tcW w:w="7849" w:type="dxa"/>
            <w:gridSpan w:val="4"/>
            <w:tcBorders>
              <w:tl2br w:val="nil"/>
              <w:tr2bl w:val="nil"/>
            </w:tcBorders>
            <w:vAlign w:val="center"/>
          </w:tcPr>
          <w:p w14:paraId="5E655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环境保护相关法律</w:t>
            </w:r>
          </w:p>
        </w:tc>
      </w:tr>
      <w:tr w14:paraId="4086AE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38" w:type="dxa"/>
            <w:tcBorders>
              <w:tl2br w:val="nil"/>
              <w:tr2bl w:val="nil"/>
            </w:tcBorders>
            <w:vAlign w:val="center"/>
          </w:tcPr>
          <w:p w14:paraId="0653BD4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w:t>
            </w:r>
          </w:p>
        </w:tc>
        <w:tc>
          <w:tcPr>
            <w:tcW w:w="4620" w:type="dxa"/>
            <w:gridSpan w:val="2"/>
            <w:tcBorders>
              <w:tl2br w:val="nil"/>
              <w:tr2bl w:val="nil"/>
            </w:tcBorders>
            <w:vAlign w:val="center"/>
          </w:tcPr>
          <w:p w14:paraId="6717543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zCs w:val="24"/>
                <w:highlight w:val="none"/>
              </w:rPr>
              <w:t>《中华人民共和国生态环境法典》</w:t>
            </w:r>
          </w:p>
        </w:tc>
        <w:tc>
          <w:tcPr>
            <w:tcW w:w="2115" w:type="dxa"/>
            <w:tcBorders>
              <w:tl2br w:val="nil"/>
              <w:tr2bl w:val="nil"/>
            </w:tcBorders>
            <w:vAlign w:val="center"/>
          </w:tcPr>
          <w:p w14:paraId="0860494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r>
              <w:rPr>
                <w:rFonts w:hint="default" w:ascii="Times New Roman" w:hAnsi="Times New Roman" w:cs="Times New Roman"/>
                <w:color w:val="auto"/>
                <w:spacing w:val="0"/>
                <w:w w:val="100"/>
                <w:position w:val="0"/>
                <w:sz w:val="21"/>
                <w:szCs w:val="21"/>
                <w:lang w:val="en-US" w:eastAsia="zh-CN"/>
              </w:rPr>
              <w:t>4</w:t>
            </w:r>
            <w:r>
              <w:rPr>
                <w:rFonts w:hint="default" w:ascii="Times New Roman" w:hAnsi="Times New Roman" w:eastAsia="宋体" w:cs="Times New Roman"/>
                <w:color w:val="auto"/>
                <w:spacing w:val="0"/>
                <w:w w:val="100"/>
                <w:position w:val="0"/>
                <w:sz w:val="21"/>
                <w:szCs w:val="21"/>
              </w:rPr>
              <w:t>届人大第</w:t>
            </w:r>
            <w:r>
              <w:rPr>
                <w:rFonts w:hint="default" w:ascii="Times New Roman" w:hAnsi="Times New Roman" w:cs="Times New Roman"/>
                <w:color w:val="auto"/>
                <w:spacing w:val="0"/>
                <w:w w:val="100"/>
                <w:position w:val="0"/>
                <w:sz w:val="21"/>
                <w:szCs w:val="21"/>
                <w:lang w:val="en-US" w:eastAsia="zh-CN"/>
              </w:rPr>
              <w:t>4</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501C226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2026-08-15</w:t>
            </w:r>
          </w:p>
        </w:tc>
      </w:tr>
      <w:tr w14:paraId="4C06F6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3F35E3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w:t>
            </w:r>
          </w:p>
        </w:tc>
        <w:tc>
          <w:tcPr>
            <w:tcW w:w="4620" w:type="dxa"/>
            <w:gridSpan w:val="2"/>
            <w:tcBorders>
              <w:tl2br w:val="nil"/>
              <w:tr2bl w:val="nil"/>
            </w:tcBorders>
            <w:vAlign w:val="center"/>
          </w:tcPr>
          <w:p w14:paraId="7F271A7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《中华人民共和国水法》</w:t>
            </w:r>
          </w:p>
        </w:tc>
        <w:tc>
          <w:tcPr>
            <w:tcW w:w="2115" w:type="dxa"/>
            <w:tcBorders>
              <w:tl2br w:val="nil"/>
              <w:tr2bl w:val="nil"/>
            </w:tcBorders>
            <w:vAlign w:val="center"/>
          </w:tcPr>
          <w:p w14:paraId="0A51575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12届人大第21次会议</w:t>
            </w:r>
          </w:p>
        </w:tc>
        <w:tc>
          <w:tcPr>
            <w:tcW w:w="1114" w:type="dxa"/>
            <w:tcBorders>
              <w:tl2br w:val="nil"/>
              <w:tr2bl w:val="nil"/>
            </w:tcBorders>
            <w:vAlign w:val="center"/>
          </w:tcPr>
          <w:p w14:paraId="422B0C5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2016-07-02</w:t>
            </w:r>
          </w:p>
        </w:tc>
      </w:tr>
      <w:tr w14:paraId="1E2D02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D7DDA1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w:t>
            </w:r>
          </w:p>
        </w:tc>
        <w:tc>
          <w:tcPr>
            <w:tcW w:w="4620" w:type="dxa"/>
            <w:gridSpan w:val="2"/>
            <w:tcBorders>
              <w:tl2br w:val="nil"/>
              <w:tr2bl w:val="nil"/>
            </w:tcBorders>
            <w:vAlign w:val="center"/>
          </w:tcPr>
          <w:p w14:paraId="169A498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《中华人民共和国水土保持法》</w:t>
            </w:r>
          </w:p>
        </w:tc>
        <w:tc>
          <w:tcPr>
            <w:tcW w:w="2115" w:type="dxa"/>
            <w:tcBorders>
              <w:tl2br w:val="nil"/>
              <w:tr2bl w:val="nil"/>
            </w:tcBorders>
            <w:vAlign w:val="center"/>
          </w:tcPr>
          <w:p w14:paraId="38988E9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11届人大第18次会议</w:t>
            </w:r>
          </w:p>
        </w:tc>
        <w:tc>
          <w:tcPr>
            <w:tcW w:w="1114" w:type="dxa"/>
            <w:tcBorders>
              <w:tl2br w:val="nil"/>
              <w:tr2bl w:val="nil"/>
            </w:tcBorders>
            <w:vAlign w:val="center"/>
          </w:tcPr>
          <w:p w14:paraId="1D80D30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2011-03-01</w:t>
            </w:r>
          </w:p>
        </w:tc>
      </w:tr>
      <w:tr w14:paraId="6B28F1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3BF3ED6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4</w:t>
            </w:r>
          </w:p>
        </w:tc>
        <w:tc>
          <w:tcPr>
            <w:tcW w:w="4620" w:type="dxa"/>
            <w:gridSpan w:val="2"/>
            <w:tcBorders>
              <w:tl2br w:val="nil"/>
              <w:tr2bl w:val="nil"/>
            </w:tcBorders>
            <w:shd w:val="clear" w:color="auto" w:fill="auto"/>
            <w:vAlign w:val="center"/>
          </w:tcPr>
          <w:p w14:paraId="26DC4124">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《中华人民共和国防沙治沙法》</w:t>
            </w:r>
          </w:p>
        </w:tc>
        <w:tc>
          <w:tcPr>
            <w:tcW w:w="2115" w:type="dxa"/>
            <w:tcBorders>
              <w:tl2br w:val="nil"/>
              <w:tr2bl w:val="nil"/>
            </w:tcBorders>
            <w:shd w:val="clear" w:color="auto" w:fill="auto"/>
            <w:vAlign w:val="center"/>
          </w:tcPr>
          <w:p w14:paraId="6B45AB1E">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13届人大第6次会议</w:t>
            </w:r>
          </w:p>
        </w:tc>
        <w:tc>
          <w:tcPr>
            <w:tcW w:w="1114" w:type="dxa"/>
            <w:tcBorders>
              <w:tl2br w:val="nil"/>
              <w:tr2bl w:val="nil"/>
            </w:tcBorders>
            <w:shd w:val="clear" w:color="auto" w:fill="auto"/>
            <w:vAlign w:val="center"/>
          </w:tcPr>
          <w:p w14:paraId="605DB387">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2018-10-26</w:t>
            </w:r>
          </w:p>
        </w:tc>
      </w:tr>
      <w:tr w14:paraId="20509A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E280BD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5</w:t>
            </w:r>
          </w:p>
        </w:tc>
        <w:tc>
          <w:tcPr>
            <w:tcW w:w="4620" w:type="dxa"/>
            <w:gridSpan w:val="2"/>
            <w:tcBorders>
              <w:tl2br w:val="nil"/>
              <w:tr2bl w:val="nil"/>
            </w:tcBorders>
            <w:vAlign w:val="center"/>
          </w:tcPr>
          <w:p w14:paraId="6DA891C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《中华人民共和国节约能源法》</w:t>
            </w:r>
          </w:p>
        </w:tc>
        <w:tc>
          <w:tcPr>
            <w:tcW w:w="2115" w:type="dxa"/>
            <w:tcBorders>
              <w:tl2br w:val="nil"/>
              <w:tr2bl w:val="nil"/>
            </w:tcBorders>
            <w:vAlign w:val="center"/>
          </w:tcPr>
          <w:p w14:paraId="2D9E354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13届人大第6次会议</w:t>
            </w:r>
          </w:p>
        </w:tc>
        <w:tc>
          <w:tcPr>
            <w:tcW w:w="1114" w:type="dxa"/>
            <w:tcBorders>
              <w:tl2br w:val="nil"/>
              <w:tr2bl w:val="nil"/>
            </w:tcBorders>
            <w:vAlign w:val="center"/>
          </w:tcPr>
          <w:p w14:paraId="56CFD09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2018-10-26</w:t>
            </w:r>
          </w:p>
        </w:tc>
      </w:tr>
      <w:tr w14:paraId="1CEB98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7957A6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6</w:t>
            </w:r>
          </w:p>
        </w:tc>
        <w:tc>
          <w:tcPr>
            <w:tcW w:w="4620" w:type="dxa"/>
            <w:gridSpan w:val="2"/>
            <w:tcBorders>
              <w:tl2br w:val="nil"/>
              <w:tr2bl w:val="nil"/>
            </w:tcBorders>
            <w:vAlign w:val="center"/>
          </w:tcPr>
          <w:p w14:paraId="1F3C444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《中华人民共和国城乡规划法》</w:t>
            </w:r>
          </w:p>
        </w:tc>
        <w:tc>
          <w:tcPr>
            <w:tcW w:w="2115" w:type="dxa"/>
            <w:tcBorders>
              <w:tl2br w:val="nil"/>
              <w:tr2bl w:val="nil"/>
            </w:tcBorders>
            <w:vAlign w:val="center"/>
          </w:tcPr>
          <w:p w14:paraId="064B2A7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10届</w:t>
            </w:r>
            <w:r>
              <w:rPr>
                <w:rFonts w:hint="default" w:ascii="Times New Roman" w:hAnsi="Times New Roman" w:eastAsia="宋体" w:cs="Times New Roman"/>
                <w:color w:val="auto"/>
                <w:spacing w:val="0"/>
                <w:w w:val="100"/>
                <w:position w:val="0"/>
                <w:sz w:val="21"/>
                <w:szCs w:val="21"/>
              </w:rPr>
              <w:t>人大第</w:t>
            </w:r>
            <w:r>
              <w:rPr>
                <w:rFonts w:hint="default" w:ascii="Times New Roman" w:hAnsi="Times New Roman" w:eastAsia="宋体" w:cs="Times New Roman"/>
                <w:color w:val="auto"/>
                <w:spacing w:val="0"/>
                <w:w w:val="100"/>
                <w:position w:val="0"/>
                <w:sz w:val="21"/>
                <w:szCs w:val="21"/>
                <w:lang w:val="en-US" w:eastAsia="zh-CN"/>
              </w:rPr>
              <w:t>30</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0840F4F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2018-01-01</w:t>
            </w:r>
          </w:p>
        </w:tc>
      </w:tr>
      <w:tr w14:paraId="5F02C5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05911E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7</w:t>
            </w:r>
          </w:p>
        </w:tc>
        <w:tc>
          <w:tcPr>
            <w:tcW w:w="4620" w:type="dxa"/>
            <w:gridSpan w:val="2"/>
            <w:tcBorders>
              <w:tl2br w:val="nil"/>
              <w:tr2bl w:val="nil"/>
            </w:tcBorders>
            <w:vAlign w:val="center"/>
          </w:tcPr>
          <w:p w14:paraId="7EDFCE8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《中华人民共和国矿产资源法》</w:t>
            </w:r>
          </w:p>
        </w:tc>
        <w:tc>
          <w:tcPr>
            <w:tcW w:w="2115" w:type="dxa"/>
            <w:tcBorders>
              <w:tl2br w:val="nil"/>
              <w:tr2bl w:val="nil"/>
            </w:tcBorders>
            <w:vAlign w:val="center"/>
          </w:tcPr>
          <w:p w14:paraId="518AA10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14</w:t>
            </w:r>
            <w:r>
              <w:rPr>
                <w:rFonts w:hint="default" w:ascii="Times New Roman" w:hAnsi="Times New Roman" w:eastAsia="宋体" w:cs="Times New Roman"/>
                <w:color w:val="auto"/>
                <w:spacing w:val="0"/>
                <w:w w:val="100"/>
                <w:position w:val="0"/>
                <w:sz w:val="21"/>
                <w:szCs w:val="21"/>
                <w:lang w:val="en-US" w:eastAsia="zh-CN"/>
              </w:rPr>
              <w:t>届人大第</w:t>
            </w:r>
            <w:r>
              <w:rPr>
                <w:rFonts w:hint="default" w:ascii="Times New Roman" w:hAnsi="Times New Roman" w:cs="Times New Roman"/>
                <w:color w:val="auto"/>
                <w:spacing w:val="0"/>
                <w:w w:val="100"/>
                <w:position w:val="0"/>
                <w:sz w:val="21"/>
                <w:szCs w:val="21"/>
                <w:lang w:val="en-US" w:eastAsia="zh-CN"/>
              </w:rPr>
              <w:t>12</w:t>
            </w:r>
            <w:r>
              <w:rPr>
                <w:rFonts w:hint="default" w:ascii="Times New Roman" w:hAnsi="Times New Roman" w:eastAsia="宋体" w:cs="Times New Roman"/>
                <w:color w:val="auto"/>
                <w:spacing w:val="0"/>
                <w:w w:val="100"/>
                <w:position w:val="0"/>
                <w:sz w:val="21"/>
                <w:szCs w:val="21"/>
                <w:lang w:val="en-US" w:eastAsia="zh-CN"/>
              </w:rPr>
              <w:t>次会议</w:t>
            </w:r>
          </w:p>
        </w:tc>
        <w:tc>
          <w:tcPr>
            <w:tcW w:w="1114" w:type="dxa"/>
            <w:tcBorders>
              <w:tl2br w:val="nil"/>
              <w:tr2bl w:val="nil"/>
            </w:tcBorders>
            <w:vAlign w:val="center"/>
          </w:tcPr>
          <w:p w14:paraId="62E34FE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w:t>
            </w:r>
            <w:r>
              <w:rPr>
                <w:rFonts w:hint="default" w:ascii="Times New Roman" w:hAnsi="Times New Roman" w:cs="Times New Roman"/>
                <w:color w:val="auto"/>
                <w:spacing w:val="0"/>
                <w:w w:val="100"/>
                <w:position w:val="0"/>
                <w:sz w:val="21"/>
                <w:szCs w:val="21"/>
                <w:lang w:val="en-US" w:eastAsia="zh-CN"/>
              </w:rPr>
              <w:t>24</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11</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08</w:t>
            </w:r>
          </w:p>
        </w:tc>
      </w:tr>
      <w:tr w14:paraId="691EFA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7A475E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8</w:t>
            </w:r>
          </w:p>
        </w:tc>
        <w:tc>
          <w:tcPr>
            <w:tcW w:w="4620" w:type="dxa"/>
            <w:gridSpan w:val="2"/>
            <w:tcBorders>
              <w:tl2br w:val="nil"/>
              <w:tr2bl w:val="nil"/>
            </w:tcBorders>
            <w:vAlign w:val="center"/>
          </w:tcPr>
          <w:p w14:paraId="74126D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《中华人民共和国矿山安全法》</w:t>
            </w:r>
          </w:p>
        </w:tc>
        <w:tc>
          <w:tcPr>
            <w:tcW w:w="2115" w:type="dxa"/>
            <w:tcBorders>
              <w:tl2br w:val="nil"/>
              <w:tr2bl w:val="nil"/>
            </w:tcBorders>
            <w:vAlign w:val="center"/>
          </w:tcPr>
          <w:p w14:paraId="25DDD5D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主席令 第18号</w:t>
            </w:r>
          </w:p>
        </w:tc>
        <w:tc>
          <w:tcPr>
            <w:tcW w:w="1114" w:type="dxa"/>
            <w:tcBorders>
              <w:tl2br w:val="nil"/>
              <w:tr2bl w:val="nil"/>
            </w:tcBorders>
            <w:vAlign w:val="center"/>
          </w:tcPr>
          <w:p w14:paraId="4239D7E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2009-08-27</w:t>
            </w:r>
          </w:p>
        </w:tc>
      </w:tr>
      <w:tr w14:paraId="64941E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C75748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9</w:t>
            </w:r>
          </w:p>
        </w:tc>
        <w:tc>
          <w:tcPr>
            <w:tcW w:w="4620" w:type="dxa"/>
            <w:gridSpan w:val="2"/>
            <w:tcBorders>
              <w:tl2br w:val="nil"/>
              <w:tr2bl w:val="nil"/>
            </w:tcBorders>
            <w:vAlign w:val="center"/>
          </w:tcPr>
          <w:p w14:paraId="71FDB88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《中华人民共和国安全生产法》</w:t>
            </w:r>
          </w:p>
        </w:tc>
        <w:tc>
          <w:tcPr>
            <w:tcW w:w="2115" w:type="dxa"/>
            <w:tcBorders>
              <w:tl2br w:val="nil"/>
              <w:tr2bl w:val="nil"/>
            </w:tcBorders>
            <w:vAlign w:val="center"/>
          </w:tcPr>
          <w:p w14:paraId="3A7C912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12届</w:t>
            </w:r>
            <w:r>
              <w:rPr>
                <w:rFonts w:hint="default" w:ascii="Times New Roman" w:hAnsi="Times New Roman" w:eastAsia="宋体" w:cs="Times New Roman"/>
                <w:color w:val="auto"/>
                <w:spacing w:val="0"/>
                <w:w w:val="100"/>
                <w:position w:val="0"/>
                <w:sz w:val="21"/>
                <w:szCs w:val="21"/>
              </w:rPr>
              <w:t>人大第</w:t>
            </w:r>
            <w:r>
              <w:rPr>
                <w:rFonts w:hint="default" w:ascii="Times New Roman" w:hAnsi="Times New Roman" w:eastAsia="宋体" w:cs="Times New Roman"/>
                <w:color w:val="auto"/>
                <w:spacing w:val="0"/>
                <w:w w:val="100"/>
                <w:position w:val="0"/>
                <w:sz w:val="21"/>
                <w:szCs w:val="21"/>
                <w:lang w:val="en-US" w:eastAsia="zh-CN"/>
              </w:rPr>
              <w:t>10</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2A326E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w:t>
            </w:r>
            <w:r>
              <w:rPr>
                <w:rFonts w:hint="default" w:ascii="Times New Roman" w:hAnsi="Times New Roman" w:cs="Times New Roman"/>
                <w:color w:val="auto"/>
                <w:spacing w:val="0"/>
                <w:w w:val="100"/>
                <w:position w:val="0"/>
                <w:sz w:val="21"/>
                <w:szCs w:val="21"/>
                <w:lang w:val="en-US" w:eastAsia="zh-CN"/>
              </w:rPr>
              <w:t>21</w:t>
            </w:r>
            <w:r>
              <w:rPr>
                <w:rFonts w:hint="default" w:ascii="Times New Roman" w:hAnsi="Times New Roman" w:eastAsia="宋体" w:cs="Times New Roman"/>
                <w:color w:val="auto"/>
                <w:spacing w:val="0"/>
                <w:w w:val="100"/>
                <w:position w:val="0"/>
                <w:sz w:val="21"/>
                <w:szCs w:val="21"/>
                <w:lang w:val="en-US" w:eastAsia="zh-CN"/>
              </w:rPr>
              <w:t>-0</w:t>
            </w:r>
            <w:r>
              <w:rPr>
                <w:rFonts w:hint="default" w:ascii="Times New Roman" w:hAnsi="Times New Roman" w:cs="Times New Roman"/>
                <w:color w:val="auto"/>
                <w:spacing w:val="0"/>
                <w:w w:val="100"/>
                <w:position w:val="0"/>
                <w:sz w:val="21"/>
                <w:szCs w:val="21"/>
                <w:lang w:val="en-US" w:eastAsia="zh-CN"/>
              </w:rPr>
              <w:t>6</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10</w:t>
            </w:r>
          </w:p>
        </w:tc>
      </w:tr>
      <w:tr w14:paraId="309423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0BAF04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10</w:t>
            </w:r>
          </w:p>
        </w:tc>
        <w:tc>
          <w:tcPr>
            <w:tcW w:w="4620" w:type="dxa"/>
            <w:gridSpan w:val="2"/>
            <w:tcBorders>
              <w:tl2br w:val="nil"/>
              <w:tr2bl w:val="nil"/>
            </w:tcBorders>
            <w:vAlign w:val="center"/>
          </w:tcPr>
          <w:p w14:paraId="471881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《中华人民共和国突发事件应对法》</w:t>
            </w:r>
          </w:p>
        </w:tc>
        <w:tc>
          <w:tcPr>
            <w:tcW w:w="2115" w:type="dxa"/>
            <w:tcBorders>
              <w:tl2br w:val="nil"/>
              <w:tr2bl w:val="nil"/>
            </w:tcBorders>
            <w:vAlign w:val="center"/>
          </w:tcPr>
          <w:p w14:paraId="300CFF5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4</w:t>
            </w:r>
            <w:r>
              <w:rPr>
                <w:rFonts w:hint="default" w:ascii="Times New Roman" w:hAnsi="Times New Roman" w:eastAsia="宋体" w:cs="Times New Roman"/>
                <w:color w:val="auto"/>
                <w:spacing w:val="0"/>
                <w:w w:val="100"/>
                <w:position w:val="0"/>
                <w:sz w:val="21"/>
                <w:szCs w:val="21"/>
                <w:lang w:val="en-US" w:eastAsia="zh-CN"/>
              </w:rPr>
              <w:t>届</w:t>
            </w:r>
            <w:r>
              <w:rPr>
                <w:rFonts w:hint="default" w:ascii="Times New Roman" w:hAnsi="Times New Roman" w:eastAsia="宋体" w:cs="Times New Roman"/>
                <w:color w:val="auto"/>
                <w:spacing w:val="0"/>
                <w:w w:val="100"/>
                <w:position w:val="0"/>
                <w:sz w:val="21"/>
                <w:szCs w:val="21"/>
              </w:rPr>
              <w:t>人大第</w:t>
            </w:r>
            <w:r>
              <w:rPr>
                <w:rFonts w:hint="default" w:ascii="Times New Roman" w:hAnsi="Times New Roman" w:cs="Times New Roman"/>
                <w:color w:val="auto"/>
                <w:spacing w:val="0"/>
                <w:w w:val="100"/>
                <w:position w:val="0"/>
                <w:sz w:val="21"/>
                <w:szCs w:val="21"/>
                <w:lang w:val="en-US" w:eastAsia="zh-CN"/>
              </w:rPr>
              <w:t>10</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4142CDE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w:t>
            </w:r>
            <w:r>
              <w:rPr>
                <w:rFonts w:hint="default" w:ascii="Times New Roman" w:hAnsi="Times New Roman" w:cs="Times New Roman"/>
                <w:color w:val="auto"/>
                <w:spacing w:val="0"/>
                <w:w w:val="100"/>
                <w:position w:val="0"/>
                <w:sz w:val="21"/>
                <w:szCs w:val="21"/>
                <w:lang w:val="en-US" w:eastAsia="zh-CN"/>
              </w:rPr>
              <w:t>24</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06</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28</w:t>
            </w:r>
          </w:p>
        </w:tc>
      </w:tr>
      <w:tr w14:paraId="0C998B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E4A0D3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11</w:t>
            </w:r>
          </w:p>
        </w:tc>
        <w:tc>
          <w:tcPr>
            <w:tcW w:w="4620" w:type="dxa"/>
            <w:gridSpan w:val="2"/>
            <w:tcBorders>
              <w:tl2br w:val="nil"/>
              <w:tr2bl w:val="nil"/>
            </w:tcBorders>
            <w:vAlign w:val="center"/>
          </w:tcPr>
          <w:p w14:paraId="5D0D2AA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《中华人民共和国森林法》</w:t>
            </w:r>
          </w:p>
        </w:tc>
        <w:tc>
          <w:tcPr>
            <w:tcW w:w="2115" w:type="dxa"/>
            <w:tcBorders>
              <w:tl2br w:val="nil"/>
              <w:tr2bl w:val="nil"/>
            </w:tcBorders>
            <w:vAlign w:val="center"/>
          </w:tcPr>
          <w:p w14:paraId="5E59904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13届</w:t>
            </w:r>
            <w:r>
              <w:rPr>
                <w:rFonts w:hint="default" w:ascii="Times New Roman" w:hAnsi="Times New Roman" w:eastAsia="宋体" w:cs="Times New Roman"/>
                <w:color w:val="auto"/>
                <w:spacing w:val="0"/>
                <w:w w:val="100"/>
                <w:position w:val="0"/>
                <w:sz w:val="21"/>
                <w:szCs w:val="21"/>
              </w:rPr>
              <w:t>人大第</w:t>
            </w:r>
            <w:r>
              <w:rPr>
                <w:rFonts w:hint="default" w:ascii="Times New Roman" w:hAnsi="Times New Roman" w:eastAsia="宋体" w:cs="Times New Roman"/>
                <w:color w:val="auto"/>
                <w:spacing w:val="0"/>
                <w:w w:val="100"/>
                <w:position w:val="0"/>
                <w:sz w:val="21"/>
                <w:szCs w:val="21"/>
                <w:lang w:val="en-US" w:eastAsia="zh-CN"/>
              </w:rPr>
              <w:t>15</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4F91168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2020-07-01</w:t>
            </w:r>
          </w:p>
        </w:tc>
      </w:tr>
      <w:tr w14:paraId="26E283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E69ABA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12</w:t>
            </w:r>
          </w:p>
        </w:tc>
        <w:tc>
          <w:tcPr>
            <w:tcW w:w="4620" w:type="dxa"/>
            <w:gridSpan w:val="2"/>
            <w:tcBorders>
              <w:tl2br w:val="nil"/>
              <w:tr2bl w:val="nil"/>
            </w:tcBorders>
            <w:vAlign w:val="center"/>
          </w:tcPr>
          <w:p w14:paraId="0822473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《中华人民共和国野生动物保护法》</w:t>
            </w:r>
          </w:p>
        </w:tc>
        <w:tc>
          <w:tcPr>
            <w:tcW w:w="2115" w:type="dxa"/>
            <w:tcBorders>
              <w:tl2br w:val="nil"/>
              <w:tr2bl w:val="nil"/>
            </w:tcBorders>
            <w:vAlign w:val="center"/>
          </w:tcPr>
          <w:p w14:paraId="4822782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1</w:t>
            </w:r>
            <w:r>
              <w:rPr>
                <w:rFonts w:hint="default" w:ascii="Times New Roman" w:hAnsi="Times New Roman" w:eastAsia="宋体" w:cs="Times New Roman"/>
                <w:color w:val="auto"/>
                <w:spacing w:val="0"/>
                <w:w w:val="100"/>
                <w:position w:val="0"/>
                <w:sz w:val="21"/>
                <w:szCs w:val="21"/>
                <w:lang w:val="en-US" w:eastAsia="zh-CN"/>
              </w:rPr>
              <w:t>3</w:t>
            </w:r>
            <w:r>
              <w:rPr>
                <w:rFonts w:hint="default" w:ascii="Times New Roman" w:hAnsi="Times New Roman" w:eastAsia="宋体" w:cs="Times New Roman"/>
                <w:color w:val="auto"/>
                <w:spacing w:val="0"/>
                <w:w w:val="100"/>
                <w:position w:val="0"/>
                <w:sz w:val="21"/>
                <w:szCs w:val="21"/>
              </w:rPr>
              <w:t>届人大第</w:t>
            </w:r>
            <w:r>
              <w:rPr>
                <w:rFonts w:hint="default" w:ascii="Times New Roman" w:hAnsi="Times New Roman" w:eastAsia="宋体" w:cs="Times New Roman"/>
                <w:color w:val="auto"/>
                <w:spacing w:val="0"/>
                <w:w w:val="100"/>
                <w:position w:val="0"/>
                <w:sz w:val="21"/>
                <w:szCs w:val="21"/>
                <w:lang w:val="en-US" w:eastAsia="zh-CN"/>
              </w:rPr>
              <w:t>38</w:t>
            </w:r>
            <w:r>
              <w:rPr>
                <w:rFonts w:hint="default" w:ascii="Times New Roman" w:hAnsi="Times New Roman" w:eastAsia="宋体" w:cs="Times New Roman"/>
                <w:color w:val="auto"/>
                <w:spacing w:val="0"/>
                <w:w w:val="100"/>
                <w:position w:val="0"/>
                <w:sz w:val="21"/>
                <w:szCs w:val="21"/>
              </w:rPr>
              <w:t>次会议</w:t>
            </w:r>
          </w:p>
        </w:tc>
        <w:tc>
          <w:tcPr>
            <w:tcW w:w="1114" w:type="dxa"/>
            <w:tcBorders>
              <w:tl2br w:val="nil"/>
              <w:tr2bl w:val="nil"/>
            </w:tcBorders>
            <w:vAlign w:val="center"/>
          </w:tcPr>
          <w:p w14:paraId="2EDC3A3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20</w:t>
            </w:r>
            <w:r>
              <w:rPr>
                <w:rFonts w:hint="default" w:ascii="Times New Roman" w:hAnsi="Times New Roman" w:eastAsia="宋体" w:cs="Times New Roman"/>
                <w:color w:val="auto"/>
                <w:spacing w:val="0"/>
                <w:w w:val="100"/>
                <w:position w:val="0"/>
                <w:sz w:val="21"/>
                <w:szCs w:val="21"/>
                <w:lang w:val="en-US" w:eastAsia="zh-CN"/>
              </w:rPr>
              <w:t>22</w:t>
            </w:r>
            <w:r>
              <w:rPr>
                <w:rFonts w:hint="default" w:ascii="Times New Roman" w:hAnsi="Times New Roman" w:eastAsia="宋体" w:cs="Times New Roman"/>
                <w:color w:val="auto"/>
                <w:spacing w:val="0"/>
                <w:w w:val="100"/>
                <w:position w:val="0"/>
                <w:sz w:val="21"/>
                <w:szCs w:val="21"/>
              </w:rPr>
              <w:t>-1</w:t>
            </w: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30</w:t>
            </w:r>
          </w:p>
        </w:tc>
      </w:tr>
      <w:tr w14:paraId="2FFDCE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36FF61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13</w:t>
            </w:r>
          </w:p>
        </w:tc>
        <w:tc>
          <w:tcPr>
            <w:tcW w:w="4620" w:type="dxa"/>
            <w:gridSpan w:val="2"/>
            <w:tcBorders>
              <w:tl2br w:val="nil"/>
              <w:tr2bl w:val="nil"/>
            </w:tcBorders>
            <w:vAlign w:val="center"/>
          </w:tcPr>
          <w:p w14:paraId="392F58A2">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《中华人民共和国土地管理法》</w:t>
            </w:r>
          </w:p>
        </w:tc>
        <w:tc>
          <w:tcPr>
            <w:tcW w:w="2115" w:type="dxa"/>
            <w:tcBorders>
              <w:tl2br w:val="nil"/>
              <w:tr2bl w:val="nil"/>
            </w:tcBorders>
            <w:vAlign w:val="center"/>
          </w:tcPr>
          <w:p w14:paraId="0DCDA4A8">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highlight w:val="none"/>
              </w:rPr>
              <w:t>13届人大第12次会议</w:t>
            </w:r>
          </w:p>
        </w:tc>
        <w:tc>
          <w:tcPr>
            <w:tcW w:w="1114" w:type="dxa"/>
            <w:tcBorders>
              <w:tl2br w:val="nil"/>
              <w:tr2bl w:val="nil"/>
            </w:tcBorders>
            <w:vAlign w:val="center"/>
          </w:tcPr>
          <w:p w14:paraId="49AD8E1F">
            <w:pPr>
              <w:pStyle w:val="33"/>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highlight w:val="none"/>
              </w:rPr>
              <w:t>2020-01-01</w:t>
            </w:r>
          </w:p>
        </w:tc>
      </w:tr>
      <w:tr w14:paraId="19234B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46DDF6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二</w:t>
            </w:r>
          </w:p>
        </w:tc>
        <w:tc>
          <w:tcPr>
            <w:tcW w:w="7849" w:type="dxa"/>
            <w:gridSpan w:val="4"/>
            <w:tcBorders>
              <w:tl2br w:val="nil"/>
              <w:tr2bl w:val="nil"/>
            </w:tcBorders>
            <w:vAlign w:val="center"/>
          </w:tcPr>
          <w:p w14:paraId="41715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行政法规与国务院发布的规范性文件</w:t>
            </w:r>
          </w:p>
        </w:tc>
      </w:tr>
      <w:tr w14:paraId="668357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8261F6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1</w:t>
            </w:r>
          </w:p>
        </w:tc>
        <w:tc>
          <w:tcPr>
            <w:tcW w:w="4620" w:type="dxa"/>
            <w:gridSpan w:val="2"/>
            <w:tcBorders>
              <w:tl2br w:val="nil"/>
              <w:tr2bl w:val="nil"/>
            </w:tcBorders>
            <w:vAlign w:val="center"/>
          </w:tcPr>
          <w:p w14:paraId="786BE68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《建设项目环境保护管理条例》</w:t>
            </w:r>
          </w:p>
        </w:tc>
        <w:tc>
          <w:tcPr>
            <w:tcW w:w="2115" w:type="dxa"/>
            <w:tcBorders>
              <w:tl2br w:val="nil"/>
              <w:tr2bl w:val="nil"/>
            </w:tcBorders>
            <w:vAlign w:val="center"/>
          </w:tcPr>
          <w:p w14:paraId="49E7287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国务院令682号</w:t>
            </w:r>
          </w:p>
        </w:tc>
        <w:tc>
          <w:tcPr>
            <w:tcW w:w="1114" w:type="dxa"/>
            <w:tcBorders>
              <w:tl2br w:val="nil"/>
              <w:tr2bl w:val="nil"/>
            </w:tcBorders>
            <w:vAlign w:val="center"/>
          </w:tcPr>
          <w:p w14:paraId="42FE240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2017-10-01</w:t>
            </w:r>
          </w:p>
        </w:tc>
      </w:tr>
      <w:tr w14:paraId="5C0A01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B2708D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w:t>
            </w:r>
          </w:p>
        </w:tc>
        <w:tc>
          <w:tcPr>
            <w:tcW w:w="4620" w:type="dxa"/>
            <w:gridSpan w:val="2"/>
            <w:tcBorders>
              <w:tl2br w:val="nil"/>
              <w:tr2bl w:val="nil"/>
            </w:tcBorders>
            <w:vAlign w:val="center"/>
          </w:tcPr>
          <w:p w14:paraId="61C716C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《中华人民共和国野生植物保护条例》</w:t>
            </w:r>
          </w:p>
        </w:tc>
        <w:tc>
          <w:tcPr>
            <w:tcW w:w="2115" w:type="dxa"/>
            <w:tcBorders>
              <w:tl2br w:val="nil"/>
              <w:tr2bl w:val="nil"/>
            </w:tcBorders>
            <w:vAlign w:val="center"/>
          </w:tcPr>
          <w:p w14:paraId="35FD67E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国务院令687号</w:t>
            </w:r>
          </w:p>
        </w:tc>
        <w:tc>
          <w:tcPr>
            <w:tcW w:w="1114" w:type="dxa"/>
            <w:tcBorders>
              <w:tl2br w:val="nil"/>
              <w:tr2bl w:val="nil"/>
            </w:tcBorders>
            <w:vAlign w:val="center"/>
          </w:tcPr>
          <w:p w14:paraId="4F9ADB3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2017-10-07</w:t>
            </w:r>
          </w:p>
        </w:tc>
      </w:tr>
      <w:tr w14:paraId="1008BB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8AA421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w:t>
            </w:r>
          </w:p>
        </w:tc>
        <w:tc>
          <w:tcPr>
            <w:tcW w:w="4620" w:type="dxa"/>
            <w:gridSpan w:val="2"/>
            <w:tcBorders>
              <w:tl2br w:val="nil"/>
              <w:tr2bl w:val="nil"/>
            </w:tcBorders>
            <w:vAlign w:val="center"/>
          </w:tcPr>
          <w:p w14:paraId="4E78AB40">
            <w:pPr>
              <w:pStyle w:val="33"/>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《中华人民共和国土地管理法实施条例》</w:t>
            </w:r>
          </w:p>
        </w:tc>
        <w:tc>
          <w:tcPr>
            <w:tcW w:w="2115" w:type="dxa"/>
            <w:tcBorders>
              <w:tl2br w:val="nil"/>
              <w:tr2bl w:val="nil"/>
            </w:tcBorders>
            <w:vAlign w:val="center"/>
          </w:tcPr>
          <w:p w14:paraId="43C12BD7">
            <w:pPr>
              <w:pStyle w:val="33"/>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highlight w:val="none"/>
              </w:rPr>
              <w:t>国务院令第</w:t>
            </w:r>
            <w:r>
              <w:rPr>
                <w:rFonts w:hint="default" w:ascii="Times New Roman" w:hAnsi="Times New Roman" w:eastAsia="宋体" w:cs="Times New Roman"/>
                <w:color w:val="auto"/>
                <w:spacing w:val="0"/>
                <w:w w:val="100"/>
                <w:position w:val="0"/>
                <w:sz w:val="21"/>
                <w:szCs w:val="21"/>
                <w:highlight w:val="none"/>
                <w:lang w:val="en-US" w:eastAsia="zh-CN"/>
              </w:rPr>
              <w:t>743</w:t>
            </w:r>
            <w:r>
              <w:rPr>
                <w:rFonts w:hint="default" w:ascii="Times New Roman" w:hAnsi="Times New Roman" w:eastAsia="宋体" w:cs="Times New Roman"/>
                <w:color w:val="auto"/>
                <w:spacing w:val="0"/>
                <w:w w:val="100"/>
                <w:position w:val="0"/>
                <w:sz w:val="21"/>
                <w:szCs w:val="21"/>
                <w:highlight w:val="none"/>
              </w:rPr>
              <w:t>号</w:t>
            </w:r>
          </w:p>
        </w:tc>
        <w:tc>
          <w:tcPr>
            <w:tcW w:w="1114" w:type="dxa"/>
            <w:tcBorders>
              <w:tl2br w:val="nil"/>
              <w:tr2bl w:val="nil"/>
            </w:tcBorders>
            <w:vAlign w:val="center"/>
          </w:tcPr>
          <w:p w14:paraId="356E0FE5">
            <w:pPr>
              <w:pStyle w:val="33"/>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2021-09-01</w:t>
            </w:r>
          </w:p>
        </w:tc>
      </w:tr>
      <w:tr w14:paraId="567863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82AE45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4</w:t>
            </w:r>
          </w:p>
        </w:tc>
        <w:tc>
          <w:tcPr>
            <w:tcW w:w="4620" w:type="dxa"/>
            <w:gridSpan w:val="2"/>
            <w:tcBorders>
              <w:tl2br w:val="nil"/>
              <w:tr2bl w:val="nil"/>
            </w:tcBorders>
            <w:vAlign w:val="center"/>
          </w:tcPr>
          <w:p w14:paraId="45E7B6A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《中华人民共和国道路交通安全法实施条例》</w:t>
            </w:r>
          </w:p>
        </w:tc>
        <w:tc>
          <w:tcPr>
            <w:tcW w:w="2115" w:type="dxa"/>
            <w:tcBorders>
              <w:tl2br w:val="nil"/>
              <w:tr2bl w:val="nil"/>
            </w:tcBorders>
            <w:vAlign w:val="center"/>
          </w:tcPr>
          <w:p w14:paraId="7889E06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w:t>
            </w:r>
            <w:r>
              <w:rPr>
                <w:rFonts w:hint="default" w:ascii="Times New Roman" w:hAnsi="Times New Roman" w:eastAsia="宋体" w:cs="Times New Roman"/>
                <w:color w:val="auto"/>
                <w:spacing w:val="0"/>
                <w:w w:val="100"/>
                <w:position w:val="0"/>
                <w:sz w:val="21"/>
                <w:szCs w:val="21"/>
                <w:lang w:val="en-US" w:eastAsia="zh-CN"/>
              </w:rPr>
              <w:t>687</w:t>
            </w:r>
            <w:r>
              <w:rPr>
                <w:rFonts w:hint="default" w:ascii="Times New Roman" w:hAnsi="Times New Roman" w:eastAsia="宋体" w:cs="Times New Roman"/>
                <w:color w:val="auto"/>
                <w:spacing w:val="0"/>
                <w:w w:val="100"/>
                <w:position w:val="0"/>
                <w:sz w:val="21"/>
                <w:szCs w:val="21"/>
                <w:lang w:eastAsia="zh-CN"/>
              </w:rPr>
              <w:t>号</w:t>
            </w:r>
          </w:p>
        </w:tc>
        <w:tc>
          <w:tcPr>
            <w:tcW w:w="1114" w:type="dxa"/>
            <w:tcBorders>
              <w:tl2br w:val="nil"/>
              <w:tr2bl w:val="nil"/>
            </w:tcBorders>
            <w:vAlign w:val="center"/>
          </w:tcPr>
          <w:p w14:paraId="2E1BAB2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2017-10-07</w:t>
            </w:r>
          </w:p>
        </w:tc>
      </w:tr>
      <w:tr w14:paraId="3B999E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019C9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5</w:t>
            </w:r>
          </w:p>
        </w:tc>
        <w:tc>
          <w:tcPr>
            <w:tcW w:w="4620" w:type="dxa"/>
            <w:gridSpan w:val="2"/>
            <w:tcBorders>
              <w:tl2br w:val="nil"/>
              <w:tr2bl w:val="nil"/>
            </w:tcBorders>
            <w:vAlign w:val="center"/>
          </w:tcPr>
          <w:p w14:paraId="1CB7EE8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《民用爆炸物品安全管理条例》</w:t>
            </w:r>
          </w:p>
        </w:tc>
        <w:tc>
          <w:tcPr>
            <w:tcW w:w="2115" w:type="dxa"/>
            <w:tcBorders>
              <w:tl2br w:val="nil"/>
              <w:tr2bl w:val="nil"/>
            </w:tcBorders>
            <w:vAlign w:val="center"/>
          </w:tcPr>
          <w:p w14:paraId="644BD07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w:t>
            </w:r>
            <w:r>
              <w:rPr>
                <w:rFonts w:hint="default" w:ascii="Times New Roman" w:hAnsi="Times New Roman" w:eastAsia="宋体" w:cs="Times New Roman"/>
                <w:color w:val="auto"/>
                <w:spacing w:val="0"/>
                <w:w w:val="100"/>
                <w:position w:val="0"/>
                <w:sz w:val="21"/>
                <w:szCs w:val="21"/>
                <w:lang w:val="en-US" w:eastAsia="zh-CN"/>
              </w:rPr>
              <w:t>466</w:t>
            </w:r>
            <w:r>
              <w:rPr>
                <w:rFonts w:hint="default" w:ascii="Times New Roman" w:hAnsi="Times New Roman" w:eastAsia="宋体" w:cs="Times New Roman"/>
                <w:color w:val="auto"/>
                <w:spacing w:val="0"/>
                <w:w w:val="100"/>
                <w:position w:val="0"/>
                <w:sz w:val="21"/>
                <w:szCs w:val="21"/>
                <w:lang w:eastAsia="zh-CN"/>
              </w:rPr>
              <w:t>号</w:t>
            </w:r>
          </w:p>
        </w:tc>
        <w:tc>
          <w:tcPr>
            <w:tcW w:w="1114" w:type="dxa"/>
            <w:tcBorders>
              <w:tl2br w:val="nil"/>
              <w:tr2bl w:val="nil"/>
            </w:tcBorders>
            <w:vAlign w:val="center"/>
          </w:tcPr>
          <w:p w14:paraId="1A1E3AA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2006-09-01</w:t>
            </w:r>
          </w:p>
        </w:tc>
      </w:tr>
      <w:tr w14:paraId="62AF3E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29F8F9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6</w:t>
            </w:r>
          </w:p>
        </w:tc>
        <w:tc>
          <w:tcPr>
            <w:tcW w:w="4620" w:type="dxa"/>
            <w:gridSpan w:val="2"/>
            <w:tcBorders>
              <w:tl2br w:val="nil"/>
              <w:tr2bl w:val="nil"/>
            </w:tcBorders>
            <w:vAlign w:val="center"/>
          </w:tcPr>
          <w:p w14:paraId="212DB4B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《土地复垦条例》</w:t>
            </w:r>
          </w:p>
        </w:tc>
        <w:tc>
          <w:tcPr>
            <w:tcW w:w="2115" w:type="dxa"/>
            <w:tcBorders>
              <w:tl2br w:val="nil"/>
              <w:tr2bl w:val="nil"/>
            </w:tcBorders>
            <w:vAlign w:val="center"/>
          </w:tcPr>
          <w:p w14:paraId="0203332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w:t>
            </w:r>
            <w:r>
              <w:rPr>
                <w:rFonts w:hint="default" w:ascii="Times New Roman" w:hAnsi="Times New Roman" w:eastAsia="宋体" w:cs="Times New Roman"/>
                <w:color w:val="auto"/>
                <w:spacing w:val="0"/>
                <w:w w:val="100"/>
                <w:position w:val="0"/>
                <w:sz w:val="21"/>
                <w:szCs w:val="21"/>
                <w:lang w:val="en-US" w:eastAsia="zh-CN"/>
              </w:rPr>
              <w:t>592</w:t>
            </w:r>
            <w:r>
              <w:rPr>
                <w:rFonts w:hint="default" w:ascii="Times New Roman" w:hAnsi="Times New Roman" w:eastAsia="宋体" w:cs="Times New Roman"/>
                <w:color w:val="auto"/>
                <w:spacing w:val="0"/>
                <w:w w:val="100"/>
                <w:position w:val="0"/>
                <w:sz w:val="21"/>
                <w:szCs w:val="21"/>
                <w:lang w:eastAsia="zh-CN"/>
              </w:rPr>
              <w:t>号</w:t>
            </w:r>
          </w:p>
        </w:tc>
        <w:tc>
          <w:tcPr>
            <w:tcW w:w="1114" w:type="dxa"/>
            <w:tcBorders>
              <w:tl2br w:val="nil"/>
              <w:tr2bl w:val="nil"/>
            </w:tcBorders>
            <w:vAlign w:val="center"/>
          </w:tcPr>
          <w:p w14:paraId="714DC41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2011-02-22</w:t>
            </w:r>
          </w:p>
        </w:tc>
      </w:tr>
      <w:tr w14:paraId="48AE91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125" w:hRule="atLeast"/>
          <w:jc w:val="center"/>
        </w:trPr>
        <w:tc>
          <w:tcPr>
            <w:tcW w:w="538" w:type="dxa"/>
            <w:tcBorders>
              <w:tl2br w:val="nil"/>
              <w:tr2bl w:val="nil"/>
            </w:tcBorders>
            <w:shd w:val="clear" w:color="auto" w:fill="auto"/>
            <w:vAlign w:val="center"/>
          </w:tcPr>
          <w:p w14:paraId="13CCF16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7</w:t>
            </w:r>
          </w:p>
        </w:tc>
        <w:tc>
          <w:tcPr>
            <w:tcW w:w="4620" w:type="dxa"/>
            <w:gridSpan w:val="2"/>
            <w:tcBorders>
              <w:tl2br w:val="nil"/>
              <w:tr2bl w:val="nil"/>
            </w:tcBorders>
            <w:vAlign w:val="center"/>
          </w:tcPr>
          <w:p w14:paraId="4AF02F3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《中华人民共和国矿山安全法实施条例》</w:t>
            </w:r>
          </w:p>
        </w:tc>
        <w:tc>
          <w:tcPr>
            <w:tcW w:w="2115" w:type="dxa"/>
            <w:tcBorders>
              <w:tl2br w:val="nil"/>
              <w:tr2bl w:val="nil"/>
            </w:tcBorders>
            <w:vAlign w:val="center"/>
          </w:tcPr>
          <w:p w14:paraId="1755F68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劳动部令第</w:t>
            </w:r>
            <w:r>
              <w:rPr>
                <w:rFonts w:hint="default" w:ascii="Times New Roman" w:hAnsi="Times New Roman" w:eastAsia="宋体" w:cs="Times New Roman"/>
                <w:color w:val="auto"/>
                <w:spacing w:val="0"/>
                <w:w w:val="100"/>
                <w:position w:val="0"/>
                <w:sz w:val="21"/>
                <w:szCs w:val="21"/>
                <w:lang w:val="en-US" w:eastAsia="zh-CN"/>
              </w:rPr>
              <w:t>4号</w:t>
            </w:r>
          </w:p>
        </w:tc>
        <w:tc>
          <w:tcPr>
            <w:tcW w:w="1114" w:type="dxa"/>
            <w:tcBorders>
              <w:tl2br w:val="nil"/>
              <w:tr2bl w:val="nil"/>
            </w:tcBorders>
            <w:vAlign w:val="center"/>
          </w:tcPr>
          <w:p w14:paraId="74FF5E1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1996-10-30</w:t>
            </w:r>
          </w:p>
        </w:tc>
      </w:tr>
      <w:tr w14:paraId="5BAAFC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0F252FB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8</w:t>
            </w:r>
          </w:p>
        </w:tc>
        <w:tc>
          <w:tcPr>
            <w:tcW w:w="4620" w:type="dxa"/>
            <w:gridSpan w:val="2"/>
            <w:tcBorders>
              <w:tl2br w:val="nil"/>
              <w:tr2bl w:val="nil"/>
            </w:tcBorders>
            <w:vAlign w:val="center"/>
          </w:tcPr>
          <w:p w14:paraId="75DB2E6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《危险化学品安全管理条例》</w:t>
            </w:r>
          </w:p>
        </w:tc>
        <w:tc>
          <w:tcPr>
            <w:tcW w:w="2115" w:type="dxa"/>
            <w:tcBorders>
              <w:tl2br w:val="nil"/>
              <w:tr2bl w:val="nil"/>
            </w:tcBorders>
            <w:vAlign w:val="center"/>
          </w:tcPr>
          <w:p w14:paraId="335ACA5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国务院令591号</w:t>
            </w:r>
          </w:p>
        </w:tc>
        <w:tc>
          <w:tcPr>
            <w:tcW w:w="1114" w:type="dxa"/>
            <w:tcBorders>
              <w:tl2br w:val="nil"/>
              <w:tr2bl w:val="nil"/>
            </w:tcBorders>
            <w:vAlign w:val="center"/>
          </w:tcPr>
          <w:p w14:paraId="0212585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2011-12-01</w:t>
            </w:r>
          </w:p>
        </w:tc>
      </w:tr>
      <w:tr w14:paraId="3D9D6F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42EC2FE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9</w:t>
            </w:r>
          </w:p>
        </w:tc>
        <w:tc>
          <w:tcPr>
            <w:tcW w:w="4620" w:type="dxa"/>
            <w:gridSpan w:val="2"/>
            <w:tcBorders>
              <w:tl2br w:val="nil"/>
              <w:tr2bl w:val="nil"/>
            </w:tcBorders>
            <w:vAlign w:val="center"/>
          </w:tcPr>
          <w:p w14:paraId="42A85CE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《中华人民共和国河道管理条例》</w:t>
            </w:r>
          </w:p>
        </w:tc>
        <w:tc>
          <w:tcPr>
            <w:tcW w:w="2115" w:type="dxa"/>
            <w:tcBorders>
              <w:tl2br w:val="nil"/>
              <w:tr2bl w:val="nil"/>
            </w:tcBorders>
            <w:vAlign w:val="center"/>
          </w:tcPr>
          <w:p w14:paraId="7107AF1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国务院令687号</w:t>
            </w:r>
          </w:p>
        </w:tc>
        <w:tc>
          <w:tcPr>
            <w:tcW w:w="1114" w:type="dxa"/>
            <w:tcBorders>
              <w:tl2br w:val="nil"/>
              <w:tr2bl w:val="nil"/>
            </w:tcBorders>
            <w:vAlign w:val="center"/>
          </w:tcPr>
          <w:p w14:paraId="7AAE380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2017-10-07</w:t>
            </w:r>
          </w:p>
        </w:tc>
      </w:tr>
      <w:tr w14:paraId="309BF1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2FADE0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10</w:t>
            </w:r>
          </w:p>
        </w:tc>
        <w:tc>
          <w:tcPr>
            <w:tcW w:w="4620" w:type="dxa"/>
            <w:gridSpan w:val="2"/>
            <w:tcBorders>
              <w:tl2br w:val="nil"/>
              <w:tr2bl w:val="nil"/>
            </w:tcBorders>
            <w:vAlign w:val="center"/>
          </w:tcPr>
          <w:p w14:paraId="2FAE414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《中华人民共和国土地管理法实施条例》</w:t>
            </w:r>
          </w:p>
        </w:tc>
        <w:tc>
          <w:tcPr>
            <w:tcW w:w="2115" w:type="dxa"/>
            <w:tcBorders>
              <w:tl2br w:val="nil"/>
              <w:tr2bl w:val="nil"/>
            </w:tcBorders>
            <w:vAlign w:val="center"/>
          </w:tcPr>
          <w:p w14:paraId="088A632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国务院令653号</w:t>
            </w:r>
          </w:p>
        </w:tc>
        <w:tc>
          <w:tcPr>
            <w:tcW w:w="1114" w:type="dxa"/>
            <w:tcBorders>
              <w:tl2br w:val="nil"/>
              <w:tr2bl w:val="nil"/>
            </w:tcBorders>
            <w:vAlign w:val="center"/>
          </w:tcPr>
          <w:p w14:paraId="517C733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2014-07-29</w:t>
            </w:r>
          </w:p>
        </w:tc>
      </w:tr>
      <w:tr w14:paraId="5B9CB3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5D07438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11</w:t>
            </w:r>
          </w:p>
        </w:tc>
        <w:tc>
          <w:tcPr>
            <w:tcW w:w="4620" w:type="dxa"/>
            <w:gridSpan w:val="2"/>
            <w:tcBorders>
              <w:tl2br w:val="nil"/>
              <w:tr2bl w:val="nil"/>
            </w:tcBorders>
            <w:vAlign w:val="center"/>
          </w:tcPr>
          <w:p w14:paraId="3FF5309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《国务院关于加强环境保护重点工作的意见》</w:t>
            </w:r>
          </w:p>
        </w:tc>
        <w:tc>
          <w:tcPr>
            <w:tcW w:w="2115" w:type="dxa"/>
            <w:tcBorders>
              <w:tl2br w:val="nil"/>
              <w:tr2bl w:val="nil"/>
            </w:tcBorders>
            <w:vAlign w:val="center"/>
          </w:tcPr>
          <w:p w14:paraId="09833E8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国发〔2012〕35号</w:t>
            </w:r>
          </w:p>
        </w:tc>
        <w:tc>
          <w:tcPr>
            <w:tcW w:w="1114" w:type="dxa"/>
            <w:tcBorders>
              <w:tl2br w:val="nil"/>
              <w:tr2bl w:val="nil"/>
            </w:tcBorders>
            <w:vAlign w:val="center"/>
          </w:tcPr>
          <w:p w14:paraId="323BABA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2011-10-17</w:t>
            </w:r>
          </w:p>
        </w:tc>
      </w:tr>
      <w:tr w14:paraId="1B561D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80C8F6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12</w:t>
            </w:r>
          </w:p>
        </w:tc>
        <w:tc>
          <w:tcPr>
            <w:tcW w:w="4620" w:type="dxa"/>
            <w:gridSpan w:val="2"/>
            <w:tcBorders>
              <w:tl2br w:val="nil"/>
              <w:tr2bl w:val="nil"/>
            </w:tcBorders>
            <w:vAlign w:val="center"/>
          </w:tcPr>
          <w:p w14:paraId="1B69B4E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中共中央办公厅、国务院办公厅印发《关于划定并严守生态保护红线的若干意见》</w:t>
            </w:r>
          </w:p>
        </w:tc>
        <w:tc>
          <w:tcPr>
            <w:tcW w:w="2115" w:type="dxa"/>
            <w:tcBorders>
              <w:tl2br w:val="nil"/>
              <w:tr2bl w:val="nil"/>
            </w:tcBorders>
            <w:vAlign w:val="center"/>
          </w:tcPr>
          <w:p w14:paraId="18FEDDB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w:t>
            </w:r>
          </w:p>
        </w:tc>
        <w:tc>
          <w:tcPr>
            <w:tcW w:w="1114" w:type="dxa"/>
            <w:tcBorders>
              <w:tl2br w:val="nil"/>
              <w:tr2bl w:val="nil"/>
            </w:tcBorders>
            <w:vAlign w:val="center"/>
          </w:tcPr>
          <w:p w14:paraId="3C4EBDC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2017-02-07</w:t>
            </w:r>
          </w:p>
        </w:tc>
      </w:tr>
      <w:tr w14:paraId="48962E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D15A40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13</w:t>
            </w:r>
          </w:p>
        </w:tc>
        <w:tc>
          <w:tcPr>
            <w:tcW w:w="4620" w:type="dxa"/>
            <w:gridSpan w:val="2"/>
            <w:tcBorders>
              <w:tl2br w:val="nil"/>
              <w:tr2bl w:val="nil"/>
            </w:tcBorders>
            <w:vAlign w:val="center"/>
          </w:tcPr>
          <w:p w14:paraId="65E5F17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《危险废物转移管理办法》</w:t>
            </w:r>
          </w:p>
        </w:tc>
        <w:tc>
          <w:tcPr>
            <w:tcW w:w="2115" w:type="dxa"/>
            <w:tcBorders>
              <w:tl2br w:val="nil"/>
              <w:tr2bl w:val="nil"/>
            </w:tcBorders>
            <w:vAlign w:val="center"/>
          </w:tcPr>
          <w:p w14:paraId="5FD1F35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部令 23号文</w:t>
            </w:r>
          </w:p>
        </w:tc>
        <w:tc>
          <w:tcPr>
            <w:tcW w:w="1114" w:type="dxa"/>
            <w:tcBorders>
              <w:tl2br w:val="nil"/>
              <w:tr2bl w:val="nil"/>
            </w:tcBorders>
            <w:vAlign w:val="center"/>
          </w:tcPr>
          <w:p w14:paraId="40C57DC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2022-01-01</w:t>
            </w:r>
          </w:p>
        </w:tc>
      </w:tr>
      <w:tr w14:paraId="0F5AE7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291904D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14</w:t>
            </w:r>
          </w:p>
        </w:tc>
        <w:tc>
          <w:tcPr>
            <w:tcW w:w="4620" w:type="dxa"/>
            <w:gridSpan w:val="2"/>
            <w:tcBorders>
              <w:tl2br w:val="nil"/>
              <w:tr2bl w:val="nil"/>
            </w:tcBorders>
            <w:vAlign w:val="center"/>
          </w:tcPr>
          <w:p w14:paraId="66C6744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《国务院关于印发水污染防治行动计划的通知》</w:t>
            </w:r>
          </w:p>
        </w:tc>
        <w:tc>
          <w:tcPr>
            <w:tcW w:w="2115" w:type="dxa"/>
            <w:tcBorders>
              <w:tl2br w:val="nil"/>
              <w:tr2bl w:val="nil"/>
            </w:tcBorders>
            <w:vAlign w:val="center"/>
          </w:tcPr>
          <w:p w14:paraId="46FDEA0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国发〔2015〕17号</w:t>
            </w:r>
          </w:p>
        </w:tc>
        <w:tc>
          <w:tcPr>
            <w:tcW w:w="1114" w:type="dxa"/>
            <w:tcBorders>
              <w:tl2br w:val="nil"/>
              <w:tr2bl w:val="nil"/>
            </w:tcBorders>
            <w:vAlign w:val="center"/>
          </w:tcPr>
          <w:p w14:paraId="1F7BD2B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2015-04-02</w:t>
            </w:r>
          </w:p>
        </w:tc>
      </w:tr>
      <w:tr w14:paraId="5531A4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8236B8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15</w:t>
            </w:r>
          </w:p>
        </w:tc>
        <w:tc>
          <w:tcPr>
            <w:tcW w:w="4620" w:type="dxa"/>
            <w:gridSpan w:val="2"/>
            <w:tcBorders>
              <w:tl2br w:val="nil"/>
              <w:tr2bl w:val="nil"/>
            </w:tcBorders>
            <w:vAlign w:val="center"/>
          </w:tcPr>
          <w:p w14:paraId="54D9676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《国务院关于印发土壤污染防治行动计划的通知》</w:t>
            </w:r>
          </w:p>
        </w:tc>
        <w:tc>
          <w:tcPr>
            <w:tcW w:w="2115" w:type="dxa"/>
            <w:tcBorders>
              <w:tl2br w:val="nil"/>
              <w:tr2bl w:val="nil"/>
            </w:tcBorders>
            <w:vAlign w:val="center"/>
          </w:tcPr>
          <w:p w14:paraId="100F25E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国发〔2016〕31号</w:t>
            </w:r>
          </w:p>
        </w:tc>
        <w:tc>
          <w:tcPr>
            <w:tcW w:w="1114" w:type="dxa"/>
            <w:tcBorders>
              <w:tl2br w:val="nil"/>
              <w:tr2bl w:val="nil"/>
            </w:tcBorders>
            <w:vAlign w:val="center"/>
          </w:tcPr>
          <w:p w14:paraId="5E58A6C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2016-05-28</w:t>
            </w:r>
          </w:p>
        </w:tc>
      </w:tr>
      <w:tr w14:paraId="65D6E1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4B0A55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16</w:t>
            </w:r>
          </w:p>
        </w:tc>
        <w:tc>
          <w:tcPr>
            <w:tcW w:w="4620" w:type="dxa"/>
            <w:gridSpan w:val="2"/>
            <w:tcBorders>
              <w:tl2br w:val="nil"/>
              <w:tr2bl w:val="nil"/>
            </w:tcBorders>
            <w:vAlign w:val="center"/>
          </w:tcPr>
          <w:p w14:paraId="72B3897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lang w:eastAsia="zh-CN"/>
              </w:rPr>
              <w:t>《</w:t>
            </w:r>
            <w:r>
              <w:rPr>
                <w:rFonts w:hint="default" w:ascii="Times New Roman" w:hAnsi="Times New Roman" w:eastAsia="宋体" w:cs="Times New Roman"/>
                <w:color w:val="auto"/>
                <w:spacing w:val="0"/>
                <w:w w:val="100"/>
                <w:position w:val="0"/>
                <w:sz w:val="21"/>
                <w:szCs w:val="21"/>
                <w:lang w:eastAsia="zh-CN"/>
              </w:rPr>
              <w:t>国务院关于印发大气污染防治行动计划的通知</w:t>
            </w:r>
            <w:r>
              <w:rPr>
                <w:rFonts w:hint="default" w:ascii="Times New Roman" w:hAnsi="Times New Roman" w:cs="Times New Roman"/>
                <w:color w:val="auto"/>
                <w:lang w:eastAsia="zh-CN"/>
              </w:rPr>
              <w:t>》</w:t>
            </w:r>
          </w:p>
        </w:tc>
        <w:tc>
          <w:tcPr>
            <w:tcW w:w="2115" w:type="dxa"/>
            <w:tcBorders>
              <w:tl2br w:val="nil"/>
              <w:tr2bl w:val="nil"/>
            </w:tcBorders>
            <w:vAlign w:val="center"/>
          </w:tcPr>
          <w:p w14:paraId="1238723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国发〔2013〕37号</w:t>
            </w:r>
          </w:p>
        </w:tc>
        <w:tc>
          <w:tcPr>
            <w:tcW w:w="1114" w:type="dxa"/>
            <w:tcBorders>
              <w:tl2br w:val="nil"/>
              <w:tr2bl w:val="nil"/>
            </w:tcBorders>
            <w:vAlign w:val="center"/>
          </w:tcPr>
          <w:p w14:paraId="3291684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2013-09-10</w:t>
            </w:r>
          </w:p>
        </w:tc>
      </w:tr>
      <w:tr w14:paraId="0BAB41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2D3E0B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17</w:t>
            </w:r>
          </w:p>
        </w:tc>
        <w:tc>
          <w:tcPr>
            <w:tcW w:w="4620" w:type="dxa"/>
            <w:gridSpan w:val="2"/>
            <w:tcBorders>
              <w:tl2br w:val="nil"/>
              <w:tr2bl w:val="nil"/>
            </w:tcBorders>
            <w:vAlign w:val="center"/>
          </w:tcPr>
          <w:p w14:paraId="63BDF8E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《中共中央</w:t>
            </w:r>
            <w:r>
              <w:rPr>
                <w:rFonts w:hint="default" w:ascii="Times New Roman" w:hAnsi="Times New Roman" w:cs="Times New Roman"/>
                <w:color w:val="auto"/>
                <w:spacing w:val="0"/>
                <w:w w:val="100"/>
                <w:position w:val="0"/>
                <w:sz w:val="21"/>
                <w:szCs w:val="21"/>
                <w:lang w:val="en-US" w:eastAsia="zh-CN"/>
              </w:rPr>
              <w:t xml:space="preserve"> </w:t>
            </w:r>
            <w:r>
              <w:rPr>
                <w:rFonts w:hint="default" w:ascii="Times New Roman" w:hAnsi="Times New Roman" w:eastAsia="宋体" w:cs="Times New Roman"/>
                <w:color w:val="auto"/>
                <w:spacing w:val="0"/>
                <w:w w:val="100"/>
                <w:position w:val="0"/>
                <w:sz w:val="21"/>
                <w:szCs w:val="21"/>
                <w:lang w:val="en-US" w:eastAsia="zh-CN"/>
              </w:rPr>
              <w:t>国务院关于深入打好污染防治攻坚战的意见》</w:t>
            </w:r>
          </w:p>
        </w:tc>
        <w:tc>
          <w:tcPr>
            <w:tcW w:w="2115" w:type="dxa"/>
            <w:tcBorders>
              <w:tl2br w:val="nil"/>
              <w:tr2bl w:val="nil"/>
            </w:tcBorders>
            <w:vAlign w:val="center"/>
          </w:tcPr>
          <w:p w14:paraId="4414DC5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w:t>
            </w:r>
          </w:p>
        </w:tc>
        <w:tc>
          <w:tcPr>
            <w:tcW w:w="1114" w:type="dxa"/>
            <w:tcBorders>
              <w:tl2br w:val="nil"/>
              <w:tr2bl w:val="nil"/>
            </w:tcBorders>
            <w:vAlign w:val="center"/>
          </w:tcPr>
          <w:p w14:paraId="402A16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2021-11-02</w:t>
            </w:r>
          </w:p>
        </w:tc>
      </w:tr>
      <w:tr w14:paraId="2376E8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113FC1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18</w:t>
            </w:r>
          </w:p>
        </w:tc>
        <w:tc>
          <w:tcPr>
            <w:tcW w:w="4620" w:type="dxa"/>
            <w:gridSpan w:val="2"/>
            <w:tcBorders>
              <w:tl2br w:val="nil"/>
              <w:tr2bl w:val="nil"/>
            </w:tcBorders>
            <w:vAlign w:val="center"/>
          </w:tcPr>
          <w:p w14:paraId="3FD9E28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《排污许可管理条例》</w:t>
            </w:r>
          </w:p>
        </w:tc>
        <w:tc>
          <w:tcPr>
            <w:tcW w:w="2115" w:type="dxa"/>
            <w:tcBorders>
              <w:tl2br w:val="nil"/>
              <w:tr2bl w:val="nil"/>
            </w:tcBorders>
            <w:vAlign w:val="center"/>
          </w:tcPr>
          <w:p w14:paraId="2FAB106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国务院令第736号</w:t>
            </w:r>
          </w:p>
        </w:tc>
        <w:tc>
          <w:tcPr>
            <w:tcW w:w="1114" w:type="dxa"/>
            <w:tcBorders>
              <w:tl2br w:val="nil"/>
              <w:tr2bl w:val="nil"/>
            </w:tcBorders>
            <w:vAlign w:val="center"/>
          </w:tcPr>
          <w:p w14:paraId="67B926A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2021-03-01</w:t>
            </w:r>
          </w:p>
        </w:tc>
      </w:tr>
      <w:tr w14:paraId="661BFB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57D52E4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19</w:t>
            </w:r>
          </w:p>
        </w:tc>
        <w:tc>
          <w:tcPr>
            <w:tcW w:w="4620" w:type="dxa"/>
            <w:gridSpan w:val="2"/>
            <w:tcBorders>
              <w:tl2br w:val="nil"/>
              <w:tr2bl w:val="nil"/>
            </w:tcBorders>
            <w:vAlign w:val="center"/>
          </w:tcPr>
          <w:p w14:paraId="1713D30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《地下水管理条例》</w:t>
            </w:r>
          </w:p>
        </w:tc>
        <w:tc>
          <w:tcPr>
            <w:tcW w:w="2115" w:type="dxa"/>
            <w:tcBorders>
              <w:tl2br w:val="nil"/>
              <w:tr2bl w:val="nil"/>
            </w:tcBorders>
            <w:vAlign w:val="center"/>
          </w:tcPr>
          <w:p w14:paraId="34D8073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国务院令第748号</w:t>
            </w:r>
          </w:p>
        </w:tc>
        <w:tc>
          <w:tcPr>
            <w:tcW w:w="1114" w:type="dxa"/>
            <w:tcBorders>
              <w:tl2br w:val="nil"/>
              <w:tr2bl w:val="nil"/>
            </w:tcBorders>
            <w:vAlign w:val="center"/>
          </w:tcPr>
          <w:p w14:paraId="0069510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2021-12-01</w:t>
            </w:r>
          </w:p>
        </w:tc>
      </w:tr>
      <w:tr w14:paraId="008730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3D258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三</w:t>
            </w:r>
          </w:p>
        </w:tc>
        <w:tc>
          <w:tcPr>
            <w:tcW w:w="7849" w:type="dxa"/>
            <w:gridSpan w:val="4"/>
            <w:tcBorders>
              <w:tl2br w:val="nil"/>
              <w:tr2bl w:val="nil"/>
            </w:tcBorders>
            <w:vAlign w:val="center"/>
          </w:tcPr>
          <w:p w14:paraId="7D2455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部门规章与部门发布的规范性文件</w:t>
            </w:r>
          </w:p>
        </w:tc>
      </w:tr>
      <w:tr w14:paraId="2601CF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8C98E0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w:t>
            </w:r>
          </w:p>
        </w:tc>
        <w:tc>
          <w:tcPr>
            <w:tcW w:w="4620" w:type="dxa"/>
            <w:gridSpan w:val="2"/>
            <w:tcBorders>
              <w:tl2br w:val="nil"/>
              <w:tr2bl w:val="nil"/>
            </w:tcBorders>
            <w:vAlign w:val="center"/>
          </w:tcPr>
          <w:p w14:paraId="06866CE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《土地复垦条例实施办法》</w:t>
            </w:r>
          </w:p>
        </w:tc>
        <w:tc>
          <w:tcPr>
            <w:tcW w:w="2115" w:type="dxa"/>
            <w:tcBorders>
              <w:tl2br w:val="nil"/>
              <w:tr2bl w:val="nil"/>
            </w:tcBorders>
            <w:vAlign w:val="center"/>
          </w:tcPr>
          <w:p w14:paraId="3DF253D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国土资源部第</w:t>
            </w:r>
            <w:r>
              <w:rPr>
                <w:rFonts w:hint="default" w:ascii="Times New Roman" w:hAnsi="Times New Roman" w:eastAsia="宋体" w:cs="Times New Roman"/>
                <w:color w:val="auto"/>
                <w:spacing w:val="0"/>
                <w:w w:val="100"/>
                <w:position w:val="0"/>
                <w:sz w:val="21"/>
                <w:szCs w:val="21"/>
                <w:lang w:val="en-US" w:eastAsia="zh-CN"/>
              </w:rPr>
              <w:t>56号</w:t>
            </w:r>
            <w:r>
              <w:rPr>
                <w:rFonts w:hint="default" w:ascii="Times New Roman" w:hAnsi="Times New Roman" w:eastAsia="宋体" w:cs="Times New Roman"/>
                <w:color w:val="auto"/>
                <w:spacing w:val="0"/>
                <w:w w:val="100"/>
                <w:position w:val="0"/>
                <w:sz w:val="21"/>
                <w:szCs w:val="21"/>
                <w:lang w:eastAsia="zh-CN"/>
              </w:rPr>
              <w:t>令</w:t>
            </w:r>
          </w:p>
        </w:tc>
        <w:tc>
          <w:tcPr>
            <w:tcW w:w="1114" w:type="dxa"/>
            <w:tcBorders>
              <w:tl2br w:val="nil"/>
              <w:tr2bl w:val="nil"/>
            </w:tcBorders>
            <w:vAlign w:val="center"/>
          </w:tcPr>
          <w:p w14:paraId="47D8D96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2013-03-01</w:t>
            </w:r>
          </w:p>
        </w:tc>
      </w:tr>
      <w:tr w14:paraId="007CB2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87FDB0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w:t>
            </w:r>
          </w:p>
        </w:tc>
        <w:tc>
          <w:tcPr>
            <w:tcW w:w="4620" w:type="dxa"/>
            <w:gridSpan w:val="2"/>
            <w:tcBorders>
              <w:tl2br w:val="nil"/>
              <w:tr2bl w:val="nil"/>
            </w:tcBorders>
            <w:vAlign w:val="center"/>
          </w:tcPr>
          <w:p w14:paraId="1535FC4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《关于印发“十四五”土壤、地下水和农村生态环境保护规划的通知》</w:t>
            </w:r>
          </w:p>
        </w:tc>
        <w:tc>
          <w:tcPr>
            <w:tcW w:w="2115" w:type="dxa"/>
            <w:tcBorders>
              <w:tl2br w:val="nil"/>
              <w:tr2bl w:val="nil"/>
            </w:tcBorders>
            <w:vAlign w:val="center"/>
          </w:tcPr>
          <w:p w14:paraId="165D438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highlight w:val="none"/>
              </w:rPr>
              <w:t>环土壤〔2021〕120号</w:t>
            </w:r>
          </w:p>
        </w:tc>
        <w:tc>
          <w:tcPr>
            <w:tcW w:w="1114" w:type="dxa"/>
            <w:tcBorders>
              <w:tl2br w:val="nil"/>
              <w:tr2bl w:val="nil"/>
            </w:tcBorders>
            <w:vAlign w:val="center"/>
          </w:tcPr>
          <w:p w14:paraId="189BAA5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w:t>
            </w:r>
            <w:r>
              <w:rPr>
                <w:rFonts w:hint="default" w:ascii="Times New Roman" w:hAnsi="Times New Roman" w:eastAsia="宋体" w:cs="Times New Roman"/>
                <w:color w:val="auto"/>
                <w:spacing w:val="0"/>
                <w:w w:val="100"/>
                <w:position w:val="0"/>
                <w:sz w:val="21"/>
                <w:szCs w:val="21"/>
                <w:highlight w:val="none"/>
                <w:lang w:val="en-US" w:eastAsia="zh-CN"/>
              </w:rPr>
              <w:t>21-12-31</w:t>
            </w:r>
          </w:p>
        </w:tc>
      </w:tr>
      <w:tr w14:paraId="32B9EE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3A0601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w:t>
            </w:r>
          </w:p>
        </w:tc>
        <w:tc>
          <w:tcPr>
            <w:tcW w:w="4620" w:type="dxa"/>
            <w:gridSpan w:val="2"/>
            <w:tcBorders>
              <w:tl2br w:val="nil"/>
              <w:tr2bl w:val="nil"/>
            </w:tcBorders>
            <w:vAlign w:val="center"/>
          </w:tcPr>
          <w:p w14:paraId="6B05917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关于印发《“十四五”噪声污染防治行动计划》的通知</w:t>
            </w:r>
          </w:p>
        </w:tc>
        <w:tc>
          <w:tcPr>
            <w:tcW w:w="2115" w:type="dxa"/>
            <w:tcBorders>
              <w:tl2br w:val="nil"/>
              <w:tr2bl w:val="nil"/>
            </w:tcBorders>
            <w:vAlign w:val="center"/>
          </w:tcPr>
          <w:p w14:paraId="21ADDF1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highlight w:val="none"/>
              </w:rPr>
              <w:t>环大气〔2023〕1号</w:t>
            </w:r>
          </w:p>
        </w:tc>
        <w:tc>
          <w:tcPr>
            <w:tcW w:w="1114" w:type="dxa"/>
            <w:tcBorders>
              <w:tl2br w:val="nil"/>
              <w:tr2bl w:val="nil"/>
            </w:tcBorders>
            <w:vAlign w:val="center"/>
          </w:tcPr>
          <w:p w14:paraId="420D4238">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2023-01-05</w:t>
            </w:r>
          </w:p>
        </w:tc>
      </w:tr>
      <w:tr w14:paraId="0C4731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8F5ABD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4</w:t>
            </w:r>
          </w:p>
        </w:tc>
        <w:tc>
          <w:tcPr>
            <w:tcW w:w="4620" w:type="dxa"/>
            <w:gridSpan w:val="2"/>
            <w:tcBorders>
              <w:tl2br w:val="nil"/>
              <w:tr2bl w:val="nil"/>
            </w:tcBorders>
            <w:vAlign w:val="center"/>
          </w:tcPr>
          <w:p w14:paraId="17A033B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《建设项目环境影响评价分类管理名录》</w:t>
            </w:r>
          </w:p>
        </w:tc>
        <w:tc>
          <w:tcPr>
            <w:tcW w:w="2115" w:type="dxa"/>
            <w:tcBorders>
              <w:tl2br w:val="nil"/>
              <w:tr2bl w:val="nil"/>
            </w:tcBorders>
            <w:vAlign w:val="center"/>
          </w:tcPr>
          <w:p w14:paraId="0916CA8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highlight w:val="none"/>
              </w:rPr>
              <w:t>生态环境部令第16号</w:t>
            </w:r>
          </w:p>
        </w:tc>
        <w:tc>
          <w:tcPr>
            <w:tcW w:w="1114" w:type="dxa"/>
            <w:tcBorders>
              <w:tl2br w:val="nil"/>
              <w:tr2bl w:val="nil"/>
            </w:tcBorders>
            <w:vAlign w:val="center"/>
          </w:tcPr>
          <w:p w14:paraId="5BC6ED7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2021-01-01</w:t>
            </w:r>
          </w:p>
        </w:tc>
      </w:tr>
      <w:tr w14:paraId="4E05B5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A30F3B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5</w:t>
            </w:r>
          </w:p>
        </w:tc>
        <w:tc>
          <w:tcPr>
            <w:tcW w:w="4620" w:type="dxa"/>
            <w:gridSpan w:val="2"/>
            <w:tcBorders>
              <w:tl2br w:val="nil"/>
              <w:tr2bl w:val="nil"/>
            </w:tcBorders>
            <w:vAlign w:val="center"/>
          </w:tcPr>
          <w:p w14:paraId="4A0D260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《关于进一步加强环境影响评价管理防范环境风险的通知》</w:t>
            </w:r>
          </w:p>
        </w:tc>
        <w:tc>
          <w:tcPr>
            <w:tcW w:w="2115" w:type="dxa"/>
            <w:tcBorders>
              <w:tl2br w:val="nil"/>
              <w:tr2bl w:val="nil"/>
            </w:tcBorders>
            <w:vAlign w:val="center"/>
          </w:tcPr>
          <w:p w14:paraId="7041C37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环发〔2012〕77号</w:t>
            </w:r>
          </w:p>
        </w:tc>
        <w:tc>
          <w:tcPr>
            <w:tcW w:w="1114" w:type="dxa"/>
            <w:tcBorders>
              <w:tl2br w:val="nil"/>
              <w:tr2bl w:val="nil"/>
            </w:tcBorders>
            <w:vAlign w:val="center"/>
          </w:tcPr>
          <w:p w14:paraId="31E15F0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w:t>
            </w:r>
            <w:r>
              <w:rPr>
                <w:rFonts w:hint="default" w:ascii="Times New Roman" w:hAnsi="Times New Roman" w:eastAsia="宋体" w:cs="Times New Roman"/>
                <w:color w:val="auto"/>
                <w:spacing w:val="0"/>
                <w:w w:val="100"/>
                <w:position w:val="0"/>
                <w:sz w:val="21"/>
                <w:szCs w:val="21"/>
                <w:highlight w:val="none"/>
                <w:lang w:val="en-US" w:eastAsia="zh-CN"/>
              </w:rPr>
              <w:t>12-07-03</w:t>
            </w:r>
          </w:p>
        </w:tc>
      </w:tr>
      <w:tr w14:paraId="0CA881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1C0153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6</w:t>
            </w:r>
          </w:p>
        </w:tc>
        <w:tc>
          <w:tcPr>
            <w:tcW w:w="4620" w:type="dxa"/>
            <w:gridSpan w:val="2"/>
            <w:tcBorders>
              <w:tl2br w:val="nil"/>
              <w:tr2bl w:val="nil"/>
            </w:tcBorders>
            <w:vAlign w:val="center"/>
          </w:tcPr>
          <w:p w14:paraId="2BF5372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《全国生态脆弱区保护规划纲要》</w:t>
            </w:r>
          </w:p>
        </w:tc>
        <w:tc>
          <w:tcPr>
            <w:tcW w:w="2115" w:type="dxa"/>
            <w:tcBorders>
              <w:tl2br w:val="nil"/>
              <w:tr2bl w:val="nil"/>
            </w:tcBorders>
            <w:vAlign w:val="center"/>
          </w:tcPr>
          <w:p w14:paraId="31E25AE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环发〔2008〕92号</w:t>
            </w:r>
          </w:p>
        </w:tc>
        <w:tc>
          <w:tcPr>
            <w:tcW w:w="1114" w:type="dxa"/>
            <w:tcBorders>
              <w:tl2br w:val="nil"/>
              <w:tr2bl w:val="nil"/>
            </w:tcBorders>
            <w:vAlign w:val="center"/>
          </w:tcPr>
          <w:p w14:paraId="5A567A4E">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2008-09-27</w:t>
            </w:r>
          </w:p>
        </w:tc>
      </w:tr>
      <w:tr w14:paraId="5EA1CF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A4383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7</w:t>
            </w:r>
          </w:p>
        </w:tc>
        <w:tc>
          <w:tcPr>
            <w:tcW w:w="4620" w:type="dxa"/>
            <w:gridSpan w:val="2"/>
            <w:tcBorders>
              <w:tl2br w:val="nil"/>
              <w:tr2bl w:val="nil"/>
            </w:tcBorders>
            <w:vAlign w:val="center"/>
          </w:tcPr>
          <w:p w14:paraId="4A116C7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《全国生态环境保护纲要》</w:t>
            </w:r>
          </w:p>
        </w:tc>
        <w:tc>
          <w:tcPr>
            <w:tcW w:w="2115" w:type="dxa"/>
            <w:tcBorders>
              <w:tl2br w:val="nil"/>
              <w:tr2bl w:val="nil"/>
            </w:tcBorders>
            <w:vAlign w:val="center"/>
          </w:tcPr>
          <w:p w14:paraId="18AC390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环发〔2000〕235号</w:t>
            </w:r>
          </w:p>
        </w:tc>
        <w:tc>
          <w:tcPr>
            <w:tcW w:w="1114" w:type="dxa"/>
            <w:tcBorders>
              <w:tl2br w:val="nil"/>
              <w:tr2bl w:val="nil"/>
            </w:tcBorders>
            <w:vAlign w:val="center"/>
          </w:tcPr>
          <w:p w14:paraId="1E076DC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2000-11-26</w:t>
            </w:r>
          </w:p>
        </w:tc>
      </w:tr>
      <w:tr w14:paraId="56AC3A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541F4ED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8</w:t>
            </w:r>
          </w:p>
        </w:tc>
        <w:tc>
          <w:tcPr>
            <w:tcW w:w="4620" w:type="dxa"/>
            <w:gridSpan w:val="2"/>
            <w:tcBorders>
              <w:tl2br w:val="nil"/>
              <w:tr2bl w:val="nil"/>
            </w:tcBorders>
            <w:vAlign w:val="center"/>
          </w:tcPr>
          <w:p w14:paraId="0D283A4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《全国生态功能区划（修编版）》</w:t>
            </w:r>
          </w:p>
        </w:tc>
        <w:tc>
          <w:tcPr>
            <w:tcW w:w="2115" w:type="dxa"/>
            <w:tcBorders>
              <w:tl2br w:val="nil"/>
              <w:tr2bl w:val="nil"/>
            </w:tcBorders>
            <w:vAlign w:val="center"/>
          </w:tcPr>
          <w:p w14:paraId="72E9201D">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环保部公告2015年第61号</w:t>
            </w:r>
          </w:p>
        </w:tc>
        <w:tc>
          <w:tcPr>
            <w:tcW w:w="1114" w:type="dxa"/>
            <w:tcBorders>
              <w:tl2br w:val="nil"/>
              <w:tr2bl w:val="nil"/>
            </w:tcBorders>
            <w:vAlign w:val="center"/>
          </w:tcPr>
          <w:p w14:paraId="7A02567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2015-11-13</w:t>
            </w:r>
          </w:p>
        </w:tc>
      </w:tr>
      <w:tr w14:paraId="1D52BB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0268E0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9</w:t>
            </w:r>
          </w:p>
        </w:tc>
        <w:tc>
          <w:tcPr>
            <w:tcW w:w="4620" w:type="dxa"/>
            <w:gridSpan w:val="2"/>
            <w:tcBorders>
              <w:tl2br w:val="nil"/>
              <w:tr2bl w:val="nil"/>
            </w:tcBorders>
            <w:vAlign w:val="center"/>
          </w:tcPr>
          <w:p w14:paraId="0593BF6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《关于加强国家重点生态功能区环境保护和管理的意见》</w:t>
            </w:r>
          </w:p>
        </w:tc>
        <w:tc>
          <w:tcPr>
            <w:tcW w:w="2115" w:type="dxa"/>
            <w:tcBorders>
              <w:tl2br w:val="nil"/>
              <w:tr2bl w:val="nil"/>
            </w:tcBorders>
            <w:vAlign w:val="center"/>
          </w:tcPr>
          <w:p w14:paraId="16F1F00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环发〔2013〕16号</w:t>
            </w:r>
          </w:p>
        </w:tc>
        <w:tc>
          <w:tcPr>
            <w:tcW w:w="1114" w:type="dxa"/>
            <w:tcBorders>
              <w:tl2br w:val="nil"/>
              <w:tr2bl w:val="nil"/>
            </w:tcBorders>
            <w:vAlign w:val="center"/>
          </w:tcPr>
          <w:p w14:paraId="0DF7A7FD">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2013-01-22</w:t>
            </w:r>
          </w:p>
        </w:tc>
      </w:tr>
      <w:tr w14:paraId="5DB635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BBD08B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10</w:t>
            </w:r>
          </w:p>
        </w:tc>
        <w:tc>
          <w:tcPr>
            <w:tcW w:w="4620" w:type="dxa"/>
            <w:gridSpan w:val="2"/>
            <w:tcBorders>
              <w:tl2br w:val="nil"/>
              <w:tr2bl w:val="nil"/>
            </w:tcBorders>
            <w:vAlign w:val="center"/>
          </w:tcPr>
          <w:p w14:paraId="385819F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《关于切实加强环境影响评价监督管理工作的通知》</w:t>
            </w:r>
          </w:p>
        </w:tc>
        <w:tc>
          <w:tcPr>
            <w:tcW w:w="2115" w:type="dxa"/>
            <w:tcBorders>
              <w:tl2br w:val="nil"/>
              <w:tr2bl w:val="nil"/>
            </w:tcBorders>
            <w:vAlign w:val="center"/>
          </w:tcPr>
          <w:p w14:paraId="7CF89B1D">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环办〔2013〕104号</w:t>
            </w:r>
          </w:p>
        </w:tc>
        <w:tc>
          <w:tcPr>
            <w:tcW w:w="1114" w:type="dxa"/>
            <w:tcBorders>
              <w:tl2br w:val="nil"/>
              <w:tr2bl w:val="nil"/>
            </w:tcBorders>
            <w:vAlign w:val="center"/>
          </w:tcPr>
          <w:p w14:paraId="2B5D95C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2013-11-15</w:t>
            </w:r>
          </w:p>
        </w:tc>
      </w:tr>
      <w:tr w14:paraId="453339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68CB65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11</w:t>
            </w:r>
          </w:p>
        </w:tc>
        <w:tc>
          <w:tcPr>
            <w:tcW w:w="4620" w:type="dxa"/>
            <w:gridSpan w:val="2"/>
            <w:tcBorders>
              <w:tl2br w:val="nil"/>
              <w:tr2bl w:val="nil"/>
            </w:tcBorders>
            <w:vAlign w:val="center"/>
          </w:tcPr>
          <w:p w14:paraId="55F10EB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《建设项目环境影响评价政府信息公开指南（试行）》</w:t>
            </w:r>
          </w:p>
        </w:tc>
        <w:tc>
          <w:tcPr>
            <w:tcW w:w="2115" w:type="dxa"/>
            <w:tcBorders>
              <w:tl2br w:val="nil"/>
              <w:tr2bl w:val="nil"/>
            </w:tcBorders>
            <w:vAlign w:val="center"/>
          </w:tcPr>
          <w:p w14:paraId="28B30CB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环办〔2013〕103号</w:t>
            </w:r>
          </w:p>
        </w:tc>
        <w:tc>
          <w:tcPr>
            <w:tcW w:w="1114" w:type="dxa"/>
            <w:tcBorders>
              <w:tl2br w:val="nil"/>
              <w:tr2bl w:val="nil"/>
            </w:tcBorders>
            <w:vAlign w:val="center"/>
          </w:tcPr>
          <w:p w14:paraId="24A91BA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2014-01-01</w:t>
            </w:r>
          </w:p>
        </w:tc>
      </w:tr>
      <w:tr w14:paraId="3AAC36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FEE892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12</w:t>
            </w:r>
          </w:p>
        </w:tc>
        <w:tc>
          <w:tcPr>
            <w:tcW w:w="4620" w:type="dxa"/>
            <w:gridSpan w:val="2"/>
            <w:tcBorders>
              <w:tl2br w:val="nil"/>
              <w:tr2bl w:val="nil"/>
            </w:tcBorders>
            <w:vAlign w:val="center"/>
          </w:tcPr>
          <w:p w14:paraId="432A88A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《产业结构调整指导目录（</w:t>
            </w:r>
            <w:r>
              <w:rPr>
                <w:rFonts w:hint="default" w:ascii="Times New Roman" w:hAnsi="Times New Roman" w:eastAsia="宋体" w:cs="Times New Roman"/>
                <w:color w:val="auto"/>
                <w:spacing w:val="0"/>
                <w:w w:val="100"/>
                <w:position w:val="0"/>
                <w:sz w:val="21"/>
                <w:szCs w:val="21"/>
                <w:lang w:val="en-US" w:eastAsia="zh-CN"/>
              </w:rPr>
              <w:t>2024</w:t>
            </w:r>
            <w:r>
              <w:rPr>
                <w:rFonts w:hint="default" w:ascii="Times New Roman" w:hAnsi="Times New Roman" w:cs="Times New Roman"/>
                <w:color w:val="auto"/>
                <w:spacing w:val="0"/>
                <w:w w:val="100"/>
                <w:position w:val="0"/>
                <w:sz w:val="21"/>
                <w:szCs w:val="21"/>
                <w:lang w:val="en-US" w:eastAsia="zh-CN"/>
              </w:rPr>
              <w:t>年</w:t>
            </w:r>
            <w:r>
              <w:rPr>
                <w:rFonts w:hint="default" w:ascii="Times New Roman" w:hAnsi="Times New Roman" w:eastAsia="宋体" w:cs="Times New Roman"/>
                <w:color w:val="auto"/>
                <w:spacing w:val="0"/>
                <w:w w:val="100"/>
                <w:position w:val="0"/>
                <w:sz w:val="21"/>
                <w:szCs w:val="21"/>
                <w:lang w:eastAsia="zh-CN"/>
              </w:rPr>
              <w:t>本）》</w:t>
            </w:r>
          </w:p>
        </w:tc>
        <w:tc>
          <w:tcPr>
            <w:tcW w:w="2115" w:type="dxa"/>
            <w:tcBorders>
              <w:tl2br w:val="nil"/>
              <w:tr2bl w:val="nil"/>
            </w:tcBorders>
            <w:vAlign w:val="center"/>
          </w:tcPr>
          <w:p w14:paraId="15967958">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国家发展和改革委员会</w:t>
            </w:r>
          </w:p>
        </w:tc>
        <w:tc>
          <w:tcPr>
            <w:tcW w:w="1114" w:type="dxa"/>
            <w:tcBorders>
              <w:tl2br w:val="nil"/>
              <w:tr2bl w:val="nil"/>
            </w:tcBorders>
            <w:vAlign w:val="center"/>
          </w:tcPr>
          <w:p w14:paraId="62FD3DE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w:t>
            </w:r>
            <w:r>
              <w:rPr>
                <w:rFonts w:hint="default" w:ascii="Times New Roman" w:hAnsi="Times New Roman" w:eastAsia="宋体" w:cs="Times New Roman"/>
                <w:color w:val="auto"/>
                <w:spacing w:val="0"/>
                <w:w w:val="100"/>
                <w:position w:val="0"/>
                <w:sz w:val="21"/>
                <w:szCs w:val="21"/>
                <w:highlight w:val="none"/>
                <w:lang w:val="en-US" w:eastAsia="zh-CN"/>
              </w:rPr>
              <w:t>3-12-27</w:t>
            </w:r>
          </w:p>
        </w:tc>
      </w:tr>
      <w:tr w14:paraId="15F0B5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7CBEE3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13</w:t>
            </w:r>
          </w:p>
        </w:tc>
        <w:tc>
          <w:tcPr>
            <w:tcW w:w="4620" w:type="dxa"/>
            <w:gridSpan w:val="2"/>
            <w:tcBorders>
              <w:tl2br w:val="nil"/>
              <w:tr2bl w:val="nil"/>
            </w:tcBorders>
            <w:vAlign w:val="center"/>
          </w:tcPr>
          <w:p w14:paraId="04B3F5D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《国家危险废物名录（20</w:t>
            </w:r>
            <w:r>
              <w:rPr>
                <w:rFonts w:hint="default" w:ascii="Times New Roman" w:hAnsi="Times New Roman" w:cs="Times New Roman"/>
                <w:color w:val="auto"/>
                <w:spacing w:val="0"/>
                <w:w w:val="100"/>
                <w:position w:val="0"/>
                <w:sz w:val="21"/>
                <w:szCs w:val="21"/>
                <w:lang w:val="en-US" w:eastAsia="zh-CN"/>
              </w:rPr>
              <w:t>25年</w:t>
            </w:r>
            <w:r>
              <w:rPr>
                <w:rFonts w:hint="default" w:ascii="Times New Roman" w:hAnsi="Times New Roman" w:eastAsia="宋体" w:cs="Times New Roman"/>
                <w:color w:val="auto"/>
                <w:spacing w:val="0"/>
                <w:w w:val="100"/>
                <w:position w:val="0"/>
                <w:sz w:val="21"/>
                <w:szCs w:val="21"/>
                <w:lang w:eastAsia="zh-CN"/>
              </w:rPr>
              <w:t>版）》</w:t>
            </w:r>
          </w:p>
        </w:tc>
        <w:tc>
          <w:tcPr>
            <w:tcW w:w="2115" w:type="dxa"/>
            <w:tcBorders>
              <w:tl2br w:val="nil"/>
              <w:tr2bl w:val="nil"/>
            </w:tcBorders>
            <w:vAlign w:val="center"/>
          </w:tcPr>
          <w:p w14:paraId="102F534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生态环境部、国家发展和改革委员会、公安部、交通运输部、国家卫生健康委员会令第36号公布</w:t>
            </w:r>
          </w:p>
        </w:tc>
        <w:tc>
          <w:tcPr>
            <w:tcW w:w="1114" w:type="dxa"/>
            <w:tcBorders>
              <w:tl2br w:val="nil"/>
              <w:tr2bl w:val="nil"/>
            </w:tcBorders>
            <w:vAlign w:val="center"/>
          </w:tcPr>
          <w:p w14:paraId="2BE1313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w:t>
            </w:r>
            <w:r>
              <w:rPr>
                <w:rFonts w:hint="default" w:ascii="Times New Roman" w:hAnsi="Times New Roman" w:cs="Times New Roman"/>
                <w:color w:val="auto"/>
                <w:spacing w:val="0"/>
                <w:w w:val="100"/>
                <w:position w:val="0"/>
                <w:sz w:val="21"/>
                <w:szCs w:val="21"/>
                <w:highlight w:val="none"/>
                <w:lang w:val="en-US" w:eastAsia="zh-CN"/>
              </w:rPr>
              <w:t>5</w:t>
            </w:r>
            <w:r>
              <w:rPr>
                <w:rFonts w:hint="default" w:ascii="Times New Roman" w:hAnsi="Times New Roman" w:eastAsia="宋体" w:cs="Times New Roman"/>
                <w:color w:val="auto"/>
                <w:spacing w:val="0"/>
                <w:w w:val="100"/>
                <w:position w:val="0"/>
                <w:sz w:val="21"/>
                <w:szCs w:val="21"/>
                <w:highlight w:val="none"/>
                <w:lang w:val="en-US" w:eastAsia="zh-CN"/>
              </w:rPr>
              <w:t>-01-01</w:t>
            </w:r>
          </w:p>
        </w:tc>
      </w:tr>
      <w:tr w14:paraId="03FA2C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131B07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14</w:t>
            </w:r>
          </w:p>
        </w:tc>
        <w:tc>
          <w:tcPr>
            <w:tcW w:w="4620" w:type="dxa"/>
            <w:gridSpan w:val="2"/>
            <w:tcBorders>
              <w:tl2br w:val="nil"/>
              <w:tr2bl w:val="nil"/>
            </w:tcBorders>
            <w:vAlign w:val="center"/>
          </w:tcPr>
          <w:p w14:paraId="5468C54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《国家重点保护野生动物名录》</w:t>
            </w:r>
          </w:p>
        </w:tc>
        <w:tc>
          <w:tcPr>
            <w:tcW w:w="2115" w:type="dxa"/>
            <w:tcBorders>
              <w:tl2br w:val="nil"/>
              <w:tr2bl w:val="nil"/>
            </w:tcBorders>
            <w:vAlign w:val="center"/>
          </w:tcPr>
          <w:p w14:paraId="0577455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shd w:val="clear" w:color="auto" w:fill="FFFFFF"/>
              </w:rPr>
              <w:t>国家林业和草原局 农业农村部公告（2021年第3号）</w:t>
            </w:r>
          </w:p>
        </w:tc>
        <w:tc>
          <w:tcPr>
            <w:tcW w:w="1114" w:type="dxa"/>
            <w:tcBorders>
              <w:tl2br w:val="nil"/>
              <w:tr2bl w:val="nil"/>
            </w:tcBorders>
            <w:vAlign w:val="center"/>
          </w:tcPr>
          <w:p w14:paraId="770AC31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2021-</w:t>
            </w:r>
            <w:r>
              <w:rPr>
                <w:rFonts w:hint="default" w:ascii="Times New Roman" w:hAnsi="Times New Roman" w:eastAsia="宋体" w:cs="Times New Roman"/>
                <w:color w:val="auto"/>
                <w:spacing w:val="0"/>
                <w:w w:val="100"/>
                <w:position w:val="0"/>
                <w:sz w:val="21"/>
                <w:szCs w:val="21"/>
                <w:highlight w:val="none"/>
                <w:lang w:val="en-US" w:eastAsia="zh-CN"/>
              </w:rPr>
              <w:t>02-01</w:t>
            </w:r>
          </w:p>
        </w:tc>
      </w:tr>
      <w:tr w14:paraId="3FDAAB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31AE630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15</w:t>
            </w:r>
          </w:p>
        </w:tc>
        <w:tc>
          <w:tcPr>
            <w:tcW w:w="4620" w:type="dxa"/>
            <w:gridSpan w:val="2"/>
            <w:tcBorders>
              <w:tl2br w:val="nil"/>
              <w:tr2bl w:val="nil"/>
            </w:tcBorders>
            <w:vAlign w:val="center"/>
          </w:tcPr>
          <w:p w14:paraId="4936714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《国家重点保护野生植物名录》</w:t>
            </w:r>
          </w:p>
        </w:tc>
        <w:tc>
          <w:tcPr>
            <w:tcW w:w="2115" w:type="dxa"/>
            <w:tcBorders>
              <w:tl2br w:val="nil"/>
              <w:tr2bl w:val="nil"/>
            </w:tcBorders>
            <w:vAlign w:val="center"/>
          </w:tcPr>
          <w:p w14:paraId="20608ADE">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highlight w:val="none"/>
                <w:lang w:val="en-US" w:eastAsia="zh-CN" w:bidi="ar-SA"/>
              </w:rPr>
            </w:pPr>
            <w:r>
              <w:rPr>
                <w:rFonts w:hint="default" w:ascii="Times New Roman" w:hAnsi="Times New Roman" w:eastAsia="宋体" w:cs="Times New Roman"/>
                <w:color w:val="auto"/>
                <w:spacing w:val="0"/>
                <w:w w:val="100"/>
                <w:kern w:val="0"/>
                <w:position w:val="0"/>
                <w:sz w:val="21"/>
                <w:szCs w:val="21"/>
                <w:highlight w:val="none"/>
                <w:lang w:val="en-US" w:eastAsia="zh-CN" w:bidi="ar-SA"/>
              </w:rPr>
              <w:t>国家林业和草原局 农业农村部公告</w:t>
            </w:r>
          </w:p>
          <w:p w14:paraId="0356BC2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kern w:val="0"/>
                <w:position w:val="0"/>
                <w:sz w:val="21"/>
                <w:szCs w:val="21"/>
                <w:highlight w:val="none"/>
                <w:lang w:val="en-US" w:eastAsia="zh-CN" w:bidi="ar-SA"/>
              </w:rPr>
              <w:t>2021年第15号</w:t>
            </w:r>
          </w:p>
        </w:tc>
        <w:tc>
          <w:tcPr>
            <w:tcW w:w="1114" w:type="dxa"/>
            <w:tcBorders>
              <w:tl2br w:val="nil"/>
              <w:tr2bl w:val="nil"/>
            </w:tcBorders>
            <w:vAlign w:val="center"/>
          </w:tcPr>
          <w:p w14:paraId="4DC8156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kern w:val="0"/>
                <w:position w:val="0"/>
                <w:sz w:val="21"/>
                <w:szCs w:val="21"/>
                <w:highlight w:val="none"/>
                <w:lang w:val="en-US" w:eastAsia="zh-CN" w:bidi="ar-SA"/>
              </w:rPr>
              <w:t>2021-09-07</w:t>
            </w:r>
          </w:p>
        </w:tc>
      </w:tr>
      <w:tr w14:paraId="6C8262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38" w:type="dxa"/>
            <w:tcBorders>
              <w:tl2br w:val="nil"/>
              <w:tr2bl w:val="nil"/>
            </w:tcBorders>
            <w:vAlign w:val="center"/>
          </w:tcPr>
          <w:p w14:paraId="443BA5C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16</w:t>
            </w:r>
          </w:p>
        </w:tc>
        <w:tc>
          <w:tcPr>
            <w:tcW w:w="4620" w:type="dxa"/>
            <w:gridSpan w:val="2"/>
            <w:tcBorders>
              <w:tl2br w:val="nil"/>
              <w:tr2bl w:val="nil"/>
            </w:tcBorders>
            <w:vAlign w:val="center"/>
          </w:tcPr>
          <w:p w14:paraId="75BA7A1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《环境影响评价公众参与办法》</w:t>
            </w:r>
          </w:p>
        </w:tc>
        <w:tc>
          <w:tcPr>
            <w:tcW w:w="2115" w:type="dxa"/>
            <w:tcBorders>
              <w:tl2br w:val="nil"/>
              <w:tr2bl w:val="nil"/>
            </w:tcBorders>
            <w:vAlign w:val="center"/>
          </w:tcPr>
          <w:p w14:paraId="378BA64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生态环境部令第4号</w:t>
            </w:r>
          </w:p>
        </w:tc>
        <w:tc>
          <w:tcPr>
            <w:tcW w:w="1114" w:type="dxa"/>
            <w:tcBorders>
              <w:tl2br w:val="nil"/>
              <w:tr2bl w:val="nil"/>
            </w:tcBorders>
            <w:vAlign w:val="center"/>
          </w:tcPr>
          <w:p w14:paraId="63D34E7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2019-01-01</w:t>
            </w:r>
          </w:p>
        </w:tc>
      </w:tr>
      <w:tr w14:paraId="3FB049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DCE229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17</w:t>
            </w:r>
          </w:p>
        </w:tc>
        <w:tc>
          <w:tcPr>
            <w:tcW w:w="4620" w:type="dxa"/>
            <w:gridSpan w:val="2"/>
            <w:tcBorders>
              <w:tl2br w:val="nil"/>
              <w:tr2bl w:val="nil"/>
            </w:tcBorders>
            <w:vAlign w:val="center"/>
          </w:tcPr>
          <w:p w14:paraId="3993051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关于印发《企业事业单位突发环境事件应急预案备案管理办法（试行）》的通知</w:t>
            </w:r>
          </w:p>
        </w:tc>
        <w:tc>
          <w:tcPr>
            <w:tcW w:w="2115" w:type="dxa"/>
            <w:tcBorders>
              <w:tl2br w:val="nil"/>
              <w:tr2bl w:val="nil"/>
            </w:tcBorders>
            <w:vAlign w:val="center"/>
          </w:tcPr>
          <w:p w14:paraId="64E38F7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环发〔2015〕4号</w:t>
            </w:r>
          </w:p>
        </w:tc>
        <w:tc>
          <w:tcPr>
            <w:tcW w:w="1114" w:type="dxa"/>
            <w:tcBorders>
              <w:tl2br w:val="nil"/>
              <w:tr2bl w:val="nil"/>
            </w:tcBorders>
            <w:vAlign w:val="center"/>
          </w:tcPr>
          <w:p w14:paraId="466C150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2015-01-08</w:t>
            </w:r>
          </w:p>
        </w:tc>
      </w:tr>
      <w:tr w14:paraId="0BC47D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72BBE3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18</w:t>
            </w:r>
          </w:p>
        </w:tc>
        <w:tc>
          <w:tcPr>
            <w:tcW w:w="4620" w:type="dxa"/>
            <w:gridSpan w:val="2"/>
            <w:tcBorders>
              <w:tl2br w:val="nil"/>
              <w:tr2bl w:val="nil"/>
            </w:tcBorders>
            <w:vAlign w:val="center"/>
          </w:tcPr>
          <w:p w14:paraId="3A3AE62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危险废物污染防治技术政策</w:t>
            </w:r>
          </w:p>
        </w:tc>
        <w:tc>
          <w:tcPr>
            <w:tcW w:w="2115" w:type="dxa"/>
            <w:tcBorders>
              <w:tl2br w:val="nil"/>
              <w:tr2bl w:val="nil"/>
            </w:tcBorders>
            <w:vAlign w:val="center"/>
          </w:tcPr>
          <w:p w14:paraId="4F63D5F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环发〔2001〕199号</w:t>
            </w:r>
          </w:p>
        </w:tc>
        <w:tc>
          <w:tcPr>
            <w:tcW w:w="1114" w:type="dxa"/>
            <w:tcBorders>
              <w:tl2br w:val="nil"/>
              <w:tr2bl w:val="nil"/>
            </w:tcBorders>
            <w:vAlign w:val="center"/>
          </w:tcPr>
          <w:p w14:paraId="0E158E0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2001-12-17</w:t>
            </w:r>
          </w:p>
        </w:tc>
      </w:tr>
      <w:tr w14:paraId="50F6F0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61" w:hRule="atLeast"/>
          <w:jc w:val="center"/>
        </w:trPr>
        <w:tc>
          <w:tcPr>
            <w:tcW w:w="538" w:type="dxa"/>
            <w:tcBorders>
              <w:tl2br w:val="nil"/>
              <w:tr2bl w:val="nil"/>
            </w:tcBorders>
            <w:vAlign w:val="center"/>
          </w:tcPr>
          <w:p w14:paraId="532EA70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19</w:t>
            </w:r>
          </w:p>
        </w:tc>
        <w:tc>
          <w:tcPr>
            <w:tcW w:w="4620" w:type="dxa"/>
            <w:gridSpan w:val="2"/>
            <w:tcBorders>
              <w:tl2br w:val="nil"/>
              <w:tr2bl w:val="nil"/>
            </w:tcBorders>
            <w:vAlign w:val="center"/>
          </w:tcPr>
          <w:p w14:paraId="364F879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《关于加强生态保护监管工作的意见》</w:t>
            </w:r>
          </w:p>
        </w:tc>
        <w:tc>
          <w:tcPr>
            <w:tcW w:w="2115" w:type="dxa"/>
            <w:tcBorders>
              <w:tl2br w:val="nil"/>
              <w:tr2bl w:val="nil"/>
            </w:tcBorders>
            <w:vAlign w:val="center"/>
          </w:tcPr>
          <w:p w14:paraId="0A13220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highlight w:val="none"/>
                <w:lang w:val="en-US" w:eastAsia="zh-CN" w:bidi="ar-SA"/>
              </w:rPr>
              <w:t>环生态〔2020〕73号</w:t>
            </w:r>
          </w:p>
        </w:tc>
        <w:tc>
          <w:tcPr>
            <w:tcW w:w="1114" w:type="dxa"/>
            <w:tcBorders>
              <w:tl2br w:val="nil"/>
              <w:tr2bl w:val="nil"/>
            </w:tcBorders>
            <w:vAlign w:val="center"/>
          </w:tcPr>
          <w:p w14:paraId="26EEAA10">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highlight w:val="none"/>
                <w:lang w:val="en-US" w:eastAsia="zh-CN" w:bidi="ar-SA"/>
              </w:rPr>
              <w:t>2020-12-24</w:t>
            </w:r>
          </w:p>
        </w:tc>
      </w:tr>
      <w:tr w14:paraId="0C119C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8B5E4A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w:t>
            </w:r>
          </w:p>
        </w:tc>
        <w:tc>
          <w:tcPr>
            <w:tcW w:w="4620" w:type="dxa"/>
            <w:gridSpan w:val="2"/>
            <w:tcBorders>
              <w:tl2br w:val="nil"/>
              <w:tr2bl w:val="nil"/>
            </w:tcBorders>
            <w:vAlign w:val="center"/>
          </w:tcPr>
          <w:p w14:paraId="464BB4B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《关于以改善环境质量为核心加强环境影响评价管理的通知》</w:t>
            </w:r>
          </w:p>
        </w:tc>
        <w:tc>
          <w:tcPr>
            <w:tcW w:w="2115" w:type="dxa"/>
            <w:tcBorders>
              <w:tl2br w:val="nil"/>
              <w:tr2bl w:val="nil"/>
            </w:tcBorders>
            <w:vAlign w:val="center"/>
          </w:tcPr>
          <w:p w14:paraId="30F12B16">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环环评〔2016〕150号</w:t>
            </w:r>
          </w:p>
        </w:tc>
        <w:tc>
          <w:tcPr>
            <w:tcW w:w="1114" w:type="dxa"/>
            <w:tcBorders>
              <w:tl2br w:val="nil"/>
              <w:tr2bl w:val="nil"/>
            </w:tcBorders>
            <w:vAlign w:val="center"/>
          </w:tcPr>
          <w:p w14:paraId="45021BA6">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2016-10-26</w:t>
            </w:r>
          </w:p>
        </w:tc>
      </w:tr>
      <w:tr w14:paraId="21EDCE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3291850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21</w:t>
            </w:r>
          </w:p>
        </w:tc>
        <w:tc>
          <w:tcPr>
            <w:tcW w:w="4620" w:type="dxa"/>
            <w:gridSpan w:val="2"/>
            <w:tcBorders>
              <w:tl2br w:val="nil"/>
              <w:tr2bl w:val="nil"/>
            </w:tcBorders>
            <w:vAlign w:val="center"/>
          </w:tcPr>
          <w:p w14:paraId="3DE30A1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《“生态保护红线、环境质量底线、资源利用上线和环境准入负面清单”编制技术指南》</w:t>
            </w:r>
          </w:p>
        </w:tc>
        <w:tc>
          <w:tcPr>
            <w:tcW w:w="2115" w:type="dxa"/>
            <w:tcBorders>
              <w:tl2br w:val="nil"/>
              <w:tr2bl w:val="nil"/>
            </w:tcBorders>
            <w:vAlign w:val="center"/>
          </w:tcPr>
          <w:p w14:paraId="2E8F51A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环办环评〔2017〕99号</w:t>
            </w:r>
          </w:p>
        </w:tc>
        <w:tc>
          <w:tcPr>
            <w:tcW w:w="1114" w:type="dxa"/>
            <w:tcBorders>
              <w:tl2br w:val="nil"/>
              <w:tr2bl w:val="nil"/>
            </w:tcBorders>
            <w:vAlign w:val="center"/>
          </w:tcPr>
          <w:p w14:paraId="2E9E831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2017-12-01</w:t>
            </w:r>
          </w:p>
        </w:tc>
      </w:tr>
      <w:tr w14:paraId="3749DF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574ACF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22</w:t>
            </w:r>
          </w:p>
        </w:tc>
        <w:tc>
          <w:tcPr>
            <w:tcW w:w="4620" w:type="dxa"/>
            <w:gridSpan w:val="2"/>
            <w:tcBorders>
              <w:tl2br w:val="nil"/>
              <w:tr2bl w:val="nil"/>
            </w:tcBorders>
            <w:vAlign w:val="center"/>
          </w:tcPr>
          <w:p w14:paraId="54A5C3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《关于强化建设项目环境影响评价事中事后监管的实施意见》</w:t>
            </w:r>
          </w:p>
        </w:tc>
        <w:tc>
          <w:tcPr>
            <w:tcW w:w="2115" w:type="dxa"/>
            <w:tcBorders>
              <w:tl2br w:val="nil"/>
              <w:tr2bl w:val="nil"/>
            </w:tcBorders>
            <w:vAlign w:val="center"/>
          </w:tcPr>
          <w:p w14:paraId="06882D1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环环评〔2018〕11号</w:t>
            </w:r>
          </w:p>
        </w:tc>
        <w:tc>
          <w:tcPr>
            <w:tcW w:w="1114" w:type="dxa"/>
            <w:tcBorders>
              <w:tl2br w:val="nil"/>
              <w:tr2bl w:val="nil"/>
            </w:tcBorders>
            <w:vAlign w:val="center"/>
          </w:tcPr>
          <w:p w14:paraId="4714677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2018-01-25</w:t>
            </w:r>
          </w:p>
        </w:tc>
      </w:tr>
      <w:tr w14:paraId="0F7922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AD7DC8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23</w:t>
            </w:r>
          </w:p>
        </w:tc>
        <w:tc>
          <w:tcPr>
            <w:tcW w:w="4620" w:type="dxa"/>
            <w:gridSpan w:val="2"/>
            <w:tcBorders>
              <w:tl2br w:val="nil"/>
              <w:tr2bl w:val="nil"/>
            </w:tcBorders>
            <w:vAlign w:val="center"/>
          </w:tcPr>
          <w:p w14:paraId="5988EAC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关于印发地下水污染防治实施方案的通知</w:t>
            </w:r>
          </w:p>
        </w:tc>
        <w:tc>
          <w:tcPr>
            <w:tcW w:w="2115" w:type="dxa"/>
            <w:tcBorders>
              <w:tl2br w:val="nil"/>
              <w:tr2bl w:val="nil"/>
            </w:tcBorders>
            <w:vAlign w:val="center"/>
          </w:tcPr>
          <w:p w14:paraId="15BC396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环土壤〔2019〕25号</w:t>
            </w:r>
          </w:p>
        </w:tc>
        <w:tc>
          <w:tcPr>
            <w:tcW w:w="1114" w:type="dxa"/>
            <w:tcBorders>
              <w:tl2br w:val="nil"/>
              <w:tr2bl w:val="nil"/>
            </w:tcBorders>
            <w:vAlign w:val="center"/>
          </w:tcPr>
          <w:p w14:paraId="27E5EFE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2019-03-28</w:t>
            </w:r>
          </w:p>
        </w:tc>
      </w:tr>
      <w:tr w14:paraId="48F19B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A62813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24</w:t>
            </w:r>
          </w:p>
        </w:tc>
        <w:tc>
          <w:tcPr>
            <w:tcW w:w="4620" w:type="dxa"/>
            <w:gridSpan w:val="2"/>
            <w:tcBorders>
              <w:tl2br w:val="nil"/>
              <w:tr2bl w:val="nil"/>
            </w:tcBorders>
            <w:vAlign w:val="center"/>
          </w:tcPr>
          <w:p w14:paraId="5BC696A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关于发布</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eastAsia="zh-CN"/>
              </w:rPr>
              <w:t>建设项目竣工环境保护验收暂行办法</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eastAsia="zh-CN"/>
              </w:rPr>
              <w:t>的公告</w:t>
            </w:r>
          </w:p>
        </w:tc>
        <w:tc>
          <w:tcPr>
            <w:tcW w:w="2115" w:type="dxa"/>
            <w:tcBorders>
              <w:tl2br w:val="nil"/>
              <w:tr2bl w:val="nil"/>
            </w:tcBorders>
            <w:vAlign w:val="center"/>
          </w:tcPr>
          <w:p w14:paraId="7D3EC8D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国环规环评〔2017〕4号</w:t>
            </w:r>
          </w:p>
        </w:tc>
        <w:tc>
          <w:tcPr>
            <w:tcW w:w="1114" w:type="dxa"/>
            <w:tcBorders>
              <w:tl2br w:val="nil"/>
              <w:tr2bl w:val="nil"/>
            </w:tcBorders>
            <w:vAlign w:val="center"/>
          </w:tcPr>
          <w:p w14:paraId="5E390A5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2017-11-20</w:t>
            </w:r>
          </w:p>
        </w:tc>
      </w:tr>
      <w:tr w14:paraId="609F6C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58C543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25</w:t>
            </w:r>
          </w:p>
        </w:tc>
        <w:tc>
          <w:tcPr>
            <w:tcW w:w="4620" w:type="dxa"/>
            <w:gridSpan w:val="2"/>
            <w:tcBorders>
              <w:tl2br w:val="nil"/>
              <w:tr2bl w:val="nil"/>
            </w:tcBorders>
            <w:vAlign w:val="center"/>
          </w:tcPr>
          <w:p w14:paraId="4EF891F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关于做好环境影响评价制度与排污许可制衔接相关工作的通知</w:t>
            </w:r>
          </w:p>
        </w:tc>
        <w:tc>
          <w:tcPr>
            <w:tcW w:w="2115" w:type="dxa"/>
            <w:tcBorders>
              <w:tl2br w:val="nil"/>
              <w:tr2bl w:val="nil"/>
            </w:tcBorders>
            <w:vAlign w:val="center"/>
          </w:tcPr>
          <w:p w14:paraId="1903EBD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环办环评〔2017〕84 号</w:t>
            </w:r>
          </w:p>
        </w:tc>
        <w:tc>
          <w:tcPr>
            <w:tcW w:w="1114" w:type="dxa"/>
            <w:tcBorders>
              <w:tl2br w:val="nil"/>
              <w:tr2bl w:val="nil"/>
            </w:tcBorders>
            <w:vAlign w:val="center"/>
          </w:tcPr>
          <w:p w14:paraId="650E356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2017-11-14</w:t>
            </w:r>
          </w:p>
        </w:tc>
      </w:tr>
      <w:tr w14:paraId="701548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60DCF7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26</w:t>
            </w:r>
          </w:p>
        </w:tc>
        <w:tc>
          <w:tcPr>
            <w:tcW w:w="4620" w:type="dxa"/>
            <w:gridSpan w:val="2"/>
            <w:tcBorders>
              <w:tl2br w:val="nil"/>
              <w:tr2bl w:val="nil"/>
            </w:tcBorders>
            <w:vAlign w:val="center"/>
          </w:tcPr>
          <w:p w14:paraId="102732B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关于以改善环境质量为核心加强环境影响评价管理的通知</w:t>
            </w:r>
          </w:p>
        </w:tc>
        <w:tc>
          <w:tcPr>
            <w:tcW w:w="2115" w:type="dxa"/>
            <w:tcBorders>
              <w:tl2br w:val="nil"/>
              <w:tr2bl w:val="nil"/>
            </w:tcBorders>
            <w:vAlign w:val="center"/>
          </w:tcPr>
          <w:p w14:paraId="1AAF418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环环评〔2016〕150 号</w:t>
            </w:r>
          </w:p>
        </w:tc>
        <w:tc>
          <w:tcPr>
            <w:tcW w:w="1114" w:type="dxa"/>
            <w:tcBorders>
              <w:tl2br w:val="nil"/>
              <w:tr2bl w:val="nil"/>
            </w:tcBorders>
            <w:vAlign w:val="center"/>
          </w:tcPr>
          <w:p w14:paraId="3AEE5CA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2016-10-26</w:t>
            </w:r>
          </w:p>
        </w:tc>
      </w:tr>
      <w:tr w14:paraId="4C7236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FD4386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27</w:t>
            </w:r>
          </w:p>
        </w:tc>
        <w:tc>
          <w:tcPr>
            <w:tcW w:w="4620" w:type="dxa"/>
            <w:gridSpan w:val="2"/>
            <w:tcBorders>
              <w:tl2br w:val="nil"/>
              <w:tr2bl w:val="nil"/>
            </w:tcBorders>
            <w:vAlign w:val="center"/>
          </w:tcPr>
          <w:p w14:paraId="762DA93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工矿用地土壤环境管理办法（试行）</w:t>
            </w:r>
          </w:p>
        </w:tc>
        <w:tc>
          <w:tcPr>
            <w:tcW w:w="2115" w:type="dxa"/>
            <w:tcBorders>
              <w:tl2br w:val="nil"/>
              <w:tr2bl w:val="nil"/>
            </w:tcBorders>
            <w:vAlign w:val="center"/>
          </w:tcPr>
          <w:p w14:paraId="0510ACC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生态环境部令第3号</w:t>
            </w:r>
          </w:p>
        </w:tc>
        <w:tc>
          <w:tcPr>
            <w:tcW w:w="1114" w:type="dxa"/>
            <w:tcBorders>
              <w:tl2br w:val="nil"/>
              <w:tr2bl w:val="nil"/>
            </w:tcBorders>
            <w:vAlign w:val="center"/>
          </w:tcPr>
          <w:p w14:paraId="707FB25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2018-08-01</w:t>
            </w:r>
          </w:p>
        </w:tc>
      </w:tr>
      <w:tr w14:paraId="1072D9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876A92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28</w:t>
            </w:r>
          </w:p>
        </w:tc>
        <w:tc>
          <w:tcPr>
            <w:tcW w:w="4620" w:type="dxa"/>
            <w:gridSpan w:val="2"/>
            <w:tcBorders>
              <w:tl2br w:val="nil"/>
              <w:tr2bl w:val="nil"/>
            </w:tcBorders>
            <w:vAlign w:val="center"/>
          </w:tcPr>
          <w:p w14:paraId="5999154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建设项目危险废物环境影响评价指南</w:t>
            </w:r>
          </w:p>
        </w:tc>
        <w:tc>
          <w:tcPr>
            <w:tcW w:w="2115" w:type="dxa"/>
            <w:tcBorders>
              <w:tl2br w:val="nil"/>
              <w:tr2bl w:val="nil"/>
            </w:tcBorders>
            <w:vAlign w:val="center"/>
          </w:tcPr>
          <w:p w14:paraId="5FBA2E58">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环保部公告2017年第43号</w:t>
            </w:r>
          </w:p>
        </w:tc>
        <w:tc>
          <w:tcPr>
            <w:tcW w:w="1114" w:type="dxa"/>
            <w:tcBorders>
              <w:tl2br w:val="nil"/>
              <w:tr2bl w:val="nil"/>
            </w:tcBorders>
            <w:vAlign w:val="center"/>
          </w:tcPr>
          <w:p w14:paraId="1AB2D13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2017-10-01</w:t>
            </w:r>
          </w:p>
        </w:tc>
      </w:tr>
      <w:tr w14:paraId="030DC0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05025E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29</w:t>
            </w:r>
          </w:p>
        </w:tc>
        <w:tc>
          <w:tcPr>
            <w:tcW w:w="4620" w:type="dxa"/>
            <w:gridSpan w:val="2"/>
            <w:tcBorders>
              <w:tl2br w:val="nil"/>
              <w:tr2bl w:val="nil"/>
            </w:tcBorders>
            <w:vAlign w:val="center"/>
          </w:tcPr>
          <w:p w14:paraId="42116F6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突发环境事件应急管理办法</w:t>
            </w:r>
          </w:p>
        </w:tc>
        <w:tc>
          <w:tcPr>
            <w:tcW w:w="2115" w:type="dxa"/>
            <w:tcBorders>
              <w:tl2br w:val="nil"/>
              <w:tr2bl w:val="nil"/>
            </w:tcBorders>
            <w:vAlign w:val="center"/>
          </w:tcPr>
          <w:p w14:paraId="08C7D02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环境保护部令第34号</w:t>
            </w:r>
          </w:p>
        </w:tc>
        <w:tc>
          <w:tcPr>
            <w:tcW w:w="1114" w:type="dxa"/>
            <w:tcBorders>
              <w:tl2br w:val="nil"/>
              <w:tr2bl w:val="nil"/>
            </w:tcBorders>
            <w:vAlign w:val="center"/>
          </w:tcPr>
          <w:p w14:paraId="23A0C41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2015-06-05</w:t>
            </w:r>
          </w:p>
        </w:tc>
      </w:tr>
      <w:tr w14:paraId="6368AC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13AC1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30</w:t>
            </w:r>
          </w:p>
        </w:tc>
        <w:tc>
          <w:tcPr>
            <w:tcW w:w="4620" w:type="dxa"/>
            <w:gridSpan w:val="2"/>
            <w:tcBorders>
              <w:tl2br w:val="nil"/>
              <w:tr2bl w:val="nil"/>
            </w:tcBorders>
            <w:vAlign w:val="center"/>
          </w:tcPr>
          <w:p w14:paraId="3201F06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关于落实大气污染防治行动计划严格环境影响评价准入的通知</w:t>
            </w:r>
          </w:p>
        </w:tc>
        <w:tc>
          <w:tcPr>
            <w:tcW w:w="2115" w:type="dxa"/>
            <w:tcBorders>
              <w:tl2br w:val="nil"/>
              <w:tr2bl w:val="nil"/>
            </w:tcBorders>
            <w:vAlign w:val="center"/>
          </w:tcPr>
          <w:p w14:paraId="4BADEF3E">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环办〔2014〕30号</w:t>
            </w:r>
          </w:p>
        </w:tc>
        <w:tc>
          <w:tcPr>
            <w:tcW w:w="1114" w:type="dxa"/>
            <w:tcBorders>
              <w:tl2br w:val="nil"/>
              <w:tr2bl w:val="nil"/>
            </w:tcBorders>
            <w:vAlign w:val="center"/>
          </w:tcPr>
          <w:p w14:paraId="6B46FEF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2014-03-25</w:t>
            </w:r>
          </w:p>
        </w:tc>
      </w:tr>
      <w:tr w14:paraId="72A25B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63" w:hRule="atLeast"/>
          <w:jc w:val="center"/>
        </w:trPr>
        <w:tc>
          <w:tcPr>
            <w:tcW w:w="538" w:type="dxa"/>
            <w:tcBorders>
              <w:tl2br w:val="nil"/>
              <w:tr2bl w:val="nil"/>
            </w:tcBorders>
            <w:vAlign w:val="center"/>
          </w:tcPr>
          <w:p w14:paraId="3183D82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31</w:t>
            </w:r>
          </w:p>
        </w:tc>
        <w:tc>
          <w:tcPr>
            <w:tcW w:w="4620" w:type="dxa"/>
            <w:gridSpan w:val="2"/>
            <w:tcBorders>
              <w:tl2br w:val="nil"/>
              <w:tr2bl w:val="nil"/>
            </w:tcBorders>
            <w:vAlign w:val="center"/>
          </w:tcPr>
          <w:p w14:paraId="7D82E7E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lang w:val="en-US" w:eastAsia="zh-CN"/>
              </w:rPr>
              <w:t>《有色金属行业绿色矿山建设规范》</w:t>
            </w:r>
          </w:p>
        </w:tc>
        <w:tc>
          <w:tcPr>
            <w:tcW w:w="2115" w:type="dxa"/>
            <w:tcBorders>
              <w:tl2br w:val="nil"/>
              <w:tr2bl w:val="nil"/>
            </w:tcBorders>
            <w:vAlign w:val="center"/>
          </w:tcPr>
          <w:p w14:paraId="57F7B43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lang w:val="en-US" w:eastAsia="zh-CN"/>
              </w:rPr>
              <w:t>（</w:t>
            </w:r>
            <w:r>
              <w:rPr>
                <w:rFonts w:hint="default" w:ascii="Times New Roman" w:hAnsi="Times New Roman" w:eastAsia="宋体" w:cs="Times New Roman"/>
                <w:color w:val="auto"/>
                <w:spacing w:val="0"/>
                <w:w w:val="100"/>
                <w:position w:val="0"/>
                <w:sz w:val="21"/>
                <w:szCs w:val="21"/>
                <w:highlight w:val="none"/>
                <w:lang w:val="en-US" w:eastAsia="zh-CN"/>
              </w:rPr>
              <w:t>DZ/T0320-2018</w:t>
            </w:r>
            <w:r>
              <w:rPr>
                <w:rFonts w:hint="default" w:ascii="Times New Roman" w:hAnsi="Times New Roman" w:cs="Times New Roman"/>
                <w:color w:val="auto"/>
                <w:spacing w:val="0"/>
                <w:w w:val="100"/>
                <w:position w:val="0"/>
                <w:sz w:val="21"/>
                <w:szCs w:val="21"/>
                <w:highlight w:val="none"/>
                <w:lang w:val="en-US" w:eastAsia="zh-CN"/>
              </w:rPr>
              <w:t>）</w:t>
            </w:r>
          </w:p>
        </w:tc>
        <w:tc>
          <w:tcPr>
            <w:tcW w:w="1114" w:type="dxa"/>
            <w:tcBorders>
              <w:tl2br w:val="nil"/>
              <w:tr2bl w:val="nil"/>
            </w:tcBorders>
            <w:vAlign w:val="center"/>
          </w:tcPr>
          <w:p w14:paraId="196C4AB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2018-06-22</w:t>
            </w:r>
          </w:p>
        </w:tc>
      </w:tr>
      <w:tr w14:paraId="3C4749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148BA5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32</w:t>
            </w:r>
          </w:p>
        </w:tc>
        <w:tc>
          <w:tcPr>
            <w:tcW w:w="4620" w:type="dxa"/>
            <w:gridSpan w:val="2"/>
            <w:tcBorders>
              <w:tl2br w:val="nil"/>
              <w:tr2bl w:val="nil"/>
            </w:tcBorders>
            <w:vAlign w:val="center"/>
          </w:tcPr>
          <w:p w14:paraId="523F6F4E">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《矿产资源节约与综合利用鼓励、限制和淘汰技术目录（修订稿）》</w:t>
            </w:r>
          </w:p>
        </w:tc>
        <w:tc>
          <w:tcPr>
            <w:tcW w:w="2115" w:type="dxa"/>
            <w:tcBorders>
              <w:tl2br w:val="nil"/>
              <w:tr2bl w:val="nil"/>
            </w:tcBorders>
            <w:vAlign w:val="center"/>
          </w:tcPr>
          <w:p w14:paraId="40E9B5C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（国土资发</w:t>
            </w:r>
            <w:r>
              <w:rPr>
                <w:rFonts w:hint="default" w:ascii="Times New Roman" w:hAnsi="Times New Roman" w:eastAsia="宋体" w:cs="Times New Roman"/>
                <w:color w:val="auto"/>
                <w:spacing w:val="0"/>
                <w:w w:val="100"/>
                <w:position w:val="0"/>
                <w:sz w:val="21"/>
                <w:szCs w:val="21"/>
                <w:highlight w:val="none"/>
              </w:rPr>
              <w:t>〔2014〕</w:t>
            </w:r>
            <w:r>
              <w:rPr>
                <w:rFonts w:hint="default" w:ascii="Times New Roman" w:hAnsi="Times New Roman" w:eastAsia="宋体" w:cs="Times New Roman"/>
                <w:color w:val="auto"/>
                <w:spacing w:val="0"/>
                <w:w w:val="100"/>
                <w:position w:val="0"/>
                <w:sz w:val="21"/>
                <w:szCs w:val="21"/>
                <w:highlight w:val="none"/>
                <w:lang w:val="en-US" w:eastAsia="zh-CN"/>
              </w:rPr>
              <w:t>176 号）</w:t>
            </w:r>
          </w:p>
        </w:tc>
        <w:tc>
          <w:tcPr>
            <w:tcW w:w="1114" w:type="dxa"/>
            <w:tcBorders>
              <w:tl2br w:val="nil"/>
              <w:tr2bl w:val="nil"/>
            </w:tcBorders>
            <w:vAlign w:val="center"/>
          </w:tcPr>
          <w:p w14:paraId="6D4BCC0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2014-12-26</w:t>
            </w:r>
          </w:p>
        </w:tc>
      </w:tr>
      <w:tr w14:paraId="407E06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1F42D45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33</w:t>
            </w:r>
          </w:p>
        </w:tc>
        <w:tc>
          <w:tcPr>
            <w:tcW w:w="4620" w:type="dxa"/>
            <w:gridSpan w:val="2"/>
            <w:tcBorders>
              <w:tl2br w:val="nil"/>
              <w:tr2bl w:val="nil"/>
            </w:tcBorders>
            <w:vAlign w:val="center"/>
          </w:tcPr>
          <w:p w14:paraId="0BF87E3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《土壤污染源头防控行动计划》</w:t>
            </w:r>
          </w:p>
        </w:tc>
        <w:tc>
          <w:tcPr>
            <w:tcW w:w="2115" w:type="dxa"/>
            <w:tcBorders>
              <w:tl2br w:val="nil"/>
              <w:tr2bl w:val="nil"/>
            </w:tcBorders>
            <w:vAlign w:val="center"/>
          </w:tcPr>
          <w:p w14:paraId="5501A57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环土壤〔2024〕80号</w:t>
            </w:r>
          </w:p>
        </w:tc>
        <w:tc>
          <w:tcPr>
            <w:tcW w:w="1114" w:type="dxa"/>
            <w:tcBorders>
              <w:tl2br w:val="nil"/>
              <w:tr2bl w:val="nil"/>
            </w:tcBorders>
            <w:vAlign w:val="center"/>
          </w:tcPr>
          <w:p w14:paraId="4ADE6C2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cs="Times New Roman"/>
                <w:color w:val="auto"/>
                <w:spacing w:val="0"/>
                <w:w w:val="100"/>
                <w:position w:val="0"/>
                <w:sz w:val="21"/>
                <w:szCs w:val="21"/>
                <w:highlight w:val="none"/>
                <w:lang w:val="en-US" w:eastAsia="zh-CN"/>
              </w:rPr>
              <w:t>2024-11-07</w:t>
            </w:r>
          </w:p>
        </w:tc>
      </w:tr>
      <w:tr w14:paraId="6D1E4A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6E579A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四</w:t>
            </w:r>
          </w:p>
        </w:tc>
        <w:tc>
          <w:tcPr>
            <w:tcW w:w="7849" w:type="dxa"/>
            <w:gridSpan w:val="4"/>
            <w:tcBorders>
              <w:tl2br w:val="nil"/>
              <w:tr2bl w:val="nil"/>
            </w:tcBorders>
            <w:vAlign w:val="center"/>
          </w:tcPr>
          <w:p w14:paraId="0E38D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地</w:t>
            </w:r>
            <w:r>
              <w:rPr>
                <w:rFonts w:hint="default" w:ascii="Times New Roman" w:hAnsi="Times New Roman" w:cs="Times New Roman"/>
                <w:b/>
                <w:bCs/>
                <w:color w:val="auto"/>
                <w:spacing w:val="0"/>
                <w:w w:val="100"/>
                <w:position w:val="0"/>
                <w:sz w:val="21"/>
                <w:szCs w:val="21"/>
                <w:lang w:eastAsia="zh-CN"/>
              </w:rPr>
              <w:t>方性</w:t>
            </w:r>
            <w:r>
              <w:rPr>
                <w:rFonts w:hint="default" w:ascii="Times New Roman" w:hAnsi="Times New Roman" w:eastAsia="宋体" w:cs="Times New Roman"/>
                <w:b/>
                <w:bCs/>
                <w:color w:val="auto"/>
                <w:spacing w:val="0"/>
                <w:w w:val="100"/>
                <w:position w:val="0"/>
                <w:sz w:val="21"/>
                <w:szCs w:val="21"/>
              </w:rPr>
              <w:t>法规及通知</w:t>
            </w:r>
          </w:p>
        </w:tc>
      </w:tr>
      <w:tr w14:paraId="5ED6BE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19D348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w:t>
            </w:r>
          </w:p>
        </w:tc>
        <w:tc>
          <w:tcPr>
            <w:tcW w:w="4599" w:type="dxa"/>
            <w:tcBorders>
              <w:tl2br w:val="nil"/>
              <w:tr2bl w:val="nil"/>
            </w:tcBorders>
            <w:vAlign w:val="center"/>
          </w:tcPr>
          <w:p w14:paraId="45BC029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《新疆维吾尔自治区环境保护条例》</w:t>
            </w:r>
          </w:p>
        </w:tc>
        <w:tc>
          <w:tcPr>
            <w:tcW w:w="2136" w:type="dxa"/>
            <w:gridSpan w:val="2"/>
            <w:tcBorders>
              <w:tl2br w:val="nil"/>
              <w:tr2bl w:val="nil"/>
            </w:tcBorders>
            <w:vAlign w:val="center"/>
          </w:tcPr>
          <w:p w14:paraId="26FC220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13届人大第6次会议</w:t>
            </w:r>
          </w:p>
        </w:tc>
        <w:tc>
          <w:tcPr>
            <w:tcW w:w="1114" w:type="dxa"/>
            <w:tcBorders>
              <w:tl2br w:val="nil"/>
              <w:tr2bl w:val="nil"/>
            </w:tcBorders>
            <w:vAlign w:val="center"/>
          </w:tcPr>
          <w:p w14:paraId="5E3E775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2018-09-21</w:t>
            </w:r>
          </w:p>
        </w:tc>
      </w:tr>
      <w:tr w14:paraId="53AB6E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74F8A8B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w:t>
            </w:r>
          </w:p>
        </w:tc>
        <w:tc>
          <w:tcPr>
            <w:tcW w:w="4599" w:type="dxa"/>
            <w:tcBorders>
              <w:tl2br w:val="nil"/>
              <w:tr2bl w:val="nil"/>
            </w:tcBorders>
            <w:vAlign w:val="center"/>
          </w:tcPr>
          <w:p w14:paraId="0988B5F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《新疆维吾尔自治区野生植物保护条例》</w:t>
            </w:r>
          </w:p>
        </w:tc>
        <w:tc>
          <w:tcPr>
            <w:tcW w:w="2136" w:type="dxa"/>
            <w:gridSpan w:val="2"/>
            <w:tcBorders>
              <w:tl2br w:val="nil"/>
              <w:tr2bl w:val="nil"/>
            </w:tcBorders>
            <w:vAlign w:val="center"/>
          </w:tcPr>
          <w:p w14:paraId="2EB42AE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13届人大第6次会议</w:t>
            </w:r>
          </w:p>
        </w:tc>
        <w:tc>
          <w:tcPr>
            <w:tcW w:w="1114" w:type="dxa"/>
            <w:tcBorders>
              <w:tl2br w:val="nil"/>
              <w:tr2bl w:val="nil"/>
            </w:tcBorders>
            <w:vAlign w:val="center"/>
          </w:tcPr>
          <w:p w14:paraId="4F04E72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2018-09-21</w:t>
            </w:r>
          </w:p>
        </w:tc>
      </w:tr>
      <w:tr w14:paraId="13DF38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A4B159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w:t>
            </w:r>
          </w:p>
        </w:tc>
        <w:tc>
          <w:tcPr>
            <w:tcW w:w="4620" w:type="dxa"/>
            <w:gridSpan w:val="2"/>
            <w:tcBorders>
              <w:tl2br w:val="nil"/>
              <w:tr2bl w:val="nil"/>
            </w:tcBorders>
            <w:vAlign w:val="center"/>
          </w:tcPr>
          <w:p w14:paraId="0C1644C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《新疆生态功能区划》</w:t>
            </w:r>
          </w:p>
        </w:tc>
        <w:tc>
          <w:tcPr>
            <w:tcW w:w="2115" w:type="dxa"/>
            <w:tcBorders>
              <w:tl2br w:val="nil"/>
              <w:tr2bl w:val="nil"/>
            </w:tcBorders>
            <w:vAlign w:val="center"/>
          </w:tcPr>
          <w:p w14:paraId="0F80663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新政函〔2005〕96号</w:t>
            </w:r>
          </w:p>
        </w:tc>
        <w:tc>
          <w:tcPr>
            <w:tcW w:w="1114" w:type="dxa"/>
            <w:tcBorders>
              <w:tl2br w:val="nil"/>
              <w:tr2bl w:val="nil"/>
            </w:tcBorders>
            <w:vAlign w:val="center"/>
          </w:tcPr>
          <w:p w14:paraId="19C57C4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2005-07-14</w:t>
            </w:r>
          </w:p>
        </w:tc>
      </w:tr>
      <w:tr w14:paraId="169FBC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0B1AA14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4</w:t>
            </w:r>
          </w:p>
        </w:tc>
        <w:tc>
          <w:tcPr>
            <w:tcW w:w="4620" w:type="dxa"/>
            <w:gridSpan w:val="2"/>
            <w:tcBorders>
              <w:tl2br w:val="nil"/>
              <w:tr2bl w:val="nil"/>
            </w:tcBorders>
            <w:vAlign w:val="center"/>
          </w:tcPr>
          <w:p w14:paraId="604310E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《新疆维吾尔自治区危险废物污染环境防治办法》</w:t>
            </w:r>
          </w:p>
        </w:tc>
        <w:tc>
          <w:tcPr>
            <w:tcW w:w="2115" w:type="dxa"/>
            <w:tcBorders>
              <w:tl2br w:val="nil"/>
              <w:tr2bl w:val="nil"/>
            </w:tcBorders>
            <w:vAlign w:val="center"/>
          </w:tcPr>
          <w:p w14:paraId="1EAE2F9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新疆人民政府令第163号</w:t>
            </w:r>
          </w:p>
        </w:tc>
        <w:tc>
          <w:tcPr>
            <w:tcW w:w="1114" w:type="dxa"/>
            <w:tcBorders>
              <w:tl2br w:val="nil"/>
              <w:tr2bl w:val="nil"/>
            </w:tcBorders>
            <w:vAlign w:val="center"/>
          </w:tcPr>
          <w:p w14:paraId="2D3B77E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2010-05-01</w:t>
            </w:r>
          </w:p>
        </w:tc>
      </w:tr>
      <w:tr w14:paraId="0CE4CD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38" w:type="dxa"/>
            <w:tcBorders>
              <w:tl2br w:val="nil"/>
              <w:tr2bl w:val="nil"/>
            </w:tcBorders>
            <w:vAlign w:val="center"/>
          </w:tcPr>
          <w:p w14:paraId="367CCD8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5</w:t>
            </w:r>
          </w:p>
        </w:tc>
        <w:tc>
          <w:tcPr>
            <w:tcW w:w="4620" w:type="dxa"/>
            <w:gridSpan w:val="2"/>
            <w:tcBorders>
              <w:tl2br w:val="nil"/>
              <w:tr2bl w:val="nil"/>
            </w:tcBorders>
            <w:vAlign w:val="center"/>
          </w:tcPr>
          <w:p w14:paraId="05A115D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《中国新疆水环境功能区划》</w:t>
            </w:r>
          </w:p>
        </w:tc>
        <w:tc>
          <w:tcPr>
            <w:tcW w:w="2115" w:type="dxa"/>
            <w:tcBorders>
              <w:tl2br w:val="nil"/>
              <w:tr2bl w:val="nil"/>
            </w:tcBorders>
            <w:vAlign w:val="center"/>
          </w:tcPr>
          <w:p w14:paraId="1EBEF19D">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新政函〔2002〕194号</w:t>
            </w:r>
          </w:p>
        </w:tc>
        <w:tc>
          <w:tcPr>
            <w:tcW w:w="1114" w:type="dxa"/>
            <w:tcBorders>
              <w:tl2br w:val="nil"/>
              <w:tr2bl w:val="nil"/>
            </w:tcBorders>
            <w:vAlign w:val="center"/>
          </w:tcPr>
          <w:p w14:paraId="376FC7A6">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2002-12</w:t>
            </w:r>
          </w:p>
        </w:tc>
      </w:tr>
      <w:tr w14:paraId="76A8A3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4FD466E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6</w:t>
            </w:r>
          </w:p>
        </w:tc>
        <w:tc>
          <w:tcPr>
            <w:tcW w:w="4620" w:type="dxa"/>
            <w:gridSpan w:val="2"/>
            <w:tcBorders>
              <w:tl2br w:val="nil"/>
              <w:tr2bl w:val="nil"/>
            </w:tcBorders>
            <w:vAlign w:val="center"/>
          </w:tcPr>
          <w:p w14:paraId="5AF031F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《新疆国家重点保护野生植物名录》</w:t>
            </w:r>
          </w:p>
        </w:tc>
        <w:tc>
          <w:tcPr>
            <w:tcW w:w="2115" w:type="dxa"/>
            <w:tcBorders>
              <w:tl2br w:val="nil"/>
              <w:tr2bl w:val="nil"/>
            </w:tcBorders>
            <w:vAlign w:val="center"/>
          </w:tcPr>
          <w:p w14:paraId="5C8FACB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新林护字〔2022〕8号</w:t>
            </w:r>
          </w:p>
        </w:tc>
        <w:tc>
          <w:tcPr>
            <w:tcW w:w="1114" w:type="dxa"/>
            <w:tcBorders>
              <w:tl2br w:val="nil"/>
              <w:tr2bl w:val="nil"/>
            </w:tcBorders>
            <w:vAlign w:val="center"/>
          </w:tcPr>
          <w:p w14:paraId="0F1FD3F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2022-03-09</w:t>
            </w:r>
          </w:p>
        </w:tc>
      </w:tr>
      <w:tr w14:paraId="0A253E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BC7113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7</w:t>
            </w:r>
          </w:p>
        </w:tc>
        <w:tc>
          <w:tcPr>
            <w:tcW w:w="4620" w:type="dxa"/>
            <w:gridSpan w:val="2"/>
            <w:tcBorders>
              <w:tl2br w:val="nil"/>
              <w:tr2bl w:val="nil"/>
            </w:tcBorders>
            <w:vAlign w:val="center"/>
          </w:tcPr>
          <w:p w14:paraId="6AE06BC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《新疆国家重点保护野生</w:t>
            </w:r>
            <w:r>
              <w:rPr>
                <w:rFonts w:hint="default" w:ascii="Times New Roman" w:hAnsi="Times New Roman" w:eastAsia="宋体" w:cs="Times New Roman"/>
                <w:color w:val="auto"/>
                <w:spacing w:val="0"/>
                <w:w w:val="100"/>
                <w:position w:val="0"/>
                <w:sz w:val="21"/>
                <w:szCs w:val="21"/>
                <w:lang w:val="en-US" w:eastAsia="zh-CN"/>
              </w:rPr>
              <w:t>动物</w:t>
            </w:r>
            <w:r>
              <w:rPr>
                <w:rFonts w:hint="default" w:ascii="Times New Roman" w:hAnsi="Times New Roman" w:eastAsia="宋体" w:cs="Times New Roman"/>
                <w:color w:val="auto"/>
                <w:spacing w:val="0"/>
                <w:w w:val="100"/>
                <w:position w:val="0"/>
                <w:sz w:val="21"/>
                <w:szCs w:val="21"/>
                <w:lang w:eastAsia="zh-CN"/>
              </w:rPr>
              <w:t>名录》</w:t>
            </w:r>
          </w:p>
        </w:tc>
        <w:tc>
          <w:tcPr>
            <w:tcW w:w="2115" w:type="dxa"/>
            <w:tcBorders>
              <w:tl2br w:val="nil"/>
              <w:tr2bl w:val="nil"/>
            </w:tcBorders>
            <w:vAlign w:val="center"/>
          </w:tcPr>
          <w:p w14:paraId="23AEA10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w:t>
            </w:r>
          </w:p>
        </w:tc>
        <w:tc>
          <w:tcPr>
            <w:tcW w:w="1114" w:type="dxa"/>
            <w:tcBorders>
              <w:tl2br w:val="nil"/>
              <w:tr2bl w:val="nil"/>
            </w:tcBorders>
            <w:vAlign w:val="center"/>
          </w:tcPr>
          <w:p w14:paraId="7DD9A1B0">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2021-07-28</w:t>
            </w:r>
          </w:p>
        </w:tc>
      </w:tr>
      <w:tr w14:paraId="435EC3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2E7F1E4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8</w:t>
            </w:r>
          </w:p>
        </w:tc>
        <w:tc>
          <w:tcPr>
            <w:tcW w:w="4620" w:type="dxa"/>
            <w:gridSpan w:val="2"/>
            <w:tcBorders>
              <w:tl2br w:val="nil"/>
              <w:tr2bl w:val="nil"/>
            </w:tcBorders>
            <w:vAlign w:val="center"/>
          </w:tcPr>
          <w:p w14:paraId="57280EC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《新疆维吾尔自治区重点保护野生动物名录（</w:t>
            </w:r>
            <w:r>
              <w:rPr>
                <w:rFonts w:hint="default" w:ascii="Times New Roman" w:hAnsi="Times New Roman" w:eastAsia="宋体" w:cs="Times New Roman"/>
                <w:color w:val="auto"/>
                <w:spacing w:val="0"/>
                <w:w w:val="100"/>
                <w:position w:val="0"/>
                <w:sz w:val="21"/>
                <w:szCs w:val="21"/>
                <w:lang w:val="en-US" w:eastAsia="zh-CN"/>
              </w:rPr>
              <w:t>修订</w:t>
            </w:r>
            <w:r>
              <w:rPr>
                <w:rFonts w:hint="default" w:ascii="Times New Roman" w:hAnsi="Times New Roman" w:eastAsia="宋体" w:cs="Times New Roman"/>
                <w:color w:val="auto"/>
                <w:spacing w:val="0"/>
                <w:w w:val="100"/>
                <w:position w:val="0"/>
                <w:sz w:val="21"/>
                <w:szCs w:val="21"/>
                <w:lang w:eastAsia="zh-CN"/>
              </w:rPr>
              <w:t>）》</w:t>
            </w:r>
          </w:p>
        </w:tc>
        <w:tc>
          <w:tcPr>
            <w:tcW w:w="2115" w:type="dxa"/>
            <w:tcBorders>
              <w:tl2br w:val="nil"/>
              <w:tr2bl w:val="nil"/>
            </w:tcBorders>
            <w:vAlign w:val="center"/>
          </w:tcPr>
          <w:p w14:paraId="63338A2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新政发〔2022〕75号</w:t>
            </w:r>
          </w:p>
        </w:tc>
        <w:tc>
          <w:tcPr>
            <w:tcW w:w="1114" w:type="dxa"/>
            <w:tcBorders>
              <w:tl2br w:val="nil"/>
              <w:tr2bl w:val="nil"/>
            </w:tcBorders>
            <w:vAlign w:val="center"/>
          </w:tcPr>
          <w:p w14:paraId="6465212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2022-09-18</w:t>
            </w:r>
          </w:p>
        </w:tc>
      </w:tr>
      <w:tr w14:paraId="1CA34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vAlign w:val="center"/>
          </w:tcPr>
          <w:p w14:paraId="61CCEC8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9</w:t>
            </w:r>
          </w:p>
        </w:tc>
        <w:tc>
          <w:tcPr>
            <w:tcW w:w="4620" w:type="dxa"/>
            <w:gridSpan w:val="2"/>
            <w:tcBorders>
              <w:tl2br w:val="nil"/>
              <w:tr2bl w:val="nil"/>
            </w:tcBorders>
            <w:vAlign w:val="center"/>
          </w:tcPr>
          <w:p w14:paraId="2F8EB6F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eastAsia="zh-CN"/>
              </w:rPr>
              <w:t>新疆维吾尔自治区重点保护野生植物名录</w:t>
            </w:r>
            <w:r>
              <w:rPr>
                <w:rFonts w:hint="default" w:ascii="Times New Roman" w:hAnsi="Times New Roman" w:cs="Times New Roman"/>
                <w:color w:val="auto"/>
                <w:spacing w:val="0"/>
                <w:w w:val="100"/>
                <w:position w:val="0"/>
                <w:sz w:val="21"/>
                <w:szCs w:val="21"/>
                <w:lang w:eastAsia="zh-CN"/>
              </w:rPr>
              <w:t>》</w:t>
            </w:r>
          </w:p>
        </w:tc>
        <w:tc>
          <w:tcPr>
            <w:tcW w:w="2115" w:type="dxa"/>
            <w:tcBorders>
              <w:tl2br w:val="nil"/>
              <w:tr2bl w:val="nil"/>
            </w:tcBorders>
            <w:vAlign w:val="center"/>
          </w:tcPr>
          <w:p w14:paraId="19A82CD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cs="Times New Roman"/>
                <w:color w:val="auto"/>
                <w:spacing w:val="0"/>
                <w:w w:val="100"/>
                <w:position w:val="0"/>
                <w:sz w:val="21"/>
                <w:szCs w:val="21"/>
                <w:highlight w:val="none"/>
                <w:lang w:val="en-US" w:eastAsia="zh-CN"/>
              </w:rPr>
              <w:t>2</w:t>
            </w:r>
          </w:p>
        </w:tc>
        <w:tc>
          <w:tcPr>
            <w:tcW w:w="1114" w:type="dxa"/>
            <w:tcBorders>
              <w:tl2br w:val="nil"/>
              <w:tr2bl w:val="nil"/>
            </w:tcBorders>
            <w:vAlign w:val="center"/>
          </w:tcPr>
          <w:p w14:paraId="296D558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cs="Times New Roman"/>
                <w:color w:val="auto"/>
                <w:spacing w:val="0"/>
                <w:w w:val="100"/>
                <w:position w:val="0"/>
                <w:sz w:val="21"/>
                <w:szCs w:val="21"/>
                <w:highlight w:val="none"/>
                <w:lang w:val="en-US" w:eastAsia="zh-CN"/>
              </w:rPr>
              <w:t>2024-01-18</w:t>
            </w:r>
          </w:p>
        </w:tc>
      </w:tr>
      <w:tr w14:paraId="7359EE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6514948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10</w:t>
            </w:r>
          </w:p>
        </w:tc>
        <w:tc>
          <w:tcPr>
            <w:tcW w:w="4620" w:type="dxa"/>
            <w:gridSpan w:val="2"/>
            <w:tcBorders>
              <w:tl2br w:val="nil"/>
              <w:tr2bl w:val="nil"/>
            </w:tcBorders>
            <w:vAlign w:val="center"/>
          </w:tcPr>
          <w:p w14:paraId="2C2CC64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《关于印发新疆维吾尔自治区水污染防治工作方案的通知》</w:t>
            </w:r>
          </w:p>
        </w:tc>
        <w:tc>
          <w:tcPr>
            <w:tcW w:w="2115" w:type="dxa"/>
            <w:tcBorders>
              <w:tl2br w:val="nil"/>
              <w:tr2bl w:val="nil"/>
            </w:tcBorders>
            <w:vAlign w:val="center"/>
          </w:tcPr>
          <w:p w14:paraId="135D958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新政发〔2016〕21号</w:t>
            </w:r>
          </w:p>
        </w:tc>
        <w:tc>
          <w:tcPr>
            <w:tcW w:w="1114" w:type="dxa"/>
            <w:tcBorders>
              <w:tl2br w:val="nil"/>
              <w:tr2bl w:val="nil"/>
            </w:tcBorders>
            <w:vAlign w:val="center"/>
          </w:tcPr>
          <w:p w14:paraId="78C2A42C">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2016-01-29</w:t>
            </w:r>
          </w:p>
        </w:tc>
      </w:tr>
      <w:tr w14:paraId="2CF7D9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6A7EFEB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11</w:t>
            </w:r>
          </w:p>
        </w:tc>
        <w:tc>
          <w:tcPr>
            <w:tcW w:w="4620" w:type="dxa"/>
            <w:gridSpan w:val="2"/>
            <w:tcBorders>
              <w:tl2br w:val="nil"/>
              <w:tr2bl w:val="nil"/>
            </w:tcBorders>
            <w:vAlign w:val="center"/>
          </w:tcPr>
          <w:p w14:paraId="7C7769E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《关于印发新疆维吾尔自治区土壤污染防治工作方案的通知》</w:t>
            </w:r>
          </w:p>
        </w:tc>
        <w:tc>
          <w:tcPr>
            <w:tcW w:w="2115" w:type="dxa"/>
            <w:tcBorders>
              <w:tl2br w:val="nil"/>
              <w:tr2bl w:val="nil"/>
            </w:tcBorders>
            <w:vAlign w:val="center"/>
          </w:tcPr>
          <w:p w14:paraId="138819A8">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新政发〔2017〕25号</w:t>
            </w:r>
          </w:p>
        </w:tc>
        <w:tc>
          <w:tcPr>
            <w:tcW w:w="1114" w:type="dxa"/>
            <w:tcBorders>
              <w:tl2br w:val="nil"/>
              <w:tr2bl w:val="nil"/>
            </w:tcBorders>
            <w:vAlign w:val="center"/>
          </w:tcPr>
          <w:p w14:paraId="283FA1BF">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2017-03-01</w:t>
            </w:r>
          </w:p>
        </w:tc>
      </w:tr>
      <w:tr w14:paraId="767EFD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B60CA2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12</w:t>
            </w:r>
          </w:p>
        </w:tc>
        <w:tc>
          <w:tcPr>
            <w:tcW w:w="4620" w:type="dxa"/>
            <w:gridSpan w:val="2"/>
            <w:tcBorders>
              <w:tl2br w:val="nil"/>
              <w:tr2bl w:val="nil"/>
            </w:tcBorders>
            <w:vAlign w:val="center"/>
          </w:tcPr>
          <w:p w14:paraId="3D7CCCA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《关于印发新疆维吾尔自治区大气污染防治行动计划实施方案的通知》</w:t>
            </w:r>
          </w:p>
        </w:tc>
        <w:tc>
          <w:tcPr>
            <w:tcW w:w="2115" w:type="dxa"/>
            <w:tcBorders>
              <w:tl2br w:val="nil"/>
              <w:tr2bl w:val="nil"/>
            </w:tcBorders>
            <w:vAlign w:val="center"/>
          </w:tcPr>
          <w:p w14:paraId="35DBA5AE">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新政发〔2014〕35号</w:t>
            </w:r>
          </w:p>
        </w:tc>
        <w:tc>
          <w:tcPr>
            <w:tcW w:w="1114" w:type="dxa"/>
            <w:tcBorders>
              <w:tl2br w:val="nil"/>
              <w:tr2bl w:val="nil"/>
            </w:tcBorders>
            <w:vAlign w:val="center"/>
          </w:tcPr>
          <w:p w14:paraId="419325D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2014-04-17</w:t>
            </w:r>
          </w:p>
        </w:tc>
      </w:tr>
      <w:tr w14:paraId="03298F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DAEEA6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13</w:t>
            </w:r>
          </w:p>
        </w:tc>
        <w:tc>
          <w:tcPr>
            <w:tcW w:w="4620" w:type="dxa"/>
            <w:gridSpan w:val="2"/>
            <w:tcBorders>
              <w:tl2br w:val="nil"/>
              <w:tr2bl w:val="nil"/>
            </w:tcBorders>
            <w:vAlign w:val="center"/>
          </w:tcPr>
          <w:p w14:paraId="4EA7D82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转发《关于强化建设项目环境影响评价事中事后监管的实施意见》</w:t>
            </w:r>
          </w:p>
        </w:tc>
        <w:tc>
          <w:tcPr>
            <w:tcW w:w="2115" w:type="dxa"/>
            <w:tcBorders>
              <w:tl2br w:val="nil"/>
              <w:tr2bl w:val="nil"/>
            </w:tcBorders>
            <w:vAlign w:val="center"/>
          </w:tcPr>
          <w:p w14:paraId="6880A41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新环办发〔2018〕80号</w:t>
            </w:r>
          </w:p>
        </w:tc>
        <w:tc>
          <w:tcPr>
            <w:tcW w:w="1114" w:type="dxa"/>
            <w:tcBorders>
              <w:tl2br w:val="nil"/>
              <w:tr2bl w:val="nil"/>
            </w:tcBorders>
            <w:vAlign w:val="center"/>
          </w:tcPr>
          <w:p w14:paraId="6923517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2018-03-27</w:t>
            </w:r>
          </w:p>
        </w:tc>
      </w:tr>
      <w:tr w14:paraId="1A1B2F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542A6CD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14</w:t>
            </w:r>
          </w:p>
        </w:tc>
        <w:tc>
          <w:tcPr>
            <w:tcW w:w="4620" w:type="dxa"/>
            <w:gridSpan w:val="2"/>
            <w:tcBorders>
              <w:tl2br w:val="nil"/>
              <w:tr2bl w:val="nil"/>
            </w:tcBorders>
            <w:vAlign w:val="center"/>
          </w:tcPr>
          <w:p w14:paraId="69D4A9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自治区党委、自治区人民政府印发《关于全面加强生态环境保护坚决打好污染防治攻坚战实施方案》的通知</w:t>
            </w:r>
          </w:p>
        </w:tc>
        <w:tc>
          <w:tcPr>
            <w:tcW w:w="2115" w:type="dxa"/>
            <w:tcBorders>
              <w:tl2br w:val="nil"/>
              <w:tr2bl w:val="nil"/>
            </w:tcBorders>
            <w:vAlign w:val="center"/>
          </w:tcPr>
          <w:p w14:paraId="3ECBB18B">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新党发〔2018〕23号</w:t>
            </w:r>
          </w:p>
        </w:tc>
        <w:tc>
          <w:tcPr>
            <w:tcW w:w="1114" w:type="dxa"/>
            <w:tcBorders>
              <w:tl2br w:val="nil"/>
              <w:tr2bl w:val="nil"/>
            </w:tcBorders>
            <w:vAlign w:val="center"/>
          </w:tcPr>
          <w:p w14:paraId="237B52C0">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highlight w:val="none"/>
              </w:rPr>
              <w:t>2018-09-04</w:t>
            </w:r>
          </w:p>
        </w:tc>
      </w:tr>
      <w:tr w14:paraId="48ABA6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5900489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15</w:t>
            </w:r>
          </w:p>
        </w:tc>
        <w:tc>
          <w:tcPr>
            <w:tcW w:w="4620" w:type="dxa"/>
            <w:gridSpan w:val="2"/>
            <w:tcBorders>
              <w:tl2br w:val="nil"/>
              <w:tr2bl w:val="nil"/>
            </w:tcBorders>
            <w:vAlign w:val="center"/>
          </w:tcPr>
          <w:p w14:paraId="4E4F935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《关于加强建设项目环境影响后评价管理的通知》</w:t>
            </w:r>
          </w:p>
        </w:tc>
        <w:tc>
          <w:tcPr>
            <w:tcW w:w="2115" w:type="dxa"/>
            <w:tcBorders>
              <w:tl2br w:val="nil"/>
              <w:tr2bl w:val="nil"/>
            </w:tcBorders>
            <w:vAlign w:val="center"/>
          </w:tcPr>
          <w:p w14:paraId="210EB4A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新环环评发〔2020〕162号</w:t>
            </w:r>
          </w:p>
        </w:tc>
        <w:tc>
          <w:tcPr>
            <w:tcW w:w="1114" w:type="dxa"/>
            <w:tcBorders>
              <w:tl2br w:val="nil"/>
              <w:tr2bl w:val="nil"/>
            </w:tcBorders>
            <w:vAlign w:val="center"/>
          </w:tcPr>
          <w:p w14:paraId="0354C48A">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2020-09-11</w:t>
            </w:r>
          </w:p>
        </w:tc>
      </w:tr>
      <w:tr w14:paraId="68E75E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578A493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16</w:t>
            </w:r>
          </w:p>
        </w:tc>
        <w:tc>
          <w:tcPr>
            <w:tcW w:w="4620" w:type="dxa"/>
            <w:gridSpan w:val="2"/>
            <w:tcBorders>
              <w:tl2br w:val="nil"/>
              <w:tr2bl w:val="nil"/>
            </w:tcBorders>
            <w:vAlign w:val="center"/>
          </w:tcPr>
          <w:p w14:paraId="24621BB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《关于加强沙区建设项目环境影响评价工作的通知》</w:t>
            </w:r>
          </w:p>
        </w:tc>
        <w:tc>
          <w:tcPr>
            <w:tcW w:w="2115" w:type="dxa"/>
            <w:tcBorders>
              <w:tl2br w:val="nil"/>
              <w:tr2bl w:val="nil"/>
            </w:tcBorders>
            <w:vAlign w:val="center"/>
          </w:tcPr>
          <w:p w14:paraId="798617D6">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新环环评发〔2020〕138号</w:t>
            </w:r>
          </w:p>
        </w:tc>
        <w:tc>
          <w:tcPr>
            <w:tcW w:w="1114" w:type="dxa"/>
            <w:tcBorders>
              <w:tl2br w:val="nil"/>
              <w:tr2bl w:val="nil"/>
            </w:tcBorders>
            <w:vAlign w:val="center"/>
          </w:tcPr>
          <w:p w14:paraId="651B77C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2020-09-04</w:t>
            </w:r>
          </w:p>
        </w:tc>
      </w:tr>
      <w:tr w14:paraId="1D50B1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4B26D00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17</w:t>
            </w:r>
          </w:p>
        </w:tc>
        <w:tc>
          <w:tcPr>
            <w:tcW w:w="4620" w:type="dxa"/>
            <w:gridSpan w:val="2"/>
            <w:tcBorders>
              <w:tl2br w:val="nil"/>
              <w:tr2bl w:val="nil"/>
            </w:tcBorders>
            <w:vAlign w:val="center"/>
          </w:tcPr>
          <w:p w14:paraId="716685A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《新疆维吾尔自治区重点行业</w:t>
            </w:r>
            <w:r>
              <w:rPr>
                <w:rFonts w:hint="default" w:ascii="Times New Roman" w:hAnsi="Times New Roman" w:eastAsia="宋体" w:cs="Times New Roman"/>
                <w:color w:val="auto"/>
                <w:spacing w:val="0"/>
                <w:w w:val="100"/>
                <w:position w:val="0"/>
                <w:sz w:val="21"/>
                <w:szCs w:val="21"/>
                <w:lang w:val="en-US" w:eastAsia="zh-CN"/>
              </w:rPr>
              <w:t>生态</w:t>
            </w:r>
            <w:r>
              <w:rPr>
                <w:rFonts w:hint="default" w:ascii="Times New Roman" w:hAnsi="Times New Roman" w:eastAsia="宋体" w:cs="Times New Roman"/>
                <w:color w:val="auto"/>
                <w:spacing w:val="0"/>
                <w:w w:val="100"/>
                <w:position w:val="0"/>
                <w:sz w:val="21"/>
                <w:szCs w:val="21"/>
                <w:lang w:eastAsia="zh-CN"/>
              </w:rPr>
              <w:t>环境准入条件（</w:t>
            </w:r>
            <w:r>
              <w:rPr>
                <w:rFonts w:hint="default" w:ascii="Times New Roman" w:hAnsi="Times New Roman" w:eastAsia="宋体" w:cs="Times New Roman"/>
                <w:color w:val="auto"/>
                <w:spacing w:val="0"/>
                <w:w w:val="100"/>
                <w:position w:val="0"/>
                <w:sz w:val="21"/>
                <w:szCs w:val="21"/>
                <w:lang w:val="en-US" w:eastAsia="zh-CN"/>
              </w:rPr>
              <w:t>2024年</w:t>
            </w:r>
            <w:r>
              <w:rPr>
                <w:rFonts w:hint="default" w:ascii="Times New Roman" w:hAnsi="Times New Roman" w:eastAsia="宋体" w:cs="Times New Roman"/>
                <w:color w:val="auto"/>
                <w:spacing w:val="0"/>
                <w:w w:val="100"/>
                <w:position w:val="0"/>
                <w:sz w:val="21"/>
                <w:szCs w:val="21"/>
                <w:lang w:eastAsia="zh-CN"/>
              </w:rPr>
              <w:t>）》</w:t>
            </w:r>
          </w:p>
        </w:tc>
        <w:tc>
          <w:tcPr>
            <w:tcW w:w="2115" w:type="dxa"/>
            <w:tcBorders>
              <w:tl2br w:val="nil"/>
              <w:tr2bl w:val="nil"/>
            </w:tcBorders>
            <w:vAlign w:val="center"/>
          </w:tcPr>
          <w:p w14:paraId="6863C76D">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新环环评发〔2024</w:t>
            </w:r>
            <w:r>
              <w:rPr>
                <w:rFonts w:hint="default" w:ascii="Times New Roman" w:hAnsi="Times New Roman" w:eastAsia="宋体" w:cs="Times New Roman"/>
                <w:color w:val="auto"/>
                <w:spacing w:val="0"/>
                <w:w w:val="100"/>
                <w:position w:val="0"/>
                <w:sz w:val="21"/>
                <w:szCs w:val="21"/>
                <w:highlight w:val="none"/>
              </w:rPr>
              <w:t>〕</w:t>
            </w:r>
            <w:r>
              <w:rPr>
                <w:rFonts w:hint="default" w:ascii="Times New Roman" w:hAnsi="Times New Roman" w:eastAsia="宋体" w:cs="Times New Roman"/>
                <w:color w:val="auto"/>
                <w:spacing w:val="0"/>
                <w:w w:val="100"/>
                <w:position w:val="0"/>
                <w:sz w:val="21"/>
                <w:szCs w:val="21"/>
                <w:lang w:val="en-US" w:eastAsia="zh-CN"/>
              </w:rPr>
              <w:t>93号</w:t>
            </w:r>
          </w:p>
        </w:tc>
        <w:tc>
          <w:tcPr>
            <w:tcW w:w="1114" w:type="dxa"/>
            <w:tcBorders>
              <w:tl2br w:val="nil"/>
              <w:tr2bl w:val="nil"/>
            </w:tcBorders>
            <w:vAlign w:val="center"/>
          </w:tcPr>
          <w:p w14:paraId="4B3E67B7">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w:t>
            </w:r>
            <w:r>
              <w:rPr>
                <w:rFonts w:hint="default" w:ascii="Times New Roman" w:hAnsi="Times New Roman" w:eastAsia="宋体" w:cs="Times New Roman"/>
                <w:color w:val="auto"/>
                <w:spacing w:val="0"/>
                <w:w w:val="100"/>
                <w:position w:val="0"/>
                <w:sz w:val="21"/>
                <w:szCs w:val="21"/>
                <w:highlight w:val="none"/>
                <w:lang w:val="en-US" w:eastAsia="zh-CN"/>
              </w:rPr>
              <w:t>24</w:t>
            </w:r>
            <w:r>
              <w:rPr>
                <w:rFonts w:hint="default" w:ascii="Times New Roman" w:hAnsi="Times New Roman" w:eastAsia="宋体" w:cs="Times New Roman"/>
                <w:color w:val="auto"/>
                <w:spacing w:val="0"/>
                <w:w w:val="100"/>
                <w:position w:val="0"/>
                <w:sz w:val="21"/>
                <w:szCs w:val="21"/>
                <w:highlight w:val="none"/>
              </w:rPr>
              <w:t>-0</w:t>
            </w:r>
            <w:r>
              <w:rPr>
                <w:rFonts w:hint="default" w:ascii="Times New Roman" w:hAnsi="Times New Roman" w:eastAsia="宋体" w:cs="Times New Roman"/>
                <w:color w:val="auto"/>
                <w:spacing w:val="0"/>
                <w:w w:val="100"/>
                <w:position w:val="0"/>
                <w:sz w:val="21"/>
                <w:szCs w:val="21"/>
                <w:highlight w:val="none"/>
                <w:lang w:val="en-US" w:eastAsia="zh-CN"/>
              </w:rPr>
              <w:t>6</w:t>
            </w:r>
            <w:r>
              <w:rPr>
                <w:rFonts w:hint="default" w:ascii="Times New Roman" w:hAnsi="Times New Roman" w:eastAsia="宋体" w:cs="Times New Roman"/>
                <w:color w:val="auto"/>
                <w:spacing w:val="0"/>
                <w:w w:val="100"/>
                <w:position w:val="0"/>
                <w:sz w:val="21"/>
                <w:szCs w:val="21"/>
                <w:highlight w:val="none"/>
              </w:rPr>
              <w:t>-0</w:t>
            </w:r>
            <w:r>
              <w:rPr>
                <w:rFonts w:hint="default" w:ascii="Times New Roman" w:hAnsi="Times New Roman" w:eastAsia="宋体" w:cs="Times New Roman"/>
                <w:color w:val="auto"/>
                <w:spacing w:val="0"/>
                <w:w w:val="100"/>
                <w:position w:val="0"/>
                <w:sz w:val="21"/>
                <w:szCs w:val="21"/>
                <w:highlight w:val="none"/>
                <w:lang w:val="en-US" w:eastAsia="zh-CN"/>
              </w:rPr>
              <w:t>9</w:t>
            </w:r>
          </w:p>
        </w:tc>
      </w:tr>
      <w:tr w14:paraId="17B976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37006E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18</w:t>
            </w:r>
          </w:p>
        </w:tc>
        <w:tc>
          <w:tcPr>
            <w:tcW w:w="4620" w:type="dxa"/>
            <w:gridSpan w:val="2"/>
            <w:tcBorders>
              <w:tl2br w:val="nil"/>
              <w:tr2bl w:val="nil"/>
            </w:tcBorders>
            <w:vAlign w:val="center"/>
          </w:tcPr>
          <w:p w14:paraId="306A12C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zh-CN" w:eastAsia="zh-CN"/>
              </w:rPr>
              <w:t>《</w:t>
            </w:r>
            <w:r>
              <w:rPr>
                <w:rFonts w:hint="default" w:ascii="Times New Roman" w:hAnsi="Times New Roman" w:eastAsia="宋体" w:cs="Times New Roman"/>
                <w:color w:val="auto"/>
                <w:spacing w:val="0"/>
                <w:w w:val="100"/>
                <w:position w:val="0"/>
                <w:sz w:val="21"/>
                <w:szCs w:val="21"/>
                <w:lang w:val="en-US" w:eastAsia="zh-CN"/>
              </w:rPr>
              <w:t>新疆生态环境保护“十四五”规划</w:t>
            </w:r>
            <w:r>
              <w:rPr>
                <w:rFonts w:hint="default" w:ascii="Times New Roman" w:hAnsi="Times New Roman" w:eastAsia="宋体" w:cs="Times New Roman"/>
                <w:color w:val="auto"/>
                <w:spacing w:val="0"/>
                <w:w w:val="100"/>
                <w:position w:val="0"/>
                <w:sz w:val="21"/>
                <w:szCs w:val="21"/>
                <w:lang w:val="zh-CN" w:eastAsia="zh-CN"/>
              </w:rPr>
              <w:t>》</w:t>
            </w:r>
          </w:p>
        </w:tc>
        <w:tc>
          <w:tcPr>
            <w:tcW w:w="2115" w:type="dxa"/>
            <w:tcBorders>
              <w:tl2br w:val="nil"/>
              <w:tr2bl w:val="nil"/>
            </w:tcBorders>
            <w:vAlign w:val="center"/>
          </w:tcPr>
          <w:p w14:paraId="194F47B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kern w:val="0"/>
                <w:position w:val="0"/>
                <w:sz w:val="21"/>
                <w:szCs w:val="21"/>
                <w:lang w:val="en-US" w:eastAsia="zh-CN" w:bidi="ar-SA"/>
              </w:rPr>
              <w:t>/</w:t>
            </w:r>
          </w:p>
        </w:tc>
        <w:tc>
          <w:tcPr>
            <w:tcW w:w="1114" w:type="dxa"/>
            <w:tcBorders>
              <w:tl2br w:val="nil"/>
              <w:tr2bl w:val="nil"/>
            </w:tcBorders>
            <w:vAlign w:val="center"/>
          </w:tcPr>
          <w:p w14:paraId="6C7E3AD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kern w:val="0"/>
                <w:position w:val="0"/>
                <w:sz w:val="21"/>
                <w:szCs w:val="21"/>
                <w:lang w:val="en-US" w:eastAsia="zh-CN" w:bidi="ar-SA"/>
              </w:rPr>
              <w:t>2022-01-14</w:t>
            </w:r>
          </w:p>
        </w:tc>
      </w:tr>
      <w:tr w14:paraId="37FA74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304CF67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19</w:t>
            </w:r>
          </w:p>
        </w:tc>
        <w:tc>
          <w:tcPr>
            <w:tcW w:w="4620" w:type="dxa"/>
            <w:gridSpan w:val="2"/>
            <w:tcBorders>
              <w:tl2br w:val="nil"/>
              <w:tr2bl w:val="nil"/>
            </w:tcBorders>
            <w:vAlign w:val="center"/>
          </w:tcPr>
          <w:p w14:paraId="5D317F1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《新疆维吾尔自治区大气污染防治条例》</w:t>
            </w:r>
          </w:p>
        </w:tc>
        <w:tc>
          <w:tcPr>
            <w:tcW w:w="2115" w:type="dxa"/>
            <w:tcBorders>
              <w:tl2br w:val="nil"/>
              <w:tr2bl w:val="nil"/>
            </w:tcBorders>
            <w:vAlign w:val="center"/>
          </w:tcPr>
          <w:p w14:paraId="388E39E3">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13届人大第7次会议</w:t>
            </w:r>
          </w:p>
        </w:tc>
        <w:tc>
          <w:tcPr>
            <w:tcW w:w="1114" w:type="dxa"/>
            <w:tcBorders>
              <w:tl2br w:val="nil"/>
              <w:tr2bl w:val="nil"/>
            </w:tcBorders>
            <w:vAlign w:val="center"/>
          </w:tcPr>
          <w:p w14:paraId="706FB878">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2019-01-01</w:t>
            </w:r>
          </w:p>
        </w:tc>
      </w:tr>
      <w:tr w14:paraId="240CE3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4411357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20</w:t>
            </w:r>
          </w:p>
        </w:tc>
        <w:tc>
          <w:tcPr>
            <w:tcW w:w="4620" w:type="dxa"/>
            <w:gridSpan w:val="2"/>
            <w:tcBorders>
              <w:tl2br w:val="nil"/>
              <w:tr2bl w:val="nil"/>
            </w:tcBorders>
            <w:vAlign w:val="center"/>
          </w:tcPr>
          <w:p w14:paraId="6E65CFF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《新疆维吾尔自治区突发环境事件应急预案》</w:t>
            </w:r>
          </w:p>
        </w:tc>
        <w:tc>
          <w:tcPr>
            <w:tcW w:w="2115" w:type="dxa"/>
            <w:tcBorders>
              <w:tl2br w:val="nil"/>
              <w:tr2bl w:val="nil"/>
            </w:tcBorders>
            <w:vAlign w:val="center"/>
          </w:tcPr>
          <w:p w14:paraId="243E3F81">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w:t>
            </w:r>
          </w:p>
        </w:tc>
        <w:tc>
          <w:tcPr>
            <w:tcW w:w="1114" w:type="dxa"/>
            <w:tcBorders>
              <w:tl2br w:val="nil"/>
              <w:tr2bl w:val="nil"/>
            </w:tcBorders>
            <w:vAlign w:val="center"/>
          </w:tcPr>
          <w:p w14:paraId="069EFEB2">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2022-03-28</w:t>
            </w:r>
          </w:p>
        </w:tc>
      </w:tr>
      <w:tr w14:paraId="60F11E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494014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SA"/>
              </w:rPr>
              <w:t>21</w:t>
            </w:r>
          </w:p>
        </w:tc>
        <w:tc>
          <w:tcPr>
            <w:tcW w:w="4620" w:type="dxa"/>
            <w:gridSpan w:val="2"/>
            <w:tcBorders>
              <w:tl2br w:val="nil"/>
              <w:tr2bl w:val="nil"/>
            </w:tcBorders>
            <w:vAlign w:val="center"/>
          </w:tcPr>
          <w:p w14:paraId="698AC2D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eastAsia="zh-CN"/>
              </w:rPr>
              <w:t>《新疆维吾尔自治区大气污染防治条例》</w:t>
            </w:r>
          </w:p>
        </w:tc>
        <w:tc>
          <w:tcPr>
            <w:tcW w:w="2115" w:type="dxa"/>
            <w:tcBorders>
              <w:tl2br w:val="nil"/>
              <w:tr2bl w:val="nil"/>
            </w:tcBorders>
            <w:vAlign w:val="center"/>
          </w:tcPr>
          <w:p w14:paraId="2F4E8459">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自治区13届人大第7次会议</w:t>
            </w:r>
          </w:p>
        </w:tc>
        <w:tc>
          <w:tcPr>
            <w:tcW w:w="1114" w:type="dxa"/>
            <w:tcBorders>
              <w:tl2br w:val="nil"/>
              <w:tr2bl w:val="nil"/>
            </w:tcBorders>
            <w:vAlign w:val="center"/>
          </w:tcPr>
          <w:p w14:paraId="6EB729C4">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2019-01-01</w:t>
            </w:r>
          </w:p>
        </w:tc>
      </w:tr>
      <w:tr w14:paraId="6FFD9B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21E6F79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22</w:t>
            </w:r>
          </w:p>
        </w:tc>
        <w:tc>
          <w:tcPr>
            <w:tcW w:w="4620" w:type="dxa"/>
            <w:gridSpan w:val="2"/>
            <w:tcBorders>
              <w:tl2br w:val="nil"/>
              <w:tr2bl w:val="nil"/>
            </w:tcBorders>
            <w:shd w:val="clear" w:color="auto" w:fill="auto"/>
            <w:vAlign w:val="center"/>
          </w:tcPr>
          <w:p w14:paraId="7CB1833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《新疆维吾尔自治区矿产资源管理条例》</w:t>
            </w:r>
          </w:p>
        </w:tc>
        <w:tc>
          <w:tcPr>
            <w:tcW w:w="2115" w:type="dxa"/>
            <w:tcBorders>
              <w:tl2br w:val="nil"/>
              <w:tr2bl w:val="nil"/>
            </w:tcBorders>
            <w:shd w:val="clear" w:color="auto" w:fill="auto"/>
            <w:vAlign w:val="center"/>
          </w:tcPr>
          <w:p w14:paraId="3B6CFBC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w:t>
            </w:r>
          </w:p>
        </w:tc>
        <w:tc>
          <w:tcPr>
            <w:tcW w:w="1114" w:type="dxa"/>
            <w:tcBorders>
              <w:tl2br w:val="nil"/>
              <w:tr2bl w:val="nil"/>
            </w:tcBorders>
            <w:shd w:val="clear" w:color="auto" w:fill="auto"/>
            <w:vAlign w:val="center"/>
          </w:tcPr>
          <w:p w14:paraId="26472F5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1995-01-13</w:t>
            </w:r>
          </w:p>
        </w:tc>
      </w:tr>
      <w:tr w14:paraId="22F124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752E1D5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23</w:t>
            </w:r>
          </w:p>
        </w:tc>
        <w:tc>
          <w:tcPr>
            <w:tcW w:w="4620" w:type="dxa"/>
            <w:gridSpan w:val="2"/>
            <w:tcBorders>
              <w:tl2br w:val="nil"/>
              <w:tr2bl w:val="nil"/>
            </w:tcBorders>
            <w:vAlign w:val="center"/>
          </w:tcPr>
          <w:p w14:paraId="60E2185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《新疆维吾尔自治区主体功能区规划》</w:t>
            </w:r>
          </w:p>
        </w:tc>
        <w:tc>
          <w:tcPr>
            <w:tcW w:w="2115" w:type="dxa"/>
            <w:tcBorders>
              <w:tl2br w:val="nil"/>
              <w:tr2bl w:val="nil"/>
            </w:tcBorders>
            <w:vAlign w:val="center"/>
          </w:tcPr>
          <w:p w14:paraId="68BDDD1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w:t>
            </w:r>
          </w:p>
        </w:tc>
        <w:tc>
          <w:tcPr>
            <w:tcW w:w="1114" w:type="dxa"/>
            <w:tcBorders>
              <w:tl2br w:val="nil"/>
              <w:tr2bl w:val="nil"/>
            </w:tcBorders>
            <w:vAlign w:val="center"/>
          </w:tcPr>
          <w:p w14:paraId="3ABA01E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2016-10-24</w:t>
            </w:r>
          </w:p>
        </w:tc>
      </w:tr>
      <w:tr w14:paraId="3ED493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4B3B43C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24</w:t>
            </w:r>
          </w:p>
        </w:tc>
        <w:tc>
          <w:tcPr>
            <w:tcW w:w="4620" w:type="dxa"/>
            <w:gridSpan w:val="2"/>
            <w:tcBorders>
              <w:tl2br w:val="nil"/>
              <w:tr2bl w:val="nil"/>
            </w:tcBorders>
            <w:vAlign w:val="center"/>
          </w:tcPr>
          <w:p w14:paraId="73A6A1F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关于印发《新疆维吾尔自治区加强涉重金属行业污染防控工作方案》的通知</w:t>
            </w:r>
          </w:p>
        </w:tc>
        <w:tc>
          <w:tcPr>
            <w:tcW w:w="2115" w:type="dxa"/>
            <w:tcBorders>
              <w:tl2br w:val="nil"/>
              <w:tr2bl w:val="nil"/>
            </w:tcBorders>
            <w:vAlign w:val="center"/>
          </w:tcPr>
          <w:p w14:paraId="08C158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新环固体发〔2022〕88号</w:t>
            </w:r>
          </w:p>
        </w:tc>
        <w:tc>
          <w:tcPr>
            <w:tcW w:w="1114" w:type="dxa"/>
            <w:tcBorders>
              <w:tl2br w:val="nil"/>
              <w:tr2bl w:val="nil"/>
            </w:tcBorders>
            <w:vAlign w:val="center"/>
          </w:tcPr>
          <w:p w14:paraId="71B34D5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2022-06-15</w:t>
            </w:r>
          </w:p>
        </w:tc>
      </w:tr>
      <w:tr w14:paraId="7D377D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6CEE5A2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25</w:t>
            </w:r>
          </w:p>
        </w:tc>
        <w:tc>
          <w:tcPr>
            <w:tcW w:w="4620" w:type="dxa"/>
            <w:gridSpan w:val="2"/>
            <w:tcBorders>
              <w:tl2br w:val="nil"/>
              <w:tr2bl w:val="nil"/>
            </w:tcBorders>
            <w:vAlign w:val="center"/>
          </w:tcPr>
          <w:p w14:paraId="000E3C3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eastAsia="zh-CN"/>
              </w:rPr>
              <w:t>关于印发《新疆维吾尔自治区生态环境分区管控动态更新成果》的通知</w:t>
            </w:r>
          </w:p>
        </w:tc>
        <w:tc>
          <w:tcPr>
            <w:tcW w:w="2115" w:type="dxa"/>
            <w:tcBorders>
              <w:tl2br w:val="nil"/>
              <w:tr2bl w:val="nil"/>
            </w:tcBorders>
            <w:vAlign w:val="center"/>
          </w:tcPr>
          <w:p w14:paraId="2AF97050">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highlight w:val="none"/>
                <w:lang w:val="en-US" w:eastAsia="zh-CN"/>
              </w:rPr>
              <w:t>/</w:t>
            </w:r>
          </w:p>
        </w:tc>
        <w:tc>
          <w:tcPr>
            <w:tcW w:w="1114" w:type="dxa"/>
            <w:tcBorders>
              <w:tl2br w:val="nil"/>
              <w:tr2bl w:val="nil"/>
            </w:tcBorders>
            <w:vAlign w:val="center"/>
          </w:tcPr>
          <w:p w14:paraId="2AC92315">
            <w:pPr>
              <w:pStyle w:val="32"/>
              <w:keepNext w:val="0"/>
              <w:keepLines w:val="0"/>
              <w:pageBreakBefore w:val="0"/>
              <w:widowControl w:val="0"/>
              <w:suppressLineNumbers w:val="0"/>
              <w:kinsoku/>
              <w:wordWrap/>
              <w:overflowPunct/>
              <w:topLinePunct w:val="0"/>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202</w:t>
            </w:r>
            <w:r>
              <w:rPr>
                <w:rFonts w:hint="default" w:ascii="Times New Roman" w:hAnsi="Times New Roman" w:cs="Times New Roman"/>
                <w:color w:val="auto"/>
                <w:spacing w:val="0"/>
                <w:w w:val="100"/>
                <w:position w:val="0"/>
                <w:sz w:val="21"/>
                <w:szCs w:val="21"/>
                <w:highlight w:val="none"/>
                <w:lang w:val="en-US" w:eastAsia="zh-CN"/>
              </w:rPr>
              <w:t>4</w:t>
            </w:r>
            <w:r>
              <w:rPr>
                <w:rFonts w:hint="default" w:ascii="Times New Roman" w:hAnsi="Times New Roman" w:eastAsia="宋体" w:cs="Times New Roman"/>
                <w:color w:val="auto"/>
                <w:spacing w:val="0"/>
                <w:w w:val="100"/>
                <w:position w:val="0"/>
                <w:sz w:val="21"/>
                <w:szCs w:val="21"/>
                <w:highlight w:val="none"/>
              </w:rPr>
              <w:t>-</w:t>
            </w:r>
            <w:r>
              <w:rPr>
                <w:rFonts w:hint="default" w:ascii="Times New Roman" w:hAnsi="Times New Roman" w:cs="Times New Roman"/>
                <w:color w:val="auto"/>
                <w:spacing w:val="0"/>
                <w:w w:val="100"/>
                <w:position w:val="0"/>
                <w:sz w:val="21"/>
                <w:szCs w:val="21"/>
                <w:highlight w:val="none"/>
                <w:lang w:val="en-US" w:eastAsia="zh-CN"/>
              </w:rPr>
              <w:t>11</w:t>
            </w:r>
            <w:r>
              <w:rPr>
                <w:rFonts w:hint="default" w:ascii="Times New Roman" w:hAnsi="Times New Roman" w:eastAsia="宋体" w:cs="Times New Roman"/>
                <w:color w:val="auto"/>
                <w:spacing w:val="0"/>
                <w:w w:val="100"/>
                <w:position w:val="0"/>
                <w:sz w:val="21"/>
                <w:szCs w:val="21"/>
                <w:highlight w:val="none"/>
              </w:rPr>
              <w:t>-</w:t>
            </w:r>
            <w:r>
              <w:rPr>
                <w:rFonts w:hint="default" w:ascii="Times New Roman" w:hAnsi="Times New Roman" w:cs="Times New Roman"/>
                <w:color w:val="auto"/>
                <w:spacing w:val="0"/>
                <w:w w:val="100"/>
                <w:position w:val="0"/>
                <w:sz w:val="21"/>
                <w:szCs w:val="21"/>
                <w:highlight w:val="none"/>
                <w:lang w:val="en-US" w:eastAsia="zh-CN"/>
              </w:rPr>
              <w:t>18</w:t>
            </w:r>
          </w:p>
        </w:tc>
      </w:tr>
      <w:tr w14:paraId="7CE4B3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tcBorders>
              <w:tl2br w:val="nil"/>
              <w:tr2bl w:val="nil"/>
            </w:tcBorders>
            <w:shd w:val="clear" w:color="auto" w:fill="auto"/>
            <w:vAlign w:val="center"/>
          </w:tcPr>
          <w:p w14:paraId="1FB5A05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26</w:t>
            </w:r>
          </w:p>
        </w:tc>
        <w:tc>
          <w:tcPr>
            <w:tcW w:w="4620" w:type="dxa"/>
            <w:gridSpan w:val="2"/>
            <w:tcBorders>
              <w:tl2br w:val="nil"/>
              <w:tr2bl w:val="nil"/>
            </w:tcBorders>
            <w:vAlign w:val="center"/>
          </w:tcPr>
          <w:p w14:paraId="5252975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《新疆维吾尔自治区国民经济和社会发展第十五个五年规划纲要》</w:t>
            </w:r>
          </w:p>
        </w:tc>
        <w:tc>
          <w:tcPr>
            <w:tcW w:w="2115" w:type="dxa"/>
            <w:tcBorders>
              <w:tl2br w:val="nil"/>
              <w:tr2bl w:val="nil"/>
            </w:tcBorders>
            <w:vAlign w:val="center"/>
          </w:tcPr>
          <w:p w14:paraId="591E702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2"/>
                <w:position w:val="0"/>
                <w:sz w:val="21"/>
                <w:szCs w:val="21"/>
                <w:lang w:val="en-US" w:eastAsia="zh-CN" w:bidi="zh-CN"/>
              </w:rPr>
            </w:pPr>
            <w:r>
              <w:rPr>
                <w:rFonts w:hint="default" w:ascii="Times New Roman" w:hAnsi="Times New Roman" w:cs="Times New Roman"/>
                <w:color w:val="auto"/>
                <w:spacing w:val="0"/>
                <w:w w:val="100"/>
                <w:position w:val="0"/>
                <w:sz w:val="21"/>
                <w:szCs w:val="21"/>
                <w:lang w:val="en-US" w:eastAsia="zh-CN"/>
              </w:rPr>
              <w:t>/</w:t>
            </w:r>
          </w:p>
        </w:tc>
        <w:tc>
          <w:tcPr>
            <w:tcW w:w="1114" w:type="dxa"/>
            <w:tcBorders>
              <w:tl2br w:val="nil"/>
              <w:tr2bl w:val="nil"/>
            </w:tcBorders>
            <w:vAlign w:val="center"/>
          </w:tcPr>
          <w:p w14:paraId="3AFA0CF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2"/>
                <w:position w:val="0"/>
                <w:sz w:val="21"/>
                <w:szCs w:val="21"/>
                <w:lang w:val="en-US" w:eastAsia="zh-CN" w:bidi="zh-CN"/>
              </w:rPr>
            </w:pPr>
            <w:r>
              <w:rPr>
                <w:rFonts w:hint="default" w:ascii="Times New Roman" w:hAnsi="Times New Roman" w:eastAsia="宋体" w:cs="Times New Roman"/>
                <w:color w:val="auto"/>
                <w:spacing w:val="0"/>
                <w:w w:val="100"/>
                <w:position w:val="0"/>
                <w:sz w:val="21"/>
                <w:szCs w:val="21"/>
                <w:lang w:val="en-US" w:eastAsia="zh-CN"/>
              </w:rPr>
              <w:t>202</w:t>
            </w:r>
            <w:r>
              <w:rPr>
                <w:rFonts w:hint="default" w:ascii="Times New Roman" w:hAnsi="Times New Roman" w:cs="Times New Roman"/>
                <w:color w:val="auto"/>
                <w:spacing w:val="0"/>
                <w:w w:val="100"/>
                <w:position w:val="0"/>
                <w:sz w:val="21"/>
                <w:szCs w:val="21"/>
                <w:lang w:val="en-US" w:eastAsia="zh-CN"/>
              </w:rPr>
              <w:t>6</w:t>
            </w:r>
            <w:r>
              <w:rPr>
                <w:rFonts w:hint="default" w:ascii="Times New Roman" w:hAnsi="Times New Roman" w:eastAsia="宋体" w:cs="Times New Roman"/>
                <w:color w:val="auto"/>
                <w:spacing w:val="0"/>
                <w:w w:val="100"/>
                <w:position w:val="0"/>
                <w:sz w:val="21"/>
                <w:szCs w:val="21"/>
                <w:lang w:val="en-US" w:eastAsia="zh-CN"/>
              </w:rPr>
              <w:t>-0</w:t>
            </w:r>
            <w:r>
              <w:rPr>
                <w:rFonts w:hint="default" w:ascii="Times New Roman" w:hAnsi="Times New Roman" w:cs="Times New Roman"/>
                <w:color w:val="auto"/>
                <w:spacing w:val="0"/>
                <w:w w:val="100"/>
                <w:position w:val="0"/>
                <w:sz w:val="21"/>
                <w:szCs w:val="21"/>
                <w:lang w:val="en-US" w:eastAsia="zh-CN"/>
              </w:rPr>
              <w:t>3</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25</w:t>
            </w:r>
          </w:p>
        </w:tc>
      </w:tr>
      <w:tr w14:paraId="72CBF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698" w:hRule="atLeast"/>
          <w:jc w:val="center"/>
        </w:trPr>
        <w:tc>
          <w:tcPr>
            <w:tcW w:w="538" w:type="dxa"/>
            <w:tcBorders>
              <w:tl2br w:val="nil"/>
              <w:tr2bl w:val="nil"/>
            </w:tcBorders>
            <w:shd w:val="clear" w:color="auto" w:fill="auto"/>
            <w:vAlign w:val="center"/>
          </w:tcPr>
          <w:p w14:paraId="4862BF7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27</w:t>
            </w:r>
          </w:p>
        </w:tc>
        <w:tc>
          <w:tcPr>
            <w:tcW w:w="4620" w:type="dxa"/>
            <w:gridSpan w:val="2"/>
            <w:tcBorders>
              <w:tl2br w:val="nil"/>
              <w:tr2bl w:val="nil"/>
            </w:tcBorders>
            <w:vAlign w:val="center"/>
          </w:tcPr>
          <w:p w14:paraId="596A983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《哈密市国民经济和社会发展第十五个五年规划纲要</w:t>
            </w:r>
            <w:r>
              <w:rPr>
                <w:rFonts w:hint="default" w:ascii="Times New Roman" w:hAnsi="Times New Roman" w:eastAsia="宋体" w:cs="Times New Roman"/>
                <w:color w:val="auto"/>
                <w:spacing w:val="0"/>
                <w:w w:val="100"/>
                <w:position w:val="0"/>
                <w:sz w:val="21"/>
                <w:szCs w:val="21"/>
                <w:highlight w:val="none"/>
                <w:lang w:val="en-US" w:eastAsia="zh-CN" w:bidi="ar"/>
              </w:rPr>
              <w:t>》</w:t>
            </w:r>
          </w:p>
        </w:tc>
        <w:tc>
          <w:tcPr>
            <w:tcW w:w="2115" w:type="dxa"/>
            <w:tcBorders>
              <w:tl2br w:val="nil"/>
              <w:tr2bl w:val="nil"/>
            </w:tcBorders>
            <w:vAlign w:val="center"/>
          </w:tcPr>
          <w:p w14:paraId="1FD967E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SA"/>
              </w:rPr>
              <w:t>/</w:t>
            </w:r>
          </w:p>
        </w:tc>
        <w:tc>
          <w:tcPr>
            <w:tcW w:w="1114" w:type="dxa"/>
            <w:tcBorders>
              <w:tl2br w:val="nil"/>
              <w:tr2bl w:val="nil"/>
            </w:tcBorders>
            <w:vAlign w:val="center"/>
          </w:tcPr>
          <w:p w14:paraId="50CD712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20</w:t>
            </w:r>
            <w:r>
              <w:rPr>
                <w:rFonts w:hint="default" w:ascii="Times New Roman" w:hAnsi="Times New Roman" w:cs="Times New Roman"/>
                <w:color w:val="auto"/>
                <w:spacing w:val="0"/>
                <w:w w:val="100"/>
                <w:kern w:val="0"/>
                <w:position w:val="0"/>
                <w:sz w:val="21"/>
                <w:szCs w:val="21"/>
                <w:lang w:val="en-US" w:eastAsia="zh-CN" w:bidi="ar-SA"/>
              </w:rPr>
              <w:t>26</w:t>
            </w:r>
            <w:r>
              <w:rPr>
                <w:rFonts w:hint="default" w:ascii="Times New Roman" w:hAnsi="Times New Roman" w:eastAsia="宋体" w:cs="Times New Roman"/>
                <w:color w:val="auto"/>
                <w:spacing w:val="0"/>
                <w:w w:val="100"/>
                <w:kern w:val="0"/>
                <w:position w:val="0"/>
                <w:sz w:val="21"/>
                <w:szCs w:val="21"/>
                <w:lang w:val="en-US" w:eastAsia="zh-CN" w:bidi="ar-SA"/>
              </w:rPr>
              <w:t>-07-</w:t>
            </w:r>
            <w:r>
              <w:rPr>
                <w:rFonts w:hint="default" w:ascii="Times New Roman" w:hAnsi="Times New Roman" w:cs="Times New Roman"/>
                <w:color w:val="auto"/>
                <w:spacing w:val="0"/>
                <w:w w:val="100"/>
                <w:kern w:val="0"/>
                <w:position w:val="0"/>
                <w:sz w:val="21"/>
                <w:szCs w:val="21"/>
                <w:lang w:val="en-US" w:eastAsia="zh-CN" w:bidi="ar-SA"/>
              </w:rPr>
              <w:t>23</w:t>
            </w:r>
          </w:p>
        </w:tc>
      </w:tr>
      <w:tr w14:paraId="011C3B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shd w:val="clear" w:color="auto" w:fill="auto"/>
            <w:vAlign w:val="center"/>
          </w:tcPr>
          <w:p w14:paraId="246B946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bookmarkStart w:id="80" w:name="_Toc29364"/>
            <w:r>
              <w:rPr>
                <w:rFonts w:hint="default" w:ascii="Times New Roman" w:hAnsi="Times New Roman" w:cs="Times New Roman"/>
                <w:color w:val="auto"/>
                <w:spacing w:val="0"/>
                <w:w w:val="100"/>
                <w:kern w:val="0"/>
                <w:position w:val="0"/>
                <w:sz w:val="21"/>
                <w:szCs w:val="21"/>
                <w:lang w:val="en-US" w:eastAsia="zh-CN" w:bidi="ar-SA"/>
              </w:rPr>
              <w:t>28</w:t>
            </w:r>
          </w:p>
        </w:tc>
        <w:tc>
          <w:tcPr>
            <w:tcW w:w="4620" w:type="dxa"/>
            <w:gridSpan w:val="2"/>
            <w:vAlign w:val="center"/>
          </w:tcPr>
          <w:p w14:paraId="401335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zh-CN" w:eastAsia="zh-CN"/>
              </w:rPr>
            </w:pPr>
            <w:r>
              <w:rPr>
                <w:rFonts w:hint="default" w:ascii="Times New Roman" w:hAnsi="Times New Roman" w:eastAsia="宋体" w:cs="Times New Roman"/>
                <w:color w:val="auto"/>
                <w:spacing w:val="0"/>
                <w:w w:val="100"/>
                <w:position w:val="0"/>
                <w:sz w:val="21"/>
                <w:szCs w:val="21"/>
                <w:lang w:val="zh-CN" w:eastAsia="zh-CN"/>
              </w:rPr>
              <w:t>关于印发《哈密市生态环境分区管控动态更新成果</w:t>
            </w:r>
          </w:p>
          <w:p w14:paraId="02EB00A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zh-CN" w:eastAsia="zh-CN"/>
              </w:rPr>
              <w:t>》的通知</w:t>
            </w:r>
          </w:p>
        </w:tc>
        <w:tc>
          <w:tcPr>
            <w:tcW w:w="2115" w:type="dxa"/>
            <w:vAlign w:val="center"/>
          </w:tcPr>
          <w:p w14:paraId="30C560C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SA"/>
              </w:rPr>
              <w:t>/</w:t>
            </w:r>
          </w:p>
        </w:tc>
        <w:tc>
          <w:tcPr>
            <w:tcW w:w="1114" w:type="dxa"/>
            <w:vAlign w:val="center"/>
          </w:tcPr>
          <w:p w14:paraId="31F31DB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202</w:t>
            </w:r>
            <w:r>
              <w:rPr>
                <w:rFonts w:hint="default" w:ascii="Times New Roman" w:hAnsi="Times New Roman" w:cs="Times New Roman"/>
                <w:color w:val="auto"/>
                <w:spacing w:val="0"/>
                <w:w w:val="100"/>
                <w:kern w:val="0"/>
                <w:position w:val="0"/>
                <w:sz w:val="21"/>
                <w:szCs w:val="21"/>
                <w:lang w:val="en-US" w:eastAsia="zh-CN" w:bidi="ar-SA"/>
              </w:rPr>
              <w:t>5</w:t>
            </w:r>
            <w:r>
              <w:rPr>
                <w:rFonts w:hint="default" w:ascii="Times New Roman" w:hAnsi="Times New Roman" w:eastAsia="宋体" w:cs="Times New Roman"/>
                <w:color w:val="auto"/>
                <w:spacing w:val="0"/>
                <w:w w:val="100"/>
                <w:kern w:val="0"/>
                <w:position w:val="0"/>
                <w:sz w:val="21"/>
                <w:szCs w:val="21"/>
                <w:lang w:val="en-US" w:eastAsia="zh-CN" w:bidi="ar-SA"/>
              </w:rPr>
              <w:t>-0</w:t>
            </w:r>
            <w:r>
              <w:rPr>
                <w:rFonts w:hint="default" w:ascii="Times New Roman" w:hAnsi="Times New Roman" w:cs="Times New Roman"/>
                <w:color w:val="auto"/>
                <w:spacing w:val="0"/>
                <w:w w:val="100"/>
                <w:kern w:val="0"/>
                <w:position w:val="0"/>
                <w:sz w:val="21"/>
                <w:szCs w:val="21"/>
                <w:lang w:val="en-US" w:eastAsia="zh-CN" w:bidi="ar-SA"/>
              </w:rPr>
              <w:t>1</w:t>
            </w:r>
            <w:r>
              <w:rPr>
                <w:rFonts w:hint="default" w:ascii="Times New Roman" w:hAnsi="Times New Roman" w:eastAsia="宋体" w:cs="Times New Roman"/>
                <w:color w:val="auto"/>
                <w:spacing w:val="0"/>
                <w:w w:val="100"/>
                <w:kern w:val="0"/>
                <w:position w:val="0"/>
                <w:sz w:val="21"/>
                <w:szCs w:val="21"/>
                <w:lang w:val="en-US" w:eastAsia="zh-CN" w:bidi="ar-SA"/>
              </w:rPr>
              <w:t>-</w:t>
            </w:r>
            <w:r>
              <w:rPr>
                <w:rFonts w:hint="default" w:ascii="Times New Roman" w:hAnsi="Times New Roman" w:cs="Times New Roman"/>
                <w:color w:val="auto"/>
                <w:spacing w:val="0"/>
                <w:w w:val="100"/>
                <w:kern w:val="0"/>
                <w:position w:val="0"/>
                <w:sz w:val="21"/>
                <w:szCs w:val="21"/>
                <w:lang w:val="en-US" w:eastAsia="zh-CN" w:bidi="ar-SA"/>
              </w:rPr>
              <w:t>1</w:t>
            </w:r>
            <w:r>
              <w:rPr>
                <w:rFonts w:hint="default" w:ascii="Times New Roman" w:hAnsi="Times New Roman" w:eastAsia="宋体" w:cs="Times New Roman"/>
                <w:color w:val="auto"/>
                <w:spacing w:val="0"/>
                <w:w w:val="100"/>
                <w:kern w:val="0"/>
                <w:position w:val="0"/>
                <w:sz w:val="21"/>
                <w:szCs w:val="21"/>
                <w:lang w:val="en-US" w:eastAsia="zh-CN" w:bidi="ar-SA"/>
              </w:rPr>
              <w:t>0</w:t>
            </w:r>
          </w:p>
        </w:tc>
      </w:tr>
      <w:tr w14:paraId="6D71CF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38" w:type="dxa"/>
            <w:shd w:val="clear" w:color="auto" w:fill="auto"/>
            <w:vAlign w:val="center"/>
          </w:tcPr>
          <w:p w14:paraId="0E5CEB0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bookmarkStart w:id="81" w:name="_Toc30141"/>
            <w:bookmarkStart w:id="82" w:name="_Toc6431"/>
            <w:bookmarkStart w:id="83" w:name="_Toc15772"/>
            <w:bookmarkStart w:id="84" w:name="_Toc27800"/>
            <w:r>
              <w:rPr>
                <w:rFonts w:hint="default" w:ascii="Times New Roman" w:hAnsi="Times New Roman" w:cs="Times New Roman"/>
                <w:color w:val="auto"/>
                <w:spacing w:val="0"/>
                <w:w w:val="100"/>
                <w:kern w:val="0"/>
                <w:position w:val="0"/>
                <w:sz w:val="21"/>
                <w:szCs w:val="21"/>
                <w:lang w:val="en-US" w:eastAsia="zh-CN" w:bidi="ar-SA"/>
              </w:rPr>
              <w:t>29</w:t>
            </w:r>
          </w:p>
        </w:tc>
        <w:tc>
          <w:tcPr>
            <w:tcW w:w="4620" w:type="dxa"/>
            <w:gridSpan w:val="2"/>
            <w:vAlign w:val="center"/>
          </w:tcPr>
          <w:p w14:paraId="0CD51DD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zh-CN" w:eastAsia="zh-CN"/>
              </w:rPr>
            </w:pPr>
            <w:r>
              <w:rPr>
                <w:rFonts w:hint="default" w:ascii="Times New Roman" w:hAnsi="Times New Roman" w:eastAsia="宋体" w:cs="Times New Roman"/>
                <w:color w:val="auto"/>
                <w:spacing w:val="0"/>
                <w:w w:val="100"/>
                <w:position w:val="0"/>
                <w:sz w:val="21"/>
                <w:szCs w:val="21"/>
                <w:lang w:val="en-US" w:eastAsia="zh-CN"/>
              </w:rPr>
              <w:t>《哈密市戈壁生态环境保护条例》</w:t>
            </w:r>
          </w:p>
        </w:tc>
        <w:tc>
          <w:tcPr>
            <w:tcW w:w="2115" w:type="dxa"/>
            <w:vAlign w:val="center"/>
          </w:tcPr>
          <w:p w14:paraId="07A89A8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哈密市第二届人民代表大会常务委员会公告第35号</w:t>
            </w:r>
          </w:p>
        </w:tc>
        <w:tc>
          <w:tcPr>
            <w:tcW w:w="1114" w:type="dxa"/>
            <w:vAlign w:val="center"/>
          </w:tcPr>
          <w:p w14:paraId="0BEC439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2025-3-1</w:t>
            </w:r>
          </w:p>
        </w:tc>
      </w:tr>
    </w:tbl>
    <w:p w14:paraId="2FA6F156">
      <w:pPr>
        <w:pStyle w:val="4"/>
        <w:bidi w:val="0"/>
        <w:rPr>
          <w:rFonts w:hint="default" w:ascii="Times New Roman" w:hAnsi="Times New Roman" w:cs="Times New Roman"/>
          <w:color w:val="auto"/>
        </w:rPr>
      </w:pPr>
      <w:r>
        <w:rPr>
          <w:rFonts w:hint="default" w:ascii="Times New Roman" w:hAnsi="Times New Roman" w:cs="Times New Roman"/>
          <w:color w:val="auto"/>
          <w:lang w:val="en-US" w:eastAsia="zh-CN"/>
        </w:rPr>
        <w:t>技术规范</w:t>
      </w:r>
      <w:bookmarkEnd w:id="80"/>
      <w:bookmarkEnd w:id="81"/>
      <w:bookmarkEnd w:id="82"/>
      <w:bookmarkEnd w:id="83"/>
      <w:bookmarkEnd w:id="84"/>
    </w:p>
    <w:tbl>
      <w:tblPr>
        <w:tblStyle w:val="21"/>
        <w:tblW w:w="835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25"/>
        <w:gridCol w:w="5894"/>
        <w:gridCol w:w="1938"/>
      </w:tblGrid>
      <w:tr w14:paraId="69C891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525" w:type="dxa"/>
            <w:tcBorders>
              <w:tl2br w:val="nil"/>
              <w:tr2bl w:val="nil"/>
            </w:tcBorders>
            <w:vAlign w:val="center"/>
          </w:tcPr>
          <w:p w14:paraId="5584092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序号</w:t>
            </w:r>
          </w:p>
        </w:tc>
        <w:tc>
          <w:tcPr>
            <w:tcW w:w="5894" w:type="dxa"/>
            <w:tcBorders>
              <w:tl2br w:val="nil"/>
              <w:tr2bl w:val="nil"/>
            </w:tcBorders>
            <w:vAlign w:val="center"/>
          </w:tcPr>
          <w:p w14:paraId="6C8288D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依据名称</w:t>
            </w:r>
          </w:p>
        </w:tc>
        <w:tc>
          <w:tcPr>
            <w:tcW w:w="1938" w:type="dxa"/>
            <w:tcBorders>
              <w:tl2br w:val="nil"/>
              <w:tr2bl w:val="nil"/>
            </w:tcBorders>
            <w:vAlign w:val="center"/>
          </w:tcPr>
          <w:p w14:paraId="162B210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lang w:eastAsia="zh-CN"/>
              </w:rPr>
            </w:pPr>
            <w:r>
              <w:rPr>
                <w:rFonts w:hint="default" w:ascii="Times New Roman" w:hAnsi="Times New Roman" w:eastAsia="宋体" w:cs="Times New Roman"/>
                <w:b w:val="0"/>
                <w:bCs w:val="0"/>
                <w:color w:val="auto"/>
                <w:spacing w:val="0"/>
                <w:w w:val="100"/>
                <w:position w:val="0"/>
                <w:sz w:val="21"/>
                <w:szCs w:val="21"/>
                <w:lang w:eastAsia="zh-CN"/>
              </w:rPr>
              <w:t>标准号</w:t>
            </w:r>
          </w:p>
        </w:tc>
      </w:tr>
      <w:tr w14:paraId="437C3C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2E3D0F6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w:t>
            </w:r>
          </w:p>
        </w:tc>
        <w:tc>
          <w:tcPr>
            <w:tcW w:w="5894" w:type="dxa"/>
            <w:tcBorders>
              <w:tl2br w:val="nil"/>
              <w:tr2bl w:val="nil"/>
            </w:tcBorders>
            <w:vAlign w:val="center"/>
          </w:tcPr>
          <w:p w14:paraId="52FDF2C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《建设项目环境影响评价技术导则 总纲》</w:t>
            </w:r>
          </w:p>
        </w:tc>
        <w:tc>
          <w:tcPr>
            <w:tcW w:w="1938" w:type="dxa"/>
            <w:tcBorders>
              <w:tl2br w:val="nil"/>
              <w:tr2bl w:val="nil"/>
            </w:tcBorders>
            <w:vAlign w:val="center"/>
          </w:tcPr>
          <w:p w14:paraId="3AE62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HJ2.1-2016</w:t>
            </w:r>
          </w:p>
        </w:tc>
      </w:tr>
      <w:tr w14:paraId="3121CD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38" w:hRule="atLeast"/>
          <w:jc w:val="center"/>
        </w:trPr>
        <w:tc>
          <w:tcPr>
            <w:tcW w:w="525" w:type="dxa"/>
            <w:tcBorders>
              <w:tl2br w:val="nil"/>
              <w:tr2bl w:val="nil"/>
            </w:tcBorders>
            <w:vAlign w:val="center"/>
          </w:tcPr>
          <w:p w14:paraId="22EAC19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w:t>
            </w:r>
          </w:p>
        </w:tc>
        <w:tc>
          <w:tcPr>
            <w:tcW w:w="5894" w:type="dxa"/>
            <w:tcBorders>
              <w:tl2br w:val="nil"/>
              <w:tr2bl w:val="nil"/>
            </w:tcBorders>
            <w:vAlign w:val="center"/>
          </w:tcPr>
          <w:p w14:paraId="591BC3E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《环境影响评价技术导则 大气环境》</w:t>
            </w:r>
          </w:p>
        </w:tc>
        <w:tc>
          <w:tcPr>
            <w:tcW w:w="1938" w:type="dxa"/>
            <w:tcBorders>
              <w:tl2br w:val="nil"/>
              <w:tr2bl w:val="nil"/>
            </w:tcBorders>
            <w:vAlign w:val="center"/>
          </w:tcPr>
          <w:p w14:paraId="25AF1A2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HJ2.2-20</w:t>
            </w:r>
            <w:r>
              <w:rPr>
                <w:rFonts w:hint="default" w:ascii="Times New Roman" w:hAnsi="Times New Roman" w:eastAsia="宋体" w:cs="Times New Roman"/>
                <w:color w:val="auto"/>
                <w:spacing w:val="0"/>
                <w:w w:val="100"/>
                <w:position w:val="0"/>
                <w:sz w:val="21"/>
                <w:szCs w:val="21"/>
                <w:lang w:val="en-US" w:eastAsia="zh-CN"/>
              </w:rPr>
              <w:t>18</w:t>
            </w:r>
          </w:p>
        </w:tc>
      </w:tr>
      <w:tr w14:paraId="31E28D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19B6F7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w:t>
            </w:r>
          </w:p>
        </w:tc>
        <w:tc>
          <w:tcPr>
            <w:tcW w:w="5894" w:type="dxa"/>
            <w:tcBorders>
              <w:tl2br w:val="nil"/>
              <w:tr2bl w:val="nil"/>
            </w:tcBorders>
            <w:vAlign w:val="center"/>
          </w:tcPr>
          <w:p w14:paraId="1F08DAC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《环境影响评价技术导则 地表水》</w:t>
            </w:r>
          </w:p>
        </w:tc>
        <w:tc>
          <w:tcPr>
            <w:tcW w:w="1938" w:type="dxa"/>
            <w:tcBorders>
              <w:tl2br w:val="nil"/>
              <w:tr2bl w:val="nil"/>
            </w:tcBorders>
            <w:vAlign w:val="center"/>
          </w:tcPr>
          <w:p w14:paraId="0BE3087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HJ2.3-</w:t>
            </w:r>
            <w:r>
              <w:rPr>
                <w:rFonts w:hint="default" w:ascii="Times New Roman" w:hAnsi="Times New Roman" w:eastAsia="宋体" w:cs="Times New Roman"/>
                <w:color w:val="auto"/>
                <w:spacing w:val="0"/>
                <w:w w:val="100"/>
                <w:position w:val="0"/>
                <w:sz w:val="21"/>
                <w:szCs w:val="21"/>
                <w:lang w:val="en-US" w:eastAsia="zh-CN"/>
              </w:rPr>
              <w:t>2018</w:t>
            </w:r>
          </w:p>
        </w:tc>
      </w:tr>
      <w:tr w14:paraId="6945BF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7EC9127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4</w:t>
            </w:r>
          </w:p>
        </w:tc>
        <w:tc>
          <w:tcPr>
            <w:tcW w:w="5894" w:type="dxa"/>
            <w:tcBorders>
              <w:tl2br w:val="nil"/>
              <w:tr2bl w:val="nil"/>
            </w:tcBorders>
            <w:vAlign w:val="center"/>
          </w:tcPr>
          <w:p w14:paraId="6FE2A54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《环境影响评价技术导则 声环境》</w:t>
            </w:r>
          </w:p>
        </w:tc>
        <w:tc>
          <w:tcPr>
            <w:tcW w:w="1938" w:type="dxa"/>
            <w:tcBorders>
              <w:tl2br w:val="nil"/>
              <w:tr2bl w:val="nil"/>
            </w:tcBorders>
            <w:vAlign w:val="center"/>
          </w:tcPr>
          <w:p w14:paraId="5D6633F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HJ2.4-20</w:t>
            </w:r>
            <w:r>
              <w:rPr>
                <w:rFonts w:hint="default" w:ascii="Times New Roman" w:hAnsi="Times New Roman" w:eastAsia="宋体" w:cs="Times New Roman"/>
                <w:color w:val="auto"/>
                <w:spacing w:val="0"/>
                <w:w w:val="100"/>
                <w:position w:val="0"/>
                <w:sz w:val="21"/>
                <w:szCs w:val="21"/>
                <w:lang w:val="en-US" w:eastAsia="zh-CN"/>
              </w:rPr>
              <w:t>21</w:t>
            </w:r>
          </w:p>
        </w:tc>
      </w:tr>
      <w:tr w14:paraId="4952DD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0CB11C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5</w:t>
            </w:r>
          </w:p>
        </w:tc>
        <w:tc>
          <w:tcPr>
            <w:tcW w:w="5894" w:type="dxa"/>
            <w:tcBorders>
              <w:tl2br w:val="nil"/>
              <w:tr2bl w:val="nil"/>
            </w:tcBorders>
            <w:vAlign w:val="center"/>
          </w:tcPr>
          <w:p w14:paraId="378EE06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《环境影响评价技术导则 地下水环境》</w:t>
            </w:r>
          </w:p>
        </w:tc>
        <w:tc>
          <w:tcPr>
            <w:tcW w:w="1938" w:type="dxa"/>
            <w:tcBorders>
              <w:tl2br w:val="nil"/>
              <w:tr2bl w:val="nil"/>
            </w:tcBorders>
            <w:vAlign w:val="center"/>
          </w:tcPr>
          <w:p w14:paraId="721D3B7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HJ610-2016</w:t>
            </w:r>
          </w:p>
        </w:tc>
      </w:tr>
      <w:tr w14:paraId="230E83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76A8D5A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6</w:t>
            </w:r>
          </w:p>
        </w:tc>
        <w:tc>
          <w:tcPr>
            <w:tcW w:w="5894" w:type="dxa"/>
            <w:tcBorders>
              <w:tl2br w:val="nil"/>
              <w:tr2bl w:val="nil"/>
            </w:tcBorders>
            <w:vAlign w:val="center"/>
          </w:tcPr>
          <w:p w14:paraId="751D160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《环境影响评价技术导则 生态影响》</w:t>
            </w:r>
          </w:p>
        </w:tc>
        <w:tc>
          <w:tcPr>
            <w:tcW w:w="1938" w:type="dxa"/>
            <w:tcBorders>
              <w:tl2br w:val="nil"/>
              <w:tr2bl w:val="nil"/>
            </w:tcBorders>
            <w:vAlign w:val="center"/>
          </w:tcPr>
          <w:p w14:paraId="12850EA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HJ19-20</w:t>
            </w:r>
            <w:r>
              <w:rPr>
                <w:rFonts w:hint="default" w:ascii="Times New Roman" w:hAnsi="Times New Roman" w:eastAsia="宋体" w:cs="Times New Roman"/>
                <w:color w:val="auto"/>
                <w:spacing w:val="0"/>
                <w:w w:val="100"/>
                <w:position w:val="0"/>
                <w:sz w:val="21"/>
                <w:szCs w:val="21"/>
                <w:lang w:val="en-US" w:eastAsia="zh-CN"/>
              </w:rPr>
              <w:t>22</w:t>
            </w:r>
          </w:p>
        </w:tc>
      </w:tr>
      <w:tr w14:paraId="1FC0E8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685A528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7</w:t>
            </w:r>
          </w:p>
        </w:tc>
        <w:tc>
          <w:tcPr>
            <w:tcW w:w="5894" w:type="dxa"/>
            <w:tcBorders>
              <w:tl2br w:val="nil"/>
              <w:tr2bl w:val="nil"/>
            </w:tcBorders>
            <w:vAlign w:val="center"/>
          </w:tcPr>
          <w:p w14:paraId="615A18A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《环境影响评价技术导则 土壤环境</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试行</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w:t>
            </w:r>
          </w:p>
        </w:tc>
        <w:tc>
          <w:tcPr>
            <w:tcW w:w="1938" w:type="dxa"/>
            <w:tcBorders>
              <w:tl2br w:val="nil"/>
              <w:tr2bl w:val="nil"/>
            </w:tcBorders>
            <w:vAlign w:val="center"/>
          </w:tcPr>
          <w:p w14:paraId="0813814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HJ964-2018</w:t>
            </w:r>
          </w:p>
        </w:tc>
      </w:tr>
      <w:tr w14:paraId="59D8B9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25" w:type="dxa"/>
            <w:tcBorders>
              <w:tl2br w:val="nil"/>
              <w:tr2bl w:val="nil"/>
            </w:tcBorders>
            <w:vAlign w:val="center"/>
          </w:tcPr>
          <w:p w14:paraId="1E79BC0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8</w:t>
            </w:r>
          </w:p>
        </w:tc>
        <w:tc>
          <w:tcPr>
            <w:tcW w:w="5894" w:type="dxa"/>
            <w:tcBorders>
              <w:tl2br w:val="nil"/>
              <w:tr2bl w:val="nil"/>
            </w:tcBorders>
            <w:vAlign w:val="center"/>
          </w:tcPr>
          <w:p w14:paraId="7F6D359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建设项目环境风险评价技术导则</w:t>
            </w:r>
            <w:r>
              <w:rPr>
                <w:rFonts w:hint="default" w:ascii="Times New Roman" w:hAnsi="Times New Roman" w:eastAsia="宋体" w:cs="Times New Roman"/>
                <w:color w:val="auto"/>
                <w:spacing w:val="0"/>
                <w:w w:val="100"/>
                <w:position w:val="0"/>
                <w:sz w:val="21"/>
                <w:szCs w:val="21"/>
                <w:lang w:eastAsia="zh-CN"/>
              </w:rPr>
              <w:t>》</w:t>
            </w:r>
          </w:p>
        </w:tc>
        <w:tc>
          <w:tcPr>
            <w:tcW w:w="1938" w:type="dxa"/>
            <w:tcBorders>
              <w:tl2br w:val="nil"/>
              <w:tr2bl w:val="nil"/>
            </w:tcBorders>
            <w:vAlign w:val="center"/>
          </w:tcPr>
          <w:p w14:paraId="67AF7E1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HJ169-2018</w:t>
            </w:r>
          </w:p>
        </w:tc>
      </w:tr>
      <w:tr w14:paraId="1F0287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0CA5F97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9</w:t>
            </w:r>
          </w:p>
        </w:tc>
        <w:tc>
          <w:tcPr>
            <w:tcW w:w="5894" w:type="dxa"/>
            <w:tcBorders>
              <w:tl2br w:val="nil"/>
              <w:tr2bl w:val="nil"/>
            </w:tcBorders>
            <w:vAlign w:val="center"/>
          </w:tcPr>
          <w:p w14:paraId="21CE0E2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《环境空气质量标准》</w:t>
            </w:r>
          </w:p>
        </w:tc>
        <w:tc>
          <w:tcPr>
            <w:tcW w:w="1938" w:type="dxa"/>
            <w:tcBorders>
              <w:tl2br w:val="nil"/>
              <w:tr2bl w:val="nil"/>
            </w:tcBorders>
            <w:vAlign w:val="center"/>
          </w:tcPr>
          <w:p w14:paraId="581D112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GB3095-20</w:t>
            </w:r>
            <w:r>
              <w:rPr>
                <w:rFonts w:hint="default" w:ascii="Times New Roman" w:hAnsi="Times New Roman" w:cs="Times New Roman"/>
                <w:color w:val="auto"/>
                <w:spacing w:val="0"/>
                <w:w w:val="100"/>
                <w:position w:val="0"/>
                <w:sz w:val="21"/>
                <w:szCs w:val="21"/>
                <w:lang w:val="en-US" w:eastAsia="zh-CN"/>
              </w:rPr>
              <w:t>26</w:t>
            </w:r>
          </w:p>
        </w:tc>
      </w:tr>
      <w:tr w14:paraId="5863B7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36A7FBB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10</w:t>
            </w:r>
          </w:p>
        </w:tc>
        <w:tc>
          <w:tcPr>
            <w:tcW w:w="5894" w:type="dxa"/>
            <w:tcBorders>
              <w:tl2br w:val="nil"/>
              <w:tr2bl w:val="nil"/>
            </w:tcBorders>
            <w:vAlign w:val="center"/>
          </w:tcPr>
          <w:p w14:paraId="40F33B1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《地表水环境质量标准》</w:t>
            </w:r>
          </w:p>
        </w:tc>
        <w:tc>
          <w:tcPr>
            <w:tcW w:w="1938" w:type="dxa"/>
            <w:tcBorders>
              <w:tl2br w:val="nil"/>
              <w:tr2bl w:val="nil"/>
            </w:tcBorders>
            <w:vAlign w:val="center"/>
          </w:tcPr>
          <w:p w14:paraId="1AA77B5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GB3838-2002</w:t>
            </w:r>
          </w:p>
        </w:tc>
      </w:tr>
      <w:tr w14:paraId="0E3F89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2D97016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11</w:t>
            </w:r>
          </w:p>
        </w:tc>
        <w:tc>
          <w:tcPr>
            <w:tcW w:w="5894" w:type="dxa"/>
            <w:tcBorders>
              <w:tl2br w:val="nil"/>
              <w:tr2bl w:val="nil"/>
            </w:tcBorders>
            <w:vAlign w:val="center"/>
          </w:tcPr>
          <w:p w14:paraId="39993DB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《地下水质量标准》</w:t>
            </w:r>
          </w:p>
        </w:tc>
        <w:tc>
          <w:tcPr>
            <w:tcW w:w="1938" w:type="dxa"/>
            <w:tcBorders>
              <w:tl2br w:val="nil"/>
              <w:tr2bl w:val="nil"/>
            </w:tcBorders>
            <w:vAlign w:val="center"/>
          </w:tcPr>
          <w:p w14:paraId="426617B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GB</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T14848-2017</w:t>
            </w:r>
          </w:p>
        </w:tc>
      </w:tr>
      <w:tr w14:paraId="47C39D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1B1BC04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12</w:t>
            </w:r>
          </w:p>
        </w:tc>
        <w:tc>
          <w:tcPr>
            <w:tcW w:w="5894" w:type="dxa"/>
            <w:tcBorders>
              <w:tl2br w:val="nil"/>
              <w:tr2bl w:val="nil"/>
            </w:tcBorders>
            <w:vAlign w:val="center"/>
          </w:tcPr>
          <w:p w14:paraId="53573A4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《声环境质量标准》</w:t>
            </w:r>
          </w:p>
        </w:tc>
        <w:tc>
          <w:tcPr>
            <w:tcW w:w="1938" w:type="dxa"/>
            <w:tcBorders>
              <w:tl2br w:val="nil"/>
              <w:tr2bl w:val="nil"/>
            </w:tcBorders>
            <w:vAlign w:val="center"/>
          </w:tcPr>
          <w:p w14:paraId="769F76E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GB3096-2008</w:t>
            </w:r>
          </w:p>
        </w:tc>
      </w:tr>
      <w:tr w14:paraId="2C0299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3CEB15E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13</w:t>
            </w:r>
          </w:p>
        </w:tc>
        <w:tc>
          <w:tcPr>
            <w:tcW w:w="5894" w:type="dxa"/>
            <w:tcBorders>
              <w:tl2br w:val="nil"/>
              <w:tr2bl w:val="nil"/>
            </w:tcBorders>
            <w:vAlign w:val="center"/>
          </w:tcPr>
          <w:p w14:paraId="5DE6215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《土壤环境质量</w:t>
            </w:r>
            <w:r>
              <w:rPr>
                <w:rFonts w:hint="default" w:ascii="Times New Roman" w:hAnsi="Times New Roman" w:eastAsia="宋体" w:cs="Times New Roman"/>
                <w:color w:val="auto"/>
                <w:spacing w:val="0"/>
                <w:w w:val="100"/>
                <w:position w:val="0"/>
                <w:sz w:val="21"/>
                <w:szCs w:val="21"/>
                <w:lang w:val="en-US" w:eastAsia="zh-CN"/>
              </w:rPr>
              <w:t xml:space="preserve"> </w:t>
            </w:r>
            <w:r>
              <w:rPr>
                <w:rFonts w:hint="default" w:ascii="Times New Roman" w:hAnsi="Times New Roman" w:eastAsia="宋体" w:cs="Times New Roman"/>
                <w:color w:val="auto"/>
                <w:spacing w:val="0"/>
                <w:w w:val="100"/>
                <w:position w:val="0"/>
                <w:sz w:val="21"/>
                <w:szCs w:val="21"/>
              </w:rPr>
              <w:t>建设用地土壤污染风险管控标准（试行）》</w:t>
            </w:r>
          </w:p>
        </w:tc>
        <w:tc>
          <w:tcPr>
            <w:tcW w:w="1938" w:type="dxa"/>
            <w:tcBorders>
              <w:tl2br w:val="nil"/>
              <w:tr2bl w:val="nil"/>
            </w:tcBorders>
            <w:vAlign w:val="center"/>
          </w:tcPr>
          <w:p w14:paraId="30CF770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GB36600-2018</w:t>
            </w:r>
          </w:p>
        </w:tc>
      </w:tr>
      <w:tr w14:paraId="0A7F0B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5FD5E07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14</w:t>
            </w:r>
          </w:p>
        </w:tc>
        <w:tc>
          <w:tcPr>
            <w:tcW w:w="5894" w:type="dxa"/>
            <w:tcBorders>
              <w:tl2br w:val="nil"/>
              <w:tr2bl w:val="nil"/>
            </w:tcBorders>
            <w:vAlign w:val="center"/>
          </w:tcPr>
          <w:p w14:paraId="3C791A7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土壤环境质量</w:t>
            </w:r>
            <w:r>
              <w:rPr>
                <w:rFonts w:hint="default" w:ascii="Times New Roman" w:hAnsi="Times New Roman" w:cs="Times New Roman"/>
                <w:color w:val="auto"/>
                <w:spacing w:val="0"/>
                <w:w w:val="100"/>
                <w:position w:val="0"/>
                <w:sz w:val="21"/>
                <w:szCs w:val="21"/>
                <w:lang w:val="en-US" w:eastAsia="zh-CN"/>
              </w:rPr>
              <w:t xml:space="preserve"> </w:t>
            </w:r>
            <w:r>
              <w:rPr>
                <w:rFonts w:hint="default" w:ascii="Times New Roman" w:hAnsi="Times New Roman" w:eastAsia="宋体" w:cs="Times New Roman"/>
                <w:color w:val="auto"/>
                <w:spacing w:val="0"/>
                <w:w w:val="100"/>
                <w:position w:val="0"/>
                <w:sz w:val="21"/>
                <w:szCs w:val="21"/>
              </w:rPr>
              <w:t>农用地土壤污染风险管控标准（试行）</w:t>
            </w:r>
            <w:r>
              <w:rPr>
                <w:rFonts w:hint="default" w:ascii="Times New Roman" w:hAnsi="Times New Roman" w:cs="Times New Roman"/>
                <w:color w:val="auto"/>
                <w:spacing w:val="0"/>
                <w:w w:val="100"/>
                <w:position w:val="0"/>
                <w:sz w:val="21"/>
                <w:szCs w:val="21"/>
                <w:lang w:eastAsia="zh-CN"/>
              </w:rPr>
              <w:t>》</w:t>
            </w:r>
          </w:p>
        </w:tc>
        <w:tc>
          <w:tcPr>
            <w:tcW w:w="1938" w:type="dxa"/>
            <w:tcBorders>
              <w:tl2br w:val="nil"/>
              <w:tr2bl w:val="nil"/>
            </w:tcBorders>
            <w:vAlign w:val="center"/>
          </w:tcPr>
          <w:p w14:paraId="33C13B1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GB</w:t>
            </w:r>
            <w:r>
              <w:rPr>
                <w:rFonts w:hint="default" w:ascii="Times New Roman" w:hAnsi="Times New Roman" w:cs="Times New Roman"/>
                <w:color w:val="auto"/>
                <w:spacing w:val="0"/>
                <w:w w:val="100"/>
                <w:position w:val="0"/>
                <w:sz w:val="21"/>
                <w:szCs w:val="21"/>
                <w:lang w:val="en-US" w:eastAsia="zh-CN"/>
              </w:rPr>
              <w:t>15618-</w:t>
            </w:r>
            <w:r>
              <w:rPr>
                <w:rFonts w:hint="default" w:ascii="Times New Roman" w:hAnsi="Times New Roman" w:eastAsia="宋体" w:cs="Times New Roman"/>
                <w:color w:val="auto"/>
                <w:spacing w:val="0"/>
                <w:w w:val="100"/>
                <w:position w:val="0"/>
                <w:sz w:val="21"/>
                <w:szCs w:val="21"/>
              </w:rPr>
              <w:t>2018</w:t>
            </w:r>
          </w:p>
        </w:tc>
      </w:tr>
      <w:tr w14:paraId="733D70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4FA052C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5</w:t>
            </w:r>
          </w:p>
        </w:tc>
        <w:tc>
          <w:tcPr>
            <w:tcW w:w="5894" w:type="dxa"/>
            <w:tcBorders>
              <w:tl2br w:val="nil"/>
              <w:tr2bl w:val="nil"/>
            </w:tcBorders>
            <w:vAlign w:val="center"/>
          </w:tcPr>
          <w:p w14:paraId="3470FE9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《大气污染物综合排放标准》</w:t>
            </w:r>
          </w:p>
        </w:tc>
        <w:tc>
          <w:tcPr>
            <w:tcW w:w="1938" w:type="dxa"/>
            <w:tcBorders>
              <w:tl2br w:val="nil"/>
              <w:tr2bl w:val="nil"/>
            </w:tcBorders>
            <w:vAlign w:val="center"/>
          </w:tcPr>
          <w:p w14:paraId="2994D3F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GB16297-1996</w:t>
            </w:r>
          </w:p>
        </w:tc>
      </w:tr>
      <w:tr w14:paraId="08514C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65" w:hRule="atLeast"/>
          <w:jc w:val="center"/>
        </w:trPr>
        <w:tc>
          <w:tcPr>
            <w:tcW w:w="525" w:type="dxa"/>
            <w:tcBorders>
              <w:tl2br w:val="nil"/>
              <w:tr2bl w:val="nil"/>
            </w:tcBorders>
            <w:vAlign w:val="center"/>
          </w:tcPr>
          <w:p w14:paraId="118AE3F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6</w:t>
            </w:r>
          </w:p>
        </w:tc>
        <w:tc>
          <w:tcPr>
            <w:tcW w:w="5894" w:type="dxa"/>
            <w:tcBorders>
              <w:tl2br w:val="nil"/>
              <w:tr2bl w:val="nil"/>
            </w:tcBorders>
            <w:vAlign w:val="center"/>
          </w:tcPr>
          <w:p w14:paraId="3A85DF3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《污水综合排放标准》</w:t>
            </w:r>
          </w:p>
        </w:tc>
        <w:tc>
          <w:tcPr>
            <w:tcW w:w="1938" w:type="dxa"/>
            <w:tcBorders>
              <w:tl2br w:val="nil"/>
              <w:tr2bl w:val="nil"/>
            </w:tcBorders>
            <w:vAlign w:val="center"/>
          </w:tcPr>
          <w:p w14:paraId="36D365F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GB8978-1996</w:t>
            </w:r>
          </w:p>
        </w:tc>
      </w:tr>
      <w:tr w14:paraId="510D9C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4881C46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7</w:t>
            </w:r>
          </w:p>
        </w:tc>
        <w:tc>
          <w:tcPr>
            <w:tcW w:w="5894" w:type="dxa"/>
            <w:tcBorders>
              <w:tl2br w:val="nil"/>
              <w:tr2bl w:val="nil"/>
            </w:tcBorders>
            <w:vAlign w:val="center"/>
          </w:tcPr>
          <w:p w14:paraId="5A64606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《农村生活污水处理排放标准》</w:t>
            </w:r>
          </w:p>
        </w:tc>
        <w:tc>
          <w:tcPr>
            <w:tcW w:w="1938" w:type="dxa"/>
            <w:tcBorders>
              <w:tl2br w:val="nil"/>
              <w:tr2bl w:val="nil"/>
            </w:tcBorders>
            <w:vAlign w:val="center"/>
          </w:tcPr>
          <w:p w14:paraId="16A20CB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DB65 4275-2019</w:t>
            </w:r>
          </w:p>
        </w:tc>
      </w:tr>
      <w:tr w14:paraId="5263E3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75AFCB0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8</w:t>
            </w:r>
          </w:p>
        </w:tc>
        <w:tc>
          <w:tcPr>
            <w:tcW w:w="5894" w:type="dxa"/>
            <w:tcBorders>
              <w:tl2br w:val="nil"/>
              <w:tr2bl w:val="nil"/>
            </w:tcBorders>
            <w:vAlign w:val="center"/>
          </w:tcPr>
          <w:p w14:paraId="73FBDD8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《建筑施工噪声排放标准》</w:t>
            </w:r>
          </w:p>
        </w:tc>
        <w:tc>
          <w:tcPr>
            <w:tcW w:w="1938" w:type="dxa"/>
            <w:tcBorders>
              <w:tl2br w:val="nil"/>
              <w:tr2bl w:val="nil"/>
            </w:tcBorders>
            <w:vAlign w:val="center"/>
          </w:tcPr>
          <w:p w14:paraId="1FBF6E2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GB12523-20</w:t>
            </w:r>
            <w:r>
              <w:rPr>
                <w:rFonts w:hint="default" w:ascii="Times New Roman" w:hAnsi="Times New Roman" w:cs="Times New Roman"/>
                <w:color w:val="auto"/>
                <w:spacing w:val="0"/>
                <w:w w:val="100"/>
                <w:position w:val="0"/>
                <w:sz w:val="21"/>
                <w:szCs w:val="21"/>
                <w:lang w:val="en-US" w:eastAsia="zh-CN"/>
              </w:rPr>
              <w:t>25</w:t>
            </w:r>
          </w:p>
        </w:tc>
      </w:tr>
      <w:tr w14:paraId="379726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1D1A367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1</w:t>
            </w:r>
            <w:r>
              <w:rPr>
                <w:rFonts w:hint="default" w:ascii="Times New Roman" w:hAnsi="Times New Roman" w:cs="Times New Roman"/>
                <w:color w:val="auto"/>
                <w:spacing w:val="0"/>
                <w:w w:val="100"/>
                <w:position w:val="0"/>
                <w:sz w:val="21"/>
                <w:szCs w:val="21"/>
                <w:lang w:val="en-US" w:eastAsia="zh-CN"/>
              </w:rPr>
              <w:t>9</w:t>
            </w:r>
          </w:p>
        </w:tc>
        <w:tc>
          <w:tcPr>
            <w:tcW w:w="5894" w:type="dxa"/>
            <w:tcBorders>
              <w:tl2br w:val="nil"/>
              <w:tr2bl w:val="nil"/>
            </w:tcBorders>
            <w:vAlign w:val="center"/>
          </w:tcPr>
          <w:p w14:paraId="69393BD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《铜、镍、钴工业污染物排放标准》</w:t>
            </w:r>
          </w:p>
        </w:tc>
        <w:tc>
          <w:tcPr>
            <w:tcW w:w="1938" w:type="dxa"/>
            <w:tcBorders>
              <w:tl2br w:val="nil"/>
              <w:tr2bl w:val="nil"/>
            </w:tcBorders>
            <w:vAlign w:val="center"/>
          </w:tcPr>
          <w:p w14:paraId="70C5984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GB25467-2010</w:t>
            </w:r>
          </w:p>
        </w:tc>
      </w:tr>
      <w:tr w14:paraId="056DC4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059B63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cs="Times New Roman"/>
                <w:color w:val="auto"/>
                <w:spacing w:val="0"/>
                <w:w w:val="100"/>
                <w:kern w:val="0"/>
                <w:position w:val="0"/>
                <w:sz w:val="21"/>
                <w:szCs w:val="21"/>
                <w:lang w:val="en-US" w:eastAsia="zh-CN" w:bidi="ar-SA"/>
              </w:rPr>
              <w:t>20</w:t>
            </w:r>
          </w:p>
        </w:tc>
        <w:tc>
          <w:tcPr>
            <w:tcW w:w="5894" w:type="dxa"/>
            <w:tcBorders>
              <w:tl2br w:val="nil"/>
              <w:tr2bl w:val="nil"/>
            </w:tcBorders>
            <w:vAlign w:val="center"/>
          </w:tcPr>
          <w:p w14:paraId="02D712A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fldChar w:fldCharType="begin"/>
            </w:r>
            <w:r>
              <w:rPr>
                <w:rFonts w:hint="default" w:ascii="Times New Roman" w:hAnsi="Times New Roman" w:eastAsia="宋体" w:cs="Times New Roman"/>
                <w:color w:val="auto"/>
                <w:spacing w:val="0"/>
                <w:w w:val="100"/>
                <w:position w:val="0"/>
                <w:sz w:val="21"/>
                <w:szCs w:val="21"/>
                <w:lang w:val="en-US" w:eastAsia="zh-CN"/>
              </w:rPr>
              <w:instrText xml:space="preserve"> HYPERLINK "http://www.mee.gov.cn/ywgz/fgbz/bz/bzwb/gthw/gtfwwrkzbz/202012/W020201218695845325455.pdf" </w:instrText>
            </w:r>
            <w:r>
              <w:rPr>
                <w:rFonts w:hint="default" w:ascii="Times New Roman" w:hAnsi="Times New Roman" w:eastAsia="宋体" w:cs="Times New Roman"/>
                <w:color w:val="auto"/>
                <w:spacing w:val="0"/>
                <w:w w:val="100"/>
                <w:position w:val="0"/>
                <w:sz w:val="21"/>
                <w:szCs w:val="21"/>
                <w:lang w:val="en-US" w:eastAsia="zh-CN"/>
              </w:rPr>
              <w:fldChar w:fldCharType="separate"/>
            </w:r>
            <w:r>
              <w:rPr>
                <w:rFonts w:hint="default" w:ascii="Times New Roman" w:hAnsi="Times New Roman" w:eastAsia="宋体" w:cs="Times New Roman"/>
                <w:color w:val="auto"/>
                <w:spacing w:val="0"/>
                <w:w w:val="100"/>
                <w:position w:val="0"/>
                <w:sz w:val="21"/>
                <w:szCs w:val="21"/>
                <w:lang w:val="en-US" w:eastAsia="zh-CN"/>
              </w:rPr>
              <w:t>《一般工业固体废物贮存和填埋污染控制标准》</w:t>
            </w:r>
            <w:r>
              <w:rPr>
                <w:rFonts w:hint="default" w:ascii="Times New Roman" w:hAnsi="Times New Roman" w:eastAsia="宋体" w:cs="Times New Roman"/>
                <w:color w:val="auto"/>
                <w:spacing w:val="0"/>
                <w:w w:val="100"/>
                <w:position w:val="0"/>
                <w:sz w:val="21"/>
                <w:szCs w:val="21"/>
                <w:lang w:val="en-US" w:eastAsia="zh-CN"/>
              </w:rPr>
              <w:fldChar w:fldCharType="end"/>
            </w:r>
          </w:p>
        </w:tc>
        <w:tc>
          <w:tcPr>
            <w:tcW w:w="1938" w:type="dxa"/>
            <w:tcBorders>
              <w:tl2br w:val="nil"/>
              <w:tr2bl w:val="nil"/>
            </w:tcBorders>
            <w:vAlign w:val="center"/>
          </w:tcPr>
          <w:p w14:paraId="0A81284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 18599-2020</w:t>
            </w:r>
          </w:p>
        </w:tc>
      </w:tr>
      <w:tr w14:paraId="577475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09D392F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1</w:t>
            </w:r>
          </w:p>
        </w:tc>
        <w:tc>
          <w:tcPr>
            <w:tcW w:w="5894" w:type="dxa"/>
            <w:tcBorders>
              <w:tl2br w:val="nil"/>
              <w:tr2bl w:val="nil"/>
            </w:tcBorders>
            <w:vAlign w:val="center"/>
          </w:tcPr>
          <w:p w14:paraId="6C4E9AD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《危险废物贮存污染控制标准》</w:t>
            </w:r>
          </w:p>
        </w:tc>
        <w:tc>
          <w:tcPr>
            <w:tcW w:w="1938" w:type="dxa"/>
            <w:tcBorders>
              <w:tl2br w:val="nil"/>
              <w:tr2bl w:val="nil"/>
            </w:tcBorders>
            <w:vAlign w:val="center"/>
          </w:tcPr>
          <w:p w14:paraId="658A565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GB18597-2023</w:t>
            </w:r>
          </w:p>
        </w:tc>
      </w:tr>
      <w:tr w14:paraId="08BB59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37C3C6D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2</w:t>
            </w:r>
            <w:r>
              <w:rPr>
                <w:rFonts w:hint="default" w:ascii="Times New Roman" w:hAnsi="Times New Roman" w:cs="Times New Roman"/>
                <w:color w:val="auto"/>
                <w:spacing w:val="0"/>
                <w:w w:val="100"/>
                <w:kern w:val="0"/>
                <w:position w:val="0"/>
                <w:sz w:val="21"/>
                <w:szCs w:val="21"/>
                <w:lang w:val="en-US" w:eastAsia="zh-CN" w:bidi="ar-SA"/>
              </w:rPr>
              <w:t>2</w:t>
            </w:r>
          </w:p>
        </w:tc>
        <w:tc>
          <w:tcPr>
            <w:tcW w:w="5894" w:type="dxa"/>
            <w:tcBorders>
              <w:tl2br w:val="nil"/>
              <w:tr2bl w:val="nil"/>
            </w:tcBorders>
            <w:vAlign w:val="center"/>
          </w:tcPr>
          <w:p w14:paraId="53401AE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《金属与非金属地下矿山安全规程》</w:t>
            </w:r>
          </w:p>
        </w:tc>
        <w:tc>
          <w:tcPr>
            <w:tcW w:w="1938" w:type="dxa"/>
            <w:tcBorders>
              <w:tl2br w:val="nil"/>
              <w:tr2bl w:val="nil"/>
            </w:tcBorders>
            <w:vAlign w:val="center"/>
          </w:tcPr>
          <w:p w14:paraId="06AB1A1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GBl6423-2006</w:t>
            </w:r>
          </w:p>
        </w:tc>
      </w:tr>
      <w:tr w14:paraId="2B59A9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4A0E17F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3</w:t>
            </w:r>
          </w:p>
        </w:tc>
        <w:tc>
          <w:tcPr>
            <w:tcW w:w="5894" w:type="dxa"/>
            <w:tcBorders>
              <w:tl2br w:val="nil"/>
              <w:tr2bl w:val="nil"/>
            </w:tcBorders>
            <w:vAlign w:val="center"/>
          </w:tcPr>
          <w:p w14:paraId="24802B7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《金属非金属矿山废石场安全生产规则》</w:t>
            </w:r>
          </w:p>
        </w:tc>
        <w:tc>
          <w:tcPr>
            <w:tcW w:w="1938" w:type="dxa"/>
            <w:tcBorders>
              <w:tl2br w:val="nil"/>
              <w:tr2bl w:val="nil"/>
            </w:tcBorders>
            <w:vAlign w:val="center"/>
          </w:tcPr>
          <w:p w14:paraId="1DE0C23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AQ2005-2005</w:t>
            </w:r>
          </w:p>
        </w:tc>
      </w:tr>
      <w:tr w14:paraId="79D8BC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246B389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4</w:t>
            </w:r>
          </w:p>
        </w:tc>
        <w:tc>
          <w:tcPr>
            <w:tcW w:w="5894" w:type="dxa"/>
            <w:tcBorders>
              <w:tl2br w:val="nil"/>
              <w:tr2bl w:val="nil"/>
            </w:tcBorders>
            <w:vAlign w:val="center"/>
          </w:tcPr>
          <w:p w14:paraId="764070B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《矿山生态环境保护与恢复治理技术规范（试行）》</w:t>
            </w:r>
          </w:p>
        </w:tc>
        <w:tc>
          <w:tcPr>
            <w:tcW w:w="1938" w:type="dxa"/>
            <w:tcBorders>
              <w:tl2br w:val="nil"/>
              <w:tr2bl w:val="nil"/>
            </w:tcBorders>
            <w:vAlign w:val="center"/>
          </w:tcPr>
          <w:p w14:paraId="6564610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HJ651-2013</w:t>
            </w:r>
          </w:p>
        </w:tc>
      </w:tr>
      <w:tr w14:paraId="2991C8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5EC4107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5</w:t>
            </w:r>
          </w:p>
        </w:tc>
        <w:tc>
          <w:tcPr>
            <w:tcW w:w="5894" w:type="dxa"/>
            <w:tcBorders>
              <w:tl2br w:val="nil"/>
              <w:tr2bl w:val="nil"/>
            </w:tcBorders>
            <w:vAlign w:val="center"/>
          </w:tcPr>
          <w:p w14:paraId="76841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《排污许可证申请与核发技术规范 总则》</w:t>
            </w:r>
          </w:p>
        </w:tc>
        <w:tc>
          <w:tcPr>
            <w:tcW w:w="1938" w:type="dxa"/>
            <w:tcBorders>
              <w:tl2br w:val="nil"/>
              <w:tr2bl w:val="nil"/>
            </w:tcBorders>
            <w:vAlign w:val="center"/>
          </w:tcPr>
          <w:p w14:paraId="05331D45">
            <w:pPr>
              <w:pStyle w:val="32"/>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highlight w:val="none"/>
              </w:rPr>
              <w:t>HJ942-2018</w:t>
            </w:r>
          </w:p>
        </w:tc>
      </w:tr>
      <w:tr w14:paraId="133124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25" w:type="dxa"/>
            <w:tcBorders>
              <w:tl2br w:val="nil"/>
              <w:tr2bl w:val="nil"/>
            </w:tcBorders>
            <w:vAlign w:val="center"/>
          </w:tcPr>
          <w:p w14:paraId="48B46FB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6</w:t>
            </w:r>
          </w:p>
        </w:tc>
        <w:tc>
          <w:tcPr>
            <w:tcW w:w="5894" w:type="dxa"/>
            <w:tcBorders>
              <w:tl2br w:val="nil"/>
              <w:tr2bl w:val="nil"/>
            </w:tcBorders>
            <w:vAlign w:val="center"/>
          </w:tcPr>
          <w:p w14:paraId="77A8BA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eastAsia="zh-CN"/>
              </w:rPr>
              <w:t>《排污单位自行监测技术指南</w:t>
            </w:r>
            <w:r>
              <w:rPr>
                <w:rFonts w:hint="default" w:ascii="Times New Roman" w:hAnsi="Times New Roman" w:cs="Times New Roman"/>
                <w:color w:val="auto"/>
                <w:lang w:val="en-US" w:eastAsia="zh-CN"/>
              </w:rPr>
              <w:t xml:space="preserve"> </w:t>
            </w:r>
            <w:r>
              <w:rPr>
                <w:rFonts w:hint="default" w:ascii="Times New Roman" w:hAnsi="Times New Roman" w:eastAsia="宋体" w:cs="Times New Roman"/>
                <w:color w:val="auto"/>
                <w:spacing w:val="0"/>
                <w:w w:val="100"/>
                <w:position w:val="0"/>
                <w:sz w:val="21"/>
                <w:szCs w:val="21"/>
                <w:lang w:eastAsia="zh-CN"/>
              </w:rPr>
              <w:t>总则》</w:t>
            </w:r>
          </w:p>
        </w:tc>
        <w:tc>
          <w:tcPr>
            <w:tcW w:w="1938" w:type="dxa"/>
            <w:tcBorders>
              <w:tl2br w:val="nil"/>
              <w:tr2bl w:val="nil"/>
            </w:tcBorders>
            <w:vAlign w:val="center"/>
          </w:tcPr>
          <w:p w14:paraId="6F915A1E">
            <w:pPr>
              <w:pStyle w:val="32"/>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HJ819-2017</w:t>
            </w:r>
          </w:p>
        </w:tc>
      </w:tr>
      <w:tr w14:paraId="11308E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25" w:type="dxa"/>
            <w:tcBorders>
              <w:tl2br w:val="nil"/>
              <w:tr2bl w:val="nil"/>
            </w:tcBorders>
            <w:vAlign w:val="center"/>
          </w:tcPr>
          <w:p w14:paraId="5484FC8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bookmarkStart w:id="85" w:name="_Toc8024"/>
            <w:bookmarkStart w:id="86" w:name="_Toc13405"/>
            <w:bookmarkStart w:id="87" w:name="_Toc9142"/>
            <w:bookmarkStart w:id="88" w:name="_Toc22333"/>
            <w:bookmarkStart w:id="89" w:name="_Toc14328"/>
            <w:bookmarkStart w:id="90" w:name="_Toc799"/>
            <w:bookmarkStart w:id="91" w:name="_Toc1257"/>
            <w:bookmarkStart w:id="92" w:name="_Toc8360"/>
            <w:bookmarkStart w:id="93" w:name="_Toc16930"/>
            <w:bookmarkStart w:id="94" w:name="_Toc3617"/>
            <w:bookmarkStart w:id="95" w:name="_Toc20587"/>
            <w:r>
              <w:rPr>
                <w:rFonts w:hint="default" w:ascii="Times New Roman" w:hAnsi="Times New Roman" w:eastAsia="宋体" w:cs="Times New Roman"/>
                <w:color w:val="auto"/>
                <w:spacing w:val="0"/>
                <w:w w:val="100"/>
                <w:position w:val="0"/>
                <w:sz w:val="21"/>
                <w:szCs w:val="21"/>
                <w:lang w:val="en-US" w:eastAsia="zh-CN"/>
              </w:rPr>
              <w:t>2</w:t>
            </w:r>
            <w:r>
              <w:rPr>
                <w:rFonts w:hint="default" w:ascii="Times New Roman" w:hAnsi="Times New Roman" w:cs="Times New Roman"/>
                <w:color w:val="auto"/>
                <w:spacing w:val="0"/>
                <w:w w:val="100"/>
                <w:position w:val="0"/>
                <w:sz w:val="21"/>
                <w:szCs w:val="21"/>
                <w:lang w:val="en-US" w:eastAsia="zh-CN"/>
              </w:rPr>
              <w:t>7</w:t>
            </w:r>
          </w:p>
        </w:tc>
        <w:tc>
          <w:tcPr>
            <w:tcW w:w="5894" w:type="dxa"/>
            <w:tcBorders>
              <w:tl2br w:val="nil"/>
              <w:tr2bl w:val="nil"/>
            </w:tcBorders>
            <w:vAlign w:val="center"/>
          </w:tcPr>
          <w:p w14:paraId="7E42471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val="en-US" w:eastAsia="zh-CN"/>
              </w:rPr>
              <w:t>《危险废物识别标志设置技术规范》</w:t>
            </w:r>
          </w:p>
        </w:tc>
        <w:tc>
          <w:tcPr>
            <w:tcW w:w="1938" w:type="dxa"/>
            <w:tcBorders>
              <w:tl2br w:val="nil"/>
              <w:tr2bl w:val="nil"/>
            </w:tcBorders>
            <w:vAlign w:val="center"/>
          </w:tcPr>
          <w:p w14:paraId="2FBC6AE7">
            <w:pPr>
              <w:pStyle w:val="32"/>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HJ 1276</w:t>
            </w:r>
            <w:r>
              <w:rPr>
                <w:rFonts w:hint="default" w:ascii="Times New Roman" w:hAnsi="Times New Roman" w:eastAsia="宋体" w:cs="Times New Roman"/>
                <w:color w:val="auto"/>
                <w:spacing w:val="0"/>
                <w:w w:val="100"/>
                <w:position w:val="0"/>
                <w:sz w:val="21"/>
                <w:szCs w:val="21"/>
                <w:highlight w:val="none"/>
                <w:lang w:val="en-US" w:eastAsia="zh-CN"/>
              </w:rPr>
              <w:t>-</w:t>
            </w:r>
            <w:r>
              <w:rPr>
                <w:rFonts w:hint="default" w:ascii="Times New Roman" w:hAnsi="Times New Roman" w:eastAsia="宋体" w:cs="Times New Roman"/>
                <w:color w:val="auto"/>
                <w:spacing w:val="0"/>
                <w:w w:val="100"/>
                <w:position w:val="0"/>
                <w:sz w:val="21"/>
                <w:szCs w:val="21"/>
                <w:highlight w:val="none"/>
              </w:rPr>
              <w:t>2022</w:t>
            </w:r>
          </w:p>
        </w:tc>
      </w:tr>
      <w:bookmarkEnd w:id="85"/>
      <w:bookmarkEnd w:id="86"/>
      <w:bookmarkEnd w:id="87"/>
      <w:bookmarkEnd w:id="88"/>
      <w:bookmarkEnd w:id="89"/>
      <w:bookmarkEnd w:id="90"/>
    </w:tbl>
    <w:p w14:paraId="52797A14">
      <w:pPr>
        <w:pStyle w:val="4"/>
        <w:bidi w:val="0"/>
        <w:rPr>
          <w:rFonts w:hint="default" w:ascii="Times New Roman" w:hAnsi="Times New Roman" w:cs="Times New Roman"/>
          <w:color w:val="auto"/>
        </w:rPr>
      </w:pPr>
      <w:r>
        <w:rPr>
          <w:rFonts w:hint="default" w:ascii="Times New Roman" w:hAnsi="Times New Roman" w:cs="Times New Roman"/>
          <w:color w:val="auto"/>
          <w:lang w:val="en-US" w:eastAsia="zh-CN"/>
        </w:rPr>
        <w:t>项目相关资料</w:t>
      </w:r>
      <w:bookmarkEnd w:id="91"/>
      <w:bookmarkEnd w:id="92"/>
      <w:bookmarkEnd w:id="93"/>
      <w:bookmarkEnd w:id="94"/>
      <w:bookmarkEnd w:id="95"/>
    </w:p>
    <w:tbl>
      <w:tblPr>
        <w:tblStyle w:val="21"/>
        <w:tblW w:w="508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91"/>
        <w:gridCol w:w="5899"/>
        <w:gridCol w:w="1993"/>
      </w:tblGrid>
      <w:tr w14:paraId="58D9E8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tcBorders>
              <w:tl2br w:val="nil"/>
              <w:tr2bl w:val="nil"/>
            </w:tcBorders>
            <w:vAlign w:val="center"/>
          </w:tcPr>
          <w:p w14:paraId="2ADC90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序号</w:t>
            </w:r>
          </w:p>
        </w:tc>
        <w:tc>
          <w:tcPr>
            <w:tcW w:w="3476" w:type="pct"/>
            <w:tcBorders>
              <w:tl2br w:val="nil"/>
              <w:tr2bl w:val="nil"/>
            </w:tcBorders>
            <w:vAlign w:val="center"/>
          </w:tcPr>
          <w:p w14:paraId="3214803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依据名称</w:t>
            </w:r>
          </w:p>
        </w:tc>
        <w:tc>
          <w:tcPr>
            <w:tcW w:w="1174" w:type="pct"/>
            <w:tcBorders>
              <w:tl2br w:val="nil"/>
              <w:tr2bl w:val="nil"/>
            </w:tcBorders>
            <w:vAlign w:val="center"/>
          </w:tcPr>
          <w:p w14:paraId="66ADB1D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时间</w:t>
            </w:r>
          </w:p>
        </w:tc>
      </w:tr>
      <w:tr w14:paraId="719504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tcBorders>
              <w:tl2br w:val="nil"/>
              <w:tr2bl w:val="nil"/>
            </w:tcBorders>
            <w:vAlign w:val="center"/>
          </w:tcPr>
          <w:p w14:paraId="7121FDE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w:t>
            </w:r>
          </w:p>
        </w:tc>
        <w:tc>
          <w:tcPr>
            <w:tcW w:w="3476" w:type="pct"/>
            <w:tcBorders>
              <w:tl2br w:val="nil"/>
              <w:tr2bl w:val="nil"/>
            </w:tcBorders>
            <w:vAlign w:val="center"/>
          </w:tcPr>
          <w:p w14:paraId="0FABE21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项目环境影响评价委托书</w:t>
            </w:r>
          </w:p>
        </w:tc>
        <w:tc>
          <w:tcPr>
            <w:tcW w:w="1174" w:type="pct"/>
            <w:tcBorders>
              <w:tl2br w:val="nil"/>
              <w:tr2bl w:val="nil"/>
            </w:tcBorders>
            <w:vAlign w:val="center"/>
          </w:tcPr>
          <w:p w14:paraId="4A70080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202</w:t>
            </w:r>
            <w:r>
              <w:rPr>
                <w:rFonts w:hint="default" w:ascii="Times New Roman" w:hAnsi="Times New Roman" w:cs="Times New Roman"/>
                <w:color w:val="auto"/>
                <w:spacing w:val="0"/>
                <w:w w:val="100"/>
                <w:position w:val="0"/>
                <w:sz w:val="21"/>
                <w:szCs w:val="21"/>
                <w:lang w:val="en-US" w:eastAsia="zh-CN"/>
              </w:rPr>
              <w:t>6.4</w:t>
            </w:r>
          </w:p>
        </w:tc>
      </w:tr>
      <w:tr w14:paraId="33680E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tcBorders>
              <w:tl2br w:val="nil"/>
              <w:tr2bl w:val="nil"/>
            </w:tcBorders>
            <w:vAlign w:val="center"/>
          </w:tcPr>
          <w:p w14:paraId="4BADDED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w:t>
            </w:r>
          </w:p>
        </w:tc>
        <w:tc>
          <w:tcPr>
            <w:tcW w:w="3476" w:type="pct"/>
            <w:tcBorders>
              <w:tl2br w:val="nil"/>
              <w:tr2bl w:val="nil"/>
            </w:tcBorders>
            <w:vAlign w:val="center"/>
          </w:tcPr>
          <w:p w14:paraId="0D55F31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《新疆哈密市大红山北铜矿资源储量核实报告》</w:t>
            </w:r>
          </w:p>
        </w:tc>
        <w:tc>
          <w:tcPr>
            <w:tcW w:w="1174" w:type="pct"/>
            <w:tcBorders>
              <w:tl2br w:val="nil"/>
              <w:tr2bl w:val="nil"/>
            </w:tcBorders>
            <w:vAlign w:val="center"/>
          </w:tcPr>
          <w:p w14:paraId="2A2729A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202</w:t>
            </w:r>
            <w:r>
              <w:rPr>
                <w:rFonts w:hint="default" w:ascii="Times New Roman" w:hAnsi="Times New Roman" w:cs="Times New Roman"/>
                <w:color w:val="auto"/>
                <w:spacing w:val="0"/>
                <w:w w:val="100"/>
                <w:position w:val="0"/>
                <w:sz w:val="21"/>
                <w:szCs w:val="21"/>
                <w:lang w:val="en-US" w:eastAsia="zh-CN"/>
              </w:rPr>
              <w:t>5</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cs="Times New Roman"/>
                <w:color w:val="auto"/>
                <w:spacing w:val="0"/>
                <w:w w:val="100"/>
                <w:position w:val="0"/>
                <w:sz w:val="21"/>
                <w:szCs w:val="21"/>
                <w:lang w:val="en-US" w:eastAsia="zh-CN"/>
              </w:rPr>
              <w:t>5</w:t>
            </w:r>
          </w:p>
        </w:tc>
      </w:tr>
      <w:tr w14:paraId="4BD179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tcBorders>
              <w:tl2br w:val="nil"/>
              <w:tr2bl w:val="nil"/>
            </w:tcBorders>
            <w:vAlign w:val="center"/>
          </w:tcPr>
          <w:p w14:paraId="00676E8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w:t>
            </w:r>
          </w:p>
        </w:tc>
        <w:tc>
          <w:tcPr>
            <w:tcW w:w="3476" w:type="pct"/>
            <w:tcBorders>
              <w:tl2br w:val="nil"/>
              <w:tr2bl w:val="nil"/>
            </w:tcBorders>
            <w:vAlign w:val="center"/>
          </w:tcPr>
          <w:p w14:paraId="0F253EC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《新疆哈密市大红山北铜矿资源储量核实报告评审意见书》</w:t>
            </w:r>
          </w:p>
        </w:tc>
        <w:tc>
          <w:tcPr>
            <w:tcW w:w="1174" w:type="pct"/>
            <w:tcBorders>
              <w:tl2br w:val="nil"/>
              <w:tr2bl w:val="nil"/>
            </w:tcBorders>
            <w:vAlign w:val="center"/>
          </w:tcPr>
          <w:p w14:paraId="3EB8264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新矿评储字〔2025〕50号</w:t>
            </w:r>
          </w:p>
        </w:tc>
      </w:tr>
      <w:tr w14:paraId="29DCA3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tcBorders>
              <w:tl2br w:val="nil"/>
              <w:tr2bl w:val="nil"/>
            </w:tcBorders>
            <w:vAlign w:val="center"/>
          </w:tcPr>
          <w:p w14:paraId="6E9CA5B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w:t>
            </w:r>
          </w:p>
        </w:tc>
        <w:tc>
          <w:tcPr>
            <w:tcW w:w="3476" w:type="pct"/>
            <w:tcBorders>
              <w:tl2br w:val="nil"/>
              <w:tr2bl w:val="nil"/>
            </w:tcBorders>
            <w:shd w:val="clear" w:color="auto" w:fill="auto"/>
            <w:vAlign w:val="center"/>
          </w:tcPr>
          <w:p w14:paraId="3BFAF4F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《新疆哈密市大红山北铜矿资源储量核实报告备案证明》</w:t>
            </w:r>
          </w:p>
        </w:tc>
        <w:tc>
          <w:tcPr>
            <w:tcW w:w="1174" w:type="pct"/>
            <w:tcBorders>
              <w:tl2br w:val="nil"/>
              <w:tr2bl w:val="nil"/>
            </w:tcBorders>
            <w:shd w:val="clear" w:color="auto" w:fill="auto"/>
            <w:vAlign w:val="center"/>
          </w:tcPr>
          <w:p w14:paraId="1468F6A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lang w:val="en-US" w:eastAsia="zh-CN" w:bidi="ar-SA"/>
              </w:rPr>
            </w:pPr>
            <w:r>
              <w:rPr>
                <w:rFonts w:hint="default" w:ascii="Times New Roman" w:hAnsi="Times New Roman" w:eastAsia="宋体" w:cs="Times New Roman"/>
                <w:color w:val="auto"/>
                <w:spacing w:val="0"/>
                <w:w w:val="100"/>
                <w:kern w:val="0"/>
                <w:position w:val="0"/>
                <w:sz w:val="21"/>
                <w:szCs w:val="21"/>
                <w:lang w:val="en-US" w:eastAsia="zh-CN" w:bidi="ar-SA"/>
              </w:rPr>
              <w:t>新自然资储备字〔2025〕50号</w:t>
            </w:r>
          </w:p>
        </w:tc>
      </w:tr>
      <w:tr w14:paraId="5CFFB7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38" w:hRule="atLeast"/>
          <w:jc w:val="center"/>
        </w:trPr>
        <w:tc>
          <w:tcPr>
            <w:tcW w:w="348" w:type="pct"/>
            <w:tcBorders>
              <w:tl2br w:val="nil"/>
              <w:tr2bl w:val="nil"/>
            </w:tcBorders>
            <w:vAlign w:val="center"/>
          </w:tcPr>
          <w:p w14:paraId="2038A94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4</w:t>
            </w:r>
          </w:p>
        </w:tc>
        <w:tc>
          <w:tcPr>
            <w:tcW w:w="3476" w:type="pct"/>
            <w:tcBorders>
              <w:tl2br w:val="nil"/>
              <w:tr2bl w:val="nil"/>
            </w:tcBorders>
            <w:vAlign w:val="center"/>
          </w:tcPr>
          <w:p w14:paraId="57C924B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《哈密市金石矿业有限责任公司哈密市大红山北铜矿开采方案》</w:t>
            </w:r>
          </w:p>
        </w:tc>
        <w:tc>
          <w:tcPr>
            <w:tcW w:w="1174" w:type="pct"/>
            <w:tcBorders>
              <w:tl2br w:val="nil"/>
              <w:tr2bl w:val="nil"/>
            </w:tcBorders>
            <w:vAlign w:val="center"/>
          </w:tcPr>
          <w:p w14:paraId="0309B35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2025.12</w:t>
            </w:r>
          </w:p>
        </w:tc>
      </w:tr>
      <w:tr w14:paraId="516EBF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38" w:hRule="atLeast"/>
          <w:jc w:val="center"/>
        </w:trPr>
        <w:tc>
          <w:tcPr>
            <w:tcW w:w="348" w:type="pct"/>
            <w:tcBorders>
              <w:tl2br w:val="nil"/>
              <w:tr2bl w:val="nil"/>
            </w:tcBorders>
            <w:vAlign w:val="center"/>
          </w:tcPr>
          <w:p w14:paraId="6BAD393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bookmarkStart w:id="96" w:name="_Toc190909895"/>
            <w:bookmarkStart w:id="97" w:name="_Toc2295_WPSOffice_Level1"/>
            <w:bookmarkStart w:id="98" w:name="_Toc312318137"/>
            <w:bookmarkStart w:id="99" w:name="_Toc366104785"/>
            <w:bookmarkStart w:id="100" w:name="_Toc286827181"/>
            <w:bookmarkStart w:id="101" w:name="_Toc266374522"/>
            <w:bookmarkStart w:id="102" w:name="_Toc218485489"/>
            <w:bookmarkStart w:id="103" w:name="_Toc191903737"/>
            <w:bookmarkStart w:id="104" w:name="_Toc474747833"/>
            <w:bookmarkStart w:id="105" w:name="_Toc273373251"/>
            <w:bookmarkStart w:id="106" w:name="_Toc273372166"/>
            <w:bookmarkStart w:id="107" w:name="_Toc276469896"/>
            <w:bookmarkStart w:id="108" w:name="_Toc2762"/>
            <w:bookmarkStart w:id="109" w:name="_Toc23975"/>
            <w:r>
              <w:rPr>
                <w:rFonts w:hint="default" w:ascii="Times New Roman" w:hAnsi="Times New Roman" w:cs="Times New Roman"/>
                <w:color w:val="auto"/>
                <w:spacing w:val="0"/>
                <w:w w:val="100"/>
                <w:position w:val="0"/>
                <w:sz w:val="21"/>
                <w:szCs w:val="21"/>
                <w:lang w:val="en-US" w:eastAsia="zh-CN"/>
              </w:rPr>
              <w:t>5</w:t>
            </w:r>
          </w:p>
        </w:tc>
        <w:tc>
          <w:tcPr>
            <w:tcW w:w="3476" w:type="pct"/>
            <w:tcBorders>
              <w:tl2br w:val="nil"/>
              <w:tr2bl w:val="nil"/>
            </w:tcBorders>
            <w:vAlign w:val="center"/>
          </w:tcPr>
          <w:p w14:paraId="65FF5EF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《哈密市金石矿业有限责任公司哈密市大红山北铜矿开采方案》评审意见书</w:t>
            </w:r>
          </w:p>
        </w:tc>
        <w:tc>
          <w:tcPr>
            <w:tcW w:w="1174" w:type="pct"/>
            <w:tcBorders>
              <w:tl2br w:val="nil"/>
              <w:tr2bl w:val="nil"/>
            </w:tcBorders>
            <w:vAlign w:val="center"/>
          </w:tcPr>
          <w:p w14:paraId="0DA8DF4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新矿开评字〔2026〕9号</w:t>
            </w:r>
          </w:p>
        </w:tc>
      </w:tr>
      <w:tr w14:paraId="1A8498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38" w:hRule="atLeast"/>
          <w:jc w:val="center"/>
        </w:trPr>
        <w:tc>
          <w:tcPr>
            <w:tcW w:w="348" w:type="pct"/>
            <w:tcBorders>
              <w:tl2br w:val="nil"/>
              <w:tr2bl w:val="nil"/>
            </w:tcBorders>
            <w:vAlign w:val="center"/>
          </w:tcPr>
          <w:p w14:paraId="0E0E009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pacing w:val="0"/>
                <w:w w:val="100"/>
                <w:position w:val="0"/>
                <w:sz w:val="21"/>
                <w:szCs w:val="21"/>
                <w:lang w:val="en-US" w:eastAsia="zh-CN"/>
              </w:rPr>
            </w:pPr>
            <w:bookmarkStart w:id="110" w:name="_Toc27583"/>
            <w:r>
              <w:rPr>
                <w:rFonts w:hint="default" w:ascii="Times New Roman" w:hAnsi="Times New Roman" w:cs="Times New Roman"/>
                <w:color w:val="auto"/>
                <w:spacing w:val="0"/>
                <w:w w:val="100"/>
                <w:position w:val="0"/>
                <w:sz w:val="21"/>
                <w:szCs w:val="21"/>
                <w:lang w:val="en-US" w:eastAsia="zh-CN"/>
              </w:rPr>
              <w:t>6</w:t>
            </w:r>
          </w:p>
        </w:tc>
        <w:tc>
          <w:tcPr>
            <w:tcW w:w="3476" w:type="pct"/>
            <w:tcBorders>
              <w:tl2br w:val="nil"/>
              <w:tr2bl w:val="nil"/>
            </w:tcBorders>
            <w:vAlign w:val="center"/>
          </w:tcPr>
          <w:p w14:paraId="61F2209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lang w:val="en-US" w:eastAsia="zh-CN"/>
              </w:rPr>
              <w:t>哈密市金石矿业有限责任公司哈密市大红山北铜矿地下开采建设项目</w:t>
            </w:r>
            <w:r>
              <w:rPr>
                <w:rFonts w:hint="default" w:ascii="Times New Roman" w:hAnsi="Times New Roman" w:cs="Times New Roman"/>
                <w:color w:val="auto"/>
                <w:spacing w:val="0"/>
                <w:w w:val="100"/>
                <w:position w:val="0"/>
                <w:sz w:val="21"/>
                <w:szCs w:val="21"/>
                <w:lang w:val="en-US" w:eastAsia="zh-CN"/>
              </w:rPr>
              <w:t>初步设计》</w:t>
            </w:r>
          </w:p>
        </w:tc>
        <w:tc>
          <w:tcPr>
            <w:tcW w:w="1174" w:type="pct"/>
            <w:tcBorders>
              <w:tl2br w:val="nil"/>
              <w:tr2bl w:val="nil"/>
            </w:tcBorders>
            <w:vAlign w:val="center"/>
          </w:tcPr>
          <w:p w14:paraId="70E492A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2026.7</w:t>
            </w:r>
          </w:p>
        </w:tc>
      </w:tr>
      <w:bookmarkEnd w:id="96"/>
      <w:bookmarkEnd w:id="97"/>
      <w:bookmarkEnd w:id="98"/>
      <w:bookmarkEnd w:id="99"/>
      <w:bookmarkEnd w:id="100"/>
      <w:bookmarkEnd w:id="101"/>
      <w:bookmarkEnd w:id="102"/>
      <w:bookmarkEnd w:id="103"/>
      <w:bookmarkEnd w:id="104"/>
      <w:bookmarkEnd w:id="105"/>
      <w:bookmarkEnd w:id="106"/>
      <w:bookmarkEnd w:id="107"/>
    </w:tbl>
    <w:p w14:paraId="16DCA074">
      <w:pPr>
        <w:pStyle w:val="3"/>
        <w:bidi w:val="0"/>
        <w:rPr>
          <w:rFonts w:hint="default" w:ascii="Times New Roman" w:hAnsi="Times New Roman" w:cs="Times New Roman"/>
          <w:color w:val="auto"/>
          <w:lang w:val="en-US" w:eastAsia="zh-CN"/>
        </w:rPr>
      </w:pPr>
      <w:bookmarkStart w:id="111" w:name="_Toc27504"/>
      <w:r>
        <w:rPr>
          <w:rFonts w:hint="default" w:ascii="Times New Roman" w:hAnsi="Times New Roman" w:cs="Times New Roman"/>
          <w:color w:val="auto"/>
          <w:lang w:val="en-US" w:eastAsia="zh-CN"/>
        </w:rPr>
        <w:t>环境影响因素识别和评价因子筛选</w:t>
      </w:r>
      <w:bookmarkEnd w:id="108"/>
      <w:bookmarkEnd w:id="109"/>
      <w:bookmarkEnd w:id="110"/>
      <w:bookmarkEnd w:id="111"/>
    </w:p>
    <w:p w14:paraId="2C49B3A7">
      <w:pPr>
        <w:pStyle w:val="4"/>
        <w:bidi w:val="0"/>
        <w:rPr>
          <w:rFonts w:hint="default" w:ascii="Times New Roman" w:hAnsi="Times New Roman" w:cs="Times New Roman"/>
          <w:color w:val="auto"/>
        </w:rPr>
      </w:pPr>
      <w:bookmarkStart w:id="112" w:name="_Toc30187"/>
      <w:bookmarkStart w:id="113" w:name="_Toc8082"/>
      <w:bookmarkStart w:id="114" w:name="_Toc31987"/>
      <w:bookmarkStart w:id="115" w:name="_Toc15600"/>
      <w:bookmarkStart w:id="116" w:name="_Toc11226"/>
      <w:bookmarkStart w:id="117" w:name="_Toc5447"/>
      <w:bookmarkStart w:id="118" w:name="_Toc19754"/>
      <w:bookmarkStart w:id="119" w:name="_Toc13075"/>
      <w:bookmarkStart w:id="120" w:name="_Toc8897"/>
      <w:bookmarkStart w:id="121" w:name="_Toc1207"/>
      <w:r>
        <w:rPr>
          <w:rFonts w:hint="default" w:ascii="Times New Roman" w:hAnsi="Times New Roman" w:cs="Times New Roman"/>
          <w:color w:val="auto"/>
        </w:rPr>
        <w:t>环境影响因素识别</w:t>
      </w:r>
      <w:bookmarkEnd w:id="112"/>
      <w:bookmarkEnd w:id="113"/>
      <w:bookmarkEnd w:id="114"/>
      <w:bookmarkEnd w:id="115"/>
      <w:bookmarkEnd w:id="116"/>
      <w:bookmarkEnd w:id="117"/>
      <w:bookmarkEnd w:id="118"/>
      <w:bookmarkEnd w:id="119"/>
      <w:bookmarkEnd w:id="120"/>
      <w:bookmarkEnd w:id="121"/>
    </w:p>
    <w:p w14:paraId="4145C8CF">
      <w:pPr>
        <w:pStyle w:val="5"/>
        <w:bidi w:val="0"/>
        <w:rPr>
          <w:rFonts w:hint="default" w:ascii="Times New Roman" w:hAnsi="Times New Roman" w:eastAsia="宋体" w:cs="Times New Roman"/>
          <w:color w:val="auto"/>
          <w:spacing w:val="0"/>
          <w:w w:val="100"/>
          <w:position w:val="0"/>
          <w:sz w:val="24"/>
          <w:szCs w:val="24"/>
        </w:rPr>
      </w:pPr>
      <w:bookmarkStart w:id="122" w:name="_Toc13932"/>
      <w:bookmarkStart w:id="123" w:name="_Toc11606"/>
      <w:bookmarkStart w:id="124" w:name="_Toc26910"/>
      <w:bookmarkStart w:id="125" w:name="_Toc31497"/>
      <w:bookmarkStart w:id="126" w:name="_Toc24816"/>
      <w:bookmarkStart w:id="127" w:name="_Toc5739"/>
      <w:bookmarkStart w:id="128" w:name="_Toc2920"/>
      <w:bookmarkStart w:id="129" w:name="_Toc11105"/>
      <w:bookmarkStart w:id="130" w:name="_Toc29717"/>
      <w:bookmarkStart w:id="131" w:name="_Toc5918"/>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"2.3.1.1"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2.3.1.1</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施工期</w:t>
      </w:r>
    </w:p>
    <w:p w14:paraId="203A3AAE">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施工期环境影响因素识别见表2.3-1。</w:t>
      </w:r>
    </w:p>
    <w:p w14:paraId="0F38EB17">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表2.3-1</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施工期环境影响因素识别一览表</w:t>
      </w:r>
    </w:p>
    <w:tbl>
      <w:tblPr>
        <w:tblStyle w:val="31"/>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5"/>
        <w:gridCol w:w="4905"/>
        <w:gridCol w:w="2354"/>
      </w:tblGrid>
      <w:tr w14:paraId="5F5E1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trPr>
        <w:tc>
          <w:tcPr>
            <w:tcW w:w="645" w:type="pct"/>
            <w:tcBorders>
              <w:top w:val="single" w:color="000000" w:sz="12" w:space="0"/>
              <w:left w:val="single" w:color="000000" w:sz="12" w:space="0"/>
              <w:bottom w:val="single" w:color="000000" w:sz="4" w:space="0"/>
              <w:right w:val="single" w:color="000000" w:sz="4" w:space="0"/>
            </w:tcBorders>
            <w:vAlign w:val="center"/>
          </w:tcPr>
          <w:p w14:paraId="1297AE4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环境要素</w:t>
            </w:r>
          </w:p>
        </w:tc>
        <w:tc>
          <w:tcPr>
            <w:tcW w:w="2942" w:type="pct"/>
            <w:tcBorders>
              <w:top w:val="single" w:color="000000" w:sz="12" w:space="0"/>
              <w:left w:val="single" w:color="000000" w:sz="4" w:space="0"/>
              <w:bottom w:val="single" w:color="000000" w:sz="4" w:space="0"/>
              <w:right w:val="single" w:color="000000" w:sz="4" w:space="0"/>
            </w:tcBorders>
            <w:vAlign w:val="center"/>
          </w:tcPr>
          <w:p w14:paraId="5D80F42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产生影响的主要内容</w:t>
            </w:r>
          </w:p>
        </w:tc>
        <w:tc>
          <w:tcPr>
            <w:tcW w:w="1411" w:type="pct"/>
            <w:tcBorders>
              <w:top w:val="single" w:color="000000" w:sz="12" w:space="0"/>
              <w:left w:val="single" w:color="000000" w:sz="4" w:space="0"/>
              <w:bottom w:val="single" w:color="000000" w:sz="4" w:space="0"/>
              <w:right w:val="single" w:color="000000" w:sz="12" w:space="0"/>
            </w:tcBorders>
            <w:vAlign w:val="center"/>
          </w:tcPr>
          <w:p w14:paraId="2CDEA1A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主要影响因素</w:t>
            </w:r>
          </w:p>
        </w:tc>
      </w:tr>
      <w:tr w14:paraId="7B6BB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4" w:space="0"/>
              <w:right w:val="single" w:color="000000" w:sz="4" w:space="0"/>
            </w:tcBorders>
            <w:vAlign w:val="center"/>
          </w:tcPr>
          <w:p w14:paraId="728B1A6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环境空气</w:t>
            </w:r>
          </w:p>
        </w:tc>
        <w:tc>
          <w:tcPr>
            <w:tcW w:w="2942" w:type="pct"/>
            <w:tcBorders>
              <w:top w:val="single" w:color="000000" w:sz="4" w:space="0"/>
              <w:left w:val="single" w:color="000000" w:sz="4" w:space="0"/>
              <w:bottom w:val="single" w:color="000000" w:sz="4" w:space="0"/>
              <w:right w:val="single" w:color="000000" w:sz="4" w:space="0"/>
            </w:tcBorders>
            <w:vAlign w:val="center"/>
          </w:tcPr>
          <w:p w14:paraId="5B842B2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土地平整、挖掘、土石方、建材运输、存放、使用</w:t>
            </w:r>
          </w:p>
        </w:tc>
        <w:tc>
          <w:tcPr>
            <w:tcW w:w="1411" w:type="pct"/>
            <w:tcBorders>
              <w:top w:val="single" w:color="000000" w:sz="4" w:space="0"/>
              <w:left w:val="single" w:color="000000" w:sz="4" w:space="0"/>
              <w:bottom w:val="single" w:color="000000" w:sz="4" w:space="0"/>
              <w:right w:val="single" w:color="000000" w:sz="12" w:space="0"/>
            </w:tcBorders>
            <w:vAlign w:val="center"/>
          </w:tcPr>
          <w:p w14:paraId="7699CA3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扬尘</w:t>
            </w:r>
          </w:p>
        </w:tc>
      </w:tr>
      <w:tr w14:paraId="4934A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4" w:space="0"/>
              <w:right w:val="single" w:color="000000" w:sz="4" w:space="0"/>
            </w:tcBorders>
            <w:vAlign w:val="center"/>
          </w:tcPr>
          <w:p w14:paraId="66E0817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w:t>
            </w:r>
          </w:p>
        </w:tc>
        <w:tc>
          <w:tcPr>
            <w:tcW w:w="2942" w:type="pct"/>
            <w:tcBorders>
              <w:top w:val="single" w:color="000000" w:sz="4" w:space="0"/>
              <w:left w:val="single" w:color="000000" w:sz="4" w:space="0"/>
              <w:bottom w:val="single" w:color="000000" w:sz="4" w:space="0"/>
              <w:right w:val="single" w:color="000000" w:sz="4" w:space="0"/>
            </w:tcBorders>
            <w:vAlign w:val="center"/>
          </w:tcPr>
          <w:p w14:paraId="0774385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施工人员生活污水、施工废水等</w:t>
            </w:r>
          </w:p>
        </w:tc>
        <w:tc>
          <w:tcPr>
            <w:tcW w:w="1411" w:type="pct"/>
            <w:tcBorders>
              <w:top w:val="single" w:color="000000" w:sz="4" w:space="0"/>
              <w:left w:val="single" w:color="000000" w:sz="4" w:space="0"/>
              <w:bottom w:val="single" w:color="000000" w:sz="4" w:space="0"/>
              <w:right w:val="single" w:color="000000" w:sz="12" w:space="0"/>
            </w:tcBorders>
            <w:vAlign w:val="center"/>
          </w:tcPr>
          <w:p w14:paraId="0530045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CODcr、BOD</w:t>
            </w:r>
            <w:r>
              <w:rPr>
                <w:rFonts w:hint="default" w:ascii="Times New Roman" w:hAnsi="Times New Roman" w:eastAsia="宋体" w:cs="Times New Roman"/>
                <w:color w:val="auto"/>
                <w:spacing w:val="0"/>
                <w:w w:val="100"/>
                <w:position w:val="0"/>
                <w:sz w:val="21"/>
                <w:szCs w:val="21"/>
                <w:vertAlign w:val="subscript"/>
              </w:rPr>
              <w:t>5</w:t>
            </w:r>
            <w:r>
              <w:rPr>
                <w:rFonts w:hint="default" w:ascii="Times New Roman" w:hAnsi="Times New Roman" w:eastAsia="宋体" w:cs="Times New Roman"/>
                <w:color w:val="auto"/>
                <w:spacing w:val="0"/>
                <w:w w:val="100"/>
                <w:position w:val="0"/>
                <w:sz w:val="21"/>
                <w:szCs w:val="21"/>
              </w:rPr>
              <w:t>、SS</w:t>
            </w:r>
          </w:p>
        </w:tc>
      </w:tr>
      <w:tr w14:paraId="66DF4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4" w:space="0"/>
              <w:right w:val="single" w:color="000000" w:sz="4" w:space="0"/>
            </w:tcBorders>
            <w:vAlign w:val="center"/>
          </w:tcPr>
          <w:p w14:paraId="7D7ED90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声环境</w:t>
            </w:r>
          </w:p>
        </w:tc>
        <w:tc>
          <w:tcPr>
            <w:tcW w:w="2942" w:type="pct"/>
            <w:tcBorders>
              <w:top w:val="single" w:color="000000" w:sz="4" w:space="0"/>
              <w:left w:val="single" w:color="000000" w:sz="4" w:space="0"/>
              <w:bottom w:val="single" w:color="000000" w:sz="4" w:space="0"/>
              <w:right w:val="single" w:color="000000" w:sz="4" w:space="0"/>
            </w:tcBorders>
            <w:vAlign w:val="center"/>
          </w:tcPr>
          <w:p w14:paraId="1B0EA30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施工机械作业、车辆运输噪声、设备安装</w:t>
            </w:r>
          </w:p>
        </w:tc>
        <w:tc>
          <w:tcPr>
            <w:tcW w:w="1411" w:type="pct"/>
            <w:tcBorders>
              <w:top w:val="single" w:color="000000" w:sz="4" w:space="0"/>
              <w:left w:val="single" w:color="000000" w:sz="4" w:space="0"/>
              <w:bottom w:val="single" w:color="000000" w:sz="4" w:space="0"/>
              <w:right w:val="single" w:color="000000" w:sz="12" w:space="0"/>
            </w:tcBorders>
            <w:vAlign w:val="center"/>
          </w:tcPr>
          <w:p w14:paraId="448F67B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噪声</w:t>
            </w:r>
          </w:p>
        </w:tc>
      </w:tr>
      <w:tr w14:paraId="6412E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4" w:space="0"/>
              <w:right w:val="single" w:color="000000" w:sz="4" w:space="0"/>
            </w:tcBorders>
            <w:vAlign w:val="center"/>
          </w:tcPr>
          <w:p w14:paraId="2372E25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固体废物</w:t>
            </w:r>
          </w:p>
        </w:tc>
        <w:tc>
          <w:tcPr>
            <w:tcW w:w="2942" w:type="pct"/>
            <w:tcBorders>
              <w:top w:val="single" w:color="000000" w:sz="4" w:space="0"/>
              <w:left w:val="single" w:color="000000" w:sz="4" w:space="0"/>
              <w:bottom w:val="single" w:color="000000" w:sz="4" w:space="0"/>
              <w:right w:val="single" w:color="000000" w:sz="4" w:space="0"/>
            </w:tcBorders>
            <w:vAlign w:val="center"/>
          </w:tcPr>
          <w:p w14:paraId="64424D9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基建施工及施工人员生活</w:t>
            </w:r>
          </w:p>
        </w:tc>
        <w:tc>
          <w:tcPr>
            <w:tcW w:w="1411" w:type="pct"/>
            <w:tcBorders>
              <w:top w:val="single" w:color="000000" w:sz="4" w:space="0"/>
              <w:left w:val="single" w:color="000000" w:sz="4" w:space="0"/>
              <w:bottom w:val="single" w:color="000000" w:sz="4" w:space="0"/>
              <w:right w:val="single" w:color="000000" w:sz="12" w:space="0"/>
            </w:tcBorders>
            <w:vAlign w:val="center"/>
          </w:tcPr>
          <w:p w14:paraId="60A9DBF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渣土、废石、生活垃圾</w:t>
            </w:r>
          </w:p>
        </w:tc>
      </w:tr>
      <w:tr w14:paraId="1C200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4" w:space="0"/>
              <w:right w:val="single" w:color="000000" w:sz="4" w:space="0"/>
            </w:tcBorders>
            <w:vAlign w:val="center"/>
          </w:tcPr>
          <w:p w14:paraId="532B0B8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生态环境</w:t>
            </w:r>
          </w:p>
        </w:tc>
        <w:tc>
          <w:tcPr>
            <w:tcW w:w="2942" w:type="pct"/>
            <w:tcBorders>
              <w:top w:val="single" w:color="000000" w:sz="4" w:space="0"/>
              <w:left w:val="single" w:color="000000" w:sz="4" w:space="0"/>
              <w:bottom w:val="single" w:color="000000" w:sz="4" w:space="0"/>
              <w:right w:val="single" w:color="000000" w:sz="4" w:space="0"/>
            </w:tcBorders>
            <w:vAlign w:val="center"/>
          </w:tcPr>
          <w:p w14:paraId="163FDA2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土地平整、挖掘及项目占地</w:t>
            </w:r>
          </w:p>
        </w:tc>
        <w:tc>
          <w:tcPr>
            <w:tcW w:w="1411" w:type="pct"/>
            <w:tcBorders>
              <w:top w:val="single" w:color="000000" w:sz="4" w:space="0"/>
              <w:left w:val="single" w:color="000000" w:sz="4" w:space="0"/>
              <w:bottom w:val="single" w:color="000000" w:sz="4" w:space="0"/>
              <w:right w:val="single" w:color="000000" w:sz="12" w:space="0"/>
            </w:tcBorders>
            <w:vAlign w:val="center"/>
          </w:tcPr>
          <w:p w14:paraId="0F2C2BB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水土流失、地表破坏</w:t>
            </w:r>
          </w:p>
        </w:tc>
      </w:tr>
      <w:tr w14:paraId="604A0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45" w:type="pct"/>
            <w:tcBorders>
              <w:top w:val="single" w:color="000000" w:sz="4" w:space="0"/>
              <w:left w:val="single" w:color="000000" w:sz="12" w:space="0"/>
              <w:bottom w:val="single" w:color="000000" w:sz="12" w:space="0"/>
              <w:right w:val="single" w:color="000000" w:sz="4" w:space="0"/>
            </w:tcBorders>
            <w:vAlign w:val="center"/>
          </w:tcPr>
          <w:p w14:paraId="076953D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土壤环境</w:t>
            </w:r>
          </w:p>
        </w:tc>
        <w:tc>
          <w:tcPr>
            <w:tcW w:w="2942" w:type="pct"/>
            <w:tcBorders>
              <w:top w:val="single" w:color="000000" w:sz="4" w:space="0"/>
              <w:left w:val="single" w:color="000000" w:sz="4" w:space="0"/>
              <w:bottom w:val="single" w:color="000000" w:sz="12" w:space="0"/>
              <w:right w:val="single" w:color="000000" w:sz="4" w:space="0"/>
            </w:tcBorders>
            <w:vAlign w:val="center"/>
          </w:tcPr>
          <w:p w14:paraId="58BF5C4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施工废水入渗，固体废物堆存</w:t>
            </w:r>
          </w:p>
        </w:tc>
        <w:tc>
          <w:tcPr>
            <w:tcW w:w="1411" w:type="pct"/>
            <w:tcBorders>
              <w:top w:val="single" w:color="000000" w:sz="4" w:space="0"/>
              <w:left w:val="single" w:color="000000" w:sz="4" w:space="0"/>
              <w:bottom w:val="single" w:color="000000" w:sz="12" w:space="0"/>
              <w:right w:val="single" w:color="000000" w:sz="12" w:space="0"/>
            </w:tcBorders>
            <w:vAlign w:val="center"/>
          </w:tcPr>
          <w:p w14:paraId="747F9A6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废水入渗，固废占地</w:t>
            </w:r>
          </w:p>
        </w:tc>
      </w:tr>
    </w:tbl>
    <w:p w14:paraId="41D7475F">
      <w:pPr>
        <w:pStyle w:val="5"/>
        <w:bidi w:val="0"/>
        <w:rPr>
          <w:rFonts w:hint="default" w:ascii="Times New Roman" w:hAnsi="Times New Roman" w:eastAsia="宋体" w:cs="Times New Roman"/>
          <w:b/>
          <w:bCs/>
          <w:color w:val="auto"/>
          <w:spacing w:val="0"/>
          <w:w w:val="100"/>
          <w:kern w:val="2"/>
          <w:position w:val="0"/>
          <w:sz w:val="24"/>
          <w:szCs w:val="28"/>
          <w:highlight w:val="none"/>
          <w:lang w:val="en-US" w:eastAsia="zh-CN" w:bidi="ar-SA"/>
        </w:rPr>
      </w:pPr>
      <w:bookmarkStart w:id="132" w:name="bookmark67"/>
      <w:bookmarkEnd w:id="132"/>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"2.3.1.2"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2.3.1.2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运营期</w:t>
      </w:r>
    </w:p>
    <w:p w14:paraId="7F371AF1">
      <w:pPr>
        <w:keepNext w:val="0"/>
        <w:keepLines w:val="0"/>
        <w:pageBreakBefore w:val="0"/>
        <w:widowControl w:val="0"/>
        <w:kinsoku/>
        <w:wordWrap/>
        <w:overflowPunct/>
        <w:topLinePunct w:val="0"/>
        <w:autoSpaceDE/>
        <w:autoSpaceDN/>
        <w:bidi w:val="0"/>
        <w:adjustRightInd/>
        <w:snapToGrid/>
        <w:spacing w:line="480" w:lineRule="exact"/>
        <w:ind w:left="0" w:right="0" w:firstLine="467"/>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根据项目的排污特点及所处自然、社会环境特征，确定</w:t>
      </w:r>
      <w:r>
        <w:rPr>
          <w:rFonts w:hint="eastAsia" w:ascii="Times New Roman" w:hAnsi="Times New Roman" w:cs="Times New Roman"/>
          <w:color w:val="auto"/>
          <w:spacing w:val="0"/>
          <w:w w:val="100"/>
          <w:position w:val="0"/>
          <w:sz w:val="24"/>
          <w:szCs w:val="24"/>
          <w:lang w:eastAsia="zh-CN"/>
        </w:rPr>
        <w:t>运营</w:t>
      </w:r>
      <w:r>
        <w:rPr>
          <w:rFonts w:hint="default" w:ascii="Times New Roman" w:hAnsi="Times New Roman" w:eastAsia="宋体" w:cs="Times New Roman"/>
          <w:color w:val="auto"/>
          <w:spacing w:val="0"/>
          <w:w w:val="100"/>
          <w:position w:val="0"/>
          <w:sz w:val="24"/>
          <w:szCs w:val="24"/>
        </w:rPr>
        <w:t>过程中环境影响因素。运营期环境影响因素识别见</w:t>
      </w:r>
      <w:r>
        <w:rPr>
          <w:rFonts w:hint="default" w:ascii="Times New Roman" w:hAnsi="Times New Roman" w:eastAsia="宋体" w:cs="Times New Roman"/>
          <w:b w:val="0"/>
          <w:bCs w:val="0"/>
          <w:color w:val="auto"/>
          <w:spacing w:val="0"/>
          <w:w w:val="100"/>
          <w:position w:val="0"/>
          <w:sz w:val="24"/>
          <w:szCs w:val="24"/>
        </w:rPr>
        <w:t>表2.3-2</w:t>
      </w:r>
      <w:r>
        <w:rPr>
          <w:rFonts w:hint="default" w:ascii="Times New Roman" w:hAnsi="Times New Roman" w:eastAsia="宋体" w:cs="Times New Roman"/>
          <w:color w:val="auto"/>
          <w:spacing w:val="0"/>
          <w:w w:val="100"/>
          <w:position w:val="0"/>
          <w:sz w:val="24"/>
          <w:szCs w:val="24"/>
        </w:rPr>
        <w:t>。</w:t>
      </w:r>
    </w:p>
    <w:p w14:paraId="314890F1">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表2.3-2</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运营期环境影响因素识别一览表</w:t>
      </w:r>
    </w:p>
    <w:tbl>
      <w:tblPr>
        <w:tblStyle w:val="31"/>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4"/>
        <w:gridCol w:w="4270"/>
        <w:gridCol w:w="2930"/>
      </w:tblGrid>
      <w:tr w14:paraId="088F7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trPr>
        <w:tc>
          <w:tcPr>
            <w:tcW w:w="680" w:type="pct"/>
            <w:tcBorders>
              <w:top w:val="single" w:color="000000" w:sz="12" w:space="0"/>
              <w:left w:val="single" w:color="000000" w:sz="12" w:space="0"/>
              <w:bottom w:val="single" w:color="000000" w:sz="4" w:space="0"/>
              <w:right w:val="single" w:color="000000" w:sz="4" w:space="0"/>
            </w:tcBorders>
            <w:vAlign w:val="center"/>
          </w:tcPr>
          <w:p w14:paraId="0E428D9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名称</w:t>
            </w:r>
          </w:p>
        </w:tc>
        <w:tc>
          <w:tcPr>
            <w:tcW w:w="2561" w:type="pct"/>
            <w:tcBorders>
              <w:top w:val="single" w:color="000000" w:sz="12" w:space="0"/>
              <w:left w:val="single" w:color="000000" w:sz="4" w:space="0"/>
              <w:bottom w:val="single" w:color="000000" w:sz="4" w:space="0"/>
              <w:right w:val="single" w:color="000000" w:sz="4" w:space="0"/>
            </w:tcBorders>
            <w:vAlign w:val="center"/>
          </w:tcPr>
          <w:p w14:paraId="33CCD30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产生影响的主要内容</w:t>
            </w:r>
          </w:p>
        </w:tc>
        <w:tc>
          <w:tcPr>
            <w:tcW w:w="1757" w:type="pct"/>
            <w:tcBorders>
              <w:top w:val="single" w:color="000000" w:sz="12" w:space="0"/>
              <w:left w:val="single" w:color="000000" w:sz="4" w:space="0"/>
              <w:bottom w:val="single" w:color="000000" w:sz="4" w:space="0"/>
              <w:right w:val="single" w:color="000000" w:sz="12" w:space="0"/>
            </w:tcBorders>
            <w:vAlign w:val="center"/>
          </w:tcPr>
          <w:p w14:paraId="197E3A9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主要影响因子</w:t>
            </w:r>
          </w:p>
        </w:tc>
      </w:tr>
      <w:tr w14:paraId="25584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4229792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环境空气</w:t>
            </w:r>
          </w:p>
        </w:tc>
        <w:tc>
          <w:tcPr>
            <w:tcW w:w="2561" w:type="pct"/>
            <w:tcBorders>
              <w:top w:val="single" w:color="000000" w:sz="4" w:space="0"/>
              <w:left w:val="single" w:color="000000" w:sz="4" w:space="0"/>
              <w:bottom w:val="single" w:color="000000" w:sz="4" w:space="0"/>
              <w:right w:val="single" w:color="000000" w:sz="4" w:space="0"/>
            </w:tcBorders>
            <w:vAlign w:val="center"/>
          </w:tcPr>
          <w:p w14:paraId="33308A7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井下废气、爆破粉尘、</w:t>
            </w:r>
            <w:r>
              <w:rPr>
                <w:rFonts w:hint="default" w:ascii="Times New Roman" w:hAnsi="Times New Roman" w:cs="Times New Roman"/>
                <w:color w:val="auto"/>
                <w:spacing w:val="0"/>
                <w:w w:val="100"/>
                <w:position w:val="0"/>
                <w:sz w:val="21"/>
                <w:szCs w:val="21"/>
                <w:lang w:val="en-US" w:eastAsia="zh-CN"/>
              </w:rPr>
              <w:t>充填站</w:t>
            </w:r>
            <w:r>
              <w:rPr>
                <w:rFonts w:hint="default" w:ascii="Times New Roman" w:hAnsi="Times New Roman" w:eastAsia="宋体" w:cs="Times New Roman"/>
                <w:color w:val="auto"/>
                <w:spacing w:val="0"/>
                <w:w w:val="100"/>
                <w:position w:val="0"/>
                <w:sz w:val="21"/>
                <w:szCs w:val="21"/>
              </w:rPr>
              <w:t>粉尘、废石场扬尘</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cs="Times New Roman"/>
                <w:color w:val="auto"/>
                <w:spacing w:val="0"/>
                <w:w w:val="100"/>
                <w:position w:val="0"/>
                <w:sz w:val="21"/>
                <w:szCs w:val="21"/>
                <w:lang w:val="en-US" w:eastAsia="zh-CN"/>
              </w:rPr>
              <w:t>运输扬尘</w:t>
            </w:r>
          </w:p>
        </w:tc>
        <w:tc>
          <w:tcPr>
            <w:tcW w:w="1757" w:type="pct"/>
            <w:tcBorders>
              <w:top w:val="single" w:color="000000" w:sz="4" w:space="0"/>
              <w:left w:val="single" w:color="000000" w:sz="4" w:space="0"/>
              <w:bottom w:val="single" w:color="000000" w:sz="4" w:space="0"/>
              <w:right w:val="single" w:color="000000" w:sz="12" w:space="0"/>
            </w:tcBorders>
            <w:vAlign w:val="center"/>
          </w:tcPr>
          <w:p w14:paraId="39480E2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粉尘</w:t>
            </w:r>
          </w:p>
        </w:tc>
      </w:tr>
      <w:tr w14:paraId="171F4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533215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地表水</w:t>
            </w:r>
          </w:p>
        </w:tc>
        <w:tc>
          <w:tcPr>
            <w:tcW w:w="2561" w:type="pct"/>
            <w:tcBorders>
              <w:top w:val="single" w:color="000000" w:sz="4" w:space="0"/>
              <w:left w:val="single" w:color="000000" w:sz="4" w:space="0"/>
              <w:bottom w:val="single" w:color="000000" w:sz="4" w:space="0"/>
              <w:right w:val="single" w:color="000000" w:sz="4" w:space="0"/>
            </w:tcBorders>
            <w:vAlign w:val="center"/>
          </w:tcPr>
          <w:p w14:paraId="6BA2785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矿坑（井）涌水、生活污水</w:t>
            </w:r>
          </w:p>
        </w:tc>
        <w:tc>
          <w:tcPr>
            <w:tcW w:w="1757" w:type="pct"/>
            <w:tcBorders>
              <w:top w:val="single" w:color="000000" w:sz="4" w:space="0"/>
              <w:left w:val="single" w:color="000000" w:sz="4" w:space="0"/>
              <w:bottom w:val="single" w:color="000000" w:sz="4" w:space="0"/>
              <w:right w:val="single" w:color="000000" w:sz="12" w:space="0"/>
            </w:tcBorders>
            <w:vAlign w:val="center"/>
          </w:tcPr>
          <w:p w14:paraId="3B80B40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pH、重金属、氨氮、CODcr、BOD</w:t>
            </w:r>
            <w:r>
              <w:rPr>
                <w:rFonts w:hint="default" w:ascii="Times New Roman" w:hAnsi="Times New Roman" w:eastAsia="宋体" w:cs="Times New Roman"/>
                <w:color w:val="auto"/>
                <w:spacing w:val="0"/>
                <w:w w:val="100"/>
                <w:position w:val="0"/>
                <w:sz w:val="21"/>
                <w:szCs w:val="21"/>
                <w:vertAlign w:val="subscript"/>
              </w:rPr>
              <w:t>5</w:t>
            </w:r>
            <w:r>
              <w:rPr>
                <w:rFonts w:hint="default" w:ascii="Times New Roman" w:hAnsi="Times New Roman" w:eastAsia="宋体" w:cs="Times New Roman"/>
                <w:color w:val="auto"/>
                <w:spacing w:val="0"/>
                <w:w w:val="100"/>
                <w:position w:val="0"/>
                <w:sz w:val="21"/>
                <w:szCs w:val="21"/>
              </w:rPr>
              <w:t>、SS等</w:t>
            </w:r>
          </w:p>
        </w:tc>
      </w:tr>
      <w:tr w14:paraId="01C04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458B589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地下水</w:t>
            </w:r>
          </w:p>
        </w:tc>
        <w:tc>
          <w:tcPr>
            <w:tcW w:w="2561" w:type="pct"/>
            <w:tcBorders>
              <w:top w:val="single" w:color="000000" w:sz="4" w:space="0"/>
              <w:left w:val="single" w:color="000000" w:sz="4" w:space="0"/>
              <w:bottom w:val="single" w:color="000000" w:sz="4" w:space="0"/>
              <w:right w:val="single" w:color="000000" w:sz="4" w:space="0"/>
            </w:tcBorders>
            <w:vAlign w:val="center"/>
          </w:tcPr>
          <w:p w14:paraId="116AF14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池体泄漏</w:t>
            </w:r>
          </w:p>
        </w:tc>
        <w:tc>
          <w:tcPr>
            <w:tcW w:w="1757" w:type="pct"/>
            <w:tcBorders>
              <w:top w:val="single" w:color="000000" w:sz="4" w:space="0"/>
              <w:left w:val="single" w:color="000000" w:sz="4" w:space="0"/>
              <w:bottom w:val="single" w:color="000000" w:sz="4" w:space="0"/>
              <w:right w:val="single" w:color="000000" w:sz="12" w:space="0"/>
            </w:tcBorders>
            <w:vAlign w:val="center"/>
          </w:tcPr>
          <w:p w14:paraId="476C894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COD、氨氮</w:t>
            </w:r>
            <w:r>
              <w:rPr>
                <w:rFonts w:hint="default" w:ascii="Times New Roman" w:hAnsi="Times New Roman" w:eastAsia="宋体" w:cs="Times New Roman"/>
                <w:color w:val="auto"/>
                <w:spacing w:val="0"/>
                <w:w w:val="100"/>
                <w:position w:val="0"/>
                <w:sz w:val="21"/>
                <w:szCs w:val="21"/>
              </w:rPr>
              <w:t>等</w:t>
            </w:r>
          </w:p>
        </w:tc>
      </w:tr>
      <w:tr w14:paraId="494C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32BD10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固体废物</w:t>
            </w:r>
          </w:p>
        </w:tc>
        <w:tc>
          <w:tcPr>
            <w:tcW w:w="2561" w:type="pct"/>
            <w:tcBorders>
              <w:top w:val="single" w:color="000000" w:sz="4" w:space="0"/>
              <w:left w:val="single" w:color="000000" w:sz="4" w:space="0"/>
              <w:bottom w:val="single" w:color="000000" w:sz="4" w:space="0"/>
              <w:right w:val="single" w:color="000000" w:sz="4" w:space="0"/>
            </w:tcBorders>
            <w:vAlign w:val="center"/>
          </w:tcPr>
          <w:p w14:paraId="4A229D5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采矿废石、除尘灰、机修产生的废机油、</w:t>
            </w:r>
            <w:r>
              <w:rPr>
                <w:rFonts w:hint="default" w:ascii="Times New Roman" w:hAnsi="Times New Roman" w:cs="Times New Roman"/>
                <w:color w:val="auto"/>
                <w:spacing w:val="0"/>
                <w:w w:val="100"/>
                <w:position w:val="0"/>
                <w:sz w:val="21"/>
                <w:szCs w:val="21"/>
                <w:lang w:val="en-US" w:eastAsia="zh-CN"/>
              </w:rPr>
              <w:t>废油桶、</w:t>
            </w:r>
            <w:r>
              <w:rPr>
                <w:rFonts w:hint="default" w:ascii="Times New Roman" w:hAnsi="Times New Roman" w:eastAsia="宋体" w:cs="Times New Roman"/>
                <w:color w:val="auto"/>
                <w:spacing w:val="0"/>
                <w:w w:val="100"/>
                <w:position w:val="0"/>
                <w:sz w:val="21"/>
                <w:szCs w:val="21"/>
              </w:rPr>
              <w:t>生活垃圾</w:t>
            </w:r>
          </w:p>
        </w:tc>
        <w:tc>
          <w:tcPr>
            <w:tcW w:w="1757" w:type="pct"/>
            <w:tcBorders>
              <w:top w:val="single" w:color="000000" w:sz="4" w:space="0"/>
              <w:left w:val="single" w:color="000000" w:sz="4" w:space="0"/>
              <w:bottom w:val="single" w:color="000000" w:sz="4" w:space="0"/>
              <w:right w:val="single" w:color="000000" w:sz="12" w:space="0"/>
            </w:tcBorders>
            <w:vAlign w:val="center"/>
          </w:tcPr>
          <w:p w14:paraId="320973B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cs="Times New Roman"/>
                <w:color w:val="auto"/>
                <w:spacing w:val="0"/>
                <w:w w:val="100"/>
                <w:position w:val="0"/>
                <w:sz w:val="21"/>
                <w:szCs w:val="21"/>
                <w:lang w:val="en-US" w:eastAsia="zh-CN"/>
              </w:rPr>
              <w:t>危险废物、生活垃圾</w:t>
            </w:r>
            <w:r>
              <w:rPr>
                <w:rFonts w:hint="default" w:ascii="Times New Roman" w:hAnsi="Times New Roman" w:eastAsia="宋体" w:cs="Times New Roman"/>
                <w:color w:val="auto"/>
                <w:spacing w:val="0"/>
                <w:w w:val="100"/>
                <w:position w:val="0"/>
                <w:sz w:val="21"/>
                <w:szCs w:val="21"/>
              </w:rPr>
              <w:t>等</w:t>
            </w:r>
          </w:p>
        </w:tc>
      </w:tr>
      <w:tr w14:paraId="5215C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4D3B7D6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声环境</w:t>
            </w:r>
          </w:p>
        </w:tc>
        <w:tc>
          <w:tcPr>
            <w:tcW w:w="2561" w:type="pct"/>
            <w:tcBorders>
              <w:top w:val="single" w:color="000000" w:sz="4" w:space="0"/>
              <w:left w:val="single" w:color="000000" w:sz="4" w:space="0"/>
              <w:bottom w:val="single" w:color="000000" w:sz="4" w:space="0"/>
              <w:right w:val="single" w:color="000000" w:sz="4" w:space="0"/>
            </w:tcBorders>
            <w:vAlign w:val="center"/>
          </w:tcPr>
          <w:p w14:paraId="0911D7B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充填站</w:t>
            </w:r>
            <w:r>
              <w:rPr>
                <w:rFonts w:hint="default" w:ascii="Times New Roman" w:hAnsi="Times New Roman" w:eastAsia="宋体" w:cs="Times New Roman"/>
                <w:color w:val="auto"/>
                <w:spacing w:val="0"/>
                <w:w w:val="100"/>
                <w:position w:val="0"/>
                <w:sz w:val="21"/>
                <w:szCs w:val="21"/>
              </w:rPr>
              <w:t>、泵站、爆破等</w:t>
            </w:r>
          </w:p>
        </w:tc>
        <w:tc>
          <w:tcPr>
            <w:tcW w:w="1757" w:type="pct"/>
            <w:tcBorders>
              <w:top w:val="single" w:color="000000" w:sz="4" w:space="0"/>
              <w:left w:val="single" w:color="000000" w:sz="4" w:space="0"/>
              <w:bottom w:val="single" w:color="000000" w:sz="4" w:space="0"/>
              <w:right w:val="single" w:color="000000" w:sz="12" w:space="0"/>
            </w:tcBorders>
            <w:vAlign w:val="center"/>
          </w:tcPr>
          <w:p w14:paraId="750C5D4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Leq</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A</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及振动</w:t>
            </w:r>
          </w:p>
        </w:tc>
      </w:tr>
      <w:tr w14:paraId="07B52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4FFF635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生态环境</w:t>
            </w:r>
          </w:p>
        </w:tc>
        <w:tc>
          <w:tcPr>
            <w:tcW w:w="2561" w:type="pct"/>
            <w:tcBorders>
              <w:top w:val="single" w:color="000000" w:sz="4" w:space="0"/>
              <w:left w:val="single" w:color="000000" w:sz="4" w:space="0"/>
              <w:bottom w:val="single" w:color="000000" w:sz="4" w:space="0"/>
              <w:right w:val="single" w:color="000000" w:sz="4" w:space="0"/>
            </w:tcBorders>
            <w:vAlign w:val="center"/>
          </w:tcPr>
          <w:p w14:paraId="0313C1D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风井场地、采场</w:t>
            </w:r>
          </w:p>
        </w:tc>
        <w:tc>
          <w:tcPr>
            <w:tcW w:w="1757" w:type="pct"/>
            <w:tcBorders>
              <w:top w:val="single" w:color="000000" w:sz="4" w:space="0"/>
              <w:left w:val="single" w:color="000000" w:sz="4" w:space="0"/>
              <w:bottom w:val="single" w:color="000000" w:sz="4" w:space="0"/>
              <w:right w:val="single" w:color="000000" w:sz="12" w:space="0"/>
            </w:tcBorders>
            <w:vAlign w:val="center"/>
          </w:tcPr>
          <w:p w14:paraId="5480F74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占地、水土流失、地表错动</w:t>
            </w:r>
          </w:p>
        </w:tc>
      </w:tr>
      <w:tr w14:paraId="70DA2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4" w:space="0"/>
              <w:right w:val="single" w:color="000000" w:sz="4" w:space="0"/>
            </w:tcBorders>
            <w:vAlign w:val="center"/>
          </w:tcPr>
          <w:p w14:paraId="40F33B1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土壤环境</w:t>
            </w:r>
          </w:p>
        </w:tc>
        <w:tc>
          <w:tcPr>
            <w:tcW w:w="2561" w:type="pct"/>
            <w:tcBorders>
              <w:top w:val="single" w:color="000000" w:sz="4" w:space="0"/>
              <w:left w:val="single" w:color="000000" w:sz="4" w:space="0"/>
              <w:bottom w:val="single" w:color="000000" w:sz="4" w:space="0"/>
              <w:right w:val="single" w:color="000000" w:sz="4" w:space="0"/>
            </w:tcBorders>
            <w:vAlign w:val="center"/>
          </w:tcPr>
          <w:p w14:paraId="4E2EFF4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各工段大气沉降、废水泄漏垂直入渗</w:t>
            </w:r>
          </w:p>
        </w:tc>
        <w:tc>
          <w:tcPr>
            <w:tcW w:w="1757" w:type="pct"/>
            <w:tcBorders>
              <w:top w:val="single" w:color="000000" w:sz="4" w:space="0"/>
              <w:left w:val="single" w:color="000000" w:sz="4" w:space="0"/>
              <w:bottom w:val="single" w:color="000000" w:sz="4" w:space="0"/>
              <w:right w:val="single" w:color="000000" w:sz="12" w:space="0"/>
            </w:tcBorders>
            <w:vAlign w:val="center"/>
          </w:tcPr>
          <w:p w14:paraId="4525E64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砷、镉、铬（六价）、铅</w:t>
            </w:r>
            <w:r>
              <w:rPr>
                <w:rFonts w:hint="default" w:ascii="Times New Roman" w:hAnsi="Times New Roman"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lang w:eastAsia="zh-CN"/>
              </w:rPr>
              <w:t>全盐量</w:t>
            </w:r>
          </w:p>
        </w:tc>
      </w:tr>
      <w:tr w14:paraId="60725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680" w:type="pct"/>
            <w:tcBorders>
              <w:top w:val="single" w:color="000000" w:sz="4" w:space="0"/>
              <w:left w:val="single" w:color="000000" w:sz="12" w:space="0"/>
              <w:bottom w:val="single" w:color="000000" w:sz="12" w:space="0"/>
              <w:right w:val="single" w:color="000000" w:sz="4" w:space="0"/>
            </w:tcBorders>
            <w:vAlign w:val="center"/>
          </w:tcPr>
          <w:p w14:paraId="09CDA99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环境风险</w:t>
            </w:r>
          </w:p>
        </w:tc>
        <w:tc>
          <w:tcPr>
            <w:tcW w:w="2561" w:type="pct"/>
            <w:tcBorders>
              <w:top w:val="single" w:color="000000" w:sz="4" w:space="0"/>
              <w:left w:val="single" w:color="000000" w:sz="4" w:space="0"/>
              <w:bottom w:val="single" w:color="000000" w:sz="12" w:space="0"/>
              <w:right w:val="single" w:color="000000" w:sz="4" w:space="0"/>
            </w:tcBorders>
            <w:vAlign w:val="center"/>
          </w:tcPr>
          <w:p w14:paraId="7A386F5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废机油</w:t>
            </w:r>
            <w:r>
              <w:rPr>
                <w:rFonts w:hint="default" w:ascii="Times New Roman" w:hAnsi="Times New Roman" w:eastAsia="宋体" w:cs="Times New Roman"/>
                <w:color w:val="auto"/>
                <w:spacing w:val="0"/>
                <w:w w:val="100"/>
                <w:position w:val="0"/>
                <w:sz w:val="21"/>
                <w:szCs w:val="21"/>
              </w:rPr>
              <w:t>泄漏</w:t>
            </w:r>
          </w:p>
        </w:tc>
        <w:tc>
          <w:tcPr>
            <w:tcW w:w="1757" w:type="pct"/>
            <w:tcBorders>
              <w:top w:val="single" w:color="000000" w:sz="4" w:space="0"/>
              <w:left w:val="single" w:color="000000" w:sz="4" w:space="0"/>
              <w:bottom w:val="single" w:color="000000" w:sz="12" w:space="0"/>
              <w:right w:val="single" w:color="000000" w:sz="12" w:space="0"/>
            </w:tcBorders>
            <w:vAlign w:val="center"/>
          </w:tcPr>
          <w:p w14:paraId="27D2A37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废机油</w:t>
            </w:r>
          </w:p>
        </w:tc>
      </w:tr>
    </w:tbl>
    <w:p w14:paraId="283D427D">
      <w:pPr>
        <w:pStyle w:val="5"/>
        <w:bidi w:val="0"/>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"2.3.1.3"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2.3.1.3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服务期满后</w:t>
      </w:r>
    </w:p>
    <w:p w14:paraId="6D965A24">
      <w:pPr>
        <w:keepNext w:val="0"/>
        <w:keepLines w:val="0"/>
        <w:pageBreakBefore w:val="0"/>
        <w:widowControl w:val="0"/>
        <w:kinsoku/>
        <w:wordWrap/>
        <w:overflowPunct/>
        <w:topLinePunct w:val="0"/>
        <w:autoSpaceDE/>
        <w:autoSpaceDN/>
        <w:bidi w:val="0"/>
        <w:adjustRightInd/>
        <w:snapToGrid/>
        <w:spacing w:line="480" w:lineRule="exact"/>
        <w:ind w:left="0" w:right="0" w:firstLine="467"/>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val="0"/>
          <w:bCs w:val="0"/>
          <w:color w:val="auto"/>
          <w:spacing w:val="0"/>
          <w:w w:val="100"/>
          <w:kern w:val="2"/>
          <w:position w:val="0"/>
          <w:sz w:val="24"/>
          <w:szCs w:val="28"/>
          <w:highlight w:val="none"/>
          <w:lang w:val="en-US" w:eastAsia="zh-CN" w:bidi="ar-SA"/>
        </w:rPr>
        <w:t>矿山</w:t>
      </w:r>
      <w:r>
        <w:rPr>
          <w:rFonts w:hint="default" w:ascii="Times New Roman" w:hAnsi="Times New Roman" w:eastAsia="宋体" w:cs="Times New Roman"/>
          <w:color w:val="auto"/>
          <w:spacing w:val="0"/>
          <w:w w:val="100"/>
          <w:position w:val="0"/>
          <w:sz w:val="24"/>
          <w:szCs w:val="24"/>
        </w:rPr>
        <w:t>闭矿期可能产生的环境影响及环境影响因素识别见表2.3-3。</w:t>
      </w:r>
    </w:p>
    <w:p w14:paraId="2314A0A6">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表2.3-3</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闭矿期环境影响因素识别一览表</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009"/>
        <w:gridCol w:w="3328"/>
        <w:gridCol w:w="3996"/>
      </w:tblGrid>
      <w:tr w14:paraId="3F2894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605" w:type="pct"/>
            <w:tcBorders>
              <w:tl2br w:val="nil"/>
              <w:tr2bl w:val="nil"/>
            </w:tcBorders>
            <w:vAlign w:val="center"/>
          </w:tcPr>
          <w:p w14:paraId="2655C98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名称</w:t>
            </w:r>
          </w:p>
        </w:tc>
        <w:tc>
          <w:tcPr>
            <w:tcW w:w="1996" w:type="pct"/>
            <w:tcBorders>
              <w:tl2br w:val="nil"/>
              <w:tr2bl w:val="nil"/>
            </w:tcBorders>
            <w:vAlign w:val="center"/>
          </w:tcPr>
          <w:p w14:paraId="4036B77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产生影响的主要内容</w:t>
            </w:r>
          </w:p>
        </w:tc>
        <w:tc>
          <w:tcPr>
            <w:tcW w:w="2397" w:type="pct"/>
            <w:tcBorders>
              <w:tl2br w:val="nil"/>
              <w:tr2bl w:val="nil"/>
            </w:tcBorders>
            <w:vAlign w:val="center"/>
          </w:tcPr>
          <w:p w14:paraId="61302F1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主要影响因子</w:t>
            </w:r>
          </w:p>
        </w:tc>
      </w:tr>
      <w:tr w14:paraId="40C972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05" w:type="pct"/>
            <w:tcBorders>
              <w:tl2br w:val="nil"/>
              <w:tr2bl w:val="nil"/>
            </w:tcBorders>
            <w:vAlign w:val="center"/>
          </w:tcPr>
          <w:p w14:paraId="16B832B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1996" w:type="pct"/>
            <w:tcBorders>
              <w:tl2br w:val="nil"/>
              <w:tr2bl w:val="nil"/>
            </w:tcBorders>
            <w:vAlign w:val="center"/>
          </w:tcPr>
          <w:p w14:paraId="233242B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废石场等</w:t>
            </w:r>
          </w:p>
        </w:tc>
        <w:tc>
          <w:tcPr>
            <w:tcW w:w="2397" w:type="pct"/>
            <w:tcBorders>
              <w:tl2br w:val="nil"/>
              <w:tr2bl w:val="nil"/>
            </w:tcBorders>
            <w:vAlign w:val="center"/>
          </w:tcPr>
          <w:p w14:paraId="427A38F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影响景观、诱发水土流失</w:t>
            </w:r>
          </w:p>
        </w:tc>
      </w:tr>
      <w:tr w14:paraId="1F77A1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05" w:type="pct"/>
            <w:tcBorders>
              <w:tl2br w:val="nil"/>
              <w:tr2bl w:val="nil"/>
            </w:tcBorders>
            <w:vAlign w:val="center"/>
          </w:tcPr>
          <w:p w14:paraId="659740B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1996" w:type="pct"/>
            <w:tcBorders>
              <w:tl2br w:val="nil"/>
              <w:tr2bl w:val="nil"/>
            </w:tcBorders>
            <w:vAlign w:val="center"/>
          </w:tcPr>
          <w:p w14:paraId="0B1C35A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废弃生产生活设施</w:t>
            </w:r>
          </w:p>
        </w:tc>
        <w:tc>
          <w:tcPr>
            <w:tcW w:w="2397" w:type="pct"/>
            <w:tcBorders>
              <w:tl2br w:val="nil"/>
              <w:tr2bl w:val="nil"/>
            </w:tcBorders>
            <w:vAlign w:val="center"/>
          </w:tcPr>
          <w:p w14:paraId="515E8CE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影响景观生态</w:t>
            </w:r>
          </w:p>
        </w:tc>
      </w:tr>
    </w:tbl>
    <w:p w14:paraId="52A1ECBA">
      <w:pPr>
        <w:pStyle w:val="4"/>
        <w:bidi w:val="0"/>
        <w:rPr>
          <w:rFonts w:hint="default" w:ascii="Times New Roman" w:hAnsi="Times New Roman" w:cs="Times New Roman"/>
          <w:color w:val="auto"/>
        </w:rPr>
      </w:pPr>
      <w:r>
        <w:rPr>
          <w:rFonts w:hint="default" w:ascii="Times New Roman" w:hAnsi="Times New Roman" w:cs="Times New Roman"/>
          <w:color w:val="auto"/>
          <w:lang w:val="en-US" w:eastAsia="zh-CN"/>
        </w:rPr>
        <w:t>评价</w:t>
      </w:r>
      <w:r>
        <w:rPr>
          <w:rFonts w:hint="default" w:ascii="Times New Roman" w:hAnsi="Times New Roman" w:cs="Times New Roman"/>
          <w:color w:val="auto"/>
        </w:rPr>
        <w:t>因子筛选</w:t>
      </w:r>
      <w:bookmarkEnd w:id="122"/>
      <w:bookmarkEnd w:id="123"/>
      <w:bookmarkEnd w:id="124"/>
      <w:bookmarkEnd w:id="125"/>
      <w:bookmarkEnd w:id="126"/>
      <w:bookmarkEnd w:id="127"/>
      <w:bookmarkEnd w:id="128"/>
      <w:bookmarkEnd w:id="129"/>
      <w:bookmarkEnd w:id="130"/>
      <w:bookmarkEnd w:id="131"/>
    </w:p>
    <w:p w14:paraId="115A7C0C">
      <w:pPr>
        <w:keepNext w:val="0"/>
        <w:keepLines w:val="0"/>
        <w:pageBreakBefore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根据项目特点、污染物排放特征及所在地区环境质量状况，将最终对环境影响较大的污染因子作为主要污染因子，见表2.3-</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lang w:val="en-US" w:eastAsia="zh-CN"/>
        </w:rPr>
        <w:t>。</w:t>
      </w:r>
    </w:p>
    <w:p w14:paraId="68395EA0">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表2.</w:t>
      </w:r>
      <w:r>
        <w:rPr>
          <w:rFonts w:hint="default" w:ascii="Times New Roman" w:hAnsi="Times New Roman" w:eastAsia="宋体" w:cs="Times New Roman"/>
          <w:b/>
          <w:bCs/>
          <w:color w:val="auto"/>
          <w:spacing w:val="0"/>
          <w:w w:val="100"/>
          <w:position w:val="0"/>
          <w:sz w:val="21"/>
          <w:szCs w:val="21"/>
          <w:lang w:val="en-US" w:eastAsia="zh-CN"/>
        </w:rPr>
        <w:t>3</w:t>
      </w:r>
      <w:r>
        <w:rPr>
          <w:rFonts w:hint="default" w:ascii="Times New Roman" w:hAnsi="Times New Roman" w:eastAsia="宋体" w:cs="Times New Roman"/>
          <w:b/>
          <w:bCs/>
          <w:color w:val="auto"/>
          <w:spacing w:val="0"/>
          <w:w w:val="100"/>
          <w:position w:val="0"/>
          <w:sz w:val="21"/>
          <w:szCs w:val="21"/>
        </w:rPr>
        <w:t>-</w:t>
      </w:r>
      <w:r>
        <w:rPr>
          <w:rFonts w:hint="default" w:ascii="Times New Roman" w:hAnsi="Times New Roman" w:eastAsia="宋体" w:cs="Times New Roman"/>
          <w:b/>
          <w:bCs/>
          <w:color w:val="auto"/>
          <w:spacing w:val="0"/>
          <w:w w:val="100"/>
          <w:position w:val="0"/>
          <w:sz w:val="21"/>
          <w:szCs w:val="21"/>
          <w:lang w:val="en-US" w:eastAsia="zh-CN"/>
        </w:rPr>
        <w:t>4</w:t>
      </w:r>
      <w:r>
        <w:rPr>
          <w:rFonts w:hint="default" w:ascii="Times New Roman" w:hAnsi="Times New Roman" w:eastAsia="宋体" w:cs="Times New Roman"/>
          <w:b/>
          <w:bCs/>
          <w:color w:val="auto"/>
          <w:spacing w:val="0"/>
          <w:w w:val="100"/>
          <w:position w:val="0"/>
          <w:sz w:val="21"/>
          <w:szCs w:val="21"/>
        </w:rPr>
        <w:t xml:space="preserve">    </w:t>
      </w:r>
      <w:r>
        <w:rPr>
          <w:rFonts w:hint="default" w:ascii="Times New Roman" w:hAnsi="Times New Roman" w:eastAsia="宋体" w:cs="Times New Roman"/>
          <w:b/>
          <w:bCs/>
          <w:color w:val="auto"/>
          <w:spacing w:val="0"/>
          <w:w w:val="100"/>
          <w:position w:val="0"/>
          <w:sz w:val="21"/>
          <w:szCs w:val="21"/>
          <w:lang w:eastAsia="zh-CN"/>
        </w:rPr>
        <w:t>本项目</w:t>
      </w:r>
      <w:r>
        <w:rPr>
          <w:rFonts w:hint="default" w:ascii="Times New Roman" w:hAnsi="Times New Roman" w:eastAsia="宋体" w:cs="Times New Roman"/>
          <w:b/>
          <w:bCs/>
          <w:color w:val="auto"/>
          <w:spacing w:val="0"/>
          <w:w w:val="100"/>
          <w:position w:val="0"/>
          <w:sz w:val="21"/>
          <w:szCs w:val="21"/>
        </w:rPr>
        <w:t>主要污染因子识别</w:t>
      </w:r>
    </w:p>
    <w:tbl>
      <w:tblPr>
        <w:tblStyle w:val="21"/>
        <w:tblW w:w="847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011"/>
        <w:gridCol w:w="5302"/>
        <w:gridCol w:w="2164"/>
      </w:tblGrid>
      <w:tr w14:paraId="789653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tblHeader/>
          <w:jc w:val="center"/>
        </w:trPr>
        <w:tc>
          <w:tcPr>
            <w:tcW w:w="1011" w:type="dxa"/>
            <w:tcBorders>
              <w:tl2br w:val="nil"/>
              <w:tr2bl w:val="nil"/>
            </w:tcBorders>
            <w:vAlign w:val="center"/>
          </w:tcPr>
          <w:p w14:paraId="462069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rPr>
            </w:pPr>
            <w:bookmarkStart w:id="133" w:name="_Toc9806_WPSOffice_Level1"/>
            <w:bookmarkStart w:id="134" w:name="_Toc14937"/>
            <w:bookmarkStart w:id="135" w:name="_Toc14263"/>
            <w:bookmarkStart w:id="136" w:name="_Toc6445_WPSOffice_Level2"/>
            <w:bookmarkStart w:id="137" w:name="_Toc32683_WPSOffice_Level2"/>
            <w:r>
              <w:rPr>
                <w:rFonts w:hint="default" w:ascii="Times New Roman" w:hAnsi="Times New Roman" w:eastAsia="宋体" w:cs="Times New Roman"/>
                <w:b w:val="0"/>
                <w:bCs w:val="0"/>
                <w:color w:val="auto"/>
                <w:spacing w:val="0"/>
                <w:w w:val="100"/>
                <w:kern w:val="0"/>
                <w:position w:val="0"/>
              </w:rPr>
              <w:t>环境要素</w:t>
            </w:r>
          </w:p>
        </w:tc>
        <w:tc>
          <w:tcPr>
            <w:tcW w:w="5302" w:type="dxa"/>
            <w:tcBorders>
              <w:tl2br w:val="nil"/>
              <w:tr2bl w:val="nil"/>
            </w:tcBorders>
            <w:vAlign w:val="center"/>
          </w:tcPr>
          <w:p w14:paraId="39AD6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rPr>
            </w:pPr>
            <w:r>
              <w:rPr>
                <w:rFonts w:hint="default" w:ascii="Times New Roman" w:hAnsi="Times New Roman" w:eastAsia="宋体" w:cs="Times New Roman"/>
                <w:b w:val="0"/>
                <w:bCs w:val="0"/>
                <w:color w:val="auto"/>
                <w:spacing w:val="0"/>
                <w:w w:val="100"/>
                <w:kern w:val="0"/>
                <w:position w:val="0"/>
              </w:rPr>
              <w:t>现状评价因子</w:t>
            </w:r>
          </w:p>
        </w:tc>
        <w:tc>
          <w:tcPr>
            <w:tcW w:w="2164" w:type="dxa"/>
            <w:tcBorders>
              <w:tl2br w:val="nil"/>
              <w:tr2bl w:val="nil"/>
            </w:tcBorders>
            <w:vAlign w:val="center"/>
          </w:tcPr>
          <w:p w14:paraId="1B877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rPr>
            </w:pPr>
            <w:r>
              <w:rPr>
                <w:rFonts w:hint="default" w:ascii="Times New Roman" w:hAnsi="Times New Roman" w:eastAsia="宋体" w:cs="Times New Roman"/>
                <w:b w:val="0"/>
                <w:bCs w:val="0"/>
                <w:color w:val="auto"/>
                <w:spacing w:val="0"/>
                <w:w w:val="100"/>
                <w:kern w:val="0"/>
                <w:position w:val="0"/>
              </w:rPr>
              <w:t>影响评价因子</w:t>
            </w:r>
          </w:p>
        </w:tc>
      </w:tr>
      <w:tr w14:paraId="5EFD68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7" w:hRule="atLeast"/>
          <w:jc w:val="center"/>
        </w:trPr>
        <w:tc>
          <w:tcPr>
            <w:tcW w:w="1011" w:type="dxa"/>
            <w:tcBorders>
              <w:tl2br w:val="nil"/>
              <w:tr2bl w:val="nil"/>
            </w:tcBorders>
            <w:vAlign w:val="center"/>
          </w:tcPr>
          <w:p w14:paraId="4ECE5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rPr>
              <w:t>环境空气</w:t>
            </w:r>
          </w:p>
        </w:tc>
        <w:tc>
          <w:tcPr>
            <w:tcW w:w="5302" w:type="dxa"/>
            <w:tcBorders>
              <w:tl2br w:val="nil"/>
              <w:tr2bl w:val="nil"/>
            </w:tcBorders>
            <w:vAlign w:val="center"/>
          </w:tcPr>
          <w:p w14:paraId="6ECA6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CN"/>
              </w:rPr>
            </w:pPr>
            <w:r>
              <w:rPr>
                <w:rFonts w:hint="default" w:ascii="Times New Roman" w:hAnsi="Times New Roman" w:eastAsia="宋体" w:cs="Times New Roman"/>
                <w:color w:val="auto"/>
                <w:spacing w:val="0"/>
                <w:w w:val="100"/>
                <w:kern w:val="0"/>
                <w:position w:val="0"/>
              </w:rPr>
              <w:t>SO</w:t>
            </w:r>
            <w:r>
              <w:rPr>
                <w:rFonts w:hint="default" w:ascii="Times New Roman" w:hAnsi="Times New Roman" w:eastAsia="宋体" w:cs="Times New Roman"/>
                <w:color w:val="auto"/>
                <w:spacing w:val="0"/>
                <w:w w:val="100"/>
                <w:kern w:val="0"/>
                <w:position w:val="0"/>
                <w:vertAlign w:val="subscript"/>
              </w:rPr>
              <w:t>2</w:t>
            </w:r>
            <w:r>
              <w:rPr>
                <w:rFonts w:hint="default" w:ascii="Times New Roman" w:hAnsi="Times New Roman" w:eastAsia="宋体" w:cs="Times New Roman"/>
                <w:color w:val="auto"/>
                <w:spacing w:val="0"/>
                <w:w w:val="100"/>
                <w:kern w:val="0"/>
                <w:position w:val="0"/>
              </w:rPr>
              <w:t>、NO</w:t>
            </w:r>
            <w:r>
              <w:rPr>
                <w:rFonts w:hint="default" w:ascii="Times New Roman" w:hAnsi="Times New Roman" w:eastAsia="宋体" w:cs="Times New Roman"/>
                <w:color w:val="auto"/>
                <w:spacing w:val="0"/>
                <w:w w:val="100"/>
                <w:kern w:val="0"/>
                <w:position w:val="0"/>
                <w:vertAlign w:val="subscript"/>
              </w:rPr>
              <w:t>2</w:t>
            </w:r>
            <w:r>
              <w:rPr>
                <w:rFonts w:hint="default" w:ascii="Times New Roman" w:hAnsi="Times New Roman" w:eastAsia="宋体" w:cs="Times New Roman"/>
                <w:color w:val="auto"/>
                <w:spacing w:val="0"/>
                <w:w w:val="100"/>
                <w:kern w:val="0"/>
                <w:position w:val="0"/>
              </w:rPr>
              <w:t>、PM</w:t>
            </w:r>
            <w:r>
              <w:rPr>
                <w:rFonts w:hint="default" w:ascii="Times New Roman" w:hAnsi="Times New Roman" w:eastAsia="宋体" w:cs="Times New Roman"/>
                <w:color w:val="auto"/>
                <w:spacing w:val="0"/>
                <w:w w:val="100"/>
                <w:kern w:val="0"/>
                <w:position w:val="0"/>
                <w:vertAlign w:val="subscript"/>
              </w:rPr>
              <w:t>10</w:t>
            </w:r>
            <w:r>
              <w:rPr>
                <w:rFonts w:hint="default" w:ascii="Times New Roman" w:hAnsi="Times New Roman" w:eastAsia="宋体" w:cs="Times New Roman"/>
                <w:color w:val="auto"/>
                <w:spacing w:val="0"/>
                <w:w w:val="100"/>
                <w:kern w:val="0"/>
                <w:position w:val="0"/>
              </w:rPr>
              <w:t>、PM</w:t>
            </w:r>
            <w:r>
              <w:rPr>
                <w:rFonts w:hint="default" w:ascii="Times New Roman" w:hAnsi="Times New Roman" w:eastAsia="宋体" w:cs="Times New Roman"/>
                <w:color w:val="auto"/>
                <w:spacing w:val="0"/>
                <w:w w:val="100"/>
                <w:kern w:val="0"/>
                <w:position w:val="0"/>
                <w:vertAlign w:val="subscript"/>
              </w:rPr>
              <w:t>2.5</w:t>
            </w:r>
            <w:r>
              <w:rPr>
                <w:rFonts w:hint="default" w:ascii="Times New Roman" w:hAnsi="Times New Roman" w:eastAsia="宋体" w:cs="Times New Roman"/>
                <w:color w:val="auto"/>
                <w:spacing w:val="0"/>
                <w:w w:val="100"/>
                <w:kern w:val="0"/>
                <w:position w:val="0"/>
              </w:rPr>
              <w:t>、CO、O</w:t>
            </w:r>
            <w:r>
              <w:rPr>
                <w:rFonts w:hint="default" w:ascii="Times New Roman" w:hAnsi="Times New Roman" w:eastAsia="宋体" w:cs="Times New Roman"/>
                <w:color w:val="auto"/>
                <w:spacing w:val="0"/>
                <w:w w:val="100"/>
                <w:kern w:val="0"/>
                <w:position w:val="0"/>
                <w:vertAlign w:val="subscript"/>
              </w:rPr>
              <w:t>3</w:t>
            </w:r>
            <w:r>
              <w:rPr>
                <w:rFonts w:hint="default" w:ascii="Times New Roman" w:hAnsi="Times New Roman" w:eastAsia="宋体" w:cs="Times New Roman"/>
                <w:color w:val="auto"/>
                <w:spacing w:val="0"/>
                <w:w w:val="100"/>
                <w:kern w:val="0"/>
                <w:position w:val="0"/>
                <w:vertAlign w:val="baseline"/>
                <w:lang w:eastAsia="zh-CN"/>
              </w:rPr>
              <w:t>、</w:t>
            </w:r>
            <w:r>
              <w:rPr>
                <w:rFonts w:hint="default" w:ascii="Times New Roman" w:hAnsi="Times New Roman" w:eastAsia="宋体" w:cs="Times New Roman"/>
                <w:color w:val="auto"/>
                <w:spacing w:val="0"/>
                <w:w w:val="100"/>
                <w:kern w:val="0"/>
                <w:position w:val="0"/>
                <w:vertAlign w:val="baseline"/>
                <w:lang w:val="en-US" w:eastAsia="zh-CN"/>
              </w:rPr>
              <w:t>TSP</w:t>
            </w:r>
          </w:p>
        </w:tc>
        <w:tc>
          <w:tcPr>
            <w:tcW w:w="2164" w:type="dxa"/>
            <w:tcBorders>
              <w:tl2br w:val="nil"/>
              <w:tr2bl w:val="nil"/>
            </w:tcBorders>
            <w:vAlign w:val="center"/>
          </w:tcPr>
          <w:p w14:paraId="2FE8D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vertAlign w:val="baseline"/>
                <w:lang w:val="en-US" w:eastAsia="zh-CN"/>
              </w:rPr>
              <w:t>TSP</w:t>
            </w:r>
            <w:r>
              <w:rPr>
                <w:rFonts w:hint="default" w:ascii="Times New Roman" w:hAnsi="Times New Roman" w:eastAsia="宋体" w:cs="Times New Roman"/>
                <w:color w:val="auto"/>
                <w:spacing w:val="0"/>
                <w:w w:val="100"/>
                <w:kern w:val="0"/>
                <w:position w:val="0"/>
                <w:highlight w:val="none"/>
                <w:lang w:val="en-US" w:eastAsia="zh-CN"/>
              </w:rPr>
              <w:t>、PM</w:t>
            </w:r>
            <w:r>
              <w:rPr>
                <w:rFonts w:hint="default" w:ascii="Times New Roman" w:hAnsi="Times New Roman" w:eastAsia="宋体" w:cs="Times New Roman"/>
                <w:color w:val="auto"/>
                <w:spacing w:val="0"/>
                <w:w w:val="100"/>
                <w:kern w:val="0"/>
                <w:position w:val="0"/>
                <w:highlight w:val="none"/>
                <w:vertAlign w:val="subscript"/>
                <w:lang w:val="en-US" w:eastAsia="zh-CN"/>
              </w:rPr>
              <w:t>10</w:t>
            </w:r>
          </w:p>
        </w:tc>
      </w:tr>
      <w:tr w14:paraId="4FCDA1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1DFCF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Hans"/>
              </w:rPr>
            </w:pPr>
            <w:r>
              <w:rPr>
                <w:rFonts w:hint="default" w:ascii="Times New Roman" w:hAnsi="Times New Roman" w:eastAsia="宋体" w:cs="Times New Roman"/>
                <w:color w:val="auto"/>
                <w:spacing w:val="0"/>
                <w:w w:val="100"/>
                <w:kern w:val="0"/>
                <w:position w:val="0"/>
                <w:lang w:val="en-US" w:eastAsia="zh-Hans"/>
              </w:rPr>
              <w:t>地表水环境</w:t>
            </w:r>
          </w:p>
        </w:tc>
        <w:tc>
          <w:tcPr>
            <w:tcW w:w="5302" w:type="dxa"/>
            <w:tcBorders>
              <w:tl2br w:val="nil"/>
              <w:tr2bl w:val="nil"/>
            </w:tcBorders>
            <w:vAlign w:val="center"/>
          </w:tcPr>
          <w:p w14:paraId="75BC6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cs="Times New Roman"/>
                <w:color w:val="auto"/>
                <w:spacing w:val="0"/>
                <w:w w:val="100"/>
                <w:kern w:val="0"/>
                <w:position w:val="0"/>
                <w:lang w:val="en-US" w:eastAsia="zh-CN"/>
              </w:rPr>
              <w:t>/</w:t>
            </w:r>
          </w:p>
        </w:tc>
        <w:tc>
          <w:tcPr>
            <w:tcW w:w="2164" w:type="dxa"/>
            <w:tcBorders>
              <w:tl2br w:val="nil"/>
              <w:tr2bl w:val="nil"/>
            </w:tcBorders>
            <w:vAlign w:val="center"/>
          </w:tcPr>
          <w:p w14:paraId="5C93D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Hans"/>
              </w:rPr>
            </w:pPr>
            <w:r>
              <w:rPr>
                <w:rFonts w:hint="default" w:ascii="Times New Roman" w:hAnsi="Times New Roman" w:eastAsia="宋体" w:cs="Times New Roman"/>
                <w:color w:val="auto"/>
                <w:spacing w:val="0"/>
                <w:w w:val="100"/>
                <w:kern w:val="0"/>
                <w:position w:val="0"/>
                <w:lang w:val="en-US" w:eastAsia="zh-CN"/>
              </w:rPr>
              <w:t>pH值、SS、COD、氨氮</w:t>
            </w:r>
          </w:p>
        </w:tc>
      </w:tr>
      <w:tr w14:paraId="34950E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7E07E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rPr>
              <w:t>地下水环境</w:t>
            </w:r>
          </w:p>
        </w:tc>
        <w:tc>
          <w:tcPr>
            <w:tcW w:w="5302" w:type="dxa"/>
            <w:tcBorders>
              <w:tl2br w:val="nil"/>
              <w:tr2bl w:val="nil"/>
            </w:tcBorders>
            <w:vAlign w:val="center"/>
          </w:tcPr>
          <w:p w14:paraId="773D4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八大离子：K</w:t>
            </w:r>
            <w:r>
              <w:rPr>
                <w:rFonts w:hint="default" w:ascii="Times New Roman" w:hAnsi="Times New Roman" w:eastAsia="宋体" w:cs="Times New Roman"/>
                <w:color w:val="auto"/>
                <w:spacing w:val="0"/>
                <w:w w:val="100"/>
                <w:position w:val="0"/>
                <w:sz w:val="21"/>
                <w:szCs w:val="21"/>
                <w:vertAlign w:val="superscript"/>
                <w:lang w:val="en-US" w:eastAsia="zh-CN"/>
              </w:rPr>
              <w:t>+</w:t>
            </w:r>
            <w:r>
              <w:rPr>
                <w:rFonts w:hint="default" w:ascii="Times New Roman" w:hAnsi="Times New Roman" w:eastAsia="宋体" w:cs="Times New Roman"/>
                <w:color w:val="auto"/>
                <w:spacing w:val="0"/>
                <w:w w:val="100"/>
                <w:position w:val="0"/>
                <w:sz w:val="21"/>
                <w:szCs w:val="21"/>
                <w:lang w:val="en-US" w:eastAsia="zh-CN"/>
              </w:rPr>
              <w:t>、Na</w:t>
            </w:r>
            <w:r>
              <w:rPr>
                <w:rFonts w:hint="default" w:ascii="Times New Roman" w:hAnsi="Times New Roman" w:eastAsia="宋体" w:cs="Times New Roman"/>
                <w:color w:val="auto"/>
                <w:spacing w:val="0"/>
                <w:w w:val="100"/>
                <w:position w:val="0"/>
                <w:sz w:val="21"/>
                <w:szCs w:val="21"/>
                <w:vertAlign w:val="superscript"/>
                <w:lang w:val="en-US" w:eastAsia="zh-CN"/>
              </w:rPr>
              <w:t>+</w:t>
            </w:r>
            <w:r>
              <w:rPr>
                <w:rFonts w:hint="default" w:ascii="Times New Roman" w:hAnsi="Times New Roman" w:eastAsia="宋体" w:cs="Times New Roman"/>
                <w:color w:val="auto"/>
                <w:spacing w:val="0"/>
                <w:w w:val="100"/>
                <w:position w:val="0"/>
                <w:sz w:val="21"/>
                <w:szCs w:val="21"/>
                <w:lang w:val="en-US" w:eastAsia="zh-CN"/>
              </w:rPr>
              <w:t>、Ca</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vertAlign w:val="baseline"/>
                <w:lang w:val="en-US" w:eastAsia="zh-CN"/>
              </w:rPr>
              <w:t>、</w:t>
            </w:r>
            <w:r>
              <w:rPr>
                <w:rFonts w:hint="default" w:ascii="Times New Roman" w:hAnsi="Times New Roman" w:eastAsia="宋体" w:cs="Times New Roman"/>
                <w:color w:val="auto"/>
                <w:spacing w:val="0"/>
                <w:w w:val="100"/>
                <w:position w:val="0"/>
                <w:sz w:val="21"/>
                <w:szCs w:val="21"/>
                <w:lang w:val="en-US" w:eastAsia="zh-CN"/>
              </w:rPr>
              <w:t>Mg</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、CO</w:t>
            </w:r>
            <w:r>
              <w:rPr>
                <w:rFonts w:hint="default" w:ascii="Times New Roman" w:hAnsi="Times New Roman" w:eastAsia="宋体" w:cs="Times New Roman"/>
                <w:color w:val="auto"/>
                <w:spacing w:val="0"/>
                <w:w w:val="100"/>
                <w:position w:val="0"/>
                <w:sz w:val="21"/>
                <w:szCs w:val="21"/>
                <w:vertAlign w:val="subscript"/>
                <w:lang w:val="en-US" w:eastAsia="zh-CN"/>
              </w:rPr>
              <w:t>3</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、HCO</w:t>
            </w:r>
            <w:r>
              <w:rPr>
                <w:rFonts w:hint="default" w:ascii="Times New Roman" w:hAnsi="Times New Roman" w:eastAsia="宋体" w:cs="Times New Roman"/>
                <w:color w:val="auto"/>
                <w:spacing w:val="0"/>
                <w:w w:val="100"/>
                <w:position w:val="0"/>
                <w:sz w:val="21"/>
                <w:szCs w:val="21"/>
                <w:vertAlign w:val="subscript"/>
                <w:lang w:val="en-US" w:eastAsia="zh-CN"/>
              </w:rPr>
              <w:t>3</w:t>
            </w:r>
            <w:r>
              <w:rPr>
                <w:rFonts w:hint="default" w:ascii="Times New Roman" w:hAnsi="Times New Roman" w:eastAsia="宋体" w:cs="Times New Roman"/>
                <w:color w:val="auto"/>
                <w:spacing w:val="0"/>
                <w:w w:val="100"/>
                <w:position w:val="0"/>
                <w:sz w:val="21"/>
                <w:szCs w:val="21"/>
                <w:vertAlign w:val="superscript"/>
                <w:lang w:val="en-US" w:eastAsia="zh-CN"/>
              </w:rPr>
              <w:t>-</w:t>
            </w:r>
            <w:r>
              <w:rPr>
                <w:rFonts w:hint="default" w:ascii="Times New Roman" w:hAnsi="Times New Roman" w:eastAsia="宋体" w:cs="Times New Roman"/>
                <w:color w:val="auto"/>
                <w:spacing w:val="0"/>
                <w:w w:val="100"/>
                <w:position w:val="0"/>
                <w:sz w:val="21"/>
                <w:szCs w:val="21"/>
                <w:lang w:val="en-US" w:eastAsia="zh-CN"/>
              </w:rPr>
              <w:t>、C</w:t>
            </w:r>
            <w:r>
              <w:rPr>
                <w:rFonts w:hint="default" w:ascii="Times New Roman" w:hAnsi="Times New Roman" w:eastAsia="宋体" w:cs="Times New Roman"/>
                <w:color w:val="auto"/>
                <w:spacing w:val="0"/>
                <w:w w:val="100"/>
                <w:position w:val="0"/>
                <w:sz w:val="21"/>
                <w:szCs w:val="21"/>
                <w:vertAlign w:val="baseline"/>
                <w:lang w:val="en-US" w:eastAsia="zh-CN"/>
              </w:rPr>
              <w:t>l</w:t>
            </w:r>
            <w:r>
              <w:rPr>
                <w:rFonts w:hint="default" w:ascii="Times New Roman" w:hAnsi="Times New Roman" w:eastAsia="宋体" w:cs="Times New Roman"/>
                <w:color w:val="auto"/>
                <w:spacing w:val="0"/>
                <w:w w:val="100"/>
                <w:position w:val="0"/>
                <w:sz w:val="21"/>
                <w:szCs w:val="21"/>
                <w:vertAlign w:val="superscript"/>
                <w:lang w:val="en-US" w:eastAsia="zh-CN"/>
              </w:rPr>
              <w:t>-</w:t>
            </w:r>
            <w:r>
              <w:rPr>
                <w:rFonts w:hint="default" w:ascii="Times New Roman" w:hAnsi="Times New Roman" w:eastAsia="宋体" w:cs="Times New Roman"/>
                <w:color w:val="auto"/>
                <w:spacing w:val="0"/>
                <w:w w:val="100"/>
                <w:position w:val="0"/>
                <w:sz w:val="21"/>
                <w:szCs w:val="21"/>
                <w:lang w:val="en-US" w:eastAsia="zh-CN"/>
              </w:rPr>
              <w:t>、SO</w:t>
            </w:r>
            <w:r>
              <w:rPr>
                <w:rFonts w:hint="default" w:ascii="Times New Roman" w:hAnsi="Times New Roman" w:eastAsia="宋体" w:cs="Times New Roman"/>
                <w:color w:val="auto"/>
                <w:spacing w:val="0"/>
                <w:w w:val="100"/>
                <w:position w:val="0"/>
                <w:sz w:val="21"/>
                <w:szCs w:val="21"/>
                <w:vertAlign w:val="subscript"/>
                <w:lang w:val="en-US" w:eastAsia="zh-CN"/>
              </w:rPr>
              <w:t>4</w:t>
            </w:r>
            <w:r>
              <w:rPr>
                <w:rFonts w:hint="default" w:ascii="Times New Roman" w:hAnsi="Times New Roman" w:eastAsia="宋体" w:cs="Times New Roman"/>
                <w:color w:val="auto"/>
                <w:spacing w:val="0"/>
                <w:w w:val="100"/>
                <w:position w:val="0"/>
                <w:sz w:val="21"/>
                <w:szCs w:val="21"/>
                <w:vertAlign w:val="superscript"/>
                <w:lang w:val="en-US" w:eastAsia="zh-CN"/>
              </w:rPr>
              <w:t>2-</w:t>
            </w:r>
          </w:p>
          <w:p w14:paraId="42CBF3E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rPr>
            </w:pPr>
            <w:r>
              <w:rPr>
                <w:rFonts w:hint="default" w:ascii="Times New Roman" w:hAnsi="Times New Roman" w:eastAsia="宋体" w:cs="Times New Roman"/>
                <w:color w:val="auto"/>
                <w:spacing w:val="0"/>
                <w:w w:val="100"/>
                <w:position w:val="0"/>
                <w:sz w:val="21"/>
                <w:szCs w:val="21"/>
              </w:rPr>
              <w:t>pH、总硬度</w:t>
            </w:r>
            <w:r>
              <w:rPr>
                <w:rFonts w:hint="default" w:ascii="Times New Roman" w:hAnsi="Times New Roman" w:eastAsia="宋体" w:cs="Times New Roman"/>
                <w:color w:val="auto"/>
                <w:spacing w:val="0"/>
                <w:w w:val="100"/>
                <w:position w:val="0"/>
                <w:sz w:val="21"/>
                <w:szCs w:val="21"/>
                <w:lang w:eastAsia="zh-CN"/>
              </w:rPr>
              <w:t>、溶解性总固体、铁、锰、铜、</w:t>
            </w:r>
            <w:r>
              <w:rPr>
                <w:rFonts w:hint="default" w:ascii="Times New Roman" w:hAnsi="Times New Roman" w:eastAsia="宋体" w:cs="Times New Roman"/>
                <w:color w:val="auto"/>
                <w:spacing w:val="0"/>
                <w:w w:val="100"/>
                <w:position w:val="0"/>
                <w:sz w:val="21"/>
                <w:szCs w:val="21"/>
              </w:rPr>
              <w:t>锌、挥</w:t>
            </w:r>
            <w:r>
              <w:rPr>
                <w:rFonts w:hint="default" w:ascii="Times New Roman" w:hAnsi="Times New Roman" w:eastAsia="宋体" w:cs="Times New Roman"/>
                <w:color w:val="auto"/>
                <w:spacing w:val="0"/>
                <w:w w:val="100"/>
                <w:position w:val="0"/>
                <w:sz w:val="21"/>
                <w:szCs w:val="21"/>
                <w:lang w:eastAsia="zh-CN"/>
              </w:rPr>
              <w:t>发性酚类、阴离子</w:t>
            </w:r>
            <w:r>
              <w:rPr>
                <w:rFonts w:hint="default" w:ascii="Times New Roman" w:hAnsi="Times New Roman" w:cs="Times New Roman"/>
                <w:color w:val="auto"/>
                <w:spacing w:val="0"/>
                <w:w w:val="100"/>
                <w:position w:val="0"/>
                <w:sz w:val="21"/>
                <w:szCs w:val="21"/>
                <w:lang w:eastAsia="zh-CN"/>
              </w:rPr>
              <w:t>表面活性剂</w:t>
            </w:r>
            <w:r>
              <w:rPr>
                <w:rFonts w:hint="default" w:ascii="Times New Roman" w:hAnsi="Times New Roman" w:eastAsia="宋体" w:cs="Times New Roman"/>
                <w:color w:val="auto"/>
                <w:spacing w:val="0"/>
                <w:w w:val="100"/>
                <w:position w:val="0"/>
                <w:sz w:val="21"/>
                <w:szCs w:val="21"/>
                <w:lang w:eastAsia="zh-CN"/>
              </w:rPr>
              <w:t>、氨氮、总大肠菌群、菌落总数、亚硝酸盐、硝酸盐、汞、砷、镉、铬（六价）、铅、镍</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cs="Times New Roman"/>
                <w:color w:val="auto"/>
                <w:spacing w:val="0"/>
                <w:w w:val="100"/>
                <w:position w:val="0"/>
                <w:sz w:val="21"/>
                <w:szCs w:val="21"/>
                <w:lang w:val="en-US" w:eastAsia="zh-CN"/>
              </w:rPr>
              <w:t>钼</w:t>
            </w:r>
          </w:p>
        </w:tc>
        <w:tc>
          <w:tcPr>
            <w:tcW w:w="2164" w:type="dxa"/>
            <w:tcBorders>
              <w:tl2br w:val="nil"/>
              <w:tr2bl w:val="nil"/>
            </w:tcBorders>
            <w:vAlign w:val="center"/>
          </w:tcPr>
          <w:p w14:paraId="5D5C8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cs="Times New Roman"/>
                <w:color w:val="auto"/>
                <w:spacing w:val="0"/>
                <w:w w:val="100"/>
                <w:kern w:val="0"/>
                <w:position w:val="0"/>
                <w:highlight w:val="none"/>
                <w:lang w:val="en-US" w:eastAsia="zh-CN"/>
              </w:rPr>
              <w:t>COD、氨氮</w:t>
            </w:r>
          </w:p>
        </w:tc>
      </w:tr>
      <w:tr w14:paraId="287800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5FBDF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eastAsia="zh-CN"/>
              </w:rPr>
            </w:pPr>
            <w:r>
              <w:rPr>
                <w:rFonts w:hint="default" w:ascii="Times New Roman" w:hAnsi="Times New Roman" w:eastAsia="宋体" w:cs="Times New Roman"/>
                <w:color w:val="auto"/>
                <w:spacing w:val="0"/>
                <w:w w:val="100"/>
                <w:kern w:val="0"/>
                <w:position w:val="0"/>
                <w:lang w:eastAsia="zh-CN"/>
              </w:rPr>
              <w:t>声环境</w:t>
            </w:r>
          </w:p>
        </w:tc>
        <w:tc>
          <w:tcPr>
            <w:tcW w:w="5302" w:type="dxa"/>
            <w:tcBorders>
              <w:tl2br w:val="nil"/>
              <w:tr2bl w:val="nil"/>
            </w:tcBorders>
            <w:vAlign w:val="center"/>
          </w:tcPr>
          <w:p w14:paraId="4743C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lang w:val="en-US" w:eastAsia="zh-CN"/>
              </w:rPr>
              <w:t>昼间、夜间</w:t>
            </w:r>
            <w:r>
              <w:rPr>
                <w:rFonts w:hint="default" w:ascii="Times New Roman" w:hAnsi="Times New Roman" w:eastAsia="宋体" w:cs="Times New Roman"/>
                <w:color w:val="auto"/>
                <w:spacing w:val="0"/>
                <w:w w:val="100"/>
                <w:kern w:val="0"/>
                <w:position w:val="0"/>
              </w:rPr>
              <w:t>等效连续A声级</w:t>
            </w:r>
          </w:p>
        </w:tc>
        <w:tc>
          <w:tcPr>
            <w:tcW w:w="2164" w:type="dxa"/>
            <w:tcBorders>
              <w:tl2br w:val="nil"/>
              <w:tr2bl w:val="nil"/>
            </w:tcBorders>
            <w:vAlign w:val="center"/>
          </w:tcPr>
          <w:p w14:paraId="1E445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lang w:val="en-US" w:eastAsia="zh-CN"/>
              </w:rPr>
              <w:t>昼间、夜间</w:t>
            </w:r>
            <w:r>
              <w:rPr>
                <w:rFonts w:hint="default" w:ascii="Times New Roman" w:hAnsi="Times New Roman" w:eastAsia="宋体" w:cs="Times New Roman"/>
                <w:color w:val="auto"/>
                <w:spacing w:val="0"/>
                <w:w w:val="100"/>
                <w:kern w:val="0"/>
                <w:position w:val="0"/>
              </w:rPr>
              <w:t>等效连续A声级</w:t>
            </w:r>
          </w:p>
        </w:tc>
      </w:tr>
      <w:tr w14:paraId="74CA16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26E44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rPr>
              <w:t>固体废物</w:t>
            </w:r>
          </w:p>
        </w:tc>
        <w:tc>
          <w:tcPr>
            <w:tcW w:w="5302" w:type="dxa"/>
            <w:tcBorders>
              <w:tl2br w:val="nil"/>
              <w:tr2bl w:val="nil"/>
            </w:tcBorders>
            <w:vAlign w:val="center"/>
          </w:tcPr>
          <w:p w14:paraId="7A2F2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rPr>
              <w:t>/</w:t>
            </w:r>
          </w:p>
        </w:tc>
        <w:tc>
          <w:tcPr>
            <w:tcW w:w="2164" w:type="dxa"/>
            <w:tcBorders>
              <w:tl2br w:val="nil"/>
              <w:tr2bl w:val="nil"/>
            </w:tcBorders>
            <w:vAlign w:val="center"/>
          </w:tcPr>
          <w:p w14:paraId="0AEF9C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CN"/>
              </w:rPr>
            </w:pPr>
            <w:r>
              <w:rPr>
                <w:rFonts w:hint="default" w:ascii="Times New Roman" w:hAnsi="Times New Roman" w:eastAsia="宋体" w:cs="Times New Roman"/>
                <w:color w:val="auto"/>
                <w:spacing w:val="0"/>
                <w:w w:val="100"/>
                <w:kern w:val="0"/>
                <w:position w:val="0"/>
              </w:rPr>
              <w:t>采矿废石、废机油</w:t>
            </w:r>
            <w:r>
              <w:rPr>
                <w:rFonts w:hint="default" w:ascii="Times New Roman" w:hAnsi="Times New Roman" w:eastAsia="宋体" w:cs="Times New Roman"/>
                <w:color w:val="auto"/>
                <w:spacing w:val="0"/>
                <w:w w:val="100"/>
                <w:kern w:val="0"/>
                <w:position w:val="0"/>
                <w:lang w:val="en-US" w:eastAsia="zh-CN"/>
              </w:rPr>
              <w:t>等</w:t>
            </w:r>
          </w:p>
        </w:tc>
      </w:tr>
      <w:tr w14:paraId="2E90E9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0313B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eastAsia="zh-CN"/>
              </w:rPr>
            </w:pPr>
            <w:r>
              <w:rPr>
                <w:rFonts w:hint="default" w:ascii="Times New Roman" w:hAnsi="Times New Roman" w:eastAsia="宋体" w:cs="Times New Roman"/>
                <w:color w:val="auto"/>
                <w:spacing w:val="0"/>
                <w:w w:val="100"/>
                <w:kern w:val="0"/>
                <w:position w:val="0"/>
                <w:lang w:eastAsia="zh-CN"/>
              </w:rPr>
              <w:t>土壤环境</w:t>
            </w:r>
          </w:p>
        </w:tc>
        <w:tc>
          <w:tcPr>
            <w:tcW w:w="5302" w:type="dxa"/>
            <w:tcBorders>
              <w:tl2br w:val="nil"/>
              <w:tr2bl w:val="nil"/>
            </w:tcBorders>
            <w:vAlign w:val="center"/>
          </w:tcPr>
          <w:p w14:paraId="4FA35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CN"/>
              </w:rPr>
            </w:pPr>
            <w:r>
              <w:rPr>
                <w:rFonts w:hint="default" w:ascii="Times New Roman" w:hAnsi="Times New Roman" w:eastAsia="宋体" w:cs="Times New Roman"/>
                <w:color w:val="auto"/>
                <w:spacing w:val="0"/>
                <w:w w:val="100"/>
                <w:position w:val="0"/>
                <w:szCs w:val="21"/>
                <w:lang w:val="en-US" w:eastAsia="zh-CN" w:bidi="ar"/>
              </w:rPr>
              <w:t>pH、全盐</w:t>
            </w:r>
            <w:r>
              <w:rPr>
                <w:rFonts w:hint="default" w:ascii="Times New Roman" w:hAnsi="Times New Roman" w:eastAsia="宋体" w:cs="Times New Roman"/>
                <w:color w:val="auto"/>
                <w:sz w:val="21"/>
                <w:szCs w:val="21"/>
                <w:highlight w:val="none"/>
                <w:lang w:eastAsia="zh-CN"/>
              </w:rPr>
              <w:t>量</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砷、镉、铬（六价）、铜、铅、汞、镍、四氯化碳、氯仿、氯甲烷、1，1-二氯乙烷、1.2-二氯乙烷、1，1-二氯乙烯、顺-1，2-二氯乙烯、反-1.2-二氯乙烯、二氯乙烷、1，2-二氯丙烷、1，1，1，2-四氯乙烷、1，1，2，2-四氯乙烷、四氯乙烯、1，1，1-三氯乙烷、1，1，2-三氯乙烷、三氯乙烯、1，2，3-三氯丙烷、氯乙烯、苯、氯苯、1，2-二氯苯，1，4-二氯苯、乙苯、苯乙烯、甲苯、间二甲苯+对二甲苯、邻二甲苯、硝基苯、苯胺、2-氯酚、苯并</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a</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蒽、苯并</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a</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芘、苯并</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b</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荧蒽、苯并</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k</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荧蒽、䓛、二苯并</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a，h</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color w:val="auto"/>
                <w:spacing w:val="0"/>
                <w:w w:val="100"/>
                <w:position w:val="0"/>
                <w:szCs w:val="21"/>
                <w:lang w:val="zh-CN" w:eastAsia="zh-CN" w:bidi="ar"/>
              </w:rPr>
              <w:t>蒽</w:t>
            </w:r>
            <w:r>
              <w:rPr>
                <w:rFonts w:hint="default" w:ascii="Times New Roman" w:hAnsi="Times New Roman" w:eastAsia="宋体" w:cs="Times New Roman"/>
                <w:color w:val="auto"/>
                <w:spacing w:val="0"/>
                <w:w w:val="100"/>
                <w:position w:val="0"/>
                <w:szCs w:val="21"/>
                <w:lang w:val="en-US" w:eastAsia="zh-CN" w:bidi="ar"/>
              </w:rPr>
              <w:t>、</w:t>
            </w:r>
            <w:r>
              <w:rPr>
                <w:rFonts w:hint="default" w:ascii="Times New Roman" w:hAnsi="Times New Roman" w:eastAsia="宋体" w:cs="Times New Roman"/>
                <w:bCs/>
                <w:color w:val="auto"/>
                <w:spacing w:val="0"/>
                <w:w w:val="100"/>
                <w:position w:val="0"/>
                <w:sz w:val="21"/>
                <w:szCs w:val="21"/>
                <w:vertAlign w:val="baseline"/>
                <w:lang w:val="en-US" w:eastAsia="zh-CN"/>
              </w:rPr>
              <w:t>茚并〔1，2，3-cd〕芘、萘、石油烃</w:t>
            </w:r>
          </w:p>
        </w:tc>
        <w:tc>
          <w:tcPr>
            <w:tcW w:w="2164" w:type="dxa"/>
            <w:tcBorders>
              <w:tl2br w:val="nil"/>
              <w:tr2bl w:val="nil"/>
            </w:tcBorders>
            <w:vAlign w:val="center"/>
          </w:tcPr>
          <w:p w14:paraId="7CDE8F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val="en-US" w:eastAsia="zh-Hans"/>
              </w:rPr>
            </w:pPr>
            <w:r>
              <w:rPr>
                <w:rFonts w:hint="default" w:ascii="Times New Roman" w:hAnsi="Times New Roman" w:eastAsia="宋体" w:cs="Times New Roman"/>
                <w:color w:val="auto"/>
                <w:spacing w:val="0"/>
                <w:w w:val="100"/>
                <w:position w:val="0"/>
                <w:sz w:val="21"/>
                <w:szCs w:val="21"/>
                <w:lang w:val="en-US" w:eastAsia="zh-CN"/>
              </w:rPr>
              <w:t>铅</w:t>
            </w:r>
            <w:r>
              <w:rPr>
                <w:rFonts w:hint="default" w:ascii="Times New Roman" w:hAnsi="Times New Roman" w:cs="Times New Roman"/>
                <w:color w:val="auto"/>
                <w:spacing w:val="0"/>
                <w:w w:val="100"/>
                <w:position w:val="0"/>
                <w:sz w:val="21"/>
                <w:szCs w:val="21"/>
                <w:lang w:val="en-US" w:eastAsia="zh-CN"/>
              </w:rPr>
              <w:t>、</w:t>
            </w:r>
            <w:r>
              <w:rPr>
                <w:rFonts w:hint="default" w:ascii="Times New Roman" w:hAnsi="Times New Roman" w:eastAsia="宋体" w:cs="Times New Roman"/>
                <w:color w:val="auto"/>
                <w:sz w:val="21"/>
                <w:szCs w:val="21"/>
                <w:highlight w:val="none"/>
                <w:lang w:eastAsia="zh-CN"/>
              </w:rPr>
              <w:t>全盐量</w:t>
            </w:r>
          </w:p>
        </w:tc>
      </w:tr>
      <w:tr w14:paraId="2FE125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1011" w:type="dxa"/>
            <w:tcBorders>
              <w:tl2br w:val="nil"/>
              <w:tr2bl w:val="nil"/>
            </w:tcBorders>
            <w:vAlign w:val="center"/>
          </w:tcPr>
          <w:p w14:paraId="67742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eastAsia="zh-CN"/>
              </w:rPr>
            </w:pPr>
            <w:r>
              <w:rPr>
                <w:rFonts w:hint="default" w:ascii="Times New Roman" w:hAnsi="Times New Roman" w:eastAsia="宋体" w:cs="Times New Roman"/>
                <w:color w:val="auto"/>
                <w:spacing w:val="0"/>
                <w:w w:val="100"/>
                <w:kern w:val="0"/>
                <w:position w:val="0"/>
                <w:lang w:eastAsia="zh-CN"/>
              </w:rPr>
              <w:t>生态环境</w:t>
            </w:r>
          </w:p>
        </w:tc>
        <w:tc>
          <w:tcPr>
            <w:tcW w:w="5302" w:type="dxa"/>
            <w:tcBorders>
              <w:tl2br w:val="nil"/>
              <w:tr2bl w:val="nil"/>
            </w:tcBorders>
            <w:vAlign w:val="center"/>
          </w:tcPr>
          <w:p w14:paraId="7EA6A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lang w:val="en-US" w:eastAsia="zh-CN"/>
              </w:rPr>
            </w:pPr>
            <w:r>
              <w:rPr>
                <w:rFonts w:hint="default" w:ascii="Times New Roman" w:hAnsi="Times New Roman" w:eastAsia="宋体" w:cs="Times New Roman"/>
                <w:color w:val="auto"/>
                <w:spacing w:val="0"/>
                <w:w w:val="100"/>
                <w:position w:val="0"/>
                <w:szCs w:val="21"/>
                <w:lang w:val="en-US" w:eastAsia="zh-CN" w:bidi="ar"/>
              </w:rPr>
              <w:t>种群数量、植被覆盖度、生物量、生态系统功能</w:t>
            </w:r>
          </w:p>
        </w:tc>
        <w:tc>
          <w:tcPr>
            <w:tcW w:w="2164" w:type="dxa"/>
            <w:tcBorders>
              <w:tl2br w:val="nil"/>
              <w:tr2bl w:val="nil"/>
            </w:tcBorders>
            <w:vAlign w:val="center"/>
          </w:tcPr>
          <w:p w14:paraId="5DE1D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Cs w:val="21"/>
                <w:lang w:val="en-US" w:eastAsia="zh-CN" w:bidi="ar"/>
              </w:rPr>
            </w:pPr>
            <w:r>
              <w:rPr>
                <w:rFonts w:hint="default" w:ascii="Times New Roman" w:hAnsi="Times New Roman" w:eastAsia="宋体" w:cs="Times New Roman"/>
                <w:color w:val="auto"/>
                <w:spacing w:val="0"/>
                <w:w w:val="100"/>
                <w:position w:val="0"/>
                <w:szCs w:val="21"/>
                <w:lang w:val="en-US" w:eastAsia="zh-CN" w:bidi="ar"/>
              </w:rPr>
              <w:t>种群数量、植被覆盖度、生物量、生态系统功能</w:t>
            </w:r>
          </w:p>
        </w:tc>
      </w:tr>
      <w:tr w14:paraId="64AC55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011" w:type="dxa"/>
            <w:tcBorders>
              <w:tl2br w:val="nil"/>
              <w:tr2bl w:val="nil"/>
            </w:tcBorders>
            <w:vAlign w:val="center"/>
          </w:tcPr>
          <w:p w14:paraId="5B8AC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eastAsia="宋体" w:cs="Times New Roman"/>
                <w:color w:val="auto"/>
                <w:spacing w:val="0"/>
                <w:w w:val="100"/>
                <w:kern w:val="0"/>
                <w:position w:val="0"/>
              </w:rPr>
              <w:t>环境风险</w:t>
            </w:r>
          </w:p>
        </w:tc>
        <w:tc>
          <w:tcPr>
            <w:tcW w:w="5302" w:type="dxa"/>
            <w:tcBorders>
              <w:tl2br w:val="nil"/>
              <w:tr2bl w:val="nil"/>
            </w:tcBorders>
            <w:vAlign w:val="center"/>
          </w:tcPr>
          <w:p w14:paraId="65D0F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kern w:val="0"/>
                <w:position w:val="0"/>
              </w:rPr>
            </w:pPr>
            <w:r>
              <w:rPr>
                <w:rFonts w:hint="default" w:ascii="Times New Roman" w:hAnsi="Times New Roman" w:cs="Times New Roman"/>
                <w:color w:val="auto"/>
                <w:spacing w:val="0"/>
                <w:w w:val="100"/>
                <w:position w:val="0"/>
                <w:lang w:val="en-US" w:eastAsia="zh-CN"/>
              </w:rPr>
              <w:t>/</w:t>
            </w:r>
          </w:p>
        </w:tc>
        <w:tc>
          <w:tcPr>
            <w:tcW w:w="2164" w:type="dxa"/>
            <w:tcBorders>
              <w:tl2br w:val="nil"/>
              <w:tr2bl w:val="nil"/>
            </w:tcBorders>
            <w:vAlign w:val="center"/>
          </w:tcPr>
          <w:p w14:paraId="355CF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Cs w:val="21"/>
                <w:lang w:val="en-US" w:eastAsia="zh-CN" w:bidi="ar"/>
              </w:rPr>
            </w:pPr>
            <w:r>
              <w:rPr>
                <w:rFonts w:hint="default" w:ascii="Times New Roman" w:hAnsi="Times New Roman" w:eastAsia="宋体" w:cs="Times New Roman"/>
                <w:color w:val="auto"/>
                <w:spacing w:val="0"/>
                <w:w w:val="100"/>
                <w:position w:val="0"/>
                <w:szCs w:val="21"/>
                <w:lang w:val="en-US" w:eastAsia="zh-CN" w:bidi="ar"/>
              </w:rPr>
              <w:t>火灾爆炸产生的伴生/次生污染物排放、危废贮存库废油泄漏</w:t>
            </w:r>
          </w:p>
        </w:tc>
      </w:tr>
    </w:tbl>
    <w:p w14:paraId="66038359">
      <w:pPr>
        <w:pStyle w:val="3"/>
        <w:bidi w:val="0"/>
        <w:rPr>
          <w:rFonts w:hint="default" w:ascii="Times New Roman" w:hAnsi="Times New Roman" w:cs="Times New Roman"/>
          <w:color w:val="auto"/>
        </w:rPr>
      </w:pPr>
      <w:bookmarkStart w:id="138" w:name="_Toc31722"/>
      <w:bookmarkStart w:id="139" w:name="_Toc19234"/>
      <w:bookmarkStart w:id="140" w:name="_Toc16810"/>
      <w:bookmarkStart w:id="141" w:name="_Toc26901"/>
      <w:r>
        <w:rPr>
          <w:rFonts w:hint="default" w:ascii="Times New Roman" w:hAnsi="Times New Roman" w:cs="Times New Roman"/>
          <w:color w:val="auto"/>
        </w:rPr>
        <w:t>环境功能区划和评价标准</w:t>
      </w:r>
      <w:bookmarkEnd w:id="133"/>
      <w:bookmarkEnd w:id="134"/>
      <w:bookmarkEnd w:id="135"/>
      <w:bookmarkEnd w:id="136"/>
      <w:bookmarkEnd w:id="137"/>
      <w:bookmarkEnd w:id="138"/>
      <w:bookmarkEnd w:id="139"/>
      <w:bookmarkEnd w:id="140"/>
      <w:bookmarkEnd w:id="141"/>
    </w:p>
    <w:p w14:paraId="0E8DFD4D">
      <w:pPr>
        <w:pStyle w:val="4"/>
        <w:bidi w:val="0"/>
        <w:rPr>
          <w:rFonts w:hint="default" w:ascii="Times New Roman" w:hAnsi="Times New Roman" w:cs="Times New Roman"/>
          <w:color w:val="auto"/>
        </w:rPr>
      </w:pPr>
      <w:bookmarkStart w:id="142" w:name="_Toc15420"/>
      <w:bookmarkStart w:id="143" w:name="_Toc3960"/>
      <w:bookmarkStart w:id="144" w:name="_Toc28100"/>
      <w:bookmarkStart w:id="145" w:name="_Toc15960"/>
      <w:bookmarkStart w:id="146" w:name="_Toc16227"/>
      <w:bookmarkStart w:id="147" w:name="_Toc31099"/>
      <w:bookmarkStart w:id="148" w:name="_Toc22126121"/>
      <w:r>
        <w:rPr>
          <w:rFonts w:hint="default" w:ascii="Times New Roman" w:hAnsi="Times New Roman" w:cs="Times New Roman"/>
          <w:color w:val="auto"/>
        </w:rPr>
        <w:t>环境功能区划</w:t>
      </w:r>
      <w:bookmarkEnd w:id="142"/>
      <w:bookmarkEnd w:id="143"/>
      <w:bookmarkEnd w:id="144"/>
      <w:bookmarkEnd w:id="145"/>
      <w:bookmarkEnd w:id="146"/>
      <w:bookmarkEnd w:id="147"/>
      <w:bookmarkEnd w:id="148"/>
    </w:p>
    <w:p w14:paraId="1FED2870">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rPr>
        <w:t>2.</w:t>
      </w:r>
      <w:r>
        <w:rPr>
          <w:rFonts w:hint="default" w:ascii="Times New Roman" w:hAnsi="Times New Roman" w:cs="Times New Roman"/>
          <w:color w:val="auto"/>
          <w:lang w:val="en-US" w:eastAsia="zh-CN"/>
        </w:rPr>
        <w:t>4</w:t>
      </w:r>
      <w:r>
        <w:rPr>
          <w:rFonts w:hint="default" w:ascii="Times New Roman" w:hAnsi="Times New Roman" w:cs="Times New Roman"/>
          <w:color w:val="auto"/>
        </w:rPr>
        <w:t>.1.1环境空气功能区划</w:t>
      </w:r>
    </w:p>
    <w:p w14:paraId="1CC6DD5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szCs w:val="24"/>
          <w:lang w:val="en-US" w:eastAsia="zh-CN"/>
        </w:rPr>
        <w:t>本项目隶属于哈密市</w:t>
      </w:r>
      <w:r>
        <w:rPr>
          <w:rFonts w:hint="default" w:ascii="Times New Roman" w:hAnsi="Times New Roman" w:cs="Times New Roman"/>
          <w:color w:val="auto"/>
          <w:sz w:val="24"/>
          <w:szCs w:val="24"/>
          <w:lang w:val="en-US" w:eastAsia="zh-CN"/>
        </w:rPr>
        <w:t>伊州区</w:t>
      </w:r>
      <w:r>
        <w:rPr>
          <w:rFonts w:hint="default" w:ascii="Times New Roman" w:hAnsi="Times New Roman" w:eastAsia="宋体" w:cs="Times New Roman"/>
          <w:color w:val="auto"/>
          <w:spacing w:val="0"/>
          <w:w w:val="100"/>
          <w:position w:val="0"/>
          <w:sz w:val="24"/>
          <w:szCs w:val="24"/>
          <w:lang w:val="en-US" w:eastAsia="zh-CN"/>
        </w:rPr>
        <w:t>，根据《环境空气质量标准》（GB3095-20</w:t>
      </w:r>
      <w:r>
        <w:rPr>
          <w:rFonts w:hint="default" w:ascii="Times New Roman" w:hAnsi="Times New Roman" w:cs="Times New Roman"/>
          <w:color w:val="auto"/>
          <w:spacing w:val="0"/>
          <w:w w:val="100"/>
          <w:position w:val="0"/>
          <w:sz w:val="24"/>
          <w:szCs w:val="24"/>
          <w:lang w:val="en-US" w:eastAsia="zh-CN"/>
        </w:rPr>
        <w:t>26</w:t>
      </w:r>
      <w:r>
        <w:rPr>
          <w:rFonts w:hint="default" w:ascii="Times New Roman" w:hAnsi="Times New Roman" w:eastAsia="宋体" w:cs="Times New Roman"/>
          <w:color w:val="auto"/>
          <w:spacing w:val="0"/>
          <w:w w:val="100"/>
          <w:position w:val="0"/>
          <w:sz w:val="24"/>
          <w:szCs w:val="24"/>
          <w:lang w:val="en-US" w:eastAsia="zh-CN"/>
        </w:rPr>
        <w:t>），场址区域属于环境空气质量二类区。</w:t>
      </w:r>
    </w:p>
    <w:p w14:paraId="70F4DB31">
      <w:pPr>
        <w:pStyle w:val="5"/>
        <w:bidi w:val="0"/>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4</w:t>
      </w:r>
      <w:r>
        <w:rPr>
          <w:rFonts w:hint="default" w:ascii="Times New Roman" w:hAnsi="Times New Roman" w:cs="Times New Roman"/>
          <w:color w:val="auto"/>
        </w:rPr>
        <w:t>.1.2水环境功能区划</w:t>
      </w:r>
    </w:p>
    <w:p w14:paraId="513B529B">
      <w:pPr>
        <w:pStyle w:val="34"/>
        <w:keepNext w:val="0"/>
        <w:keepLines w:val="0"/>
        <w:pageBreakBefore w:val="0"/>
        <w:kinsoku/>
        <w:wordWrap/>
        <w:overflowPunct/>
        <w:topLinePunct w:val="0"/>
        <w:bidi w:val="0"/>
        <w:adjustRightInd w:val="0"/>
        <w:snapToGrid/>
        <w:spacing w:line="480" w:lineRule="exact"/>
        <w:ind w:left="0" w:leftChars="0" w:right="0" w:rightChars="0" w:firstLine="480" w:firstLineChars="200"/>
        <w:outlineLvl w:val="9"/>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（1）地表水</w:t>
      </w:r>
    </w:p>
    <w:p w14:paraId="0887E612">
      <w:pPr>
        <w:pStyle w:val="34"/>
        <w:keepNext w:val="0"/>
        <w:keepLines w:val="0"/>
        <w:pageBreakBefore w:val="0"/>
        <w:widowControl/>
        <w:kinsoku/>
        <w:wordWrap/>
        <w:overflowPunct/>
        <w:topLinePunct w:val="0"/>
        <w:bidi w:val="0"/>
        <w:adjustRightInd w:val="0"/>
        <w:snapToGrid/>
        <w:spacing w:line="480" w:lineRule="exact"/>
        <w:ind w:left="0" w:leftChars="0" w:right="0" w:rightChars="0" w:firstLine="480" w:firstLineChars="200"/>
        <w:textAlignment w:val="baseline"/>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本项目周边</w:t>
      </w:r>
      <w:r>
        <w:rPr>
          <w:rFonts w:hint="default" w:ascii="Times New Roman" w:hAnsi="Times New Roman" w:eastAsia="宋体" w:cs="Times New Roman"/>
          <w:color w:val="auto"/>
          <w:spacing w:val="0"/>
          <w:w w:val="100"/>
          <w:position w:val="0"/>
          <w:highlight w:val="none"/>
          <w:lang w:val="en-US" w:eastAsia="zh-CN"/>
        </w:rPr>
        <w:t>30km内</w:t>
      </w:r>
      <w:r>
        <w:rPr>
          <w:rFonts w:hint="default" w:ascii="Times New Roman" w:hAnsi="Times New Roman" w:eastAsia="宋体" w:cs="Times New Roman"/>
          <w:color w:val="auto"/>
          <w:spacing w:val="0"/>
          <w:w w:val="100"/>
          <w:position w:val="0"/>
          <w:highlight w:val="none"/>
        </w:rPr>
        <w:t>无地表水体。</w:t>
      </w:r>
    </w:p>
    <w:p w14:paraId="240E4BEC">
      <w:pPr>
        <w:keepNext w:val="0"/>
        <w:keepLines w:val="0"/>
        <w:pageBreakBefore w:val="0"/>
        <w:kinsoku/>
        <w:wordWrap/>
        <w:overflowPunct/>
        <w:topLinePunct w:val="0"/>
        <w:autoSpaceDE w:val="0"/>
        <w:autoSpaceDN w:val="0"/>
        <w:bidi w:val="0"/>
        <w:adjustRightInd w:val="0"/>
        <w:snapToGrid/>
        <w:spacing w:line="480" w:lineRule="exact"/>
        <w:ind w:left="0" w:leftChars="0" w:right="0" w:rightChars="0" w:firstLine="480" w:firstLineChars="200"/>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（2）地下水</w:t>
      </w:r>
    </w:p>
    <w:p w14:paraId="422BE26C">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根据《地下水质量标准》（GB/T14848-2017）中地下水质量分类标准，该区域地下水质量分类为Ⅲ类，执行《地下水质量标准》（GB/T14848-2017）Ⅲ类标准。</w:t>
      </w:r>
    </w:p>
    <w:p w14:paraId="6A2DFCA4">
      <w:pPr>
        <w:pStyle w:val="5"/>
        <w:bidi w:val="0"/>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lang w:val="en-US" w:eastAsia="zh-CN"/>
        </w:rPr>
        <w:t>4</w:t>
      </w:r>
      <w:r>
        <w:rPr>
          <w:rFonts w:hint="default" w:ascii="Times New Roman" w:hAnsi="Times New Roman" w:cs="Times New Roman"/>
          <w:color w:val="auto"/>
        </w:rPr>
        <w:t>.1.3声环境功能区划</w:t>
      </w:r>
    </w:p>
    <w:p w14:paraId="1CA5CDF2">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highlight w:val="none"/>
        </w:rPr>
        <w:t>本项目</w:t>
      </w:r>
      <w:r>
        <w:rPr>
          <w:rFonts w:hint="default" w:ascii="Times New Roman" w:hAnsi="Times New Roman" w:eastAsia="宋体" w:cs="Times New Roman"/>
          <w:color w:val="auto"/>
          <w:spacing w:val="0"/>
          <w:w w:val="100"/>
          <w:position w:val="0"/>
          <w:sz w:val="24"/>
          <w:szCs w:val="24"/>
          <w:lang w:val="en-US" w:eastAsia="zh-CN"/>
        </w:rPr>
        <w:t>位于山区，远离市区、村镇，主要功能为工业生产，根据《声环境质量标准》（GB3096-2008）中声环境功能区的划分要求，本项目属于2类声环境功能区。</w:t>
      </w:r>
    </w:p>
    <w:p w14:paraId="7E7BBFE5">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2.4.1.4土壤功能区划</w:t>
      </w:r>
    </w:p>
    <w:p w14:paraId="765FD7E5">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本项目工业场地及废石场</w:t>
      </w:r>
      <w:r>
        <w:rPr>
          <w:rFonts w:hint="default" w:ascii="Times New Roman" w:hAnsi="Times New Roman" w:cs="Times New Roman"/>
          <w:color w:val="auto"/>
          <w:spacing w:val="0"/>
          <w:w w:val="100"/>
          <w:position w:val="0"/>
          <w:sz w:val="24"/>
          <w:szCs w:val="24"/>
          <w:lang w:val="en-US" w:eastAsia="zh-CN"/>
        </w:rPr>
        <w:t>等</w:t>
      </w:r>
      <w:r>
        <w:rPr>
          <w:rFonts w:hint="default" w:ascii="Times New Roman" w:hAnsi="Times New Roman" w:eastAsia="宋体" w:cs="Times New Roman"/>
          <w:color w:val="auto"/>
          <w:spacing w:val="0"/>
          <w:w w:val="100"/>
          <w:position w:val="0"/>
          <w:sz w:val="24"/>
          <w:szCs w:val="24"/>
          <w:lang w:val="en-US" w:eastAsia="zh-CN"/>
        </w:rPr>
        <w:t>用地性质为工矿用地，根据《土壤环境质量 建设用地土壤污染风险管控标准（试行）》（GB36600-2018），本项目属于第二类用地中的工业用地（M）。</w:t>
      </w:r>
    </w:p>
    <w:p w14:paraId="13B19CFF">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2.4.1.5生态功能区划</w:t>
      </w:r>
    </w:p>
    <w:p w14:paraId="117E41C6">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按照《新疆生态功能区划》，项目所在区域位于天山山地温性草原、森林生态区，天山南坡吐鲁番—</w:t>
      </w:r>
      <w:r>
        <w:rPr>
          <w:rFonts w:hint="default" w:ascii="Times New Roman" w:hAnsi="Times New Roman" w:cs="Times New Roman"/>
          <w:color w:val="auto"/>
          <w:spacing w:val="0"/>
          <w:w w:val="100"/>
          <w:position w:val="0"/>
          <w:sz w:val="24"/>
          <w:szCs w:val="24"/>
          <w:lang w:val="en-US" w:eastAsia="zh-CN"/>
        </w:rPr>
        <w:t>哈</w:t>
      </w:r>
      <w:r>
        <w:rPr>
          <w:rFonts w:hint="default" w:ascii="Times New Roman" w:hAnsi="Times New Roman" w:eastAsia="宋体" w:cs="Times New Roman"/>
          <w:color w:val="auto"/>
          <w:spacing w:val="0"/>
          <w:w w:val="100"/>
          <w:position w:val="0"/>
          <w:sz w:val="24"/>
          <w:szCs w:val="24"/>
          <w:lang w:val="en-US" w:eastAsia="zh-CN"/>
        </w:rPr>
        <w:t>密盆地戈壁荒漠、绿洲农业生态亚区，嘎顺—南湖戈壁荒漠风蚀敏感生态功能区。</w:t>
      </w:r>
    </w:p>
    <w:p w14:paraId="48224104">
      <w:pPr>
        <w:pStyle w:val="4"/>
        <w:bidi w:val="0"/>
        <w:rPr>
          <w:rFonts w:hint="default" w:ascii="Times New Roman" w:hAnsi="Times New Roman" w:cs="Times New Roman"/>
          <w:color w:val="auto"/>
        </w:rPr>
      </w:pPr>
      <w:bookmarkStart w:id="149" w:name="_Toc688"/>
      <w:bookmarkStart w:id="150" w:name="_Toc21528_WPSOffice_Level3"/>
      <w:bookmarkStart w:id="151" w:name="_Toc10898"/>
      <w:bookmarkStart w:id="152" w:name="_Toc23713"/>
      <w:bookmarkStart w:id="153" w:name="_Toc7800"/>
      <w:bookmarkStart w:id="154" w:name="_Toc15206"/>
      <w:bookmarkStart w:id="155" w:name="_Toc6830_WPSOffice_Level3"/>
      <w:bookmarkStart w:id="156" w:name="_Toc4236"/>
      <w:bookmarkStart w:id="157" w:name="_Toc22126122"/>
      <w:bookmarkStart w:id="158" w:name="_Toc13313"/>
      <w:bookmarkStart w:id="159" w:name="_Toc16067"/>
      <w:r>
        <w:rPr>
          <w:rFonts w:hint="default" w:ascii="Times New Roman" w:hAnsi="Times New Roman" w:cs="Times New Roman"/>
          <w:color w:val="auto"/>
        </w:rPr>
        <w:t>评价标准</w:t>
      </w:r>
      <w:bookmarkEnd w:id="149"/>
      <w:bookmarkEnd w:id="150"/>
      <w:bookmarkEnd w:id="151"/>
      <w:bookmarkEnd w:id="152"/>
      <w:bookmarkEnd w:id="153"/>
      <w:bookmarkEnd w:id="154"/>
      <w:bookmarkEnd w:id="155"/>
      <w:bookmarkEnd w:id="156"/>
      <w:bookmarkEnd w:id="157"/>
      <w:bookmarkEnd w:id="158"/>
      <w:bookmarkEnd w:id="159"/>
      <w:r>
        <w:rPr>
          <w:rFonts w:hint="default" w:ascii="Times New Roman" w:hAnsi="Times New Roman" w:cs="Times New Roman"/>
          <w:color w:val="auto"/>
          <w:lang w:val="en-US" w:eastAsia="zh-CN"/>
        </w:rPr>
        <w:tab/>
      </w:r>
    </w:p>
    <w:p w14:paraId="7DEB2B35">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2.4.2.1环境质量标准</w:t>
      </w:r>
    </w:p>
    <w:p w14:paraId="7AF4E126">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cs="Times New Roman"/>
          <w:color w:val="auto"/>
          <w:spacing w:val="0"/>
          <w:w w:val="100"/>
          <w:position w:val="0"/>
          <w:sz w:val="24"/>
          <w:szCs w:val="24"/>
          <w:highlight w:val="none"/>
          <w:lang w:val="en-US" w:eastAsia="zh-CN"/>
        </w:rPr>
        <w:t>环境空气</w:t>
      </w:r>
      <w:r>
        <w:rPr>
          <w:rFonts w:hint="default" w:ascii="Times New Roman" w:hAnsi="Times New Roman" w:eastAsia="宋体" w:cs="Times New Roman"/>
          <w:color w:val="auto"/>
          <w:spacing w:val="0"/>
          <w:w w:val="100"/>
          <w:position w:val="0"/>
          <w:sz w:val="24"/>
          <w:szCs w:val="24"/>
          <w:highlight w:val="none"/>
        </w:rPr>
        <w:t>质量标准</w:t>
      </w:r>
    </w:p>
    <w:p w14:paraId="119CDA30">
      <w:pPr>
        <w:keepNext w:val="0"/>
        <w:keepLines w:val="0"/>
        <w:pageBreakBefore w:val="0"/>
        <w:widowControl w:val="0"/>
        <w:kinsoku/>
        <w:wordWrap/>
        <w:overflowPunct/>
        <w:topLinePunct w:val="0"/>
        <w:autoSpaceDE w:val="0"/>
        <w:autoSpaceDN w:val="0"/>
        <w:bidi w:val="0"/>
        <w:adjustRightInd/>
        <w:snapToGrid/>
        <w:spacing w:line="480" w:lineRule="exact"/>
        <w:ind w:left="0" w:firstLine="480" w:firstLineChars="200"/>
        <w:textAlignment w:val="auto"/>
        <w:rPr>
          <w:rFonts w:hint="default" w:ascii="Times New Roman" w:hAnsi="Times New Roman" w:cs="Times New Roman"/>
          <w:color w:val="auto"/>
          <w:w w:val="100"/>
          <w:kern w:val="0"/>
          <w:sz w:val="24"/>
          <w:highlight w:val="none"/>
        </w:rPr>
      </w:pPr>
      <w:r>
        <w:rPr>
          <w:rFonts w:hint="default" w:ascii="Times New Roman" w:hAnsi="Times New Roman" w:cs="Times New Roman"/>
          <w:color w:val="auto"/>
          <w:w w:val="100"/>
          <w:kern w:val="0"/>
          <w:sz w:val="24"/>
          <w:highlight w:val="none"/>
        </w:rPr>
        <w:t>本项目所在区域执行《环境空气质量标准》（</w:t>
      </w:r>
      <w:r>
        <w:rPr>
          <w:rFonts w:hint="default" w:ascii="Times New Roman" w:hAnsi="Times New Roman" w:cs="Times New Roman"/>
          <w:color w:val="auto"/>
          <w:w w:val="100"/>
          <w:kern w:val="0"/>
          <w:sz w:val="24"/>
          <w:highlight w:val="none"/>
          <w:lang w:eastAsia="zh-CN"/>
        </w:rPr>
        <w:t xml:space="preserve">GB </w:t>
      </w:r>
      <w:r>
        <w:rPr>
          <w:rFonts w:hint="default" w:ascii="Times New Roman" w:hAnsi="Times New Roman" w:cs="Times New Roman"/>
          <w:color w:val="auto"/>
          <w:w w:val="100"/>
          <w:kern w:val="0"/>
          <w:sz w:val="24"/>
          <w:highlight w:val="none"/>
        </w:rPr>
        <w:t>3095-2</w:t>
      </w:r>
      <w:r>
        <w:rPr>
          <w:rFonts w:hint="default" w:ascii="Times New Roman" w:hAnsi="Times New Roman" w:cs="Times New Roman"/>
          <w:color w:val="auto"/>
          <w:w w:val="100"/>
          <w:kern w:val="0"/>
          <w:sz w:val="24"/>
          <w:highlight w:val="none"/>
          <w:lang w:val="en-US" w:eastAsia="zh-CN"/>
        </w:rPr>
        <w:t>026</w:t>
      </w:r>
      <w:r>
        <w:rPr>
          <w:rFonts w:hint="default" w:ascii="Times New Roman" w:hAnsi="Times New Roman" w:cs="Times New Roman"/>
          <w:color w:val="auto"/>
          <w:w w:val="100"/>
          <w:kern w:val="0"/>
          <w:sz w:val="24"/>
          <w:highlight w:val="none"/>
          <w:lang w:eastAsia="zh-CN"/>
        </w:rPr>
        <w:t>）</w:t>
      </w:r>
      <w:r>
        <w:rPr>
          <w:rFonts w:hint="default" w:ascii="Times New Roman" w:hAnsi="Times New Roman" w:cs="Times New Roman"/>
          <w:color w:val="auto"/>
          <w:w w:val="100"/>
          <w:kern w:val="0"/>
          <w:sz w:val="24"/>
          <w:highlight w:val="none"/>
          <w:lang w:val="en-US" w:eastAsia="zh-CN"/>
        </w:rPr>
        <w:t>过渡阶段浓度限值</w:t>
      </w:r>
      <w:r>
        <w:rPr>
          <w:rFonts w:hint="default" w:ascii="Times New Roman" w:hAnsi="Times New Roman" w:cs="Times New Roman"/>
          <w:color w:val="auto"/>
          <w:w w:val="100"/>
          <w:kern w:val="0"/>
          <w:sz w:val="24"/>
          <w:highlight w:val="none"/>
        </w:rPr>
        <w:t>中的二级标准，具体标准限值见表</w:t>
      </w:r>
      <w:r>
        <w:rPr>
          <w:rFonts w:hint="default" w:ascii="Times New Roman" w:hAnsi="Times New Roman" w:cs="Times New Roman"/>
          <w:color w:val="auto"/>
          <w:w w:val="100"/>
          <w:kern w:val="0"/>
          <w:sz w:val="24"/>
          <w:highlight w:val="none"/>
          <w:lang w:val="en-US" w:eastAsia="zh-CN"/>
        </w:rPr>
        <w:t>2.4-1</w:t>
      </w:r>
      <w:r>
        <w:rPr>
          <w:rFonts w:hint="default" w:ascii="Times New Roman" w:hAnsi="Times New Roman" w:cs="Times New Roman"/>
          <w:color w:val="auto"/>
          <w:w w:val="100"/>
          <w:kern w:val="0"/>
          <w:sz w:val="24"/>
          <w:highlight w:val="none"/>
        </w:rPr>
        <w:t>。</w:t>
      </w:r>
    </w:p>
    <w:p w14:paraId="496B1DE2">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rPr>
        <w:t>表</w:t>
      </w:r>
      <w:r>
        <w:rPr>
          <w:rFonts w:hint="default" w:ascii="Times New Roman" w:hAnsi="Times New Roman" w:eastAsia="宋体" w:cs="Times New Roman"/>
          <w:b/>
          <w:bCs/>
          <w:color w:val="auto"/>
          <w:spacing w:val="0"/>
          <w:w w:val="100"/>
          <w:position w:val="0"/>
          <w:sz w:val="21"/>
          <w:szCs w:val="21"/>
          <w:lang w:val="en-US" w:eastAsia="zh-CN"/>
        </w:rPr>
        <w:t xml:space="preserve">2.4-1     </w:t>
      </w:r>
      <w:r>
        <w:rPr>
          <w:rFonts w:hint="default" w:ascii="Times New Roman" w:hAnsi="Times New Roman" w:eastAsia="宋体" w:cs="Times New Roman"/>
          <w:b/>
          <w:bCs/>
          <w:color w:val="auto"/>
          <w:spacing w:val="0"/>
          <w:w w:val="100"/>
          <w:position w:val="0"/>
          <w:sz w:val="21"/>
          <w:szCs w:val="21"/>
        </w:rPr>
        <w:t>环境空气质量</w:t>
      </w:r>
      <w:r>
        <w:rPr>
          <w:rFonts w:hint="default" w:ascii="Times New Roman" w:hAnsi="Times New Roman" w:eastAsia="宋体" w:cs="Times New Roman"/>
          <w:b/>
          <w:bCs/>
          <w:color w:val="auto"/>
          <w:spacing w:val="0"/>
          <w:w w:val="100"/>
          <w:position w:val="0"/>
          <w:sz w:val="21"/>
          <w:szCs w:val="21"/>
          <w:lang w:val="en-US" w:eastAsia="zh-CN"/>
        </w:rPr>
        <w:t>标准  单位：mg/m</w:t>
      </w:r>
      <w:r>
        <w:rPr>
          <w:rFonts w:hint="default" w:ascii="Times New Roman" w:hAnsi="Times New Roman" w:eastAsia="宋体" w:cs="Times New Roman"/>
          <w:b/>
          <w:bCs/>
          <w:color w:val="auto"/>
          <w:spacing w:val="0"/>
          <w:w w:val="100"/>
          <w:position w:val="0"/>
          <w:sz w:val="21"/>
          <w:szCs w:val="21"/>
          <w:vertAlign w:val="superscript"/>
          <w:lang w:val="en-US" w:eastAsia="zh-CN"/>
        </w:rPr>
        <w:t>3</w:t>
      </w:r>
    </w:p>
    <w:tbl>
      <w:tblPr>
        <w:tblStyle w:val="3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272"/>
        <w:gridCol w:w="3503"/>
        <w:gridCol w:w="2558"/>
      </w:tblGrid>
      <w:tr w14:paraId="26CE8E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1363" w:type="pct"/>
            <w:tcBorders>
              <w:tl2br w:val="nil"/>
              <w:tr2bl w:val="nil"/>
            </w:tcBorders>
            <w:noWrap w:val="0"/>
            <w:vAlign w:val="center"/>
          </w:tcPr>
          <w:p w14:paraId="4A46A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污染物名称</w:t>
            </w:r>
          </w:p>
        </w:tc>
        <w:tc>
          <w:tcPr>
            <w:tcW w:w="2101" w:type="pct"/>
            <w:tcBorders>
              <w:tl2br w:val="nil"/>
              <w:tr2bl w:val="nil"/>
            </w:tcBorders>
            <w:noWrap w:val="0"/>
            <w:vAlign w:val="center"/>
          </w:tcPr>
          <w:p w14:paraId="5C8437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取值时间</w:t>
            </w:r>
          </w:p>
        </w:tc>
        <w:tc>
          <w:tcPr>
            <w:tcW w:w="1534" w:type="pct"/>
            <w:tcBorders>
              <w:tl2br w:val="nil"/>
              <w:tr2bl w:val="nil"/>
            </w:tcBorders>
            <w:noWrap w:val="0"/>
            <w:vAlign w:val="center"/>
          </w:tcPr>
          <w:p w14:paraId="29812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过渡阶段二级标准</w:t>
            </w:r>
          </w:p>
        </w:tc>
      </w:tr>
      <w:tr w14:paraId="7B7F89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2B290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SO</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zh-CN" w:eastAsia="zh-CN"/>
              </w:rPr>
              <w:t>2</w:t>
            </w:r>
          </w:p>
        </w:tc>
        <w:tc>
          <w:tcPr>
            <w:tcW w:w="2101" w:type="pct"/>
            <w:tcBorders>
              <w:tl2br w:val="nil"/>
              <w:tr2bl w:val="nil"/>
            </w:tcBorders>
            <w:noWrap w:val="0"/>
            <w:vAlign w:val="center"/>
          </w:tcPr>
          <w:p w14:paraId="390B6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1小时平均</w:t>
            </w:r>
          </w:p>
        </w:tc>
        <w:tc>
          <w:tcPr>
            <w:tcW w:w="1534" w:type="pct"/>
            <w:tcBorders>
              <w:tl2br w:val="nil"/>
              <w:tr2bl w:val="nil"/>
            </w:tcBorders>
            <w:noWrap w:val="0"/>
            <w:vAlign w:val="center"/>
          </w:tcPr>
          <w:p w14:paraId="7D4EA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0.50</w:t>
            </w:r>
          </w:p>
        </w:tc>
      </w:tr>
      <w:tr w14:paraId="607871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0E724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294DD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71B7D6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0.15</w:t>
            </w:r>
          </w:p>
        </w:tc>
      </w:tr>
      <w:tr w14:paraId="281096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2A995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01121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年均值</w:t>
            </w:r>
          </w:p>
        </w:tc>
        <w:tc>
          <w:tcPr>
            <w:tcW w:w="1534" w:type="pct"/>
            <w:tcBorders>
              <w:tl2br w:val="nil"/>
              <w:tr2bl w:val="nil"/>
            </w:tcBorders>
            <w:noWrap w:val="0"/>
            <w:vAlign w:val="center"/>
          </w:tcPr>
          <w:p w14:paraId="358E4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0.06</w:t>
            </w:r>
          </w:p>
        </w:tc>
      </w:tr>
      <w:tr w14:paraId="0D9E50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24529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NO</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zh-CN" w:eastAsia="zh-CN"/>
              </w:rPr>
              <w:t>2</w:t>
            </w:r>
          </w:p>
        </w:tc>
        <w:tc>
          <w:tcPr>
            <w:tcW w:w="2101" w:type="pct"/>
            <w:tcBorders>
              <w:tl2br w:val="nil"/>
              <w:tr2bl w:val="nil"/>
            </w:tcBorders>
            <w:noWrap w:val="0"/>
            <w:vAlign w:val="center"/>
          </w:tcPr>
          <w:p w14:paraId="503AB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1小时平均</w:t>
            </w:r>
          </w:p>
        </w:tc>
        <w:tc>
          <w:tcPr>
            <w:tcW w:w="1534" w:type="pct"/>
            <w:tcBorders>
              <w:tl2br w:val="nil"/>
              <w:tr2bl w:val="nil"/>
            </w:tcBorders>
            <w:noWrap w:val="0"/>
            <w:vAlign w:val="center"/>
          </w:tcPr>
          <w:p w14:paraId="424D56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0.20</w:t>
            </w:r>
          </w:p>
        </w:tc>
      </w:tr>
      <w:tr w14:paraId="1104B7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35C1E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25EF8B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695246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0.08</w:t>
            </w:r>
          </w:p>
        </w:tc>
      </w:tr>
      <w:tr w14:paraId="3A779D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22B52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27791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年均值</w:t>
            </w:r>
          </w:p>
        </w:tc>
        <w:tc>
          <w:tcPr>
            <w:tcW w:w="1534" w:type="pct"/>
            <w:tcBorders>
              <w:tl2br w:val="nil"/>
              <w:tr2bl w:val="nil"/>
            </w:tcBorders>
            <w:noWrap w:val="0"/>
            <w:vAlign w:val="center"/>
          </w:tcPr>
          <w:p w14:paraId="15334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0.04</w:t>
            </w:r>
          </w:p>
        </w:tc>
      </w:tr>
      <w:tr w14:paraId="58CAF3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77CA2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CO</w:t>
            </w:r>
          </w:p>
        </w:tc>
        <w:tc>
          <w:tcPr>
            <w:tcW w:w="2101" w:type="pct"/>
            <w:tcBorders>
              <w:tl2br w:val="nil"/>
              <w:tr2bl w:val="nil"/>
            </w:tcBorders>
            <w:noWrap w:val="0"/>
            <w:vAlign w:val="center"/>
          </w:tcPr>
          <w:p w14:paraId="662E6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1小时平均</w:t>
            </w:r>
          </w:p>
        </w:tc>
        <w:tc>
          <w:tcPr>
            <w:tcW w:w="1534" w:type="pct"/>
            <w:tcBorders>
              <w:tl2br w:val="nil"/>
              <w:tr2bl w:val="nil"/>
            </w:tcBorders>
            <w:noWrap w:val="0"/>
            <w:vAlign w:val="center"/>
          </w:tcPr>
          <w:p w14:paraId="3B61CF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10</w:t>
            </w:r>
          </w:p>
        </w:tc>
      </w:tr>
      <w:tr w14:paraId="6905C7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4A4AF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1E424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443C8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4</w:t>
            </w:r>
          </w:p>
        </w:tc>
      </w:tr>
      <w:tr w14:paraId="506AA4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1A127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O</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zh-CN" w:eastAsia="zh-CN"/>
              </w:rPr>
              <w:t>3</w:t>
            </w:r>
          </w:p>
        </w:tc>
        <w:tc>
          <w:tcPr>
            <w:tcW w:w="2101" w:type="pct"/>
            <w:tcBorders>
              <w:tl2br w:val="nil"/>
              <w:tr2bl w:val="nil"/>
            </w:tcBorders>
            <w:noWrap w:val="0"/>
            <w:vAlign w:val="center"/>
          </w:tcPr>
          <w:p w14:paraId="1057B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1小时平均</w:t>
            </w:r>
          </w:p>
        </w:tc>
        <w:tc>
          <w:tcPr>
            <w:tcW w:w="1534" w:type="pct"/>
            <w:tcBorders>
              <w:tl2br w:val="nil"/>
              <w:tr2bl w:val="nil"/>
            </w:tcBorders>
            <w:noWrap w:val="0"/>
            <w:vAlign w:val="center"/>
          </w:tcPr>
          <w:p w14:paraId="78801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0.20</w:t>
            </w:r>
          </w:p>
        </w:tc>
      </w:tr>
      <w:tr w14:paraId="7DB57D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0D7A8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6A0E8F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日最大8小时平均</w:t>
            </w:r>
          </w:p>
        </w:tc>
        <w:tc>
          <w:tcPr>
            <w:tcW w:w="1534" w:type="pct"/>
            <w:tcBorders>
              <w:tl2br w:val="nil"/>
              <w:tr2bl w:val="nil"/>
            </w:tcBorders>
            <w:noWrap w:val="0"/>
            <w:vAlign w:val="center"/>
          </w:tcPr>
          <w:p w14:paraId="1855E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0.16</w:t>
            </w:r>
          </w:p>
        </w:tc>
      </w:tr>
      <w:tr w14:paraId="5C9D77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6CF1E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PM</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zh-CN" w:eastAsia="zh-CN"/>
              </w:rPr>
              <w:t>2.5</w:t>
            </w:r>
          </w:p>
        </w:tc>
        <w:tc>
          <w:tcPr>
            <w:tcW w:w="2101" w:type="pct"/>
            <w:tcBorders>
              <w:tl2br w:val="nil"/>
              <w:tr2bl w:val="nil"/>
            </w:tcBorders>
            <w:noWrap w:val="0"/>
            <w:vAlign w:val="center"/>
          </w:tcPr>
          <w:p w14:paraId="26021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0EE8BF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6</w:t>
            </w:r>
          </w:p>
        </w:tc>
      </w:tr>
      <w:tr w14:paraId="0CCF48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0AEF0A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5BF6C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年均值</w:t>
            </w:r>
          </w:p>
        </w:tc>
        <w:tc>
          <w:tcPr>
            <w:tcW w:w="1534" w:type="pct"/>
            <w:tcBorders>
              <w:tl2br w:val="nil"/>
              <w:tr2bl w:val="nil"/>
            </w:tcBorders>
            <w:noWrap w:val="0"/>
            <w:vAlign w:val="center"/>
          </w:tcPr>
          <w:p w14:paraId="51C8E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0.03</w:t>
            </w:r>
          </w:p>
        </w:tc>
      </w:tr>
      <w:tr w14:paraId="5564AA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20E9C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PM</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zh-CN" w:eastAsia="zh-CN"/>
              </w:rPr>
              <w:t>10</w:t>
            </w:r>
          </w:p>
        </w:tc>
        <w:tc>
          <w:tcPr>
            <w:tcW w:w="2101" w:type="pct"/>
            <w:tcBorders>
              <w:tl2br w:val="nil"/>
              <w:tr2bl w:val="nil"/>
            </w:tcBorders>
            <w:noWrap w:val="0"/>
            <w:vAlign w:val="center"/>
          </w:tcPr>
          <w:p w14:paraId="37037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163B77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0.1</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2</w:t>
            </w:r>
          </w:p>
        </w:tc>
      </w:tr>
      <w:tr w14:paraId="013469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6A3EF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34ADE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年均值</w:t>
            </w:r>
          </w:p>
        </w:tc>
        <w:tc>
          <w:tcPr>
            <w:tcW w:w="1534" w:type="pct"/>
            <w:tcBorders>
              <w:tl2br w:val="nil"/>
              <w:tr2bl w:val="nil"/>
            </w:tcBorders>
            <w:noWrap w:val="0"/>
            <w:vAlign w:val="center"/>
          </w:tcPr>
          <w:p w14:paraId="20834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0.0</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6</w:t>
            </w:r>
          </w:p>
        </w:tc>
      </w:tr>
      <w:tr w14:paraId="731399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restart"/>
            <w:tcBorders>
              <w:tl2br w:val="nil"/>
              <w:tr2bl w:val="nil"/>
            </w:tcBorders>
            <w:noWrap w:val="0"/>
            <w:vAlign w:val="center"/>
          </w:tcPr>
          <w:p w14:paraId="6F0DC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TSP</w:t>
            </w:r>
          </w:p>
        </w:tc>
        <w:tc>
          <w:tcPr>
            <w:tcW w:w="2101" w:type="pct"/>
            <w:tcBorders>
              <w:tl2br w:val="nil"/>
              <w:tr2bl w:val="nil"/>
            </w:tcBorders>
            <w:noWrap w:val="0"/>
            <w:vAlign w:val="center"/>
          </w:tcPr>
          <w:p w14:paraId="726BE1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24小时平均</w:t>
            </w:r>
          </w:p>
        </w:tc>
        <w:tc>
          <w:tcPr>
            <w:tcW w:w="1534" w:type="pct"/>
            <w:tcBorders>
              <w:tl2br w:val="nil"/>
              <w:tr2bl w:val="nil"/>
            </w:tcBorders>
            <w:noWrap w:val="0"/>
            <w:vAlign w:val="center"/>
          </w:tcPr>
          <w:p w14:paraId="76538E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0.30</w:t>
            </w:r>
          </w:p>
        </w:tc>
      </w:tr>
      <w:tr w14:paraId="3C21E6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1363" w:type="pct"/>
            <w:vMerge w:val="continue"/>
            <w:tcBorders>
              <w:tl2br w:val="nil"/>
              <w:tr2bl w:val="nil"/>
            </w:tcBorders>
            <w:noWrap w:val="0"/>
            <w:vAlign w:val="center"/>
          </w:tcPr>
          <w:p w14:paraId="7834D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p>
        </w:tc>
        <w:tc>
          <w:tcPr>
            <w:tcW w:w="2101" w:type="pct"/>
            <w:tcBorders>
              <w:tl2br w:val="nil"/>
              <w:tr2bl w:val="nil"/>
            </w:tcBorders>
            <w:noWrap w:val="0"/>
            <w:vAlign w:val="center"/>
          </w:tcPr>
          <w:p w14:paraId="71413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年均值</w:t>
            </w:r>
          </w:p>
        </w:tc>
        <w:tc>
          <w:tcPr>
            <w:tcW w:w="1534" w:type="pct"/>
            <w:tcBorders>
              <w:tl2br w:val="nil"/>
              <w:tr2bl w:val="nil"/>
            </w:tcBorders>
            <w:noWrap w:val="0"/>
            <w:vAlign w:val="center"/>
          </w:tcPr>
          <w:p w14:paraId="432A7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zh-CN" w:eastAsia="zh-CN"/>
              </w:rPr>
              <w:t>0.20</w:t>
            </w:r>
          </w:p>
        </w:tc>
      </w:tr>
    </w:tbl>
    <w:p w14:paraId="41453FE4">
      <w:pPr>
        <w:keepNext w:val="0"/>
        <w:keepLines w:val="0"/>
        <w:pageBreakBefore w:val="0"/>
        <w:widowControl w:val="0"/>
        <w:numPr>
          <w:ilvl w:val="0"/>
          <w:numId w:val="2"/>
        </w:numPr>
        <w:kinsoku/>
        <w:wordWrap/>
        <w:overflowPunct/>
        <w:topLinePunct w:val="0"/>
        <w:autoSpaceDE/>
        <w:autoSpaceDN/>
        <w:bidi w:val="0"/>
        <w:adjustRightInd/>
        <w:snapToGrid/>
        <w:spacing w:line="480" w:lineRule="exact"/>
        <w:ind w:left="360" w:leftChars="0" w:firstLine="480" w:firstLineChars="0"/>
        <w:textAlignment w:val="auto"/>
        <w:outlineLvl w:val="9"/>
        <w:rPr>
          <w:rFonts w:hint="default" w:ascii="Times New Roman" w:hAnsi="Times New Roman" w:eastAsia="宋体" w:cs="Times New Roman"/>
          <w:color w:val="auto"/>
          <w:spacing w:val="0"/>
          <w:w w:val="100"/>
          <w:kern w:val="0"/>
          <w:position w:val="0"/>
          <w:sz w:val="24"/>
          <w:szCs w:val="24"/>
          <w:highlight w:val="none"/>
        </w:rPr>
      </w:pPr>
      <w:r>
        <w:rPr>
          <w:rFonts w:hint="default" w:ascii="Times New Roman" w:hAnsi="Times New Roman" w:eastAsia="宋体" w:cs="Times New Roman"/>
          <w:color w:val="auto"/>
          <w:spacing w:val="0"/>
          <w:w w:val="100"/>
          <w:position w:val="0"/>
          <w:sz w:val="24"/>
          <w:highlight w:val="none"/>
          <w:lang w:val="en-US" w:eastAsia="zh-CN"/>
        </w:rPr>
        <w:t>地下水</w:t>
      </w:r>
      <w:r>
        <w:rPr>
          <w:rFonts w:hint="default" w:ascii="Times New Roman" w:hAnsi="Times New Roman" w:eastAsia="宋体" w:cs="Times New Roman"/>
          <w:color w:val="auto"/>
          <w:spacing w:val="0"/>
          <w:w w:val="100"/>
          <w:kern w:val="0"/>
          <w:position w:val="0"/>
          <w:sz w:val="24"/>
          <w:szCs w:val="24"/>
          <w:highlight w:val="none"/>
        </w:rPr>
        <w:t>质量标准</w:t>
      </w:r>
    </w:p>
    <w:p w14:paraId="18A05B73">
      <w:pPr>
        <w:pStyle w:val="38"/>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评价区域地下水环境评价执行《地下水质量标准》（GB/T14848-2017）</w:t>
      </w:r>
      <w:r>
        <w:rPr>
          <w:rFonts w:hint="default" w:ascii="Times New Roman" w:hAnsi="Times New Roman" w:eastAsia="宋体" w:cs="Times New Roman"/>
          <w:color w:val="auto"/>
          <w:szCs w:val="24"/>
          <w:highlight w:val="none"/>
          <w:lang w:eastAsia="zh-CN"/>
        </w:rPr>
        <w:t>Ⅲ类</w:t>
      </w:r>
      <w:r>
        <w:rPr>
          <w:rFonts w:hint="default" w:ascii="Times New Roman" w:hAnsi="Times New Roman" w:eastAsia="宋体" w:cs="Times New Roman"/>
          <w:color w:val="auto"/>
          <w:szCs w:val="24"/>
          <w:highlight w:val="none"/>
        </w:rPr>
        <w:t>标准。地下水质量标准，见表</w:t>
      </w:r>
      <w:r>
        <w:rPr>
          <w:rFonts w:hint="default" w:ascii="Times New Roman" w:hAnsi="Times New Roman" w:eastAsia="宋体" w:cs="Times New Roman"/>
          <w:color w:val="auto"/>
          <w:szCs w:val="24"/>
          <w:highlight w:val="none"/>
          <w:lang w:val="en-US" w:eastAsia="zh-CN"/>
        </w:rPr>
        <w:t>2.4-2</w:t>
      </w:r>
      <w:r>
        <w:rPr>
          <w:rFonts w:hint="default" w:ascii="Times New Roman" w:hAnsi="Times New Roman" w:eastAsia="宋体" w:cs="Times New Roman"/>
          <w:color w:val="auto"/>
          <w:szCs w:val="24"/>
          <w:highlight w:val="none"/>
        </w:rPr>
        <w:t>。</w:t>
      </w:r>
    </w:p>
    <w:p w14:paraId="596A6C28">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w:t>
      </w:r>
      <w:r>
        <w:rPr>
          <w:rFonts w:hint="default" w:ascii="Times New Roman" w:hAnsi="Times New Roman" w:eastAsia="宋体" w:cs="Times New Roman"/>
          <w:b/>
          <w:bCs/>
          <w:color w:val="auto"/>
          <w:spacing w:val="0"/>
          <w:w w:val="100"/>
          <w:position w:val="0"/>
          <w:sz w:val="21"/>
          <w:szCs w:val="21"/>
          <w:lang w:val="en-US" w:eastAsia="zh-CN"/>
        </w:rPr>
        <w:t>2.4-2</w:t>
      </w:r>
      <w:r>
        <w:rPr>
          <w:rFonts w:hint="default" w:ascii="Times New Roman" w:hAnsi="Times New Roman" w:eastAsia="宋体" w:cs="Times New Roman"/>
          <w:b/>
          <w:bCs/>
          <w:color w:val="auto"/>
          <w:spacing w:val="0"/>
          <w:w w:val="100"/>
          <w:position w:val="0"/>
          <w:sz w:val="21"/>
          <w:szCs w:val="21"/>
        </w:rPr>
        <w:t xml:space="preserve">    地下水质量标准    单位：mg/L（pH除外）</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065"/>
        <w:gridCol w:w="2308"/>
        <w:gridCol w:w="2623"/>
        <w:gridCol w:w="2523"/>
      </w:tblGrid>
      <w:tr w14:paraId="51CF6E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noWrap w:val="0"/>
            <w:vAlign w:val="center"/>
          </w:tcPr>
          <w:p w14:paraId="5B224F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序号</w:t>
            </w:r>
          </w:p>
        </w:tc>
        <w:tc>
          <w:tcPr>
            <w:tcW w:w="1354" w:type="pct"/>
            <w:tcBorders>
              <w:tl2br w:val="nil"/>
              <w:tr2bl w:val="nil"/>
            </w:tcBorders>
            <w:shd w:val="clear" w:color="auto" w:fill="auto"/>
            <w:noWrap w:val="0"/>
            <w:vAlign w:val="center"/>
          </w:tcPr>
          <w:p w14:paraId="25863E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项目</w:t>
            </w:r>
          </w:p>
        </w:tc>
        <w:tc>
          <w:tcPr>
            <w:tcW w:w="1539" w:type="pct"/>
            <w:tcBorders>
              <w:tl2br w:val="nil"/>
              <w:tr2bl w:val="nil"/>
            </w:tcBorders>
            <w:shd w:val="clear" w:color="auto" w:fill="auto"/>
            <w:noWrap w:val="0"/>
            <w:vAlign w:val="center"/>
          </w:tcPr>
          <w:p w14:paraId="45048F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标准限值</w:t>
            </w:r>
          </w:p>
        </w:tc>
        <w:tc>
          <w:tcPr>
            <w:tcW w:w="1480" w:type="pct"/>
            <w:tcBorders>
              <w:tl2br w:val="nil"/>
              <w:tr2bl w:val="nil"/>
            </w:tcBorders>
            <w:shd w:val="clear" w:color="auto" w:fill="auto"/>
            <w:noWrap w:val="0"/>
            <w:vAlign w:val="center"/>
          </w:tcPr>
          <w:p w14:paraId="4028B9C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单位</w:t>
            </w:r>
          </w:p>
        </w:tc>
      </w:tr>
      <w:tr w14:paraId="2E0E54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80" w:hRule="atLeast"/>
          <w:jc w:val="center"/>
        </w:trPr>
        <w:tc>
          <w:tcPr>
            <w:tcW w:w="625" w:type="pct"/>
            <w:tcBorders>
              <w:tl2br w:val="nil"/>
              <w:tr2bl w:val="nil"/>
            </w:tcBorders>
            <w:noWrap w:val="0"/>
            <w:vAlign w:val="center"/>
          </w:tcPr>
          <w:p w14:paraId="3C9442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1354" w:type="pct"/>
            <w:tcBorders>
              <w:tl2br w:val="nil"/>
              <w:tr2bl w:val="nil"/>
            </w:tcBorders>
            <w:noWrap w:val="0"/>
            <w:vAlign w:val="center"/>
          </w:tcPr>
          <w:p w14:paraId="7109B9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pH值</w:t>
            </w:r>
          </w:p>
        </w:tc>
        <w:tc>
          <w:tcPr>
            <w:tcW w:w="1539" w:type="pct"/>
            <w:tcBorders>
              <w:tl2br w:val="nil"/>
              <w:tr2bl w:val="nil"/>
            </w:tcBorders>
            <w:noWrap w:val="0"/>
            <w:vAlign w:val="center"/>
          </w:tcPr>
          <w:p w14:paraId="72A1EF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6.5-8.5</w:t>
            </w:r>
          </w:p>
        </w:tc>
        <w:tc>
          <w:tcPr>
            <w:tcW w:w="1480" w:type="pct"/>
            <w:tcBorders>
              <w:tl2br w:val="nil"/>
              <w:tr2bl w:val="nil"/>
            </w:tcBorders>
            <w:shd w:val="clear" w:color="auto" w:fill="auto"/>
            <w:noWrap w:val="0"/>
            <w:vAlign w:val="center"/>
          </w:tcPr>
          <w:p w14:paraId="30DB618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无量纲</w:t>
            </w:r>
          </w:p>
        </w:tc>
      </w:tr>
      <w:tr w14:paraId="163F4D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389115F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w:t>
            </w:r>
          </w:p>
        </w:tc>
        <w:tc>
          <w:tcPr>
            <w:tcW w:w="1354" w:type="pct"/>
            <w:tcBorders>
              <w:tl2br w:val="nil"/>
              <w:tr2bl w:val="nil"/>
            </w:tcBorders>
            <w:noWrap w:val="0"/>
            <w:vAlign w:val="center"/>
          </w:tcPr>
          <w:p w14:paraId="7674BDD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总硬度</w:t>
            </w:r>
          </w:p>
        </w:tc>
        <w:tc>
          <w:tcPr>
            <w:tcW w:w="1539" w:type="pct"/>
            <w:tcBorders>
              <w:tl2br w:val="nil"/>
              <w:tr2bl w:val="nil"/>
            </w:tcBorders>
            <w:noWrap w:val="0"/>
            <w:vAlign w:val="center"/>
          </w:tcPr>
          <w:p w14:paraId="282F9E5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≤450</w:t>
            </w:r>
          </w:p>
        </w:tc>
        <w:tc>
          <w:tcPr>
            <w:tcW w:w="1480" w:type="pct"/>
            <w:tcBorders>
              <w:tl2br w:val="nil"/>
              <w:tr2bl w:val="nil"/>
            </w:tcBorders>
            <w:shd w:val="clear" w:color="auto" w:fill="auto"/>
            <w:noWrap w:val="0"/>
            <w:vAlign w:val="center"/>
          </w:tcPr>
          <w:p w14:paraId="769E70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47FB25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7779F88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3</w:t>
            </w:r>
          </w:p>
        </w:tc>
        <w:tc>
          <w:tcPr>
            <w:tcW w:w="1354" w:type="pct"/>
            <w:tcBorders>
              <w:tl2br w:val="nil"/>
              <w:tr2bl w:val="nil"/>
            </w:tcBorders>
            <w:noWrap w:val="0"/>
            <w:vAlign w:val="center"/>
          </w:tcPr>
          <w:p w14:paraId="488C7CE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溶解性总固体</w:t>
            </w:r>
          </w:p>
        </w:tc>
        <w:tc>
          <w:tcPr>
            <w:tcW w:w="1539" w:type="pct"/>
            <w:tcBorders>
              <w:tl2br w:val="nil"/>
              <w:tr2bl w:val="nil"/>
            </w:tcBorders>
            <w:noWrap w:val="0"/>
            <w:vAlign w:val="center"/>
          </w:tcPr>
          <w:p w14:paraId="5B4DAA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≤1000</w:t>
            </w:r>
          </w:p>
        </w:tc>
        <w:tc>
          <w:tcPr>
            <w:tcW w:w="1480" w:type="pct"/>
            <w:tcBorders>
              <w:tl2br w:val="nil"/>
              <w:tr2bl w:val="nil"/>
            </w:tcBorders>
            <w:shd w:val="clear" w:color="auto" w:fill="auto"/>
            <w:noWrap w:val="0"/>
            <w:vAlign w:val="center"/>
          </w:tcPr>
          <w:p w14:paraId="0011F4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6D519D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473E428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w:t>
            </w:r>
          </w:p>
        </w:tc>
        <w:tc>
          <w:tcPr>
            <w:tcW w:w="1354" w:type="pct"/>
            <w:tcBorders>
              <w:tl2br w:val="nil"/>
              <w:tr2bl w:val="nil"/>
            </w:tcBorders>
            <w:noWrap w:val="0"/>
            <w:vAlign w:val="center"/>
          </w:tcPr>
          <w:p w14:paraId="493E03A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氨氮</w:t>
            </w:r>
          </w:p>
        </w:tc>
        <w:tc>
          <w:tcPr>
            <w:tcW w:w="1539" w:type="pct"/>
            <w:tcBorders>
              <w:tl2br w:val="nil"/>
              <w:tr2bl w:val="nil"/>
            </w:tcBorders>
            <w:noWrap w:val="0"/>
            <w:vAlign w:val="center"/>
          </w:tcPr>
          <w:p w14:paraId="0189C6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0.5</w:t>
            </w:r>
          </w:p>
        </w:tc>
        <w:tc>
          <w:tcPr>
            <w:tcW w:w="1480" w:type="pct"/>
            <w:tcBorders>
              <w:tl2br w:val="nil"/>
              <w:tr2bl w:val="nil"/>
            </w:tcBorders>
            <w:shd w:val="clear" w:color="auto" w:fill="auto"/>
            <w:noWrap w:val="0"/>
            <w:vAlign w:val="center"/>
          </w:tcPr>
          <w:p w14:paraId="47E349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5D7001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522D99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5</w:t>
            </w:r>
          </w:p>
        </w:tc>
        <w:tc>
          <w:tcPr>
            <w:tcW w:w="1354" w:type="pct"/>
            <w:tcBorders>
              <w:tl2br w:val="nil"/>
              <w:tr2bl w:val="nil"/>
            </w:tcBorders>
            <w:noWrap w:val="0"/>
            <w:vAlign w:val="center"/>
          </w:tcPr>
          <w:p w14:paraId="7501411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挥发酚</w:t>
            </w:r>
          </w:p>
        </w:tc>
        <w:tc>
          <w:tcPr>
            <w:tcW w:w="1539" w:type="pct"/>
            <w:tcBorders>
              <w:tl2br w:val="nil"/>
              <w:tr2bl w:val="nil"/>
            </w:tcBorders>
            <w:noWrap w:val="0"/>
            <w:vAlign w:val="center"/>
          </w:tcPr>
          <w:p w14:paraId="2C2B4E3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0.002</w:t>
            </w:r>
          </w:p>
        </w:tc>
        <w:tc>
          <w:tcPr>
            <w:tcW w:w="1480" w:type="pct"/>
            <w:tcBorders>
              <w:tl2br w:val="nil"/>
              <w:tr2bl w:val="nil"/>
            </w:tcBorders>
            <w:shd w:val="clear" w:color="auto" w:fill="auto"/>
            <w:noWrap w:val="0"/>
            <w:vAlign w:val="center"/>
          </w:tcPr>
          <w:p w14:paraId="338056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7BB587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58AB9B7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w:t>
            </w:r>
          </w:p>
        </w:tc>
        <w:tc>
          <w:tcPr>
            <w:tcW w:w="1354" w:type="pct"/>
            <w:tcBorders>
              <w:tl2br w:val="nil"/>
              <w:tr2bl w:val="nil"/>
            </w:tcBorders>
            <w:noWrap w:val="0"/>
            <w:vAlign w:val="center"/>
          </w:tcPr>
          <w:p w14:paraId="122565A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氰化物</w:t>
            </w:r>
          </w:p>
        </w:tc>
        <w:tc>
          <w:tcPr>
            <w:tcW w:w="1539" w:type="pct"/>
            <w:tcBorders>
              <w:tl2br w:val="nil"/>
              <w:tr2bl w:val="nil"/>
            </w:tcBorders>
            <w:noWrap w:val="0"/>
            <w:vAlign w:val="center"/>
          </w:tcPr>
          <w:p w14:paraId="0A38815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≤0.05</w:t>
            </w:r>
          </w:p>
        </w:tc>
        <w:tc>
          <w:tcPr>
            <w:tcW w:w="1480" w:type="pct"/>
            <w:tcBorders>
              <w:tl2br w:val="nil"/>
              <w:tr2bl w:val="nil"/>
            </w:tcBorders>
            <w:shd w:val="clear" w:color="auto" w:fill="auto"/>
            <w:noWrap w:val="0"/>
            <w:vAlign w:val="center"/>
          </w:tcPr>
          <w:p w14:paraId="469B83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23AC3B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3CCD467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1354" w:type="pct"/>
            <w:tcBorders>
              <w:tl2br w:val="nil"/>
              <w:tr2bl w:val="nil"/>
            </w:tcBorders>
            <w:noWrap w:val="0"/>
            <w:vAlign w:val="center"/>
          </w:tcPr>
          <w:p w14:paraId="226C479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石油类</w:t>
            </w:r>
          </w:p>
        </w:tc>
        <w:tc>
          <w:tcPr>
            <w:tcW w:w="1539" w:type="pct"/>
            <w:tcBorders>
              <w:tl2br w:val="nil"/>
              <w:tr2bl w:val="nil"/>
            </w:tcBorders>
            <w:noWrap w:val="0"/>
            <w:vAlign w:val="center"/>
          </w:tcPr>
          <w:p w14:paraId="66D5A86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w:t>
            </w:r>
          </w:p>
        </w:tc>
        <w:tc>
          <w:tcPr>
            <w:tcW w:w="1480" w:type="pct"/>
            <w:tcBorders>
              <w:tl2br w:val="nil"/>
              <w:tr2bl w:val="nil"/>
            </w:tcBorders>
            <w:shd w:val="clear" w:color="auto" w:fill="auto"/>
            <w:noWrap w:val="0"/>
            <w:vAlign w:val="center"/>
          </w:tcPr>
          <w:p w14:paraId="101C6A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1D306C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3B09D2C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w:t>
            </w:r>
          </w:p>
        </w:tc>
        <w:tc>
          <w:tcPr>
            <w:tcW w:w="1354" w:type="pct"/>
            <w:tcBorders>
              <w:tl2br w:val="nil"/>
              <w:tr2bl w:val="nil"/>
            </w:tcBorders>
            <w:noWrap w:val="0"/>
            <w:vAlign w:val="center"/>
          </w:tcPr>
          <w:p w14:paraId="58E29E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氟化物</w:t>
            </w:r>
          </w:p>
        </w:tc>
        <w:tc>
          <w:tcPr>
            <w:tcW w:w="1539" w:type="pct"/>
            <w:tcBorders>
              <w:tl2br w:val="nil"/>
              <w:tr2bl w:val="nil"/>
            </w:tcBorders>
            <w:noWrap w:val="0"/>
            <w:vAlign w:val="center"/>
          </w:tcPr>
          <w:p w14:paraId="56150FE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c>
          <w:tcPr>
            <w:tcW w:w="1480" w:type="pct"/>
            <w:tcBorders>
              <w:tl2br w:val="nil"/>
              <w:tr2bl w:val="nil"/>
            </w:tcBorders>
            <w:shd w:val="clear" w:color="auto" w:fill="auto"/>
            <w:noWrap w:val="0"/>
            <w:vAlign w:val="center"/>
          </w:tcPr>
          <w:p w14:paraId="0E1C321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FD1D4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2B89D44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9</w:t>
            </w:r>
          </w:p>
        </w:tc>
        <w:tc>
          <w:tcPr>
            <w:tcW w:w="1354" w:type="pct"/>
            <w:tcBorders>
              <w:tl2br w:val="nil"/>
              <w:tr2bl w:val="nil"/>
            </w:tcBorders>
            <w:noWrap w:val="0"/>
            <w:vAlign w:val="center"/>
          </w:tcPr>
          <w:p w14:paraId="4D46A27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亚硝酸盐氮</w:t>
            </w:r>
          </w:p>
        </w:tc>
        <w:tc>
          <w:tcPr>
            <w:tcW w:w="1539" w:type="pct"/>
            <w:tcBorders>
              <w:tl2br w:val="nil"/>
              <w:tr2bl w:val="nil"/>
            </w:tcBorders>
            <w:noWrap w:val="0"/>
            <w:vAlign w:val="center"/>
          </w:tcPr>
          <w:p w14:paraId="4AC7BCA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c>
          <w:tcPr>
            <w:tcW w:w="1480" w:type="pct"/>
            <w:tcBorders>
              <w:tl2br w:val="nil"/>
              <w:tr2bl w:val="nil"/>
            </w:tcBorders>
            <w:shd w:val="clear" w:color="auto" w:fill="auto"/>
            <w:noWrap w:val="0"/>
            <w:vAlign w:val="center"/>
          </w:tcPr>
          <w:p w14:paraId="5F0313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1D6A16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25DBC7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10</w:t>
            </w:r>
          </w:p>
        </w:tc>
        <w:tc>
          <w:tcPr>
            <w:tcW w:w="1354" w:type="pct"/>
            <w:tcBorders>
              <w:tl2br w:val="nil"/>
              <w:tr2bl w:val="nil"/>
            </w:tcBorders>
            <w:noWrap w:val="0"/>
            <w:vAlign w:val="center"/>
          </w:tcPr>
          <w:p w14:paraId="720F840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硝酸盐氮</w:t>
            </w:r>
          </w:p>
        </w:tc>
        <w:tc>
          <w:tcPr>
            <w:tcW w:w="1539" w:type="pct"/>
            <w:tcBorders>
              <w:tl2br w:val="nil"/>
              <w:tr2bl w:val="nil"/>
            </w:tcBorders>
            <w:noWrap w:val="0"/>
            <w:vAlign w:val="center"/>
          </w:tcPr>
          <w:p w14:paraId="29661D1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20.0</w:t>
            </w:r>
          </w:p>
        </w:tc>
        <w:tc>
          <w:tcPr>
            <w:tcW w:w="1480" w:type="pct"/>
            <w:tcBorders>
              <w:tl2br w:val="nil"/>
              <w:tr2bl w:val="nil"/>
            </w:tcBorders>
            <w:shd w:val="clear" w:color="auto" w:fill="auto"/>
            <w:noWrap w:val="0"/>
            <w:vAlign w:val="center"/>
          </w:tcPr>
          <w:p w14:paraId="6D8D1E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59D76E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37B7579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11</w:t>
            </w:r>
          </w:p>
        </w:tc>
        <w:tc>
          <w:tcPr>
            <w:tcW w:w="1354" w:type="pct"/>
            <w:tcBorders>
              <w:tl2br w:val="nil"/>
              <w:tr2bl w:val="nil"/>
            </w:tcBorders>
            <w:noWrap w:val="0"/>
            <w:vAlign w:val="center"/>
          </w:tcPr>
          <w:p w14:paraId="0B3F64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六价铬</w:t>
            </w:r>
          </w:p>
        </w:tc>
        <w:tc>
          <w:tcPr>
            <w:tcW w:w="1539" w:type="pct"/>
            <w:tcBorders>
              <w:tl2br w:val="nil"/>
              <w:tr2bl w:val="nil"/>
            </w:tcBorders>
            <w:noWrap w:val="0"/>
            <w:vAlign w:val="center"/>
          </w:tcPr>
          <w:p w14:paraId="1FE1C20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0.05</w:t>
            </w:r>
          </w:p>
        </w:tc>
        <w:tc>
          <w:tcPr>
            <w:tcW w:w="1480" w:type="pct"/>
            <w:tcBorders>
              <w:tl2br w:val="nil"/>
              <w:tr2bl w:val="nil"/>
            </w:tcBorders>
            <w:shd w:val="clear" w:color="auto" w:fill="auto"/>
            <w:noWrap w:val="0"/>
            <w:vAlign w:val="center"/>
          </w:tcPr>
          <w:p w14:paraId="4F61BE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5F4C1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3027B4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1354" w:type="pct"/>
            <w:tcBorders>
              <w:tl2br w:val="nil"/>
              <w:tr2bl w:val="nil"/>
            </w:tcBorders>
            <w:noWrap w:val="0"/>
            <w:vAlign w:val="center"/>
          </w:tcPr>
          <w:p w14:paraId="0F86193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铝</w:t>
            </w:r>
          </w:p>
        </w:tc>
        <w:tc>
          <w:tcPr>
            <w:tcW w:w="1539" w:type="pct"/>
            <w:tcBorders>
              <w:tl2br w:val="nil"/>
              <w:tr2bl w:val="nil"/>
            </w:tcBorders>
            <w:noWrap w:val="0"/>
            <w:vAlign w:val="center"/>
          </w:tcPr>
          <w:p w14:paraId="4D86584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0.20</w:t>
            </w:r>
          </w:p>
        </w:tc>
        <w:tc>
          <w:tcPr>
            <w:tcW w:w="1480" w:type="pct"/>
            <w:tcBorders>
              <w:tl2br w:val="nil"/>
              <w:tr2bl w:val="nil"/>
            </w:tcBorders>
            <w:shd w:val="clear" w:color="auto" w:fill="auto"/>
            <w:noWrap w:val="0"/>
            <w:vAlign w:val="center"/>
          </w:tcPr>
          <w:p w14:paraId="431242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06857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0EEB8D8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13</w:t>
            </w:r>
          </w:p>
        </w:tc>
        <w:tc>
          <w:tcPr>
            <w:tcW w:w="1354" w:type="pct"/>
            <w:tcBorders>
              <w:tl2br w:val="nil"/>
              <w:tr2bl w:val="nil"/>
            </w:tcBorders>
            <w:noWrap w:val="0"/>
            <w:vAlign w:val="center"/>
          </w:tcPr>
          <w:p w14:paraId="7C297D8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铜</w:t>
            </w:r>
          </w:p>
        </w:tc>
        <w:tc>
          <w:tcPr>
            <w:tcW w:w="1539" w:type="pct"/>
            <w:tcBorders>
              <w:tl2br w:val="nil"/>
              <w:tr2bl w:val="nil"/>
            </w:tcBorders>
            <w:noWrap w:val="0"/>
            <w:vAlign w:val="center"/>
          </w:tcPr>
          <w:p w14:paraId="2B2D11A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1.00</w:t>
            </w:r>
          </w:p>
        </w:tc>
        <w:tc>
          <w:tcPr>
            <w:tcW w:w="1480" w:type="pct"/>
            <w:tcBorders>
              <w:tl2br w:val="nil"/>
              <w:tr2bl w:val="nil"/>
            </w:tcBorders>
            <w:shd w:val="clear" w:color="auto" w:fill="auto"/>
            <w:noWrap w:val="0"/>
            <w:vAlign w:val="center"/>
          </w:tcPr>
          <w:p w14:paraId="04B127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27152C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7088778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14</w:t>
            </w:r>
          </w:p>
        </w:tc>
        <w:tc>
          <w:tcPr>
            <w:tcW w:w="1354" w:type="pct"/>
            <w:tcBorders>
              <w:tl2br w:val="nil"/>
              <w:tr2bl w:val="nil"/>
            </w:tcBorders>
            <w:noWrap w:val="0"/>
            <w:vAlign w:val="center"/>
          </w:tcPr>
          <w:p w14:paraId="6B6A274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锌</w:t>
            </w:r>
          </w:p>
        </w:tc>
        <w:tc>
          <w:tcPr>
            <w:tcW w:w="1539" w:type="pct"/>
            <w:tcBorders>
              <w:tl2br w:val="nil"/>
              <w:tr2bl w:val="nil"/>
            </w:tcBorders>
            <w:noWrap w:val="0"/>
            <w:vAlign w:val="center"/>
          </w:tcPr>
          <w:p w14:paraId="6109145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1.00</w:t>
            </w:r>
          </w:p>
        </w:tc>
        <w:tc>
          <w:tcPr>
            <w:tcW w:w="1480" w:type="pct"/>
            <w:tcBorders>
              <w:tl2br w:val="nil"/>
              <w:tr2bl w:val="nil"/>
            </w:tcBorders>
            <w:shd w:val="clear" w:color="auto" w:fill="auto"/>
            <w:noWrap w:val="0"/>
            <w:vAlign w:val="center"/>
          </w:tcPr>
          <w:p w14:paraId="69D481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D476F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253E39B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w:t>
            </w:r>
          </w:p>
        </w:tc>
        <w:tc>
          <w:tcPr>
            <w:tcW w:w="1354" w:type="pct"/>
            <w:tcBorders>
              <w:tl2br w:val="nil"/>
              <w:tr2bl w:val="nil"/>
            </w:tcBorders>
            <w:noWrap w:val="0"/>
            <w:vAlign w:val="center"/>
          </w:tcPr>
          <w:p w14:paraId="493D527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镉</w:t>
            </w:r>
          </w:p>
        </w:tc>
        <w:tc>
          <w:tcPr>
            <w:tcW w:w="1539" w:type="pct"/>
            <w:tcBorders>
              <w:tl2br w:val="nil"/>
              <w:tr2bl w:val="nil"/>
            </w:tcBorders>
            <w:noWrap w:val="0"/>
            <w:vAlign w:val="center"/>
          </w:tcPr>
          <w:p w14:paraId="4FB2D08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0.005</w:t>
            </w:r>
          </w:p>
        </w:tc>
        <w:tc>
          <w:tcPr>
            <w:tcW w:w="1480" w:type="pct"/>
            <w:tcBorders>
              <w:tl2br w:val="nil"/>
              <w:tr2bl w:val="nil"/>
            </w:tcBorders>
            <w:shd w:val="clear" w:color="auto" w:fill="auto"/>
            <w:noWrap w:val="0"/>
            <w:vAlign w:val="center"/>
          </w:tcPr>
          <w:p w14:paraId="534EAE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4C1B2A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71" w:hRule="atLeast"/>
          <w:jc w:val="center"/>
        </w:trPr>
        <w:tc>
          <w:tcPr>
            <w:tcW w:w="625" w:type="pct"/>
            <w:tcBorders>
              <w:tl2br w:val="nil"/>
              <w:tr2bl w:val="nil"/>
            </w:tcBorders>
            <w:noWrap w:val="0"/>
            <w:vAlign w:val="center"/>
          </w:tcPr>
          <w:p w14:paraId="7E0C39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p>
        </w:tc>
        <w:tc>
          <w:tcPr>
            <w:tcW w:w="1354" w:type="pct"/>
            <w:tcBorders>
              <w:tl2br w:val="nil"/>
              <w:tr2bl w:val="nil"/>
            </w:tcBorders>
            <w:noWrap w:val="0"/>
            <w:vAlign w:val="center"/>
          </w:tcPr>
          <w:p w14:paraId="2EA9C3A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锰</w:t>
            </w:r>
          </w:p>
        </w:tc>
        <w:tc>
          <w:tcPr>
            <w:tcW w:w="1539" w:type="pct"/>
            <w:tcBorders>
              <w:tl2br w:val="nil"/>
              <w:tr2bl w:val="nil"/>
            </w:tcBorders>
            <w:noWrap w:val="0"/>
            <w:vAlign w:val="center"/>
          </w:tcPr>
          <w:p w14:paraId="1A8FB7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0.10</w:t>
            </w:r>
          </w:p>
        </w:tc>
        <w:tc>
          <w:tcPr>
            <w:tcW w:w="1480" w:type="pct"/>
            <w:tcBorders>
              <w:tl2br w:val="nil"/>
              <w:tr2bl w:val="nil"/>
            </w:tcBorders>
            <w:shd w:val="clear" w:color="auto" w:fill="auto"/>
            <w:noWrap w:val="0"/>
            <w:vAlign w:val="center"/>
          </w:tcPr>
          <w:p w14:paraId="6D1881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2EAE11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07987F3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w:t>
            </w:r>
          </w:p>
        </w:tc>
        <w:tc>
          <w:tcPr>
            <w:tcW w:w="1354" w:type="pct"/>
            <w:tcBorders>
              <w:tl2br w:val="nil"/>
              <w:tr2bl w:val="nil"/>
            </w:tcBorders>
            <w:noWrap w:val="0"/>
            <w:vAlign w:val="center"/>
          </w:tcPr>
          <w:p w14:paraId="7AF664F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铁</w:t>
            </w:r>
          </w:p>
        </w:tc>
        <w:tc>
          <w:tcPr>
            <w:tcW w:w="1539" w:type="pct"/>
            <w:tcBorders>
              <w:tl2br w:val="nil"/>
              <w:tr2bl w:val="nil"/>
            </w:tcBorders>
            <w:noWrap w:val="0"/>
            <w:vAlign w:val="center"/>
          </w:tcPr>
          <w:p w14:paraId="73144B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0.3</w:t>
            </w:r>
          </w:p>
        </w:tc>
        <w:tc>
          <w:tcPr>
            <w:tcW w:w="1480" w:type="pct"/>
            <w:tcBorders>
              <w:tl2br w:val="nil"/>
              <w:tr2bl w:val="nil"/>
            </w:tcBorders>
            <w:shd w:val="clear" w:color="auto" w:fill="auto"/>
            <w:noWrap w:val="0"/>
            <w:vAlign w:val="center"/>
          </w:tcPr>
          <w:p w14:paraId="757E6A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051686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0A5DF99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c>
          <w:tcPr>
            <w:tcW w:w="1354" w:type="pct"/>
            <w:tcBorders>
              <w:tl2br w:val="nil"/>
              <w:tr2bl w:val="nil"/>
            </w:tcBorders>
            <w:noWrap w:val="0"/>
            <w:vAlign w:val="center"/>
          </w:tcPr>
          <w:p w14:paraId="7F2426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砷</w:t>
            </w:r>
          </w:p>
        </w:tc>
        <w:tc>
          <w:tcPr>
            <w:tcW w:w="1539" w:type="pct"/>
            <w:tcBorders>
              <w:tl2br w:val="nil"/>
              <w:tr2bl w:val="nil"/>
            </w:tcBorders>
            <w:noWrap w:val="0"/>
            <w:vAlign w:val="center"/>
          </w:tcPr>
          <w:p w14:paraId="79D50DD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c>
          <w:tcPr>
            <w:tcW w:w="1480" w:type="pct"/>
            <w:tcBorders>
              <w:tl2br w:val="nil"/>
              <w:tr2bl w:val="nil"/>
            </w:tcBorders>
            <w:shd w:val="clear" w:color="auto" w:fill="auto"/>
            <w:noWrap w:val="0"/>
            <w:vAlign w:val="center"/>
          </w:tcPr>
          <w:p w14:paraId="22704A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r>
      <w:tr w14:paraId="461491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7DD990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19</w:t>
            </w:r>
          </w:p>
        </w:tc>
        <w:tc>
          <w:tcPr>
            <w:tcW w:w="1354" w:type="pct"/>
            <w:tcBorders>
              <w:tl2br w:val="nil"/>
              <w:tr2bl w:val="nil"/>
            </w:tcBorders>
            <w:noWrap w:val="0"/>
            <w:vAlign w:val="center"/>
          </w:tcPr>
          <w:p w14:paraId="0A0894F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汞</w:t>
            </w:r>
          </w:p>
        </w:tc>
        <w:tc>
          <w:tcPr>
            <w:tcW w:w="1539" w:type="pct"/>
            <w:tcBorders>
              <w:tl2br w:val="nil"/>
              <w:tr2bl w:val="nil"/>
            </w:tcBorders>
            <w:noWrap w:val="0"/>
            <w:vAlign w:val="center"/>
          </w:tcPr>
          <w:p w14:paraId="23501D8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w:t>
            </w:r>
          </w:p>
        </w:tc>
        <w:tc>
          <w:tcPr>
            <w:tcW w:w="1480" w:type="pct"/>
            <w:tcBorders>
              <w:tl2br w:val="nil"/>
              <w:tr2bl w:val="nil"/>
            </w:tcBorders>
            <w:shd w:val="clear" w:color="auto" w:fill="auto"/>
            <w:noWrap w:val="0"/>
            <w:vAlign w:val="center"/>
          </w:tcPr>
          <w:p w14:paraId="073593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r>
      <w:tr w14:paraId="1D5830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noWrap w:val="0"/>
            <w:vAlign w:val="center"/>
          </w:tcPr>
          <w:p w14:paraId="0C273A3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c>
          <w:tcPr>
            <w:tcW w:w="1354" w:type="pct"/>
            <w:tcBorders>
              <w:tl2br w:val="nil"/>
              <w:tr2bl w:val="nil"/>
            </w:tcBorders>
            <w:noWrap w:val="0"/>
            <w:vAlign w:val="center"/>
          </w:tcPr>
          <w:p w14:paraId="241758A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铅</w:t>
            </w:r>
          </w:p>
        </w:tc>
        <w:tc>
          <w:tcPr>
            <w:tcW w:w="1539" w:type="pct"/>
            <w:tcBorders>
              <w:tl2br w:val="nil"/>
              <w:tr2bl w:val="nil"/>
            </w:tcBorders>
            <w:noWrap w:val="0"/>
            <w:vAlign w:val="center"/>
          </w:tcPr>
          <w:p w14:paraId="39DFC3B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w:t>
            </w:r>
          </w:p>
        </w:tc>
        <w:tc>
          <w:tcPr>
            <w:tcW w:w="1480" w:type="pct"/>
            <w:tcBorders>
              <w:tl2br w:val="nil"/>
              <w:tr2bl w:val="nil"/>
            </w:tcBorders>
            <w:shd w:val="clear" w:color="auto" w:fill="auto"/>
            <w:noWrap w:val="0"/>
            <w:vAlign w:val="center"/>
          </w:tcPr>
          <w:p w14:paraId="106888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r>
      <w:tr w14:paraId="08417C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noWrap w:val="0"/>
            <w:vAlign w:val="center"/>
          </w:tcPr>
          <w:p w14:paraId="0415C6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w:t>
            </w:r>
          </w:p>
        </w:tc>
        <w:tc>
          <w:tcPr>
            <w:tcW w:w="1354" w:type="pct"/>
            <w:tcBorders>
              <w:tl2br w:val="nil"/>
              <w:tr2bl w:val="nil"/>
            </w:tcBorders>
            <w:shd w:val="clear" w:color="auto" w:fill="auto"/>
            <w:noWrap w:val="0"/>
            <w:vAlign w:val="center"/>
          </w:tcPr>
          <w:p w14:paraId="404BAF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钾</w:t>
            </w:r>
          </w:p>
        </w:tc>
        <w:tc>
          <w:tcPr>
            <w:tcW w:w="1539" w:type="pct"/>
            <w:tcBorders>
              <w:tl2br w:val="nil"/>
              <w:tr2bl w:val="nil"/>
            </w:tcBorders>
            <w:shd w:val="clear" w:color="auto" w:fill="auto"/>
            <w:noWrap w:val="0"/>
            <w:vAlign w:val="center"/>
          </w:tcPr>
          <w:p w14:paraId="3D3D32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480" w:type="pct"/>
            <w:tcBorders>
              <w:tl2br w:val="nil"/>
              <w:tr2bl w:val="nil"/>
            </w:tcBorders>
            <w:shd w:val="clear" w:color="auto" w:fill="auto"/>
            <w:noWrap w:val="0"/>
            <w:vAlign w:val="center"/>
          </w:tcPr>
          <w:p w14:paraId="1CBFF7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426DC9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noWrap w:val="0"/>
            <w:vAlign w:val="center"/>
          </w:tcPr>
          <w:p w14:paraId="0B6D2A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w:t>
            </w:r>
          </w:p>
        </w:tc>
        <w:tc>
          <w:tcPr>
            <w:tcW w:w="1354" w:type="pct"/>
            <w:tcBorders>
              <w:tl2br w:val="nil"/>
              <w:tr2bl w:val="nil"/>
            </w:tcBorders>
            <w:shd w:val="clear" w:color="auto" w:fill="auto"/>
            <w:noWrap w:val="0"/>
            <w:vAlign w:val="center"/>
          </w:tcPr>
          <w:p w14:paraId="3A521B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钠</w:t>
            </w:r>
          </w:p>
        </w:tc>
        <w:tc>
          <w:tcPr>
            <w:tcW w:w="1539" w:type="pct"/>
            <w:tcBorders>
              <w:tl2br w:val="nil"/>
              <w:tr2bl w:val="nil"/>
            </w:tcBorders>
            <w:shd w:val="clear" w:color="auto" w:fill="auto"/>
            <w:noWrap w:val="0"/>
            <w:vAlign w:val="center"/>
          </w:tcPr>
          <w:p w14:paraId="6B414DC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≤200</w:t>
            </w:r>
          </w:p>
        </w:tc>
        <w:tc>
          <w:tcPr>
            <w:tcW w:w="1480" w:type="pct"/>
            <w:tcBorders>
              <w:tl2br w:val="nil"/>
              <w:tr2bl w:val="nil"/>
            </w:tcBorders>
            <w:shd w:val="clear" w:color="auto" w:fill="auto"/>
            <w:noWrap w:val="0"/>
            <w:vAlign w:val="center"/>
          </w:tcPr>
          <w:p w14:paraId="3723C78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0FB3F4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noWrap w:val="0"/>
            <w:vAlign w:val="center"/>
          </w:tcPr>
          <w:p w14:paraId="628CA97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1354" w:type="pct"/>
            <w:tcBorders>
              <w:tl2br w:val="nil"/>
              <w:tr2bl w:val="nil"/>
            </w:tcBorders>
            <w:shd w:val="clear" w:color="auto" w:fill="auto"/>
            <w:noWrap w:val="0"/>
            <w:vAlign w:val="center"/>
          </w:tcPr>
          <w:p w14:paraId="684700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钙</w:t>
            </w:r>
          </w:p>
        </w:tc>
        <w:tc>
          <w:tcPr>
            <w:tcW w:w="1539" w:type="pct"/>
            <w:tcBorders>
              <w:tl2br w:val="nil"/>
              <w:tr2bl w:val="nil"/>
            </w:tcBorders>
            <w:shd w:val="clear" w:color="auto" w:fill="auto"/>
            <w:noWrap w:val="0"/>
            <w:vAlign w:val="center"/>
          </w:tcPr>
          <w:p w14:paraId="4941E2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480" w:type="pct"/>
            <w:tcBorders>
              <w:tl2br w:val="nil"/>
              <w:tr2bl w:val="nil"/>
            </w:tcBorders>
            <w:shd w:val="clear" w:color="auto" w:fill="auto"/>
            <w:noWrap w:val="0"/>
            <w:vAlign w:val="center"/>
          </w:tcPr>
          <w:p w14:paraId="2B1BC57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F1F09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noWrap w:val="0"/>
            <w:vAlign w:val="center"/>
          </w:tcPr>
          <w:p w14:paraId="6574AD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1354" w:type="pct"/>
            <w:tcBorders>
              <w:tl2br w:val="nil"/>
              <w:tr2bl w:val="nil"/>
            </w:tcBorders>
            <w:shd w:val="clear" w:color="auto" w:fill="auto"/>
            <w:noWrap w:val="0"/>
            <w:vAlign w:val="center"/>
          </w:tcPr>
          <w:p w14:paraId="486DABE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镁</w:t>
            </w:r>
          </w:p>
        </w:tc>
        <w:tc>
          <w:tcPr>
            <w:tcW w:w="1539" w:type="pct"/>
            <w:tcBorders>
              <w:tl2br w:val="nil"/>
              <w:tr2bl w:val="nil"/>
            </w:tcBorders>
            <w:shd w:val="clear" w:color="auto" w:fill="auto"/>
            <w:noWrap w:val="0"/>
            <w:vAlign w:val="center"/>
          </w:tcPr>
          <w:p w14:paraId="1A06B2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480" w:type="pct"/>
            <w:tcBorders>
              <w:tl2br w:val="nil"/>
              <w:tr2bl w:val="nil"/>
            </w:tcBorders>
            <w:shd w:val="clear" w:color="auto" w:fill="auto"/>
            <w:noWrap w:val="0"/>
            <w:vAlign w:val="center"/>
          </w:tcPr>
          <w:p w14:paraId="61108D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71E872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vAlign w:val="center"/>
          </w:tcPr>
          <w:p w14:paraId="2CCC72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1354" w:type="pct"/>
            <w:tcBorders>
              <w:tl2br w:val="nil"/>
              <w:tr2bl w:val="nil"/>
            </w:tcBorders>
            <w:shd w:val="clear" w:color="auto" w:fill="auto"/>
            <w:vAlign w:val="center"/>
          </w:tcPr>
          <w:p w14:paraId="4C4599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氯化物</w:t>
            </w:r>
          </w:p>
        </w:tc>
        <w:tc>
          <w:tcPr>
            <w:tcW w:w="1539" w:type="pct"/>
            <w:tcBorders>
              <w:tl2br w:val="nil"/>
              <w:tr2bl w:val="nil"/>
            </w:tcBorders>
            <w:shd w:val="clear" w:color="auto" w:fill="auto"/>
            <w:vAlign w:val="center"/>
          </w:tcPr>
          <w:p w14:paraId="29EC28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c>
          <w:tcPr>
            <w:tcW w:w="1480" w:type="pct"/>
            <w:tcBorders>
              <w:tl2br w:val="nil"/>
              <w:tr2bl w:val="nil"/>
            </w:tcBorders>
            <w:shd w:val="clear" w:color="auto" w:fill="auto"/>
            <w:vAlign w:val="center"/>
          </w:tcPr>
          <w:p w14:paraId="140B78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2BC982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vAlign w:val="center"/>
          </w:tcPr>
          <w:p w14:paraId="0326B2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1354" w:type="pct"/>
            <w:tcBorders>
              <w:tl2br w:val="nil"/>
              <w:tr2bl w:val="nil"/>
            </w:tcBorders>
            <w:shd w:val="clear" w:color="auto" w:fill="auto"/>
            <w:vAlign w:val="center"/>
          </w:tcPr>
          <w:p w14:paraId="6DCD3C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硫酸盐</w:t>
            </w:r>
          </w:p>
        </w:tc>
        <w:tc>
          <w:tcPr>
            <w:tcW w:w="1539" w:type="pct"/>
            <w:tcBorders>
              <w:tl2br w:val="nil"/>
              <w:tr2bl w:val="nil"/>
            </w:tcBorders>
            <w:shd w:val="clear" w:color="auto" w:fill="auto"/>
            <w:vAlign w:val="center"/>
          </w:tcPr>
          <w:p w14:paraId="269400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c>
          <w:tcPr>
            <w:tcW w:w="1480" w:type="pct"/>
            <w:tcBorders>
              <w:tl2br w:val="nil"/>
              <w:tr2bl w:val="nil"/>
            </w:tcBorders>
            <w:shd w:val="clear" w:color="auto" w:fill="auto"/>
            <w:vAlign w:val="center"/>
          </w:tcPr>
          <w:p w14:paraId="720205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3BE642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vAlign w:val="center"/>
          </w:tcPr>
          <w:p w14:paraId="1FFA301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1354" w:type="pct"/>
            <w:tcBorders>
              <w:tl2br w:val="nil"/>
              <w:tr2bl w:val="nil"/>
            </w:tcBorders>
            <w:shd w:val="clear" w:color="auto" w:fill="auto"/>
            <w:vAlign w:val="center"/>
          </w:tcPr>
          <w:p w14:paraId="60C8BB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碳酸根</w:t>
            </w:r>
          </w:p>
        </w:tc>
        <w:tc>
          <w:tcPr>
            <w:tcW w:w="1539" w:type="pct"/>
            <w:tcBorders>
              <w:tl2br w:val="nil"/>
              <w:tr2bl w:val="nil"/>
            </w:tcBorders>
            <w:shd w:val="clear" w:color="auto" w:fill="auto"/>
            <w:vAlign w:val="center"/>
          </w:tcPr>
          <w:p w14:paraId="0D2F54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480" w:type="pct"/>
            <w:tcBorders>
              <w:tl2br w:val="nil"/>
              <w:tr2bl w:val="nil"/>
            </w:tcBorders>
            <w:shd w:val="clear" w:color="auto" w:fill="auto"/>
            <w:vAlign w:val="center"/>
          </w:tcPr>
          <w:p w14:paraId="118711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r w14:paraId="123D4B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625" w:type="pct"/>
            <w:tcBorders>
              <w:tl2br w:val="nil"/>
              <w:tr2bl w:val="nil"/>
            </w:tcBorders>
            <w:shd w:val="clear" w:color="auto" w:fill="auto"/>
            <w:vAlign w:val="center"/>
          </w:tcPr>
          <w:p w14:paraId="4A5130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1354" w:type="pct"/>
            <w:tcBorders>
              <w:tl2br w:val="nil"/>
              <w:tr2bl w:val="nil"/>
            </w:tcBorders>
            <w:shd w:val="clear" w:color="auto" w:fill="auto"/>
            <w:vAlign w:val="center"/>
          </w:tcPr>
          <w:p w14:paraId="7D91E7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碳酸氢根</w:t>
            </w:r>
          </w:p>
        </w:tc>
        <w:tc>
          <w:tcPr>
            <w:tcW w:w="1539" w:type="pct"/>
            <w:tcBorders>
              <w:tl2br w:val="nil"/>
              <w:tr2bl w:val="nil"/>
            </w:tcBorders>
            <w:shd w:val="clear" w:color="auto" w:fill="auto"/>
            <w:vAlign w:val="center"/>
          </w:tcPr>
          <w:p w14:paraId="04AB06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c>
          <w:tcPr>
            <w:tcW w:w="1480" w:type="pct"/>
            <w:tcBorders>
              <w:tl2br w:val="nil"/>
              <w:tr2bl w:val="nil"/>
            </w:tcBorders>
            <w:shd w:val="clear" w:color="auto" w:fill="auto"/>
            <w:vAlign w:val="center"/>
          </w:tcPr>
          <w:p w14:paraId="76D944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r>
    </w:tbl>
    <w:p w14:paraId="6CC5E80D">
      <w:pPr>
        <w:keepNext w:val="0"/>
        <w:keepLines w:val="0"/>
        <w:pageBreakBefore w:val="0"/>
        <w:widowControl w:val="0"/>
        <w:tabs>
          <w:tab w:val="left" w:pos="3600"/>
        </w:tabs>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（3）声环境质量标准</w:t>
      </w:r>
    </w:p>
    <w:p w14:paraId="0227A080">
      <w:pPr>
        <w:keepNext w:val="0"/>
        <w:keepLines w:val="0"/>
        <w:pageBreakBefore w:val="0"/>
        <w:widowControl w:val="0"/>
        <w:tabs>
          <w:tab w:val="left" w:pos="3600"/>
        </w:tabs>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声环境执行《声环境质量标准》（GB3096-2008）中</w:t>
      </w:r>
      <w:r>
        <w:rPr>
          <w:rFonts w:hint="default" w:ascii="Times New Roman" w:hAnsi="Times New Roman" w:eastAsia="宋体" w:cs="Times New Roman"/>
          <w:color w:val="auto"/>
          <w:spacing w:val="0"/>
          <w:w w:val="100"/>
          <w:position w:val="0"/>
          <w:sz w:val="24"/>
          <w:szCs w:val="24"/>
          <w:highlight w:val="none"/>
          <w:lang w:val="en-US" w:eastAsia="zh-CN"/>
        </w:rPr>
        <w:t>2</w:t>
      </w:r>
      <w:r>
        <w:rPr>
          <w:rFonts w:hint="default" w:ascii="Times New Roman" w:hAnsi="Times New Roman" w:eastAsia="宋体" w:cs="Times New Roman"/>
          <w:color w:val="auto"/>
          <w:spacing w:val="0"/>
          <w:w w:val="100"/>
          <w:position w:val="0"/>
          <w:sz w:val="24"/>
          <w:szCs w:val="24"/>
          <w:highlight w:val="none"/>
        </w:rPr>
        <w:t>类标准。具体标准值见表2.</w:t>
      </w:r>
      <w:r>
        <w:rPr>
          <w:rFonts w:hint="default" w:ascii="Times New Roman" w:hAnsi="Times New Roman" w:eastAsia="宋体" w:cs="Times New Roman"/>
          <w:color w:val="auto"/>
          <w:spacing w:val="0"/>
          <w:w w:val="100"/>
          <w:position w:val="0"/>
          <w:sz w:val="24"/>
          <w:szCs w:val="24"/>
          <w:highlight w:val="none"/>
          <w:lang w:val="en-US" w:eastAsia="zh-CN"/>
        </w:rPr>
        <w:t>4-3</w:t>
      </w:r>
      <w:r>
        <w:rPr>
          <w:rFonts w:hint="default" w:ascii="Times New Roman" w:hAnsi="Times New Roman" w:eastAsia="宋体" w:cs="Times New Roman"/>
          <w:color w:val="auto"/>
          <w:spacing w:val="0"/>
          <w:w w:val="100"/>
          <w:position w:val="0"/>
          <w:sz w:val="24"/>
          <w:szCs w:val="24"/>
          <w:highlight w:val="none"/>
        </w:rPr>
        <w:t>。</w:t>
      </w:r>
    </w:p>
    <w:p w14:paraId="164A9B21">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rPr>
      </w:pPr>
      <w:r>
        <w:rPr>
          <w:rFonts w:hint="default" w:ascii="Times New Roman" w:hAnsi="Times New Roman" w:eastAsia="宋体" w:cs="Times New Roman"/>
          <w:b/>
          <w:bCs/>
          <w:color w:val="auto"/>
          <w:spacing w:val="0"/>
          <w:w w:val="100"/>
          <w:position w:val="0"/>
          <w:sz w:val="21"/>
          <w:szCs w:val="21"/>
          <w:lang w:val="zh-CN"/>
        </w:rPr>
        <w:t>表2.</w:t>
      </w:r>
      <w:r>
        <w:rPr>
          <w:rFonts w:hint="default" w:ascii="Times New Roman" w:hAnsi="Times New Roman" w:eastAsia="宋体" w:cs="Times New Roman"/>
          <w:b/>
          <w:bCs/>
          <w:color w:val="auto"/>
          <w:spacing w:val="0"/>
          <w:w w:val="100"/>
          <w:position w:val="0"/>
          <w:sz w:val="21"/>
          <w:szCs w:val="21"/>
          <w:lang w:val="en-US" w:eastAsia="zh-CN"/>
        </w:rPr>
        <w:t>4-3</w:t>
      </w:r>
      <w:r>
        <w:rPr>
          <w:rFonts w:hint="default" w:ascii="Times New Roman" w:hAnsi="Times New Roman" w:eastAsia="宋体" w:cs="Times New Roman"/>
          <w:b/>
          <w:bCs/>
          <w:color w:val="auto"/>
          <w:spacing w:val="0"/>
          <w:w w:val="100"/>
          <w:position w:val="0"/>
          <w:sz w:val="21"/>
          <w:szCs w:val="21"/>
          <w:lang w:val="zh-CN"/>
        </w:rPr>
        <w:t xml:space="preserve">    声环境质量标准    单位：dB（A）</w:t>
      </w:r>
    </w:p>
    <w:tbl>
      <w:tblPr>
        <w:tblStyle w:val="21"/>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2799"/>
        <w:gridCol w:w="2721"/>
        <w:gridCol w:w="2814"/>
      </w:tblGrid>
      <w:tr w14:paraId="5805D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216" w:hRule="atLeast"/>
          <w:jc w:val="center"/>
        </w:trPr>
        <w:tc>
          <w:tcPr>
            <w:tcW w:w="1679" w:type="pct"/>
            <w:vMerge w:val="restart"/>
            <w:vAlign w:val="center"/>
          </w:tcPr>
          <w:p w14:paraId="3562F1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r>
              <w:rPr>
                <w:rFonts w:hint="default" w:ascii="Times New Roman" w:hAnsi="Times New Roman" w:eastAsia="宋体" w:cs="Times New Roman"/>
                <w:b w:val="0"/>
                <w:bCs w:val="0"/>
                <w:color w:val="auto"/>
                <w:spacing w:val="0"/>
                <w:w w:val="100"/>
                <w:position w:val="0"/>
                <w:sz w:val="21"/>
                <w:szCs w:val="21"/>
                <w:highlight w:val="none"/>
                <w:lang w:val="zh-CN"/>
              </w:rPr>
              <w:t>声环境功能区类别</w:t>
            </w:r>
          </w:p>
        </w:tc>
        <w:tc>
          <w:tcPr>
            <w:tcW w:w="3320" w:type="pct"/>
            <w:gridSpan w:val="2"/>
            <w:vAlign w:val="center"/>
          </w:tcPr>
          <w:p w14:paraId="71202C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r>
              <w:rPr>
                <w:rFonts w:hint="default" w:ascii="Times New Roman" w:hAnsi="Times New Roman" w:eastAsia="宋体" w:cs="Times New Roman"/>
                <w:b w:val="0"/>
                <w:bCs w:val="0"/>
                <w:color w:val="auto"/>
                <w:spacing w:val="0"/>
                <w:w w:val="100"/>
                <w:position w:val="0"/>
                <w:sz w:val="21"/>
                <w:szCs w:val="21"/>
                <w:highlight w:val="none"/>
                <w:lang w:val="zh-CN"/>
              </w:rPr>
              <w:t>标准限</w:t>
            </w:r>
          </w:p>
        </w:tc>
      </w:tr>
      <w:tr w14:paraId="3C180D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129" w:hRule="atLeast"/>
          <w:jc w:val="center"/>
        </w:trPr>
        <w:tc>
          <w:tcPr>
            <w:tcW w:w="1679" w:type="pct"/>
            <w:vMerge w:val="continue"/>
            <w:vAlign w:val="center"/>
          </w:tcPr>
          <w:p w14:paraId="06F4ED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p>
        </w:tc>
        <w:tc>
          <w:tcPr>
            <w:tcW w:w="1632" w:type="pct"/>
            <w:vAlign w:val="center"/>
          </w:tcPr>
          <w:p w14:paraId="3A3B9E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r>
              <w:rPr>
                <w:rFonts w:hint="default" w:ascii="Times New Roman" w:hAnsi="Times New Roman" w:eastAsia="宋体" w:cs="Times New Roman"/>
                <w:b w:val="0"/>
                <w:bCs w:val="0"/>
                <w:color w:val="auto"/>
                <w:spacing w:val="0"/>
                <w:w w:val="100"/>
                <w:position w:val="0"/>
                <w:sz w:val="21"/>
                <w:szCs w:val="21"/>
                <w:highlight w:val="none"/>
                <w:lang w:val="zh-CN"/>
              </w:rPr>
              <w:t>昼间</w:t>
            </w:r>
          </w:p>
        </w:tc>
        <w:tc>
          <w:tcPr>
            <w:tcW w:w="1688" w:type="pct"/>
            <w:vAlign w:val="center"/>
          </w:tcPr>
          <w:p w14:paraId="00D398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r>
              <w:rPr>
                <w:rFonts w:hint="default" w:ascii="Times New Roman" w:hAnsi="Times New Roman" w:eastAsia="宋体" w:cs="Times New Roman"/>
                <w:b w:val="0"/>
                <w:bCs w:val="0"/>
                <w:color w:val="auto"/>
                <w:spacing w:val="0"/>
                <w:w w:val="100"/>
                <w:position w:val="0"/>
                <w:sz w:val="21"/>
                <w:szCs w:val="21"/>
                <w:highlight w:val="none"/>
                <w:lang w:val="zh-CN"/>
              </w:rPr>
              <w:t>夜间</w:t>
            </w:r>
          </w:p>
        </w:tc>
      </w:tr>
      <w:tr w14:paraId="305639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79" w:type="pct"/>
            <w:vAlign w:val="center"/>
          </w:tcPr>
          <w:p w14:paraId="350C11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zh-CN"/>
              </w:rPr>
            </w:pPr>
            <w:r>
              <w:rPr>
                <w:rFonts w:hint="default" w:ascii="Times New Roman" w:hAnsi="Times New Roman" w:eastAsia="宋体" w:cs="Times New Roman"/>
                <w:color w:val="auto"/>
                <w:spacing w:val="0"/>
                <w:w w:val="100"/>
                <w:position w:val="0"/>
                <w:sz w:val="21"/>
                <w:szCs w:val="21"/>
                <w:highlight w:val="none"/>
                <w:lang w:val="zh-CN"/>
              </w:rPr>
              <w:t>2类</w:t>
            </w:r>
          </w:p>
        </w:tc>
        <w:tc>
          <w:tcPr>
            <w:tcW w:w="1632" w:type="pct"/>
            <w:vAlign w:val="center"/>
          </w:tcPr>
          <w:p w14:paraId="3BEFFD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60</w:t>
            </w:r>
          </w:p>
        </w:tc>
        <w:tc>
          <w:tcPr>
            <w:tcW w:w="1688" w:type="pct"/>
            <w:vAlign w:val="center"/>
          </w:tcPr>
          <w:p w14:paraId="4FF65A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50</w:t>
            </w:r>
          </w:p>
        </w:tc>
      </w:tr>
    </w:tbl>
    <w:p w14:paraId="3A224C70">
      <w:pPr>
        <w:keepNext w:val="0"/>
        <w:keepLines w:val="0"/>
        <w:pageBreakBefore w:val="0"/>
        <w:widowControl w:val="0"/>
        <w:tabs>
          <w:tab w:val="left" w:pos="3600"/>
        </w:tabs>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（4）土壤</w:t>
      </w:r>
      <w:r>
        <w:rPr>
          <w:rFonts w:hint="default" w:ascii="Times New Roman" w:hAnsi="Times New Roman" w:eastAsia="宋体" w:cs="Times New Roman"/>
          <w:color w:val="auto"/>
          <w:spacing w:val="0"/>
          <w:w w:val="100"/>
          <w:position w:val="0"/>
          <w:sz w:val="24"/>
          <w:highlight w:val="none"/>
          <w:lang w:val="en-US" w:eastAsia="zh-CN"/>
        </w:rPr>
        <w:t>风险管控</w:t>
      </w:r>
      <w:r>
        <w:rPr>
          <w:rFonts w:hint="default" w:ascii="Times New Roman" w:hAnsi="Times New Roman" w:eastAsia="宋体" w:cs="Times New Roman"/>
          <w:color w:val="auto"/>
          <w:spacing w:val="0"/>
          <w:w w:val="100"/>
          <w:position w:val="0"/>
          <w:sz w:val="24"/>
          <w:highlight w:val="none"/>
        </w:rPr>
        <w:t>标准</w:t>
      </w:r>
    </w:p>
    <w:p w14:paraId="40BC88C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highlight w:val="none"/>
          <w:lang w:val="en-US" w:eastAsia="zh-CN"/>
        </w:rPr>
        <w:t>本项目属于《城市用地分类与规划建设用地标准》（GB50137-2011）中规定的二类工业用地（M2），因此土壤环境质量执行《土壤环境质量 建设用地土壤污染风险管控标准（试行）》（GB36600-2018）中的第二类筛选值标准；本项目占地范围外土壤环境质量执行《土壤环境质量 农用地土壤污染风险管控标准（试行）》（GB15618-2018）中的筛选值标准；</w:t>
      </w:r>
      <w:r>
        <w:rPr>
          <w:rFonts w:hint="default" w:ascii="Times New Roman" w:hAnsi="Times New Roman" w:eastAsia="宋体" w:cs="Times New Roman"/>
          <w:color w:val="auto"/>
          <w:sz w:val="24"/>
          <w:highlight w:val="none"/>
        </w:rPr>
        <w:t>评价标准限值见表</w:t>
      </w:r>
      <w:r>
        <w:rPr>
          <w:rFonts w:hint="default" w:ascii="Times New Roman" w:hAnsi="Times New Roman" w:eastAsia="宋体" w:cs="Times New Roman"/>
          <w:color w:val="auto"/>
          <w:sz w:val="24"/>
          <w:highlight w:val="none"/>
          <w:lang w:val="en-US" w:eastAsia="zh-CN"/>
        </w:rPr>
        <w:t>2.4-4</w:t>
      </w:r>
      <w:r>
        <w:rPr>
          <w:rFonts w:hint="default" w:ascii="Times New Roman" w:hAnsi="Times New Roman" w:eastAsia="宋体" w:cs="Times New Roman"/>
          <w:color w:val="auto"/>
          <w:sz w:val="24"/>
          <w:highlight w:val="none"/>
        </w:rPr>
        <w:t>。</w:t>
      </w:r>
    </w:p>
    <w:p w14:paraId="34F9219C">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bookmarkStart w:id="160" w:name="_Toc15308_WPSOffice_Level2"/>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4</w:t>
      </w:r>
      <w:r>
        <w:rPr>
          <w:rFonts w:hint="default" w:ascii="Times New Roman" w:hAnsi="Times New Roman" w:eastAsia="宋体" w:cs="Times New Roman"/>
          <w:b/>
          <w:bCs/>
          <w:color w:val="auto"/>
          <w:spacing w:val="0"/>
          <w:w w:val="100"/>
          <w:position w:val="0"/>
          <w:sz w:val="21"/>
          <w:szCs w:val="21"/>
          <w:lang w:val="zh-CN" w:eastAsia="zh-CN"/>
        </w:rPr>
        <w:t>-</w:t>
      </w:r>
      <w:r>
        <w:rPr>
          <w:rFonts w:hint="default" w:ascii="Times New Roman" w:hAnsi="Times New Roman" w:eastAsia="宋体" w:cs="Times New Roman"/>
          <w:b/>
          <w:bCs/>
          <w:color w:val="auto"/>
          <w:spacing w:val="0"/>
          <w:w w:val="100"/>
          <w:position w:val="0"/>
          <w:sz w:val="21"/>
          <w:szCs w:val="21"/>
          <w:lang w:val="en-US" w:eastAsia="zh-CN"/>
        </w:rPr>
        <w:t>4</w:t>
      </w:r>
      <w:r>
        <w:rPr>
          <w:rFonts w:hint="default" w:ascii="Times New Roman" w:hAnsi="Times New Roman" w:eastAsia="宋体" w:cs="Times New Roman"/>
          <w:b/>
          <w:bCs/>
          <w:color w:val="auto"/>
          <w:spacing w:val="0"/>
          <w:w w:val="100"/>
          <w:position w:val="0"/>
          <w:sz w:val="21"/>
          <w:szCs w:val="21"/>
          <w:lang w:val="zh-CN" w:eastAsia="zh-CN"/>
        </w:rPr>
        <w:t xml:space="preserve">    建设用地、</w:t>
      </w:r>
      <w:r>
        <w:rPr>
          <w:rFonts w:hint="default" w:ascii="Times New Roman" w:hAnsi="Times New Roman" w:eastAsia="宋体" w:cs="Times New Roman"/>
          <w:b/>
          <w:bCs/>
          <w:color w:val="auto"/>
          <w:spacing w:val="0"/>
          <w:w w:val="100"/>
          <w:position w:val="0"/>
          <w:sz w:val="21"/>
          <w:szCs w:val="21"/>
          <w:lang w:val="en-US" w:eastAsia="zh-CN"/>
        </w:rPr>
        <w:t>农用地</w:t>
      </w:r>
      <w:r>
        <w:rPr>
          <w:rFonts w:hint="default" w:ascii="Times New Roman" w:hAnsi="Times New Roman" w:eastAsia="宋体" w:cs="Times New Roman"/>
          <w:b/>
          <w:bCs/>
          <w:color w:val="auto"/>
          <w:spacing w:val="0"/>
          <w:w w:val="100"/>
          <w:position w:val="0"/>
          <w:sz w:val="21"/>
          <w:szCs w:val="21"/>
          <w:lang w:val="zh-CN" w:eastAsia="zh-CN"/>
        </w:rPr>
        <w:t>土壤污染风险管控标准    单位mg/kg</w:t>
      </w:r>
      <w:bookmarkEnd w:id="160"/>
    </w:p>
    <w:tbl>
      <w:tblPr>
        <w:tblStyle w:val="2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1125"/>
        <w:gridCol w:w="947"/>
        <w:gridCol w:w="1935"/>
        <w:gridCol w:w="1915"/>
        <w:gridCol w:w="2440"/>
      </w:tblGrid>
      <w:tr w14:paraId="714D9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673" w:type="pct"/>
            <w:noWrap w:val="0"/>
            <w:vAlign w:val="center"/>
          </w:tcPr>
          <w:p w14:paraId="0CB69C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lang w:val="zh-CN"/>
              </w:rPr>
            </w:pPr>
            <w:r>
              <w:rPr>
                <w:rFonts w:hint="default" w:ascii="Times New Roman" w:hAnsi="Times New Roman" w:cs="Times New Roman"/>
                <w:b w:val="0"/>
                <w:bCs w:val="0"/>
                <w:color w:val="auto"/>
                <w:sz w:val="21"/>
                <w:lang w:val="zh-CN"/>
              </w:rPr>
              <w:t>类别</w:t>
            </w:r>
          </w:p>
        </w:tc>
        <w:tc>
          <w:tcPr>
            <w:tcW w:w="566" w:type="pct"/>
            <w:noWrap w:val="0"/>
            <w:vAlign w:val="center"/>
          </w:tcPr>
          <w:p w14:paraId="601923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lang w:val="zh-CN"/>
              </w:rPr>
            </w:pPr>
            <w:r>
              <w:rPr>
                <w:rFonts w:hint="default" w:ascii="Times New Roman" w:hAnsi="Times New Roman" w:cs="Times New Roman"/>
                <w:b w:val="0"/>
                <w:bCs w:val="0"/>
                <w:color w:val="auto"/>
                <w:sz w:val="21"/>
                <w:lang w:val="zh-CN"/>
              </w:rPr>
              <w:t>序号</w:t>
            </w:r>
          </w:p>
        </w:tc>
        <w:tc>
          <w:tcPr>
            <w:tcW w:w="1157" w:type="pct"/>
            <w:noWrap w:val="0"/>
            <w:vAlign w:val="center"/>
          </w:tcPr>
          <w:p w14:paraId="2BC09F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lang w:val="zh-CN"/>
              </w:rPr>
            </w:pPr>
            <w:r>
              <w:rPr>
                <w:rFonts w:hint="default" w:ascii="Times New Roman" w:hAnsi="Times New Roman" w:cs="Times New Roman"/>
                <w:b w:val="0"/>
                <w:bCs w:val="0"/>
                <w:color w:val="auto"/>
                <w:sz w:val="21"/>
                <w:lang w:val="zh-CN"/>
              </w:rPr>
              <w:t>污染物项目</w:t>
            </w:r>
          </w:p>
        </w:tc>
        <w:tc>
          <w:tcPr>
            <w:tcW w:w="1145" w:type="pct"/>
            <w:noWrap w:val="0"/>
            <w:vAlign w:val="center"/>
          </w:tcPr>
          <w:p w14:paraId="0D07C6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lang w:val="zh-CN"/>
              </w:rPr>
            </w:pPr>
            <w:r>
              <w:rPr>
                <w:rFonts w:hint="default" w:ascii="Times New Roman" w:hAnsi="Times New Roman" w:cs="Times New Roman"/>
                <w:b w:val="0"/>
                <w:bCs w:val="0"/>
                <w:color w:val="auto"/>
                <w:sz w:val="21"/>
                <w:lang w:val="zh-CN"/>
              </w:rPr>
              <w:t>标准值</w:t>
            </w:r>
          </w:p>
        </w:tc>
        <w:tc>
          <w:tcPr>
            <w:tcW w:w="1457" w:type="pct"/>
            <w:noWrap w:val="0"/>
            <w:vAlign w:val="center"/>
          </w:tcPr>
          <w:p w14:paraId="37F3AF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lang w:val="zh-CN"/>
              </w:rPr>
            </w:pPr>
            <w:r>
              <w:rPr>
                <w:rFonts w:hint="default" w:ascii="Times New Roman" w:hAnsi="Times New Roman" w:cs="Times New Roman"/>
                <w:b w:val="0"/>
                <w:bCs w:val="0"/>
                <w:color w:val="auto"/>
                <w:sz w:val="21"/>
                <w:lang w:val="zh-CN"/>
              </w:rPr>
              <w:t>执行标准</w:t>
            </w:r>
          </w:p>
        </w:tc>
      </w:tr>
      <w:tr w14:paraId="70DD2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5000" w:type="pct"/>
            <w:gridSpan w:val="5"/>
            <w:noWrap w:val="0"/>
            <w:vAlign w:val="center"/>
          </w:tcPr>
          <w:p w14:paraId="35B1A1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重金属和无机物</w:t>
            </w:r>
          </w:p>
        </w:tc>
      </w:tr>
      <w:tr w14:paraId="74986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restart"/>
            <w:noWrap w:val="0"/>
            <w:vAlign w:val="center"/>
          </w:tcPr>
          <w:p w14:paraId="2CA06EE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第二类用地筛选值</w:t>
            </w:r>
          </w:p>
        </w:tc>
        <w:tc>
          <w:tcPr>
            <w:tcW w:w="566" w:type="pct"/>
            <w:noWrap w:val="0"/>
            <w:vAlign w:val="center"/>
          </w:tcPr>
          <w:p w14:paraId="48903A9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w:t>
            </w:r>
          </w:p>
        </w:tc>
        <w:tc>
          <w:tcPr>
            <w:tcW w:w="1157" w:type="pct"/>
            <w:noWrap w:val="0"/>
            <w:vAlign w:val="center"/>
          </w:tcPr>
          <w:p w14:paraId="600D8E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砷</w:t>
            </w:r>
          </w:p>
        </w:tc>
        <w:tc>
          <w:tcPr>
            <w:tcW w:w="1145" w:type="pct"/>
            <w:noWrap w:val="0"/>
            <w:vAlign w:val="center"/>
          </w:tcPr>
          <w:p w14:paraId="770880F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60</w:t>
            </w:r>
          </w:p>
        </w:tc>
        <w:tc>
          <w:tcPr>
            <w:tcW w:w="1457" w:type="pct"/>
            <w:vMerge w:val="restart"/>
            <w:noWrap w:val="0"/>
            <w:vAlign w:val="center"/>
          </w:tcPr>
          <w:p w14:paraId="7AC0A0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《土壤环境质量 建设用地土壤污染风险管控标准》（GB36600-2018）</w:t>
            </w:r>
          </w:p>
        </w:tc>
      </w:tr>
      <w:tr w14:paraId="42968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3F7FCB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FC01D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w:t>
            </w:r>
          </w:p>
        </w:tc>
        <w:tc>
          <w:tcPr>
            <w:tcW w:w="1157" w:type="pct"/>
            <w:noWrap w:val="0"/>
            <w:vAlign w:val="center"/>
          </w:tcPr>
          <w:p w14:paraId="55CCEC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镉</w:t>
            </w:r>
          </w:p>
        </w:tc>
        <w:tc>
          <w:tcPr>
            <w:tcW w:w="1145" w:type="pct"/>
            <w:noWrap w:val="0"/>
            <w:vAlign w:val="center"/>
          </w:tcPr>
          <w:p w14:paraId="759E51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65</w:t>
            </w:r>
          </w:p>
        </w:tc>
        <w:tc>
          <w:tcPr>
            <w:tcW w:w="1457" w:type="pct"/>
            <w:vMerge w:val="continue"/>
            <w:noWrap w:val="0"/>
            <w:vAlign w:val="center"/>
          </w:tcPr>
          <w:p w14:paraId="57422D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38C204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67AA4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50F2B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w:t>
            </w:r>
          </w:p>
        </w:tc>
        <w:tc>
          <w:tcPr>
            <w:tcW w:w="1157" w:type="pct"/>
            <w:noWrap w:val="0"/>
            <w:vAlign w:val="center"/>
          </w:tcPr>
          <w:p w14:paraId="6F544F8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铬（六价）</w:t>
            </w:r>
          </w:p>
        </w:tc>
        <w:tc>
          <w:tcPr>
            <w:tcW w:w="1145" w:type="pct"/>
            <w:noWrap w:val="0"/>
            <w:vAlign w:val="center"/>
          </w:tcPr>
          <w:p w14:paraId="13EC03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5.7</w:t>
            </w:r>
          </w:p>
        </w:tc>
        <w:tc>
          <w:tcPr>
            <w:tcW w:w="1457" w:type="pct"/>
            <w:vMerge w:val="continue"/>
            <w:noWrap w:val="0"/>
            <w:vAlign w:val="center"/>
          </w:tcPr>
          <w:p w14:paraId="39254E7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1FC8B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E7BF2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08AC0C8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w:t>
            </w:r>
          </w:p>
        </w:tc>
        <w:tc>
          <w:tcPr>
            <w:tcW w:w="1157" w:type="pct"/>
            <w:noWrap w:val="0"/>
            <w:vAlign w:val="center"/>
          </w:tcPr>
          <w:p w14:paraId="3203E4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铜</w:t>
            </w:r>
          </w:p>
        </w:tc>
        <w:tc>
          <w:tcPr>
            <w:tcW w:w="1145" w:type="pct"/>
            <w:noWrap w:val="0"/>
            <w:vAlign w:val="center"/>
          </w:tcPr>
          <w:p w14:paraId="1012CB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18000</w:t>
            </w:r>
          </w:p>
        </w:tc>
        <w:tc>
          <w:tcPr>
            <w:tcW w:w="1457" w:type="pct"/>
            <w:vMerge w:val="continue"/>
            <w:noWrap w:val="0"/>
            <w:vAlign w:val="center"/>
          </w:tcPr>
          <w:p w14:paraId="049A9F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9A358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60C02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3D275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w:t>
            </w:r>
          </w:p>
        </w:tc>
        <w:tc>
          <w:tcPr>
            <w:tcW w:w="1157" w:type="pct"/>
            <w:noWrap w:val="0"/>
            <w:vAlign w:val="center"/>
          </w:tcPr>
          <w:p w14:paraId="31A86E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铅</w:t>
            </w:r>
          </w:p>
        </w:tc>
        <w:tc>
          <w:tcPr>
            <w:tcW w:w="1145" w:type="pct"/>
            <w:noWrap w:val="0"/>
            <w:vAlign w:val="center"/>
          </w:tcPr>
          <w:p w14:paraId="398A32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800</w:t>
            </w:r>
          </w:p>
        </w:tc>
        <w:tc>
          <w:tcPr>
            <w:tcW w:w="1457" w:type="pct"/>
            <w:vMerge w:val="continue"/>
            <w:noWrap w:val="0"/>
            <w:vAlign w:val="center"/>
          </w:tcPr>
          <w:p w14:paraId="44DFA8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0ED3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1A6F82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3859B3E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w:t>
            </w:r>
          </w:p>
        </w:tc>
        <w:tc>
          <w:tcPr>
            <w:tcW w:w="1157" w:type="pct"/>
            <w:noWrap w:val="0"/>
            <w:vAlign w:val="center"/>
          </w:tcPr>
          <w:p w14:paraId="23CEE4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汞</w:t>
            </w:r>
          </w:p>
        </w:tc>
        <w:tc>
          <w:tcPr>
            <w:tcW w:w="1145" w:type="pct"/>
            <w:noWrap w:val="0"/>
            <w:vAlign w:val="center"/>
          </w:tcPr>
          <w:p w14:paraId="70043BD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38</w:t>
            </w:r>
          </w:p>
        </w:tc>
        <w:tc>
          <w:tcPr>
            <w:tcW w:w="1457" w:type="pct"/>
            <w:vMerge w:val="continue"/>
            <w:noWrap w:val="0"/>
            <w:vAlign w:val="center"/>
          </w:tcPr>
          <w:p w14:paraId="6AE6CD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1C981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63AF220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41BABA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7</w:t>
            </w:r>
          </w:p>
        </w:tc>
        <w:tc>
          <w:tcPr>
            <w:tcW w:w="1157" w:type="pct"/>
            <w:noWrap w:val="0"/>
            <w:vAlign w:val="center"/>
          </w:tcPr>
          <w:p w14:paraId="3E3FE29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镍</w:t>
            </w:r>
          </w:p>
        </w:tc>
        <w:tc>
          <w:tcPr>
            <w:tcW w:w="1145" w:type="pct"/>
            <w:noWrap w:val="0"/>
            <w:vAlign w:val="center"/>
          </w:tcPr>
          <w:p w14:paraId="26912A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900</w:t>
            </w:r>
          </w:p>
        </w:tc>
        <w:tc>
          <w:tcPr>
            <w:tcW w:w="1457" w:type="pct"/>
            <w:vMerge w:val="continue"/>
            <w:noWrap w:val="0"/>
            <w:vAlign w:val="center"/>
          </w:tcPr>
          <w:p w14:paraId="6C192F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A18BB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566FD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79A57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lang w:val="en-US" w:eastAsia="zh-CN"/>
              </w:rPr>
            </w:pPr>
            <w:r>
              <w:rPr>
                <w:rFonts w:hint="default" w:ascii="Times New Roman" w:hAnsi="Times New Roman" w:cs="Times New Roman"/>
                <w:color w:val="auto"/>
                <w:sz w:val="21"/>
                <w:lang w:val="en-US" w:eastAsia="zh-CN"/>
              </w:rPr>
              <w:t>8</w:t>
            </w:r>
          </w:p>
        </w:tc>
        <w:tc>
          <w:tcPr>
            <w:tcW w:w="1157" w:type="pct"/>
            <w:noWrap w:val="0"/>
            <w:vAlign w:val="center"/>
          </w:tcPr>
          <w:p w14:paraId="63B5F5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en-US" w:eastAsia="zh-CN"/>
              </w:rPr>
              <w:t>锑</w:t>
            </w:r>
          </w:p>
        </w:tc>
        <w:tc>
          <w:tcPr>
            <w:tcW w:w="1145" w:type="pct"/>
            <w:noWrap w:val="0"/>
            <w:vAlign w:val="center"/>
          </w:tcPr>
          <w:p w14:paraId="677178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lang w:val="en-US" w:eastAsia="zh-CN"/>
              </w:rPr>
            </w:pPr>
            <w:r>
              <w:rPr>
                <w:rFonts w:hint="default" w:ascii="Times New Roman" w:hAnsi="Times New Roman" w:cs="Times New Roman"/>
                <w:color w:val="auto"/>
                <w:sz w:val="21"/>
                <w:lang w:val="en-US" w:eastAsia="zh-CN"/>
              </w:rPr>
              <w:t>180</w:t>
            </w:r>
          </w:p>
        </w:tc>
        <w:tc>
          <w:tcPr>
            <w:tcW w:w="1457" w:type="pct"/>
            <w:vMerge w:val="continue"/>
            <w:noWrap w:val="0"/>
            <w:vAlign w:val="center"/>
          </w:tcPr>
          <w:p w14:paraId="69CFB5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74283E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5000" w:type="pct"/>
            <w:gridSpan w:val="5"/>
            <w:noWrap w:val="0"/>
            <w:vAlign w:val="center"/>
          </w:tcPr>
          <w:p w14:paraId="0187D4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挥发性有机物</w:t>
            </w:r>
          </w:p>
        </w:tc>
      </w:tr>
      <w:tr w14:paraId="2B76D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restart"/>
            <w:noWrap w:val="0"/>
            <w:vAlign w:val="center"/>
          </w:tcPr>
          <w:p w14:paraId="6BC299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第二类用地筛选值</w:t>
            </w:r>
          </w:p>
        </w:tc>
        <w:tc>
          <w:tcPr>
            <w:tcW w:w="566" w:type="pct"/>
            <w:noWrap w:val="0"/>
            <w:vAlign w:val="center"/>
          </w:tcPr>
          <w:p w14:paraId="74AF35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8</w:t>
            </w:r>
          </w:p>
        </w:tc>
        <w:tc>
          <w:tcPr>
            <w:tcW w:w="1157" w:type="pct"/>
            <w:noWrap w:val="0"/>
            <w:vAlign w:val="center"/>
          </w:tcPr>
          <w:p w14:paraId="4E1224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四氯化碳</w:t>
            </w:r>
          </w:p>
        </w:tc>
        <w:tc>
          <w:tcPr>
            <w:tcW w:w="1145" w:type="pct"/>
            <w:noWrap w:val="0"/>
            <w:vAlign w:val="center"/>
          </w:tcPr>
          <w:p w14:paraId="01498A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2.8</w:t>
            </w:r>
          </w:p>
        </w:tc>
        <w:tc>
          <w:tcPr>
            <w:tcW w:w="1457" w:type="pct"/>
            <w:vMerge w:val="restart"/>
            <w:noWrap w:val="0"/>
            <w:vAlign w:val="center"/>
          </w:tcPr>
          <w:p w14:paraId="1B115C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《土壤环境质量 建设用地土壤污染风险管控标准》（GB36600-2018）</w:t>
            </w:r>
          </w:p>
        </w:tc>
      </w:tr>
      <w:tr w14:paraId="6D250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9CFA56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DCB5AE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9</w:t>
            </w:r>
          </w:p>
        </w:tc>
        <w:tc>
          <w:tcPr>
            <w:tcW w:w="1157" w:type="pct"/>
            <w:noWrap w:val="0"/>
            <w:vAlign w:val="center"/>
          </w:tcPr>
          <w:p w14:paraId="00029B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氯仿</w:t>
            </w:r>
          </w:p>
        </w:tc>
        <w:tc>
          <w:tcPr>
            <w:tcW w:w="1145" w:type="pct"/>
            <w:noWrap w:val="0"/>
            <w:vAlign w:val="center"/>
          </w:tcPr>
          <w:p w14:paraId="172866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0.9</w:t>
            </w:r>
          </w:p>
        </w:tc>
        <w:tc>
          <w:tcPr>
            <w:tcW w:w="1457" w:type="pct"/>
            <w:vMerge w:val="continue"/>
            <w:noWrap w:val="0"/>
            <w:vAlign w:val="center"/>
          </w:tcPr>
          <w:p w14:paraId="15BF19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3661CB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7CD21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24B53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10</w:t>
            </w:r>
          </w:p>
        </w:tc>
        <w:tc>
          <w:tcPr>
            <w:tcW w:w="1157" w:type="pct"/>
            <w:noWrap w:val="0"/>
            <w:vAlign w:val="center"/>
          </w:tcPr>
          <w:p w14:paraId="7FB86B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氯甲烷</w:t>
            </w:r>
          </w:p>
        </w:tc>
        <w:tc>
          <w:tcPr>
            <w:tcW w:w="1145" w:type="pct"/>
            <w:noWrap w:val="0"/>
            <w:vAlign w:val="center"/>
          </w:tcPr>
          <w:p w14:paraId="5AC544C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37</w:t>
            </w:r>
          </w:p>
        </w:tc>
        <w:tc>
          <w:tcPr>
            <w:tcW w:w="1457" w:type="pct"/>
            <w:vMerge w:val="continue"/>
            <w:noWrap w:val="0"/>
            <w:vAlign w:val="center"/>
          </w:tcPr>
          <w:p w14:paraId="08A841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40C6C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1B5628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B9B5A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w:t>
            </w:r>
          </w:p>
        </w:tc>
        <w:tc>
          <w:tcPr>
            <w:tcW w:w="1157" w:type="pct"/>
            <w:noWrap w:val="0"/>
            <w:vAlign w:val="center"/>
          </w:tcPr>
          <w:p w14:paraId="07F828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1,1-二氯乙烷</w:t>
            </w:r>
          </w:p>
        </w:tc>
        <w:tc>
          <w:tcPr>
            <w:tcW w:w="1145" w:type="pct"/>
            <w:noWrap w:val="0"/>
            <w:vAlign w:val="center"/>
          </w:tcPr>
          <w:p w14:paraId="70D5E1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9</w:t>
            </w:r>
          </w:p>
        </w:tc>
        <w:tc>
          <w:tcPr>
            <w:tcW w:w="1457" w:type="pct"/>
            <w:vMerge w:val="continue"/>
            <w:noWrap w:val="0"/>
            <w:vAlign w:val="center"/>
          </w:tcPr>
          <w:p w14:paraId="2E9CEA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7A37D7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E4AB9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F150C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w:t>
            </w:r>
          </w:p>
        </w:tc>
        <w:tc>
          <w:tcPr>
            <w:tcW w:w="1157" w:type="pct"/>
            <w:noWrap w:val="0"/>
            <w:vAlign w:val="center"/>
          </w:tcPr>
          <w:p w14:paraId="0A2D80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w:t>
            </w:r>
            <w:r>
              <w:rPr>
                <w:rFonts w:hint="default" w:ascii="Times New Roman" w:hAnsi="Times New Roman" w:cs="Times New Roman"/>
                <w:color w:val="auto"/>
                <w:sz w:val="21"/>
              </w:rPr>
              <w:t>,</w:t>
            </w:r>
            <w:r>
              <w:rPr>
                <w:rFonts w:hint="default" w:ascii="Times New Roman" w:hAnsi="Times New Roman" w:cs="Times New Roman"/>
                <w:color w:val="auto"/>
                <w:sz w:val="21"/>
                <w:lang w:val="zh-CN"/>
              </w:rPr>
              <w:t>2-二氯乙烷</w:t>
            </w:r>
          </w:p>
        </w:tc>
        <w:tc>
          <w:tcPr>
            <w:tcW w:w="1145" w:type="pct"/>
            <w:noWrap w:val="0"/>
            <w:vAlign w:val="center"/>
          </w:tcPr>
          <w:p w14:paraId="6DF7A50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w:t>
            </w:r>
          </w:p>
        </w:tc>
        <w:tc>
          <w:tcPr>
            <w:tcW w:w="1457" w:type="pct"/>
            <w:vMerge w:val="continue"/>
            <w:noWrap w:val="0"/>
            <w:vAlign w:val="center"/>
          </w:tcPr>
          <w:p w14:paraId="41DC1B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738370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DD730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10A53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13</w:t>
            </w:r>
          </w:p>
        </w:tc>
        <w:tc>
          <w:tcPr>
            <w:tcW w:w="1157" w:type="pct"/>
            <w:noWrap w:val="0"/>
            <w:vAlign w:val="center"/>
          </w:tcPr>
          <w:p w14:paraId="3BBEBCC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1,1-二氯乙烯</w:t>
            </w:r>
          </w:p>
        </w:tc>
        <w:tc>
          <w:tcPr>
            <w:tcW w:w="1145" w:type="pct"/>
            <w:noWrap w:val="0"/>
            <w:vAlign w:val="center"/>
          </w:tcPr>
          <w:p w14:paraId="302CBC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66</w:t>
            </w:r>
          </w:p>
        </w:tc>
        <w:tc>
          <w:tcPr>
            <w:tcW w:w="1457" w:type="pct"/>
            <w:vMerge w:val="continue"/>
            <w:noWrap w:val="0"/>
            <w:vAlign w:val="center"/>
          </w:tcPr>
          <w:p w14:paraId="5D40CA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077739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F24D0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394D934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14</w:t>
            </w:r>
          </w:p>
        </w:tc>
        <w:tc>
          <w:tcPr>
            <w:tcW w:w="1157" w:type="pct"/>
            <w:noWrap w:val="0"/>
            <w:vAlign w:val="center"/>
          </w:tcPr>
          <w:p w14:paraId="000AEF2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顺-1,2-二氯乙烯</w:t>
            </w:r>
          </w:p>
        </w:tc>
        <w:tc>
          <w:tcPr>
            <w:tcW w:w="1145" w:type="pct"/>
            <w:noWrap w:val="0"/>
            <w:vAlign w:val="center"/>
          </w:tcPr>
          <w:p w14:paraId="44756F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596</w:t>
            </w:r>
          </w:p>
        </w:tc>
        <w:tc>
          <w:tcPr>
            <w:tcW w:w="1457" w:type="pct"/>
            <w:vMerge w:val="continue"/>
            <w:noWrap w:val="0"/>
            <w:vAlign w:val="center"/>
          </w:tcPr>
          <w:p w14:paraId="4691DD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BE24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2D3AC7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09AD3F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157" w:type="pct"/>
            <w:noWrap w:val="0"/>
            <w:vAlign w:val="center"/>
          </w:tcPr>
          <w:p w14:paraId="163290E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反-1</w:t>
            </w:r>
            <w:r>
              <w:rPr>
                <w:rFonts w:hint="default" w:ascii="Times New Roman" w:hAnsi="Times New Roman" w:cs="Times New Roman"/>
                <w:color w:val="auto"/>
                <w:sz w:val="21"/>
              </w:rPr>
              <w:t>,</w:t>
            </w:r>
            <w:r>
              <w:rPr>
                <w:rFonts w:hint="default" w:ascii="Times New Roman" w:hAnsi="Times New Roman" w:cs="Times New Roman"/>
                <w:color w:val="auto"/>
                <w:sz w:val="21"/>
                <w:lang w:val="zh-CN"/>
              </w:rPr>
              <w:t>2-二氯乙烯</w:t>
            </w:r>
          </w:p>
        </w:tc>
        <w:tc>
          <w:tcPr>
            <w:tcW w:w="1145" w:type="pct"/>
            <w:noWrap w:val="0"/>
            <w:vAlign w:val="center"/>
          </w:tcPr>
          <w:p w14:paraId="748C3EA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54</w:t>
            </w:r>
          </w:p>
        </w:tc>
        <w:tc>
          <w:tcPr>
            <w:tcW w:w="1457" w:type="pct"/>
            <w:vMerge w:val="continue"/>
            <w:noWrap w:val="0"/>
            <w:vAlign w:val="center"/>
          </w:tcPr>
          <w:p w14:paraId="3342BF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693B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823CD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63400A9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16</w:t>
            </w:r>
          </w:p>
        </w:tc>
        <w:tc>
          <w:tcPr>
            <w:tcW w:w="1157" w:type="pct"/>
            <w:noWrap w:val="0"/>
            <w:vAlign w:val="center"/>
          </w:tcPr>
          <w:p w14:paraId="080CF3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二氯</w:t>
            </w:r>
            <w:r>
              <w:rPr>
                <w:rFonts w:hint="default" w:ascii="Times New Roman" w:hAnsi="Times New Roman" w:cs="Times New Roman"/>
                <w:color w:val="auto"/>
                <w:sz w:val="21"/>
              </w:rPr>
              <w:t>甲</w:t>
            </w:r>
            <w:r>
              <w:rPr>
                <w:rFonts w:hint="default" w:ascii="Times New Roman" w:hAnsi="Times New Roman" w:cs="Times New Roman"/>
                <w:color w:val="auto"/>
                <w:sz w:val="21"/>
                <w:lang w:val="zh-CN"/>
              </w:rPr>
              <w:t>烷</w:t>
            </w:r>
          </w:p>
        </w:tc>
        <w:tc>
          <w:tcPr>
            <w:tcW w:w="1145" w:type="pct"/>
            <w:noWrap w:val="0"/>
            <w:vAlign w:val="center"/>
          </w:tcPr>
          <w:p w14:paraId="612924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616</w:t>
            </w:r>
          </w:p>
        </w:tc>
        <w:tc>
          <w:tcPr>
            <w:tcW w:w="1457" w:type="pct"/>
            <w:vMerge w:val="continue"/>
            <w:noWrap w:val="0"/>
            <w:vAlign w:val="center"/>
          </w:tcPr>
          <w:p w14:paraId="49A6C4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67288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3946A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3E77A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17</w:t>
            </w:r>
          </w:p>
        </w:tc>
        <w:tc>
          <w:tcPr>
            <w:tcW w:w="1157" w:type="pct"/>
            <w:noWrap w:val="0"/>
            <w:vAlign w:val="center"/>
          </w:tcPr>
          <w:p w14:paraId="33C2A14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1,2-二氯丙烷</w:t>
            </w:r>
          </w:p>
        </w:tc>
        <w:tc>
          <w:tcPr>
            <w:tcW w:w="1145" w:type="pct"/>
            <w:noWrap w:val="0"/>
            <w:vAlign w:val="center"/>
          </w:tcPr>
          <w:p w14:paraId="6538545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w:t>
            </w:r>
          </w:p>
        </w:tc>
        <w:tc>
          <w:tcPr>
            <w:tcW w:w="1457" w:type="pct"/>
            <w:vMerge w:val="continue"/>
            <w:noWrap w:val="0"/>
            <w:vAlign w:val="center"/>
          </w:tcPr>
          <w:p w14:paraId="332812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03CB3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CA592A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34E968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18</w:t>
            </w:r>
          </w:p>
        </w:tc>
        <w:tc>
          <w:tcPr>
            <w:tcW w:w="1157" w:type="pct"/>
            <w:noWrap w:val="0"/>
            <w:vAlign w:val="center"/>
          </w:tcPr>
          <w:p w14:paraId="1494A2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1,1,1,2-四氯乙烷</w:t>
            </w:r>
          </w:p>
        </w:tc>
        <w:tc>
          <w:tcPr>
            <w:tcW w:w="1145" w:type="pct"/>
            <w:noWrap w:val="0"/>
            <w:vAlign w:val="center"/>
          </w:tcPr>
          <w:p w14:paraId="7EDDA5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10</w:t>
            </w:r>
          </w:p>
        </w:tc>
        <w:tc>
          <w:tcPr>
            <w:tcW w:w="1457" w:type="pct"/>
            <w:vMerge w:val="continue"/>
            <w:noWrap w:val="0"/>
            <w:vAlign w:val="center"/>
          </w:tcPr>
          <w:p w14:paraId="79B9E2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3E2E0C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6D42121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020918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19</w:t>
            </w:r>
          </w:p>
        </w:tc>
        <w:tc>
          <w:tcPr>
            <w:tcW w:w="1157" w:type="pct"/>
            <w:noWrap w:val="0"/>
            <w:vAlign w:val="center"/>
          </w:tcPr>
          <w:p w14:paraId="1B45DF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1,1,2,2-四氯乙烷</w:t>
            </w:r>
          </w:p>
        </w:tc>
        <w:tc>
          <w:tcPr>
            <w:tcW w:w="1145" w:type="pct"/>
            <w:noWrap w:val="0"/>
            <w:vAlign w:val="center"/>
          </w:tcPr>
          <w:p w14:paraId="1DA49E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6.8</w:t>
            </w:r>
          </w:p>
        </w:tc>
        <w:tc>
          <w:tcPr>
            <w:tcW w:w="1457" w:type="pct"/>
            <w:vMerge w:val="continue"/>
            <w:noWrap w:val="0"/>
            <w:vAlign w:val="center"/>
          </w:tcPr>
          <w:p w14:paraId="6EBBAB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71BF7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3B4EA9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6AF2AC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20</w:t>
            </w:r>
          </w:p>
        </w:tc>
        <w:tc>
          <w:tcPr>
            <w:tcW w:w="1157" w:type="pct"/>
            <w:noWrap w:val="0"/>
            <w:vAlign w:val="center"/>
          </w:tcPr>
          <w:p w14:paraId="7DC066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四氯乙烯</w:t>
            </w:r>
          </w:p>
        </w:tc>
        <w:tc>
          <w:tcPr>
            <w:tcW w:w="1145" w:type="pct"/>
            <w:noWrap w:val="0"/>
            <w:vAlign w:val="center"/>
          </w:tcPr>
          <w:p w14:paraId="7F3E95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53</w:t>
            </w:r>
          </w:p>
        </w:tc>
        <w:tc>
          <w:tcPr>
            <w:tcW w:w="1457" w:type="pct"/>
            <w:vMerge w:val="continue"/>
            <w:noWrap w:val="0"/>
            <w:vAlign w:val="center"/>
          </w:tcPr>
          <w:p w14:paraId="2505194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3FC3E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9CDCE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F27D2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21</w:t>
            </w:r>
          </w:p>
        </w:tc>
        <w:tc>
          <w:tcPr>
            <w:tcW w:w="1157" w:type="pct"/>
            <w:noWrap w:val="0"/>
            <w:vAlign w:val="center"/>
          </w:tcPr>
          <w:p w14:paraId="316EA1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1,1,1-三氯乙烷</w:t>
            </w:r>
          </w:p>
        </w:tc>
        <w:tc>
          <w:tcPr>
            <w:tcW w:w="1145" w:type="pct"/>
            <w:noWrap w:val="0"/>
            <w:vAlign w:val="center"/>
          </w:tcPr>
          <w:p w14:paraId="01532A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840</w:t>
            </w:r>
          </w:p>
        </w:tc>
        <w:tc>
          <w:tcPr>
            <w:tcW w:w="1457" w:type="pct"/>
            <w:vMerge w:val="continue"/>
            <w:noWrap w:val="0"/>
            <w:vAlign w:val="center"/>
          </w:tcPr>
          <w:p w14:paraId="1A477C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39CCF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49729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C5909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22</w:t>
            </w:r>
          </w:p>
        </w:tc>
        <w:tc>
          <w:tcPr>
            <w:tcW w:w="1157" w:type="pct"/>
            <w:noWrap w:val="0"/>
            <w:vAlign w:val="center"/>
          </w:tcPr>
          <w:p w14:paraId="6F72F6D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1,1,2-三氯乙烷</w:t>
            </w:r>
          </w:p>
        </w:tc>
        <w:tc>
          <w:tcPr>
            <w:tcW w:w="1145" w:type="pct"/>
            <w:noWrap w:val="0"/>
            <w:vAlign w:val="center"/>
          </w:tcPr>
          <w:p w14:paraId="7B9803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2.8</w:t>
            </w:r>
          </w:p>
        </w:tc>
        <w:tc>
          <w:tcPr>
            <w:tcW w:w="1457" w:type="pct"/>
            <w:vMerge w:val="continue"/>
            <w:noWrap w:val="0"/>
            <w:vAlign w:val="center"/>
          </w:tcPr>
          <w:p w14:paraId="2580D6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0EE79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96AFE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3B58250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23</w:t>
            </w:r>
          </w:p>
        </w:tc>
        <w:tc>
          <w:tcPr>
            <w:tcW w:w="1157" w:type="pct"/>
            <w:noWrap w:val="0"/>
            <w:vAlign w:val="center"/>
          </w:tcPr>
          <w:p w14:paraId="28604F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三氯乙烯</w:t>
            </w:r>
          </w:p>
        </w:tc>
        <w:tc>
          <w:tcPr>
            <w:tcW w:w="1145" w:type="pct"/>
            <w:noWrap w:val="0"/>
            <w:vAlign w:val="center"/>
          </w:tcPr>
          <w:p w14:paraId="650ACA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2.8</w:t>
            </w:r>
          </w:p>
        </w:tc>
        <w:tc>
          <w:tcPr>
            <w:tcW w:w="1457" w:type="pct"/>
            <w:vMerge w:val="continue"/>
            <w:noWrap w:val="0"/>
            <w:vAlign w:val="center"/>
          </w:tcPr>
          <w:p w14:paraId="76D728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90DB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D7DAE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6B46F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24</w:t>
            </w:r>
          </w:p>
        </w:tc>
        <w:tc>
          <w:tcPr>
            <w:tcW w:w="1157" w:type="pct"/>
            <w:noWrap w:val="0"/>
            <w:vAlign w:val="center"/>
          </w:tcPr>
          <w:p w14:paraId="0F8415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1,2,3-三氯丙烷</w:t>
            </w:r>
          </w:p>
        </w:tc>
        <w:tc>
          <w:tcPr>
            <w:tcW w:w="1145" w:type="pct"/>
            <w:noWrap w:val="0"/>
            <w:vAlign w:val="center"/>
          </w:tcPr>
          <w:p w14:paraId="5EFFEE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0.5</w:t>
            </w:r>
          </w:p>
        </w:tc>
        <w:tc>
          <w:tcPr>
            <w:tcW w:w="1457" w:type="pct"/>
            <w:vMerge w:val="continue"/>
            <w:noWrap w:val="0"/>
            <w:vAlign w:val="center"/>
          </w:tcPr>
          <w:p w14:paraId="2CFCE0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716F3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787E8A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1F0D0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25</w:t>
            </w:r>
          </w:p>
        </w:tc>
        <w:tc>
          <w:tcPr>
            <w:tcW w:w="1157" w:type="pct"/>
            <w:noWrap w:val="0"/>
            <w:vAlign w:val="center"/>
          </w:tcPr>
          <w:p w14:paraId="7A8343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氯乙烯</w:t>
            </w:r>
          </w:p>
        </w:tc>
        <w:tc>
          <w:tcPr>
            <w:tcW w:w="1145" w:type="pct"/>
            <w:noWrap w:val="0"/>
            <w:vAlign w:val="center"/>
          </w:tcPr>
          <w:p w14:paraId="4020C1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0.43</w:t>
            </w:r>
          </w:p>
        </w:tc>
        <w:tc>
          <w:tcPr>
            <w:tcW w:w="1457" w:type="pct"/>
            <w:vMerge w:val="continue"/>
            <w:noWrap w:val="0"/>
            <w:vAlign w:val="center"/>
          </w:tcPr>
          <w:p w14:paraId="62DE724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162D5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53F90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E7967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26</w:t>
            </w:r>
          </w:p>
        </w:tc>
        <w:tc>
          <w:tcPr>
            <w:tcW w:w="1157" w:type="pct"/>
            <w:noWrap w:val="0"/>
            <w:vAlign w:val="center"/>
          </w:tcPr>
          <w:p w14:paraId="2C5EE92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w:t>
            </w:r>
          </w:p>
        </w:tc>
        <w:tc>
          <w:tcPr>
            <w:tcW w:w="1145" w:type="pct"/>
            <w:noWrap w:val="0"/>
            <w:vAlign w:val="center"/>
          </w:tcPr>
          <w:p w14:paraId="14F38F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w:t>
            </w:r>
          </w:p>
        </w:tc>
        <w:tc>
          <w:tcPr>
            <w:tcW w:w="1457" w:type="pct"/>
            <w:vMerge w:val="continue"/>
            <w:noWrap w:val="0"/>
            <w:vAlign w:val="center"/>
          </w:tcPr>
          <w:p w14:paraId="4238BBC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5AFEA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76A7629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00AD1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27</w:t>
            </w:r>
          </w:p>
        </w:tc>
        <w:tc>
          <w:tcPr>
            <w:tcW w:w="1157" w:type="pct"/>
            <w:noWrap w:val="0"/>
            <w:vAlign w:val="center"/>
          </w:tcPr>
          <w:p w14:paraId="1967D5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氯苯</w:t>
            </w:r>
          </w:p>
        </w:tc>
        <w:tc>
          <w:tcPr>
            <w:tcW w:w="1145" w:type="pct"/>
            <w:noWrap w:val="0"/>
            <w:vAlign w:val="center"/>
          </w:tcPr>
          <w:p w14:paraId="3CC92F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270</w:t>
            </w:r>
          </w:p>
        </w:tc>
        <w:tc>
          <w:tcPr>
            <w:tcW w:w="1457" w:type="pct"/>
            <w:vMerge w:val="continue"/>
            <w:noWrap w:val="0"/>
            <w:vAlign w:val="center"/>
          </w:tcPr>
          <w:p w14:paraId="766C7B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699652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377DE3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64F43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28</w:t>
            </w:r>
          </w:p>
        </w:tc>
        <w:tc>
          <w:tcPr>
            <w:tcW w:w="1157" w:type="pct"/>
            <w:noWrap w:val="0"/>
            <w:vAlign w:val="center"/>
          </w:tcPr>
          <w:p w14:paraId="7724EA0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1,2-二氯苯</w:t>
            </w:r>
          </w:p>
        </w:tc>
        <w:tc>
          <w:tcPr>
            <w:tcW w:w="1145" w:type="pct"/>
            <w:noWrap w:val="0"/>
            <w:vAlign w:val="center"/>
          </w:tcPr>
          <w:p w14:paraId="4C4E70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560</w:t>
            </w:r>
          </w:p>
        </w:tc>
        <w:tc>
          <w:tcPr>
            <w:tcW w:w="1457" w:type="pct"/>
            <w:vMerge w:val="continue"/>
            <w:noWrap w:val="0"/>
            <w:vAlign w:val="center"/>
          </w:tcPr>
          <w:p w14:paraId="30D240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46626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1EEE501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975710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29</w:t>
            </w:r>
          </w:p>
        </w:tc>
        <w:tc>
          <w:tcPr>
            <w:tcW w:w="1157" w:type="pct"/>
            <w:noWrap w:val="0"/>
            <w:vAlign w:val="center"/>
          </w:tcPr>
          <w:p w14:paraId="07F846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1,4-二氯苯</w:t>
            </w:r>
          </w:p>
        </w:tc>
        <w:tc>
          <w:tcPr>
            <w:tcW w:w="1145" w:type="pct"/>
            <w:noWrap w:val="0"/>
            <w:vAlign w:val="center"/>
          </w:tcPr>
          <w:p w14:paraId="5F2B35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20</w:t>
            </w:r>
          </w:p>
        </w:tc>
        <w:tc>
          <w:tcPr>
            <w:tcW w:w="1457" w:type="pct"/>
            <w:vMerge w:val="continue"/>
            <w:noWrap w:val="0"/>
            <w:vAlign w:val="center"/>
          </w:tcPr>
          <w:p w14:paraId="1CFFC9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078A8D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827A68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21DEA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30</w:t>
            </w:r>
          </w:p>
        </w:tc>
        <w:tc>
          <w:tcPr>
            <w:tcW w:w="1157" w:type="pct"/>
            <w:noWrap w:val="0"/>
            <w:vAlign w:val="center"/>
          </w:tcPr>
          <w:p w14:paraId="6CF1DE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乙苯</w:t>
            </w:r>
          </w:p>
        </w:tc>
        <w:tc>
          <w:tcPr>
            <w:tcW w:w="1145" w:type="pct"/>
            <w:noWrap w:val="0"/>
            <w:vAlign w:val="center"/>
          </w:tcPr>
          <w:p w14:paraId="5C862C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28</w:t>
            </w:r>
          </w:p>
        </w:tc>
        <w:tc>
          <w:tcPr>
            <w:tcW w:w="1457" w:type="pct"/>
            <w:vMerge w:val="continue"/>
            <w:noWrap w:val="0"/>
            <w:vAlign w:val="center"/>
          </w:tcPr>
          <w:p w14:paraId="7E35FC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14248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56DAF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428BBC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31</w:t>
            </w:r>
          </w:p>
        </w:tc>
        <w:tc>
          <w:tcPr>
            <w:tcW w:w="1157" w:type="pct"/>
            <w:noWrap w:val="0"/>
            <w:vAlign w:val="center"/>
          </w:tcPr>
          <w:p w14:paraId="464AD5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苯乙烯</w:t>
            </w:r>
          </w:p>
        </w:tc>
        <w:tc>
          <w:tcPr>
            <w:tcW w:w="1145" w:type="pct"/>
            <w:noWrap w:val="0"/>
            <w:vAlign w:val="center"/>
          </w:tcPr>
          <w:p w14:paraId="637BCA8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1290</w:t>
            </w:r>
          </w:p>
        </w:tc>
        <w:tc>
          <w:tcPr>
            <w:tcW w:w="1457" w:type="pct"/>
            <w:vMerge w:val="continue"/>
            <w:noWrap w:val="0"/>
            <w:vAlign w:val="center"/>
          </w:tcPr>
          <w:p w14:paraId="1A8E57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03D496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753FC3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75309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32</w:t>
            </w:r>
          </w:p>
        </w:tc>
        <w:tc>
          <w:tcPr>
            <w:tcW w:w="1157" w:type="pct"/>
            <w:noWrap w:val="0"/>
            <w:vAlign w:val="center"/>
          </w:tcPr>
          <w:p w14:paraId="2F3A90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甲苯</w:t>
            </w:r>
          </w:p>
        </w:tc>
        <w:tc>
          <w:tcPr>
            <w:tcW w:w="1145" w:type="pct"/>
            <w:noWrap w:val="0"/>
            <w:vAlign w:val="center"/>
          </w:tcPr>
          <w:p w14:paraId="346531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1200</w:t>
            </w:r>
          </w:p>
        </w:tc>
        <w:tc>
          <w:tcPr>
            <w:tcW w:w="1457" w:type="pct"/>
            <w:vMerge w:val="continue"/>
            <w:noWrap w:val="0"/>
            <w:vAlign w:val="center"/>
          </w:tcPr>
          <w:p w14:paraId="40DE65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67167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110F4D9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484668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33</w:t>
            </w:r>
          </w:p>
        </w:tc>
        <w:tc>
          <w:tcPr>
            <w:tcW w:w="1157" w:type="pct"/>
            <w:noWrap w:val="0"/>
            <w:vAlign w:val="center"/>
          </w:tcPr>
          <w:p w14:paraId="07256E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间二甲苯+对二甲苯</w:t>
            </w:r>
          </w:p>
        </w:tc>
        <w:tc>
          <w:tcPr>
            <w:tcW w:w="1145" w:type="pct"/>
            <w:noWrap w:val="0"/>
            <w:vAlign w:val="center"/>
          </w:tcPr>
          <w:p w14:paraId="63FB167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570</w:t>
            </w:r>
          </w:p>
        </w:tc>
        <w:tc>
          <w:tcPr>
            <w:tcW w:w="1457" w:type="pct"/>
            <w:vMerge w:val="continue"/>
            <w:noWrap w:val="0"/>
            <w:vAlign w:val="center"/>
          </w:tcPr>
          <w:p w14:paraId="1B6725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2509E9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31ADD46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77C4B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34</w:t>
            </w:r>
          </w:p>
        </w:tc>
        <w:tc>
          <w:tcPr>
            <w:tcW w:w="1157" w:type="pct"/>
            <w:noWrap w:val="0"/>
            <w:vAlign w:val="center"/>
          </w:tcPr>
          <w:p w14:paraId="640E9BA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邻二甲苯</w:t>
            </w:r>
          </w:p>
        </w:tc>
        <w:tc>
          <w:tcPr>
            <w:tcW w:w="1145" w:type="pct"/>
            <w:noWrap w:val="0"/>
            <w:vAlign w:val="center"/>
          </w:tcPr>
          <w:p w14:paraId="628379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640</w:t>
            </w:r>
          </w:p>
        </w:tc>
        <w:tc>
          <w:tcPr>
            <w:tcW w:w="1457" w:type="pct"/>
            <w:vMerge w:val="continue"/>
            <w:noWrap w:val="0"/>
            <w:vAlign w:val="center"/>
          </w:tcPr>
          <w:p w14:paraId="6A6537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r>
      <w:tr w14:paraId="5B128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5000" w:type="pct"/>
            <w:gridSpan w:val="5"/>
            <w:noWrap w:val="0"/>
            <w:vAlign w:val="center"/>
          </w:tcPr>
          <w:p w14:paraId="6CBACC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半挥发性有机物</w:t>
            </w:r>
          </w:p>
        </w:tc>
      </w:tr>
      <w:tr w14:paraId="54194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restart"/>
            <w:noWrap w:val="0"/>
            <w:vAlign w:val="center"/>
          </w:tcPr>
          <w:p w14:paraId="65A469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第二类用地筛选值</w:t>
            </w:r>
          </w:p>
        </w:tc>
        <w:tc>
          <w:tcPr>
            <w:tcW w:w="566" w:type="pct"/>
            <w:noWrap w:val="0"/>
            <w:vAlign w:val="center"/>
          </w:tcPr>
          <w:p w14:paraId="63BE7EF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35</w:t>
            </w:r>
          </w:p>
        </w:tc>
        <w:tc>
          <w:tcPr>
            <w:tcW w:w="1157" w:type="pct"/>
            <w:noWrap w:val="0"/>
            <w:vAlign w:val="center"/>
          </w:tcPr>
          <w:p w14:paraId="62CA6E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硝基苯</w:t>
            </w:r>
          </w:p>
        </w:tc>
        <w:tc>
          <w:tcPr>
            <w:tcW w:w="1145" w:type="pct"/>
            <w:noWrap w:val="0"/>
            <w:vAlign w:val="center"/>
          </w:tcPr>
          <w:p w14:paraId="79EE02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76</w:t>
            </w:r>
          </w:p>
        </w:tc>
        <w:tc>
          <w:tcPr>
            <w:tcW w:w="1457" w:type="pct"/>
            <w:vMerge w:val="restart"/>
            <w:noWrap w:val="0"/>
            <w:vAlign w:val="center"/>
          </w:tcPr>
          <w:p w14:paraId="416787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《土壤环境质量 建设用地土壤污染风险管控标准》（GB36600-2018）</w:t>
            </w:r>
          </w:p>
        </w:tc>
      </w:tr>
      <w:tr w14:paraId="4C966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C61DB1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33E140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36</w:t>
            </w:r>
          </w:p>
        </w:tc>
        <w:tc>
          <w:tcPr>
            <w:tcW w:w="1157" w:type="pct"/>
            <w:noWrap w:val="0"/>
            <w:vAlign w:val="center"/>
          </w:tcPr>
          <w:p w14:paraId="74109B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苯胺</w:t>
            </w:r>
          </w:p>
        </w:tc>
        <w:tc>
          <w:tcPr>
            <w:tcW w:w="1145" w:type="pct"/>
            <w:noWrap w:val="0"/>
            <w:vAlign w:val="center"/>
          </w:tcPr>
          <w:p w14:paraId="337C26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260</w:t>
            </w:r>
          </w:p>
        </w:tc>
        <w:tc>
          <w:tcPr>
            <w:tcW w:w="1457" w:type="pct"/>
            <w:vMerge w:val="continue"/>
            <w:noWrap w:val="0"/>
            <w:vAlign w:val="center"/>
          </w:tcPr>
          <w:p w14:paraId="58CE44FB">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230722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9A551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EA8E3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37</w:t>
            </w:r>
          </w:p>
        </w:tc>
        <w:tc>
          <w:tcPr>
            <w:tcW w:w="1157" w:type="pct"/>
            <w:noWrap w:val="0"/>
            <w:vAlign w:val="center"/>
          </w:tcPr>
          <w:p w14:paraId="0E0612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2-氯酚</w:t>
            </w:r>
          </w:p>
        </w:tc>
        <w:tc>
          <w:tcPr>
            <w:tcW w:w="1145" w:type="pct"/>
            <w:noWrap w:val="0"/>
            <w:vAlign w:val="center"/>
          </w:tcPr>
          <w:p w14:paraId="0BD3C0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2256</w:t>
            </w:r>
          </w:p>
        </w:tc>
        <w:tc>
          <w:tcPr>
            <w:tcW w:w="1457" w:type="pct"/>
            <w:vMerge w:val="continue"/>
            <w:noWrap w:val="0"/>
            <w:vAlign w:val="center"/>
          </w:tcPr>
          <w:p w14:paraId="2249F320">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555FC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75365D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4B30128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38</w:t>
            </w:r>
          </w:p>
        </w:tc>
        <w:tc>
          <w:tcPr>
            <w:tcW w:w="1157" w:type="pct"/>
            <w:noWrap w:val="0"/>
            <w:vAlign w:val="center"/>
          </w:tcPr>
          <w:p w14:paraId="7181B6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苯并〔a〕蒽</w:t>
            </w:r>
          </w:p>
        </w:tc>
        <w:tc>
          <w:tcPr>
            <w:tcW w:w="1145" w:type="pct"/>
            <w:noWrap w:val="0"/>
            <w:vAlign w:val="center"/>
          </w:tcPr>
          <w:p w14:paraId="77DFE7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457" w:type="pct"/>
            <w:vMerge w:val="continue"/>
            <w:noWrap w:val="0"/>
            <w:vAlign w:val="center"/>
          </w:tcPr>
          <w:p w14:paraId="52FAB4AC">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3D7E2F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25B103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079B16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39</w:t>
            </w:r>
          </w:p>
        </w:tc>
        <w:tc>
          <w:tcPr>
            <w:tcW w:w="1157" w:type="pct"/>
            <w:noWrap w:val="0"/>
            <w:vAlign w:val="center"/>
          </w:tcPr>
          <w:p w14:paraId="4169A96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苯并〔a〕芘</w:t>
            </w:r>
          </w:p>
        </w:tc>
        <w:tc>
          <w:tcPr>
            <w:tcW w:w="1145" w:type="pct"/>
            <w:noWrap w:val="0"/>
            <w:vAlign w:val="center"/>
          </w:tcPr>
          <w:p w14:paraId="6E8DEC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457" w:type="pct"/>
            <w:vMerge w:val="continue"/>
            <w:noWrap w:val="0"/>
            <w:vAlign w:val="center"/>
          </w:tcPr>
          <w:p w14:paraId="12ED212C">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1F439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A8F6F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0A0C5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40</w:t>
            </w:r>
          </w:p>
        </w:tc>
        <w:tc>
          <w:tcPr>
            <w:tcW w:w="1157" w:type="pct"/>
            <w:noWrap w:val="0"/>
            <w:vAlign w:val="center"/>
          </w:tcPr>
          <w:p w14:paraId="22464B4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苯并〔b〕荧蒽</w:t>
            </w:r>
          </w:p>
        </w:tc>
        <w:tc>
          <w:tcPr>
            <w:tcW w:w="1145" w:type="pct"/>
            <w:noWrap w:val="0"/>
            <w:vAlign w:val="center"/>
          </w:tcPr>
          <w:p w14:paraId="45E70B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457" w:type="pct"/>
            <w:vMerge w:val="continue"/>
            <w:noWrap w:val="0"/>
            <w:vAlign w:val="center"/>
          </w:tcPr>
          <w:p w14:paraId="5313D4D8">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01AD6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CAD47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0C8D6D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41</w:t>
            </w:r>
          </w:p>
        </w:tc>
        <w:tc>
          <w:tcPr>
            <w:tcW w:w="1157" w:type="pct"/>
            <w:noWrap w:val="0"/>
            <w:vAlign w:val="center"/>
          </w:tcPr>
          <w:p w14:paraId="4AB705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苯并〔k〕荧蒽</w:t>
            </w:r>
          </w:p>
        </w:tc>
        <w:tc>
          <w:tcPr>
            <w:tcW w:w="1145" w:type="pct"/>
            <w:noWrap w:val="0"/>
            <w:vAlign w:val="center"/>
          </w:tcPr>
          <w:p w14:paraId="6B3AC0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151</w:t>
            </w:r>
          </w:p>
        </w:tc>
        <w:tc>
          <w:tcPr>
            <w:tcW w:w="1457" w:type="pct"/>
            <w:vMerge w:val="continue"/>
            <w:noWrap w:val="0"/>
            <w:vAlign w:val="center"/>
          </w:tcPr>
          <w:p w14:paraId="0CD3A07A">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764111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27DACF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83756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42</w:t>
            </w:r>
          </w:p>
        </w:tc>
        <w:tc>
          <w:tcPr>
            <w:tcW w:w="1157" w:type="pct"/>
            <w:noWrap w:val="0"/>
            <w:vAlign w:val="center"/>
          </w:tcPr>
          <w:p w14:paraId="3E2332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䓛</w:t>
            </w:r>
          </w:p>
        </w:tc>
        <w:tc>
          <w:tcPr>
            <w:tcW w:w="1145" w:type="pct"/>
            <w:noWrap w:val="0"/>
            <w:vAlign w:val="center"/>
          </w:tcPr>
          <w:p w14:paraId="1ECC76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1293</w:t>
            </w:r>
          </w:p>
        </w:tc>
        <w:tc>
          <w:tcPr>
            <w:tcW w:w="1457" w:type="pct"/>
            <w:vMerge w:val="continue"/>
            <w:noWrap w:val="0"/>
            <w:vAlign w:val="center"/>
          </w:tcPr>
          <w:p w14:paraId="49BFBBD7">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2FC5B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602F86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E2567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43</w:t>
            </w:r>
          </w:p>
        </w:tc>
        <w:tc>
          <w:tcPr>
            <w:tcW w:w="1157" w:type="pct"/>
            <w:noWrap w:val="0"/>
            <w:vAlign w:val="center"/>
          </w:tcPr>
          <w:p w14:paraId="43B5A8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二苯并〔a,h〕蒽</w:t>
            </w:r>
          </w:p>
        </w:tc>
        <w:tc>
          <w:tcPr>
            <w:tcW w:w="1145" w:type="pct"/>
            <w:noWrap w:val="0"/>
            <w:vAlign w:val="center"/>
          </w:tcPr>
          <w:p w14:paraId="194BC5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457" w:type="pct"/>
            <w:vMerge w:val="continue"/>
            <w:noWrap w:val="0"/>
            <w:vAlign w:val="center"/>
          </w:tcPr>
          <w:p w14:paraId="2B73C47B">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745223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274C1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6649CFC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44</w:t>
            </w:r>
          </w:p>
        </w:tc>
        <w:tc>
          <w:tcPr>
            <w:tcW w:w="1157" w:type="pct"/>
            <w:noWrap w:val="0"/>
            <w:vAlign w:val="center"/>
          </w:tcPr>
          <w:p w14:paraId="5755F7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茚并〔1,2,3-cd〕芘</w:t>
            </w:r>
          </w:p>
        </w:tc>
        <w:tc>
          <w:tcPr>
            <w:tcW w:w="1145" w:type="pct"/>
            <w:noWrap w:val="0"/>
            <w:vAlign w:val="center"/>
          </w:tcPr>
          <w:p w14:paraId="62E31D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15</w:t>
            </w:r>
          </w:p>
        </w:tc>
        <w:tc>
          <w:tcPr>
            <w:tcW w:w="1457" w:type="pct"/>
            <w:vMerge w:val="continue"/>
            <w:noWrap w:val="0"/>
            <w:vAlign w:val="center"/>
          </w:tcPr>
          <w:p w14:paraId="4F2F0FC5">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71E2D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1DC0B1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9D7F2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45</w:t>
            </w:r>
          </w:p>
        </w:tc>
        <w:tc>
          <w:tcPr>
            <w:tcW w:w="1157" w:type="pct"/>
            <w:noWrap w:val="0"/>
            <w:vAlign w:val="center"/>
          </w:tcPr>
          <w:p w14:paraId="097A5A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萘</w:t>
            </w:r>
          </w:p>
        </w:tc>
        <w:tc>
          <w:tcPr>
            <w:tcW w:w="1145" w:type="pct"/>
            <w:noWrap w:val="0"/>
            <w:vAlign w:val="center"/>
          </w:tcPr>
          <w:p w14:paraId="7490BD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r>
              <w:rPr>
                <w:rFonts w:hint="default" w:ascii="Times New Roman" w:hAnsi="Times New Roman" w:cs="Times New Roman"/>
                <w:color w:val="auto"/>
                <w:sz w:val="21"/>
                <w:lang w:val="zh-CN"/>
              </w:rPr>
              <w:t>70</w:t>
            </w:r>
          </w:p>
        </w:tc>
        <w:tc>
          <w:tcPr>
            <w:tcW w:w="1457" w:type="pct"/>
            <w:vMerge w:val="continue"/>
            <w:noWrap w:val="0"/>
            <w:vAlign w:val="center"/>
          </w:tcPr>
          <w:p w14:paraId="11760630">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7F14B7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restart"/>
            <w:noWrap w:val="0"/>
            <w:vAlign w:val="center"/>
          </w:tcPr>
          <w:p w14:paraId="0B4D25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lang w:val="en-US" w:eastAsia="zh-CN"/>
              </w:rPr>
            </w:pPr>
            <w:r>
              <w:rPr>
                <w:rFonts w:hint="default" w:ascii="Times New Roman" w:hAnsi="Times New Roman" w:cs="Times New Roman"/>
                <w:color w:val="auto"/>
                <w:sz w:val="21"/>
                <w:lang w:val="en-US" w:eastAsia="zh-CN"/>
              </w:rPr>
              <w:t>农用地</w:t>
            </w:r>
          </w:p>
        </w:tc>
        <w:tc>
          <w:tcPr>
            <w:tcW w:w="566" w:type="pct"/>
            <w:noWrap w:val="0"/>
            <w:vAlign w:val="center"/>
          </w:tcPr>
          <w:p w14:paraId="7EF814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1</w:t>
            </w:r>
          </w:p>
        </w:tc>
        <w:tc>
          <w:tcPr>
            <w:tcW w:w="1157" w:type="pct"/>
            <w:noWrap w:val="0"/>
            <w:vAlign w:val="center"/>
          </w:tcPr>
          <w:p w14:paraId="6A490D7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镉</w:t>
            </w:r>
          </w:p>
        </w:tc>
        <w:tc>
          <w:tcPr>
            <w:tcW w:w="1145" w:type="pct"/>
            <w:noWrap w:val="0"/>
            <w:vAlign w:val="center"/>
          </w:tcPr>
          <w:p w14:paraId="04EBEC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0.6</w:t>
            </w:r>
          </w:p>
        </w:tc>
        <w:tc>
          <w:tcPr>
            <w:tcW w:w="1457" w:type="pct"/>
            <w:vMerge w:val="restart"/>
            <w:noWrap w:val="0"/>
            <w:vAlign w:val="center"/>
          </w:tcPr>
          <w:p w14:paraId="4FF4336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rPr>
            </w:pPr>
            <w:r>
              <w:rPr>
                <w:rFonts w:hint="default" w:ascii="Times New Roman" w:hAnsi="Times New Roman" w:cs="Times New Roman"/>
                <w:color w:val="auto"/>
                <w:sz w:val="21"/>
              </w:rPr>
              <w:t>《土壤环境质量 农用地土壤污染风险管控标准（试行）》（GB15618-2018）</w:t>
            </w:r>
          </w:p>
        </w:tc>
      </w:tr>
      <w:tr w14:paraId="07FF06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64D1C1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158995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2</w:t>
            </w:r>
          </w:p>
        </w:tc>
        <w:tc>
          <w:tcPr>
            <w:tcW w:w="1157" w:type="pct"/>
            <w:noWrap w:val="0"/>
            <w:vAlign w:val="center"/>
          </w:tcPr>
          <w:p w14:paraId="265C915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汞</w:t>
            </w:r>
          </w:p>
        </w:tc>
        <w:tc>
          <w:tcPr>
            <w:tcW w:w="1145" w:type="pct"/>
            <w:noWrap w:val="0"/>
            <w:vAlign w:val="center"/>
          </w:tcPr>
          <w:p w14:paraId="728EFA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3.4</w:t>
            </w:r>
          </w:p>
        </w:tc>
        <w:tc>
          <w:tcPr>
            <w:tcW w:w="1457" w:type="pct"/>
            <w:vMerge w:val="continue"/>
            <w:noWrap w:val="0"/>
            <w:vAlign w:val="center"/>
          </w:tcPr>
          <w:p w14:paraId="6A333F9E">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048404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76CF05B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7F9632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3</w:t>
            </w:r>
          </w:p>
        </w:tc>
        <w:tc>
          <w:tcPr>
            <w:tcW w:w="1157" w:type="pct"/>
            <w:noWrap w:val="0"/>
            <w:vAlign w:val="center"/>
          </w:tcPr>
          <w:p w14:paraId="36E161C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砷</w:t>
            </w:r>
          </w:p>
        </w:tc>
        <w:tc>
          <w:tcPr>
            <w:tcW w:w="1145" w:type="pct"/>
            <w:noWrap w:val="0"/>
            <w:vAlign w:val="center"/>
          </w:tcPr>
          <w:p w14:paraId="1EADB72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25</w:t>
            </w:r>
          </w:p>
        </w:tc>
        <w:tc>
          <w:tcPr>
            <w:tcW w:w="1457" w:type="pct"/>
            <w:vMerge w:val="continue"/>
            <w:noWrap w:val="0"/>
            <w:vAlign w:val="center"/>
          </w:tcPr>
          <w:p w14:paraId="0AA1D296">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617CF1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5AB9976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D48742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4</w:t>
            </w:r>
          </w:p>
        </w:tc>
        <w:tc>
          <w:tcPr>
            <w:tcW w:w="1157" w:type="pct"/>
            <w:noWrap w:val="0"/>
            <w:vAlign w:val="center"/>
          </w:tcPr>
          <w:p w14:paraId="590045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铅</w:t>
            </w:r>
          </w:p>
        </w:tc>
        <w:tc>
          <w:tcPr>
            <w:tcW w:w="1145" w:type="pct"/>
            <w:noWrap w:val="0"/>
            <w:vAlign w:val="center"/>
          </w:tcPr>
          <w:p w14:paraId="0B6972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170</w:t>
            </w:r>
          </w:p>
        </w:tc>
        <w:tc>
          <w:tcPr>
            <w:tcW w:w="1457" w:type="pct"/>
            <w:vMerge w:val="continue"/>
            <w:noWrap w:val="0"/>
            <w:vAlign w:val="center"/>
          </w:tcPr>
          <w:p w14:paraId="2B67D14F">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73D12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36CB49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524842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5</w:t>
            </w:r>
          </w:p>
        </w:tc>
        <w:tc>
          <w:tcPr>
            <w:tcW w:w="1157" w:type="pct"/>
            <w:noWrap w:val="0"/>
            <w:vAlign w:val="center"/>
          </w:tcPr>
          <w:p w14:paraId="677E5C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铬</w:t>
            </w:r>
          </w:p>
        </w:tc>
        <w:tc>
          <w:tcPr>
            <w:tcW w:w="1145" w:type="pct"/>
            <w:noWrap w:val="0"/>
            <w:vAlign w:val="center"/>
          </w:tcPr>
          <w:p w14:paraId="7C33F8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250</w:t>
            </w:r>
          </w:p>
        </w:tc>
        <w:tc>
          <w:tcPr>
            <w:tcW w:w="1457" w:type="pct"/>
            <w:vMerge w:val="continue"/>
            <w:noWrap w:val="0"/>
            <w:vAlign w:val="center"/>
          </w:tcPr>
          <w:p w14:paraId="75CEF309">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25F00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117D59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6D55678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6</w:t>
            </w:r>
          </w:p>
        </w:tc>
        <w:tc>
          <w:tcPr>
            <w:tcW w:w="1157" w:type="pct"/>
            <w:noWrap w:val="0"/>
            <w:vAlign w:val="center"/>
          </w:tcPr>
          <w:p w14:paraId="23119E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铜</w:t>
            </w:r>
          </w:p>
        </w:tc>
        <w:tc>
          <w:tcPr>
            <w:tcW w:w="1145" w:type="pct"/>
            <w:noWrap w:val="0"/>
            <w:vAlign w:val="center"/>
          </w:tcPr>
          <w:p w14:paraId="425829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100</w:t>
            </w:r>
          </w:p>
        </w:tc>
        <w:tc>
          <w:tcPr>
            <w:tcW w:w="1457" w:type="pct"/>
            <w:vMerge w:val="continue"/>
            <w:noWrap w:val="0"/>
            <w:vAlign w:val="center"/>
          </w:tcPr>
          <w:p w14:paraId="2E4BDD71">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06ECA1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4BBF45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075518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7</w:t>
            </w:r>
          </w:p>
        </w:tc>
        <w:tc>
          <w:tcPr>
            <w:tcW w:w="1157" w:type="pct"/>
            <w:noWrap w:val="0"/>
            <w:vAlign w:val="center"/>
          </w:tcPr>
          <w:p w14:paraId="444521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镍</w:t>
            </w:r>
          </w:p>
        </w:tc>
        <w:tc>
          <w:tcPr>
            <w:tcW w:w="1145" w:type="pct"/>
            <w:noWrap w:val="0"/>
            <w:vAlign w:val="center"/>
          </w:tcPr>
          <w:p w14:paraId="37C306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190</w:t>
            </w:r>
          </w:p>
        </w:tc>
        <w:tc>
          <w:tcPr>
            <w:tcW w:w="1457" w:type="pct"/>
            <w:vMerge w:val="continue"/>
            <w:noWrap w:val="0"/>
            <w:vAlign w:val="center"/>
          </w:tcPr>
          <w:p w14:paraId="2A22F3D7">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r w14:paraId="5CE61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673" w:type="pct"/>
            <w:vMerge w:val="continue"/>
            <w:noWrap w:val="0"/>
            <w:vAlign w:val="center"/>
          </w:tcPr>
          <w:p w14:paraId="0056DC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z w:val="21"/>
                <w:lang w:val="zh-CN"/>
              </w:rPr>
            </w:pPr>
          </w:p>
        </w:tc>
        <w:tc>
          <w:tcPr>
            <w:tcW w:w="566" w:type="pct"/>
            <w:noWrap w:val="0"/>
            <w:vAlign w:val="center"/>
          </w:tcPr>
          <w:p w14:paraId="25804C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8</w:t>
            </w:r>
          </w:p>
        </w:tc>
        <w:tc>
          <w:tcPr>
            <w:tcW w:w="1157" w:type="pct"/>
            <w:noWrap w:val="0"/>
            <w:vAlign w:val="center"/>
          </w:tcPr>
          <w:p w14:paraId="686568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锌</w:t>
            </w:r>
          </w:p>
        </w:tc>
        <w:tc>
          <w:tcPr>
            <w:tcW w:w="1145" w:type="pct"/>
            <w:noWrap w:val="0"/>
            <w:vAlign w:val="center"/>
          </w:tcPr>
          <w:p w14:paraId="3362C7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cs="Times New Roman"/>
                <w:color w:val="auto"/>
                <w:sz w:val="21"/>
                <w:szCs w:val="21"/>
              </w:rPr>
              <w:t>300</w:t>
            </w:r>
          </w:p>
        </w:tc>
        <w:tc>
          <w:tcPr>
            <w:tcW w:w="1457" w:type="pct"/>
            <w:vMerge w:val="continue"/>
            <w:noWrap w:val="0"/>
            <w:vAlign w:val="center"/>
          </w:tcPr>
          <w:p w14:paraId="1CA201C9">
            <w:pPr>
              <w:keepNext w:val="0"/>
              <w:keepLines w:val="0"/>
              <w:pageBreakBefore w:val="0"/>
              <w:widowControl w:val="0"/>
              <w:kinsoku/>
              <w:wordWrap/>
              <w:overflowPunct/>
              <w:topLinePunct w:val="0"/>
              <w:autoSpaceDE/>
              <w:autoSpaceDN/>
              <w:bidi w:val="0"/>
              <w:adjustRightInd/>
              <w:snapToGrid/>
              <w:spacing w:line="360" w:lineRule="exact"/>
              <w:ind w:firstLine="420"/>
              <w:jc w:val="center"/>
              <w:textAlignment w:val="auto"/>
              <w:rPr>
                <w:rFonts w:hint="default" w:ascii="Times New Roman" w:hAnsi="Times New Roman" w:cs="Times New Roman"/>
                <w:color w:val="auto"/>
                <w:sz w:val="21"/>
              </w:rPr>
            </w:pPr>
          </w:p>
        </w:tc>
      </w:tr>
    </w:tbl>
    <w:p w14:paraId="36A8A34B">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2.4.2.2污染物排放标准</w:t>
      </w:r>
    </w:p>
    <w:p w14:paraId="22F1A28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（1）大气污染物排放标准</w:t>
      </w:r>
    </w:p>
    <w:p w14:paraId="34A2E4B1">
      <w:pPr>
        <w:keepNext w:val="0"/>
        <w:keepLines w:val="0"/>
        <w:pageBreakBefore w:val="0"/>
        <w:widowControl w:val="0"/>
        <w:tabs>
          <w:tab w:val="left" w:pos="1183"/>
        </w:tabs>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lang w:eastAsia="zh-CN"/>
        </w:rPr>
      </w:pPr>
      <w:r>
        <w:rPr>
          <w:rFonts w:hint="default" w:ascii="Times New Roman" w:hAnsi="Times New Roman" w:eastAsia="宋体" w:cs="Times New Roman"/>
          <w:color w:val="auto"/>
          <w:spacing w:val="0"/>
          <w:w w:val="100"/>
          <w:position w:val="0"/>
          <w:sz w:val="24"/>
          <w:szCs w:val="24"/>
          <w:highlight w:val="none"/>
          <w:lang w:eastAsia="zh-CN"/>
        </w:rPr>
        <w:t>本项目主要大气污染源为</w:t>
      </w:r>
      <w:r>
        <w:rPr>
          <w:rFonts w:hint="default" w:ascii="Times New Roman" w:hAnsi="Times New Roman" w:eastAsia="宋体" w:cs="Times New Roman"/>
          <w:color w:val="auto"/>
          <w:spacing w:val="0"/>
          <w:w w:val="100"/>
          <w:position w:val="0"/>
          <w:sz w:val="24"/>
          <w:szCs w:val="24"/>
          <w:highlight w:val="none"/>
          <w:lang w:val="en-US" w:eastAsia="zh-CN"/>
        </w:rPr>
        <w:t>采矿粉尘、</w:t>
      </w:r>
      <w:r>
        <w:rPr>
          <w:rFonts w:hint="default" w:ascii="Times New Roman" w:hAnsi="Times New Roman" w:cs="Times New Roman"/>
          <w:color w:val="auto"/>
          <w:spacing w:val="0"/>
          <w:w w:val="100"/>
          <w:position w:val="0"/>
          <w:sz w:val="24"/>
          <w:szCs w:val="24"/>
          <w:highlight w:val="none"/>
          <w:lang w:val="en-US" w:eastAsia="zh-CN"/>
        </w:rPr>
        <w:t>废石破碎粉尘、水泥筒仓粉尘、</w:t>
      </w:r>
      <w:r>
        <w:rPr>
          <w:rFonts w:hint="default" w:ascii="Times New Roman" w:hAnsi="Times New Roman" w:eastAsia="宋体" w:cs="Times New Roman"/>
          <w:color w:val="auto"/>
          <w:spacing w:val="0"/>
          <w:w w:val="100"/>
          <w:position w:val="0"/>
          <w:sz w:val="24"/>
          <w:szCs w:val="24"/>
          <w:highlight w:val="none"/>
          <w:lang w:eastAsia="zh-CN"/>
        </w:rPr>
        <w:t>废石场</w:t>
      </w:r>
      <w:r>
        <w:rPr>
          <w:rFonts w:hint="default" w:ascii="Times New Roman" w:hAnsi="Times New Roman" w:cs="Times New Roman"/>
          <w:color w:val="auto"/>
          <w:spacing w:val="0"/>
          <w:w w:val="100"/>
          <w:position w:val="0"/>
          <w:sz w:val="24"/>
          <w:szCs w:val="24"/>
          <w:highlight w:val="none"/>
          <w:lang w:val="en-US" w:eastAsia="zh-CN"/>
        </w:rPr>
        <w:t>扬尘</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运输</w:t>
      </w:r>
      <w:r>
        <w:rPr>
          <w:rFonts w:hint="default" w:ascii="Times New Roman" w:hAnsi="Times New Roman" w:cs="Times New Roman"/>
          <w:color w:val="auto"/>
          <w:spacing w:val="0"/>
          <w:w w:val="100"/>
          <w:position w:val="0"/>
          <w:sz w:val="24"/>
          <w:szCs w:val="24"/>
          <w:highlight w:val="none"/>
          <w:lang w:val="en-US" w:eastAsia="zh-CN"/>
        </w:rPr>
        <w:t>扬尘</w:t>
      </w:r>
      <w:r>
        <w:rPr>
          <w:rFonts w:hint="default" w:ascii="Times New Roman" w:hAnsi="Times New Roman" w:eastAsia="宋体" w:cs="Times New Roman"/>
          <w:color w:val="auto"/>
          <w:spacing w:val="0"/>
          <w:w w:val="100"/>
          <w:position w:val="0"/>
          <w:sz w:val="24"/>
          <w:szCs w:val="24"/>
          <w:highlight w:val="none"/>
          <w:lang w:eastAsia="zh-CN"/>
        </w:rPr>
        <w:t>等。颗粒物执行《铜、镍、钴工业污染物排放标准》（GB25467-2010）</w:t>
      </w:r>
      <w:r>
        <w:rPr>
          <w:rFonts w:hint="default" w:ascii="Times New Roman" w:hAnsi="Times New Roman" w:cs="Times New Roman"/>
          <w:color w:val="auto"/>
          <w:spacing w:val="0"/>
          <w:w w:val="100"/>
          <w:position w:val="0"/>
          <w:sz w:val="24"/>
          <w:szCs w:val="24"/>
          <w:highlight w:val="none"/>
          <w:lang w:val="en-US" w:eastAsia="zh-CN"/>
        </w:rPr>
        <w:t>及其修改单</w:t>
      </w:r>
      <w:r>
        <w:rPr>
          <w:rFonts w:hint="default" w:ascii="Times New Roman" w:hAnsi="Times New Roman" w:eastAsia="宋体" w:cs="Times New Roman"/>
          <w:color w:val="auto"/>
          <w:spacing w:val="0"/>
          <w:w w:val="100"/>
          <w:position w:val="0"/>
          <w:sz w:val="24"/>
          <w:szCs w:val="24"/>
          <w:highlight w:val="none"/>
          <w:lang w:eastAsia="zh-CN"/>
        </w:rPr>
        <w:t>中排放限值。</w:t>
      </w:r>
      <w:r>
        <w:rPr>
          <w:rFonts w:hint="eastAsia" w:ascii="Times New Roman" w:hAnsi="Times New Roman" w:eastAsia="宋体" w:cs="Times New Roman"/>
          <w:color w:val="auto"/>
          <w:spacing w:val="0"/>
          <w:w w:val="100"/>
          <w:position w:val="0"/>
          <w:sz w:val="24"/>
          <w:szCs w:val="24"/>
          <w:lang w:val="en-US" w:eastAsia="zh-CN"/>
        </w:rPr>
        <w:t>水泥筒仓颗粒物执行</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水泥工业大气污染物排放标准 GB 4915-2013</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fldChar w:fldCharType="begin"/>
      </w:r>
      <w:r>
        <w:rPr>
          <w:rFonts w:hint="default" w:ascii="Times New Roman" w:hAnsi="Times New Roman" w:eastAsia="宋体" w:cs="Times New Roman"/>
          <w:color w:val="auto"/>
          <w:spacing w:val="0"/>
          <w:w w:val="100"/>
          <w:position w:val="0"/>
          <w:sz w:val="24"/>
          <w:szCs w:val="24"/>
        </w:rPr>
        <w:instrText xml:space="preserve"> HYPERLINK "https://www.mee.gov.cn/ywgz/fgbz/bz/bzwb/dqhjbh/dqgdwrywrwpfbz/201312/W020260224575335786022.pdf" </w:instrText>
      </w:r>
      <w:r>
        <w:rPr>
          <w:rFonts w:hint="default" w:ascii="Times New Roman" w:hAnsi="Times New Roman" w:eastAsia="宋体" w:cs="Times New Roman"/>
          <w:color w:val="auto"/>
          <w:spacing w:val="0"/>
          <w:w w:val="100"/>
          <w:position w:val="0"/>
          <w:sz w:val="24"/>
          <w:szCs w:val="24"/>
        </w:rPr>
        <w:fldChar w:fldCharType="separate"/>
      </w:r>
      <w:r>
        <w:rPr>
          <w:rFonts w:hint="default" w:ascii="Times New Roman" w:hAnsi="Times New Roman" w:eastAsia="宋体" w:cs="Times New Roman"/>
          <w:color w:val="auto"/>
          <w:spacing w:val="0"/>
          <w:w w:val="100"/>
          <w:position w:val="0"/>
          <w:sz w:val="24"/>
          <w:szCs w:val="24"/>
        </w:rPr>
        <w:t>（含2025年修改单）</w:t>
      </w:r>
      <w:r>
        <w:rPr>
          <w:rFonts w:hint="default" w:ascii="Times New Roman" w:hAnsi="Times New Roman" w:eastAsia="宋体" w:cs="Times New Roman"/>
          <w:color w:val="auto"/>
          <w:spacing w:val="0"/>
          <w:w w:val="100"/>
          <w:position w:val="0"/>
          <w:sz w:val="24"/>
          <w:szCs w:val="24"/>
        </w:rPr>
        <w:fldChar w:fldCharType="end"/>
      </w:r>
      <w:r>
        <w:rPr>
          <w:rFonts w:hint="eastAsia"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eastAsia="zh-CN"/>
        </w:rPr>
        <w:t>有关标准限值见表</w:t>
      </w:r>
      <w:r>
        <w:rPr>
          <w:rFonts w:hint="default" w:ascii="Times New Roman" w:hAnsi="Times New Roman" w:eastAsia="宋体" w:cs="Times New Roman"/>
          <w:color w:val="auto"/>
          <w:spacing w:val="0"/>
          <w:w w:val="100"/>
          <w:position w:val="0"/>
          <w:sz w:val="24"/>
          <w:szCs w:val="24"/>
          <w:lang w:val="en-US" w:eastAsia="zh-CN"/>
        </w:rPr>
        <w:t>2.4-5</w:t>
      </w:r>
      <w:r>
        <w:rPr>
          <w:rFonts w:hint="default" w:ascii="Times New Roman" w:hAnsi="Times New Roman" w:eastAsia="宋体" w:cs="Times New Roman"/>
          <w:color w:val="auto"/>
          <w:spacing w:val="0"/>
          <w:w w:val="100"/>
          <w:position w:val="0"/>
          <w:sz w:val="24"/>
          <w:szCs w:val="24"/>
          <w:lang w:eastAsia="zh-CN"/>
        </w:rPr>
        <w:t>。</w:t>
      </w:r>
    </w:p>
    <w:p w14:paraId="3F4A53FD">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2.4-5</w:t>
      </w:r>
      <w:r>
        <w:rPr>
          <w:rFonts w:hint="default" w:ascii="Times New Roman" w:hAnsi="Times New Roman" w:eastAsia="宋体" w:cs="Times New Roman"/>
          <w:b/>
          <w:bCs/>
          <w:color w:val="auto"/>
          <w:spacing w:val="0"/>
          <w:w w:val="100"/>
          <w:position w:val="0"/>
          <w:sz w:val="21"/>
          <w:szCs w:val="21"/>
          <w:lang w:val="zh-CN" w:eastAsia="zh-CN"/>
        </w:rPr>
        <w:t xml:space="preserve">    大气污染物浓度限值</w:t>
      </w:r>
    </w:p>
    <w:tbl>
      <w:tblPr>
        <w:tblStyle w:val="31"/>
        <w:tblW w:w="5107" w:type="pct"/>
        <w:tblInd w:w="-6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347"/>
        <w:gridCol w:w="998"/>
        <w:gridCol w:w="2514"/>
        <w:gridCol w:w="1655"/>
      </w:tblGrid>
      <w:tr w14:paraId="77A28D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965" w:type="pct"/>
            <w:tcBorders>
              <w:tl2br w:val="nil"/>
              <w:tr2bl w:val="nil"/>
            </w:tcBorders>
            <w:vAlign w:val="center"/>
          </w:tcPr>
          <w:p w14:paraId="14F193C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污染源</w:t>
            </w:r>
          </w:p>
        </w:tc>
        <w:tc>
          <w:tcPr>
            <w:tcW w:w="586" w:type="pct"/>
            <w:tcBorders>
              <w:tl2br w:val="nil"/>
              <w:tr2bl w:val="nil"/>
            </w:tcBorders>
            <w:vAlign w:val="center"/>
          </w:tcPr>
          <w:p w14:paraId="6D17C4C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w:t>
            </w:r>
          </w:p>
        </w:tc>
        <w:tc>
          <w:tcPr>
            <w:tcW w:w="1476" w:type="pct"/>
            <w:tcBorders>
              <w:tl2br w:val="nil"/>
              <w:tr2bl w:val="nil"/>
            </w:tcBorders>
            <w:vAlign w:val="center"/>
          </w:tcPr>
          <w:p w14:paraId="2F54292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排放浓度（mg/m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pacing w:val="0"/>
                <w:w w:val="100"/>
                <w:position w:val="0"/>
                <w:sz w:val="21"/>
                <w:szCs w:val="21"/>
              </w:rPr>
              <w:t>）</w:t>
            </w:r>
          </w:p>
        </w:tc>
        <w:tc>
          <w:tcPr>
            <w:tcW w:w="971" w:type="pct"/>
            <w:tcBorders>
              <w:tl2br w:val="nil"/>
              <w:tr2bl w:val="nil"/>
            </w:tcBorders>
            <w:vAlign w:val="center"/>
          </w:tcPr>
          <w:p w14:paraId="21AF10E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标准来源</w:t>
            </w:r>
          </w:p>
        </w:tc>
      </w:tr>
      <w:tr w14:paraId="6DD1BF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965" w:type="pct"/>
            <w:tcBorders>
              <w:tl2br w:val="nil"/>
              <w:tr2bl w:val="nil"/>
            </w:tcBorders>
            <w:vAlign w:val="center"/>
          </w:tcPr>
          <w:p w14:paraId="014AF67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有组织废气</w:t>
            </w:r>
          </w:p>
        </w:tc>
        <w:tc>
          <w:tcPr>
            <w:tcW w:w="586" w:type="pct"/>
            <w:vMerge w:val="restart"/>
            <w:tcBorders>
              <w:tl2br w:val="nil"/>
              <w:tr2bl w:val="nil"/>
            </w:tcBorders>
            <w:vAlign w:val="center"/>
          </w:tcPr>
          <w:p w14:paraId="63BF89D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颗粒物</w:t>
            </w:r>
          </w:p>
        </w:tc>
        <w:tc>
          <w:tcPr>
            <w:tcW w:w="1476" w:type="pct"/>
            <w:tcBorders>
              <w:tl2br w:val="nil"/>
              <w:tr2bl w:val="nil"/>
            </w:tcBorders>
            <w:vAlign w:val="center"/>
          </w:tcPr>
          <w:p w14:paraId="3A04D8D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100（破碎、筛分）</w:t>
            </w:r>
          </w:p>
          <w:p w14:paraId="21D55C9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80（其他工序）</w:t>
            </w:r>
          </w:p>
        </w:tc>
        <w:tc>
          <w:tcPr>
            <w:tcW w:w="971" w:type="pct"/>
            <w:vMerge w:val="restart"/>
            <w:tcBorders>
              <w:tl2br w:val="nil"/>
              <w:tr2bl w:val="nil"/>
            </w:tcBorders>
            <w:vAlign w:val="center"/>
          </w:tcPr>
          <w:p w14:paraId="0D9A411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GB25467-2010</w:t>
            </w:r>
          </w:p>
        </w:tc>
      </w:tr>
      <w:tr w14:paraId="105D8B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965" w:type="pct"/>
            <w:tcBorders>
              <w:tl2br w:val="nil"/>
              <w:tr2bl w:val="nil"/>
            </w:tcBorders>
            <w:vAlign w:val="center"/>
          </w:tcPr>
          <w:p w14:paraId="6B50A4D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无组织废气（周界外浓度最高点）</w:t>
            </w:r>
          </w:p>
        </w:tc>
        <w:tc>
          <w:tcPr>
            <w:tcW w:w="586" w:type="pct"/>
            <w:vMerge w:val="continue"/>
            <w:tcBorders>
              <w:tl2br w:val="nil"/>
              <w:tr2bl w:val="nil"/>
            </w:tcBorders>
            <w:vAlign w:val="center"/>
          </w:tcPr>
          <w:p w14:paraId="386CC88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476" w:type="pct"/>
            <w:tcBorders>
              <w:tl2br w:val="nil"/>
              <w:tr2bl w:val="nil"/>
            </w:tcBorders>
            <w:vAlign w:val="center"/>
          </w:tcPr>
          <w:p w14:paraId="4DF6B63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1.0（厂界）</w:t>
            </w:r>
          </w:p>
        </w:tc>
        <w:tc>
          <w:tcPr>
            <w:tcW w:w="971" w:type="pct"/>
            <w:vMerge w:val="continue"/>
            <w:tcBorders>
              <w:tl2br w:val="nil"/>
              <w:tr2bl w:val="nil"/>
            </w:tcBorders>
            <w:vAlign w:val="center"/>
          </w:tcPr>
          <w:p w14:paraId="5C01769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r>
    </w:tbl>
    <w:p w14:paraId="42CA724C">
      <w:pPr>
        <w:pStyle w:val="10"/>
        <w:keepNext w:val="0"/>
        <w:keepLines w:val="0"/>
        <w:pageBreakBefore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（2）废水污染物排放标准</w:t>
      </w:r>
    </w:p>
    <w:p w14:paraId="24413F1C">
      <w:pPr>
        <w:keepNext w:val="0"/>
        <w:keepLines w:val="0"/>
        <w:pageBreakBefore w:val="0"/>
        <w:kinsoku/>
        <w:wordWrap/>
        <w:overflowPunct/>
        <w:topLinePunct w:val="0"/>
        <w:autoSpaceDE/>
        <w:autoSpaceDN/>
        <w:bidi w:val="0"/>
        <w:adjustRightInd/>
        <w:snapToGrid/>
        <w:spacing w:line="480" w:lineRule="exact"/>
        <w:ind w:left="0" w:right="0" w:firstLine="481"/>
        <w:jc w:val="both"/>
        <w:textAlignment w:val="auto"/>
        <w:rPr>
          <w:rFonts w:hint="default" w:ascii="Times New Roman" w:hAnsi="Times New Roman" w:eastAsia="宋体" w:cs="Times New Roman"/>
          <w:color w:val="auto"/>
          <w:spacing w:val="0"/>
          <w:w w:val="100"/>
          <w:position w:val="0"/>
          <w:sz w:val="24"/>
          <w:szCs w:val="24"/>
        </w:rPr>
      </w:pPr>
      <w:bookmarkStart w:id="161" w:name="OLE_LINK10"/>
      <w:r>
        <w:rPr>
          <w:rFonts w:hint="default" w:ascii="Times New Roman" w:hAnsi="Times New Roman" w:eastAsia="宋体" w:cs="Times New Roman"/>
          <w:color w:val="auto"/>
          <w:spacing w:val="0"/>
          <w:w w:val="100"/>
          <w:position w:val="0"/>
          <w:sz w:val="24"/>
          <w:szCs w:val="24"/>
        </w:rPr>
        <w:t>生活污水排入一体化污水处理设施，经处理满足《农村生活污水处理排放标准》（DB65 4275-2019）表2规定的A级排放限值以及《城市污水再生利用 城市杂用水水质》（GB/T18920-2020）中的城市绿化、道路清扫、消防、建筑施工限值后，用于生产，不外排。标准限值见</w:t>
      </w:r>
      <w:r>
        <w:rPr>
          <w:rFonts w:hint="default" w:ascii="Times New Roman" w:hAnsi="Times New Roman" w:eastAsia="宋体" w:cs="Times New Roman"/>
          <w:b w:val="0"/>
          <w:bCs w:val="0"/>
          <w:color w:val="auto"/>
          <w:spacing w:val="0"/>
          <w:w w:val="100"/>
          <w:position w:val="0"/>
          <w:sz w:val="24"/>
          <w:szCs w:val="24"/>
        </w:rPr>
        <w:t>表2.</w:t>
      </w:r>
      <w:r>
        <w:rPr>
          <w:rFonts w:hint="default" w:ascii="Times New Roman" w:hAnsi="Times New Roman" w:eastAsia="宋体" w:cs="Times New Roman"/>
          <w:b w:val="0"/>
          <w:bCs w:val="0"/>
          <w:color w:val="auto"/>
          <w:spacing w:val="0"/>
          <w:w w:val="100"/>
          <w:position w:val="0"/>
          <w:sz w:val="24"/>
          <w:szCs w:val="24"/>
          <w:lang w:val="en-US" w:eastAsia="zh-CN"/>
        </w:rPr>
        <w:t>4</w:t>
      </w:r>
      <w:r>
        <w:rPr>
          <w:rFonts w:hint="default" w:ascii="Times New Roman" w:hAnsi="Times New Roman" w:eastAsia="宋体" w:cs="Times New Roman"/>
          <w:b w:val="0"/>
          <w:bCs w:val="0"/>
          <w:color w:val="auto"/>
          <w:spacing w:val="0"/>
          <w:w w:val="100"/>
          <w:position w:val="0"/>
          <w:sz w:val="24"/>
          <w:szCs w:val="24"/>
        </w:rPr>
        <w:t>-6</w:t>
      </w:r>
      <w:r>
        <w:rPr>
          <w:rFonts w:hint="default" w:ascii="Times New Roman" w:hAnsi="Times New Roman" w:eastAsia="宋体" w:cs="Times New Roman"/>
          <w:b w:val="0"/>
          <w:bCs w:val="0"/>
          <w:color w:val="auto"/>
          <w:spacing w:val="0"/>
          <w:w w:val="100"/>
          <w:position w:val="0"/>
          <w:sz w:val="24"/>
          <w:szCs w:val="24"/>
          <w:lang w:val="en-US" w:eastAsia="zh-CN"/>
        </w:rPr>
        <w:t>和表2.4-7</w:t>
      </w:r>
      <w:r>
        <w:rPr>
          <w:rFonts w:hint="default" w:ascii="Times New Roman" w:hAnsi="Times New Roman" w:eastAsia="宋体" w:cs="Times New Roman"/>
          <w:color w:val="auto"/>
          <w:spacing w:val="0"/>
          <w:w w:val="100"/>
          <w:position w:val="0"/>
          <w:sz w:val="24"/>
          <w:szCs w:val="24"/>
        </w:rPr>
        <w:t>。</w:t>
      </w:r>
    </w:p>
    <w:bookmarkEnd w:id="161"/>
    <w:p w14:paraId="5EDEB376">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2.4-6</w:t>
      </w:r>
      <w:r>
        <w:rPr>
          <w:rFonts w:hint="default" w:ascii="Times New Roman" w:hAnsi="Times New Roman" w:eastAsia="宋体" w:cs="Times New Roman"/>
          <w:b/>
          <w:bCs/>
          <w:color w:val="auto"/>
          <w:spacing w:val="0"/>
          <w:w w:val="100"/>
          <w:position w:val="0"/>
          <w:sz w:val="21"/>
          <w:szCs w:val="21"/>
          <w:lang w:val="zh-CN" w:eastAsia="zh-CN"/>
        </w:rPr>
        <w:t xml:space="preserve"> </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 xml:space="preserve">  《农村生活污水处理排放标准》    单位mg/L（pH除外）</w:t>
      </w:r>
    </w:p>
    <w:tbl>
      <w:tblPr>
        <w:tblStyle w:val="2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01"/>
        <w:gridCol w:w="992"/>
        <w:gridCol w:w="1134"/>
        <w:gridCol w:w="3878"/>
      </w:tblGrid>
      <w:tr w14:paraId="538A54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9" w:type="pct"/>
            <w:noWrap w:val="0"/>
            <w:vAlign w:val="center"/>
          </w:tcPr>
          <w:p w14:paraId="629C3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sz w:val="21"/>
                <w:szCs w:val="21"/>
                <w:lang w:val="zh-CN"/>
              </w:rPr>
            </w:pPr>
            <w:r>
              <w:rPr>
                <w:rFonts w:hint="default" w:ascii="Times New Roman" w:hAnsi="Times New Roman" w:eastAsia="宋体" w:cs="Times New Roman"/>
                <w:b w:val="0"/>
                <w:bCs w:val="0"/>
                <w:color w:val="auto"/>
                <w:spacing w:val="0"/>
                <w:w w:val="100"/>
                <w:kern w:val="0"/>
                <w:position w:val="0"/>
                <w:sz w:val="21"/>
                <w:szCs w:val="21"/>
                <w:lang w:val="zh-CN"/>
              </w:rPr>
              <w:t>序号</w:t>
            </w:r>
          </w:p>
        </w:tc>
        <w:tc>
          <w:tcPr>
            <w:tcW w:w="998" w:type="pct"/>
            <w:noWrap w:val="0"/>
            <w:vAlign w:val="center"/>
          </w:tcPr>
          <w:p w14:paraId="551E5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sz w:val="21"/>
                <w:szCs w:val="21"/>
                <w:lang w:val="zh-CN"/>
              </w:rPr>
            </w:pPr>
            <w:r>
              <w:rPr>
                <w:rFonts w:hint="default" w:ascii="Times New Roman" w:hAnsi="Times New Roman" w:eastAsia="宋体" w:cs="Times New Roman"/>
                <w:b w:val="0"/>
                <w:bCs w:val="0"/>
                <w:color w:val="auto"/>
                <w:spacing w:val="0"/>
                <w:w w:val="100"/>
                <w:kern w:val="0"/>
                <w:position w:val="0"/>
                <w:sz w:val="21"/>
                <w:szCs w:val="21"/>
                <w:lang w:val="zh-CN"/>
              </w:rPr>
              <w:t>出水水质</w:t>
            </w:r>
          </w:p>
        </w:tc>
        <w:tc>
          <w:tcPr>
            <w:tcW w:w="582" w:type="pct"/>
            <w:noWrap w:val="0"/>
            <w:vAlign w:val="center"/>
          </w:tcPr>
          <w:p w14:paraId="20629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sz w:val="21"/>
                <w:szCs w:val="21"/>
                <w:lang w:val="zh-CN"/>
              </w:rPr>
            </w:pPr>
            <w:r>
              <w:rPr>
                <w:rFonts w:hint="default" w:ascii="Times New Roman" w:hAnsi="Times New Roman" w:eastAsia="宋体" w:cs="Times New Roman"/>
                <w:b w:val="0"/>
                <w:bCs w:val="0"/>
                <w:color w:val="auto"/>
                <w:spacing w:val="0"/>
                <w:w w:val="100"/>
                <w:kern w:val="0"/>
                <w:position w:val="0"/>
                <w:sz w:val="21"/>
                <w:szCs w:val="21"/>
                <w:lang w:val="zh-CN"/>
              </w:rPr>
              <w:t>单位</w:t>
            </w:r>
          </w:p>
        </w:tc>
        <w:tc>
          <w:tcPr>
            <w:tcW w:w="665" w:type="pct"/>
            <w:noWrap w:val="0"/>
            <w:vAlign w:val="center"/>
          </w:tcPr>
          <w:p w14:paraId="424D3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sz w:val="21"/>
                <w:szCs w:val="21"/>
              </w:rPr>
            </w:pPr>
            <w:r>
              <w:rPr>
                <w:rFonts w:hint="default" w:ascii="Times New Roman" w:hAnsi="Times New Roman" w:eastAsia="宋体" w:cs="Times New Roman"/>
                <w:b w:val="0"/>
                <w:bCs w:val="0"/>
                <w:color w:val="auto"/>
                <w:spacing w:val="0"/>
                <w:w w:val="100"/>
                <w:kern w:val="0"/>
                <w:position w:val="0"/>
                <w:sz w:val="21"/>
                <w:szCs w:val="21"/>
              </w:rPr>
              <w:t>限值</w:t>
            </w:r>
          </w:p>
        </w:tc>
        <w:tc>
          <w:tcPr>
            <w:tcW w:w="2275" w:type="pct"/>
            <w:noWrap w:val="0"/>
            <w:vAlign w:val="center"/>
          </w:tcPr>
          <w:p w14:paraId="75814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b w:val="0"/>
                <w:bCs w:val="0"/>
                <w:color w:val="auto"/>
                <w:spacing w:val="0"/>
                <w:w w:val="100"/>
                <w:kern w:val="0"/>
                <w:position w:val="0"/>
                <w:sz w:val="21"/>
                <w:szCs w:val="21"/>
              </w:rPr>
            </w:pPr>
            <w:r>
              <w:rPr>
                <w:rFonts w:hint="default" w:ascii="Times New Roman" w:hAnsi="Times New Roman" w:eastAsia="宋体" w:cs="Times New Roman"/>
                <w:b w:val="0"/>
                <w:bCs w:val="0"/>
                <w:color w:val="auto"/>
                <w:spacing w:val="0"/>
                <w:w w:val="100"/>
                <w:kern w:val="0"/>
                <w:position w:val="0"/>
                <w:sz w:val="21"/>
                <w:szCs w:val="21"/>
              </w:rPr>
              <w:t>标准来源</w:t>
            </w:r>
          </w:p>
        </w:tc>
      </w:tr>
      <w:tr w14:paraId="00AB44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9" w:type="pct"/>
            <w:noWrap w:val="0"/>
            <w:vAlign w:val="center"/>
          </w:tcPr>
          <w:p w14:paraId="40D8F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998" w:type="pct"/>
            <w:noWrap w:val="0"/>
            <w:vAlign w:val="center"/>
          </w:tcPr>
          <w:p w14:paraId="6EBCD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pH</w:t>
            </w:r>
          </w:p>
        </w:tc>
        <w:tc>
          <w:tcPr>
            <w:tcW w:w="582" w:type="pct"/>
            <w:noWrap w:val="0"/>
            <w:vAlign w:val="center"/>
          </w:tcPr>
          <w:p w14:paraId="45F0E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r>
              <w:rPr>
                <w:rFonts w:hint="default" w:ascii="Times New Roman" w:hAnsi="Times New Roman" w:eastAsia="宋体" w:cs="Times New Roman"/>
                <w:color w:val="auto"/>
                <w:spacing w:val="0"/>
                <w:w w:val="100"/>
                <w:kern w:val="0"/>
                <w:position w:val="0"/>
                <w:sz w:val="21"/>
                <w:szCs w:val="21"/>
                <w:lang w:val="zh-CN"/>
              </w:rPr>
              <w:t>/</w:t>
            </w:r>
          </w:p>
        </w:tc>
        <w:tc>
          <w:tcPr>
            <w:tcW w:w="665" w:type="pct"/>
            <w:noWrap w:val="0"/>
            <w:vAlign w:val="center"/>
          </w:tcPr>
          <w:p w14:paraId="6DE9D7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r>
              <w:rPr>
                <w:rFonts w:hint="default" w:ascii="Times New Roman" w:hAnsi="Times New Roman" w:eastAsia="宋体" w:cs="Times New Roman"/>
                <w:color w:val="auto"/>
                <w:spacing w:val="0"/>
                <w:w w:val="100"/>
                <w:kern w:val="0"/>
                <w:position w:val="0"/>
                <w:sz w:val="21"/>
                <w:szCs w:val="21"/>
                <w:lang w:val="zh-CN"/>
              </w:rPr>
              <w:t>6.0~9.0</w:t>
            </w:r>
          </w:p>
        </w:tc>
        <w:tc>
          <w:tcPr>
            <w:tcW w:w="2275" w:type="pct"/>
            <w:vMerge w:val="restart"/>
            <w:noWrap w:val="0"/>
            <w:vAlign w:val="center"/>
          </w:tcPr>
          <w:p w14:paraId="45BD9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r>
              <w:rPr>
                <w:rFonts w:hint="default" w:ascii="Times New Roman" w:hAnsi="Times New Roman" w:eastAsia="宋体" w:cs="Times New Roman"/>
                <w:color w:val="auto"/>
                <w:spacing w:val="0"/>
                <w:w w:val="100"/>
                <w:kern w:val="0"/>
                <w:position w:val="0"/>
                <w:sz w:val="21"/>
                <w:szCs w:val="21"/>
                <w:lang w:val="zh-CN"/>
              </w:rPr>
              <w:t>《农村生活污水处理排放标准》（DB65 4275-2019）表2规定的A级排放限值</w:t>
            </w:r>
          </w:p>
        </w:tc>
      </w:tr>
      <w:tr w14:paraId="05758A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9" w:type="pct"/>
            <w:noWrap w:val="0"/>
            <w:vAlign w:val="center"/>
          </w:tcPr>
          <w:p w14:paraId="5AB0F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998" w:type="pct"/>
            <w:noWrap w:val="0"/>
            <w:vAlign w:val="center"/>
          </w:tcPr>
          <w:p w14:paraId="174D4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COD</w:t>
            </w:r>
          </w:p>
        </w:tc>
        <w:tc>
          <w:tcPr>
            <w:tcW w:w="582" w:type="pct"/>
            <w:noWrap w:val="0"/>
            <w:vAlign w:val="center"/>
          </w:tcPr>
          <w:p w14:paraId="14D8B8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kern w:val="0"/>
                <w:position w:val="0"/>
                <w:sz w:val="21"/>
                <w:szCs w:val="21"/>
                <w:lang w:val="zh-CN"/>
              </w:rPr>
              <w:t>mg/L</w:t>
            </w:r>
          </w:p>
        </w:tc>
        <w:tc>
          <w:tcPr>
            <w:tcW w:w="665" w:type="pct"/>
            <w:noWrap w:val="0"/>
            <w:vAlign w:val="center"/>
          </w:tcPr>
          <w:p w14:paraId="7494F5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zh-CN"/>
              </w:rPr>
              <w:t>≤60</w:t>
            </w:r>
          </w:p>
        </w:tc>
        <w:tc>
          <w:tcPr>
            <w:tcW w:w="2275" w:type="pct"/>
            <w:vMerge w:val="continue"/>
            <w:noWrap w:val="0"/>
            <w:vAlign w:val="center"/>
          </w:tcPr>
          <w:p w14:paraId="34492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p>
        </w:tc>
      </w:tr>
      <w:tr w14:paraId="5D6C7B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9" w:type="pct"/>
            <w:noWrap w:val="0"/>
            <w:vAlign w:val="center"/>
          </w:tcPr>
          <w:p w14:paraId="2A7D46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w:t>
            </w:r>
          </w:p>
        </w:tc>
        <w:tc>
          <w:tcPr>
            <w:tcW w:w="998" w:type="pct"/>
            <w:noWrap w:val="0"/>
            <w:vAlign w:val="center"/>
          </w:tcPr>
          <w:p w14:paraId="0AD9B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SS</w:t>
            </w:r>
          </w:p>
        </w:tc>
        <w:tc>
          <w:tcPr>
            <w:tcW w:w="582" w:type="pct"/>
            <w:noWrap w:val="0"/>
            <w:vAlign w:val="center"/>
          </w:tcPr>
          <w:p w14:paraId="1E5DC1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kern w:val="0"/>
                <w:position w:val="0"/>
                <w:sz w:val="21"/>
                <w:szCs w:val="21"/>
                <w:lang w:val="zh-CN"/>
              </w:rPr>
              <w:t>mg/L</w:t>
            </w:r>
          </w:p>
        </w:tc>
        <w:tc>
          <w:tcPr>
            <w:tcW w:w="665" w:type="pct"/>
            <w:noWrap w:val="0"/>
            <w:vAlign w:val="center"/>
          </w:tcPr>
          <w:p w14:paraId="403479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zh-CN"/>
              </w:rPr>
              <w:t>≤30</w:t>
            </w:r>
          </w:p>
        </w:tc>
        <w:tc>
          <w:tcPr>
            <w:tcW w:w="2275" w:type="pct"/>
            <w:vMerge w:val="continue"/>
            <w:noWrap w:val="0"/>
            <w:vAlign w:val="center"/>
          </w:tcPr>
          <w:p w14:paraId="7164A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p>
        </w:tc>
      </w:tr>
      <w:tr w14:paraId="6A79D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9" w:type="pct"/>
            <w:noWrap w:val="0"/>
            <w:vAlign w:val="center"/>
          </w:tcPr>
          <w:p w14:paraId="0D25B8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w:t>
            </w:r>
          </w:p>
        </w:tc>
        <w:tc>
          <w:tcPr>
            <w:tcW w:w="998" w:type="pct"/>
            <w:noWrap w:val="0"/>
            <w:vAlign w:val="center"/>
          </w:tcPr>
          <w:p w14:paraId="1DD7C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粪大肠菌群</w:t>
            </w:r>
          </w:p>
        </w:tc>
        <w:tc>
          <w:tcPr>
            <w:tcW w:w="582" w:type="pct"/>
            <w:noWrap w:val="0"/>
            <w:vAlign w:val="center"/>
          </w:tcPr>
          <w:p w14:paraId="173EA9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kern w:val="0"/>
                <w:position w:val="0"/>
                <w:sz w:val="21"/>
                <w:szCs w:val="21"/>
                <w:lang w:val="zh-CN"/>
              </w:rPr>
              <w:t>MPN/L</w:t>
            </w:r>
          </w:p>
        </w:tc>
        <w:tc>
          <w:tcPr>
            <w:tcW w:w="665" w:type="pct"/>
            <w:noWrap w:val="0"/>
            <w:vAlign w:val="center"/>
          </w:tcPr>
          <w:p w14:paraId="7CC5B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zh-CN"/>
              </w:rPr>
              <w:t>10000</w:t>
            </w:r>
          </w:p>
        </w:tc>
        <w:tc>
          <w:tcPr>
            <w:tcW w:w="2275" w:type="pct"/>
            <w:vMerge w:val="continue"/>
            <w:noWrap w:val="0"/>
            <w:vAlign w:val="center"/>
          </w:tcPr>
          <w:p w14:paraId="63B9E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p>
        </w:tc>
      </w:tr>
      <w:tr w14:paraId="48157B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9" w:type="pct"/>
            <w:noWrap w:val="0"/>
            <w:vAlign w:val="center"/>
          </w:tcPr>
          <w:p w14:paraId="0B86F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w:t>
            </w:r>
          </w:p>
        </w:tc>
        <w:tc>
          <w:tcPr>
            <w:tcW w:w="998" w:type="pct"/>
            <w:noWrap w:val="0"/>
            <w:vAlign w:val="center"/>
          </w:tcPr>
          <w:p w14:paraId="378D2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蛔虫卵个数</w:t>
            </w:r>
          </w:p>
        </w:tc>
        <w:tc>
          <w:tcPr>
            <w:tcW w:w="582" w:type="pct"/>
            <w:noWrap w:val="0"/>
            <w:vAlign w:val="center"/>
          </w:tcPr>
          <w:p w14:paraId="04D59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kern w:val="0"/>
                <w:position w:val="0"/>
                <w:sz w:val="21"/>
                <w:szCs w:val="21"/>
                <w:lang w:val="zh-CN"/>
              </w:rPr>
              <w:t>个/L</w:t>
            </w:r>
          </w:p>
        </w:tc>
        <w:tc>
          <w:tcPr>
            <w:tcW w:w="665" w:type="pct"/>
            <w:noWrap w:val="0"/>
            <w:vAlign w:val="center"/>
          </w:tcPr>
          <w:p w14:paraId="31051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rPr>
            </w:pPr>
            <w:r>
              <w:rPr>
                <w:rFonts w:hint="default" w:ascii="Times New Roman" w:hAnsi="Times New Roman" w:eastAsia="宋体" w:cs="Times New Roman"/>
                <w:color w:val="auto"/>
                <w:spacing w:val="0"/>
                <w:w w:val="100"/>
                <w:kern w:val="0"/>
                <w:position w:val="0"/>
                <w:sz w:val="21"/>
                <w:szCs w:val="21"/>
                <w:lang w:val="zh-CN"/>
              </w:rPr>
              <w:t>2</w:t>
            </w:r>
          </w:p>
        </w:tc>
        <w:tc>
          <w:tcPr>
            <w:tcW w:w="2275" w:type="pct"/>
            <w:vMerge w:val="continue"/>
            <w:noWrap w:val="0"/>
            <w:vAlign w:val="center"/>
          </w:tcPr>
          <w:p w14:paraId="44CA6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tLeast"/>
              <w:ind w:left="0" w:right="0" w:firstLine="0" w:firstLineChars="0"/>
              <w:jc w:val="center"/>
              <w:textAlignment w:val="auto"/>
              <w:rPr>
                <w:rFonts w:hint="default" w:ascii="Times New Roman" w:hAnsi="Times New Roman" w:eastAsia="宋体" w:cs="Times New Roman"/>
                <w:color w:val="auto"/>
                <w:spacing w:val="0"/>
                <w:w w:val="100"/>
                <w:kern w:val="0"/>
                <w:position w:val="0"/>
                <w:sz w:val="21"/>
                <w:szCs w:val="21"/>
                <w:lang w:val="zh-CN"/>
              </w:rPr>
            </w:pPr>
          </w:p>
        </w:tc>
      </w:tr>
    </w:tbl>
    <w:p w14:paraId="4E033483">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4</w:t>
      </w:r>
      <w:r>
        <w:rPr>
          <w:rFonts w:hint="default" w:ascii="Times New Roman" w:hAnsi="Times New Roman" w:eastAsia="宋体" w:cs="Times New Roman"/>
          <w:b/>
          <w:bCs/>
          <w:color w:val="auto"/>
          <w:spacing w:val="0"/>
          <w:w w:val="100"/>
          <w:position w:val="0"/>
          <w:sz w:val="21"/>
          <w:szCs w:val="21"/>
          <w:lang w:val="zh-CN" w:eastAsia="zh-CN"/>
        </w:rPr>
        <w:t>-</w:t>
      </w:r>
      <w:r>
        <w:rPr>
          <w:rFonts w:hint="default" w:ascii="Times New Roman" w:hAnsi="Times New Roman" w:eastAsia="宋体" w:cs="Times New Roman"/>
          <w:b/>
          <w:bCs/>
          <w:color w:val="auto"/>
          <w:spacing w:val="0"/>
          <w:w w:val="100"/>
          <w:position w:val="0"/>
          <w:sz w:val="21"/>
          <w:szCs w:val="21"/>
          <w:lang w:val="en-US" w:eastAsia="zh-CN"/>
        </w:rPr>
        <w:t>7</w:t>
      </w:r>
      <w:r>
        <w:rPr>
          <w:rFonts w:hint="default" w:ascii="Times New Roman" w:hAnsi="Times New Roman" w:eastAsia="宋体" w:cs="Times New Roman"/>
          <w:b/>
          <w:bCs/>
          <w:color w:val="auto"/>
          <w:spacing w:val="0"/>
          <w:w w:val="100"/>
          <w:position w:val="0"/>
          <w:sz w:val="21"/>
          <w:szCs w:val="21"/>
          <w:lang w:val="zh-CN" w:eastAsia="zh-CN"/>
        </w:rPr>
        <w:t xml:space="preserve">    《城市污水再生利用 城市杂用水水质》    单位mg/L</w:t>
      </w:r>
    </w:p>
    <w:tbl>
      <w:tblPr>
        <w:tblStyle w:val="2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87"/>
        <w:gridCol w:w="2997"/>
        <w:gridCol w:w="2131"/>
      </w:tblGrid>
      <w:tr w14:paraId="3FE244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0D201E5F">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序号</w:t>
            </w:r>
          </w:p>
        </w:tc>
        <w:tc>
          <w:tcPr>
            <w:tcW w:w="2687" w:type="dxa"/>
            <w:noWrap w:val="0"/>
            <w:vAlign w:val="center"/>
          </w:tcPr>
          <w:p w14:paraId="3439B162">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项目</w:t>
            </w:r>
          </w:p>
        </w:tc>
        <w:tc>
          <w:tcPr>
            <w:tcW w:w="2997" w:type="dxa"/>
            <w:noWrap w:val="0"/>
            <w:vAlign w:val="center"/>
          </w:tcPr>
          <w:p w14:paraId="0778398E">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标准值</w:t>
            </w:r>
          </w:p>
        </w:tc>
        <w:tc>
          <w:tcPr>
            <w:tcW w:w="2131" w:type="dxa"/>
            <w:noWrap w:val="0"/>
            <w:vAlign w:val="center"/>
          </w:tcPr>
          <w:p w14:paraId="6D0EC47C">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标准来源</w:t>
            </w:r>
          </w:p>
        </w:tc>
      </w:tr>
      <w:tr w14:paraId="097CF0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231A6206">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2687" w:type="dxa"/>
            <w:noWrap w:val="0"/>
            <w:vAlign w:val="center"/>
          </w:tcPr>
          <w:p w14:paraId="36366AB0">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溶解性总固体</w:t>
            </w:r>
          </w:p>
        </w:tc>
        <w:tc>
          <w:tcPr>
            <w:tcW w:w="2997" w:type="dxa"/>
            <w:noWrap w:val="0"/>
            <w:vAlign w:val="center"/>
          </w:tcPr>
          <w:p w14:paraId="4F41E0C5">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≤1000</w:t>
            </w:r>
          </w:p>
        </w:tc>
        <w:tc>
          <w:tcPr>
            <w:tcW w:w="2131" w:type="dxa"/>
            <w:vMerge w:val="restart"/>
            <w:noWrap w:val="0"/>
            <w:vAlign w:val="center"/>
          </w:tcPr>
          <w:p w14:paraId="4CFACC10">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《城市污水再生利用 城市杂用水水质》（GB/T18920-2020）中的城市绿化、道路清扫、消防、建筑施工限值</w:t>
            </w:r>
          </w:p>
        </w:tc>
      </w:tr>
      <w:tr w14:paraId="017DB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1D7D31ED">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2687" w:type="dxa"/>
            <w:noWrap w:val="0"/>
            <w:vAlign w:val="center"/>
          </w:tcPr>
          <w:p w14:paraId="69B4A524">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五日生化需氧量</w:t>
            </w:r>
          </w:p>
        </w:tc>
        <w:tc>
          <w:tcPr>
            <w:tcW w:w="2997" w:type="dxa"/>
            <w:noWrap w:val="0"/>
            <w:vAlign w:val="center"/>
          </w:tcPr>
          <w:p w14:paraId="2C3C2CA4">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2131" w:type="dxa"/>
            <w:vMerge w:val="continue"/>
            <w:noWrap w:val="0"/>
            <w:vAlign w:val="center"/>
          </w:tcPr>
          <w:p w14:paraId="021D16D1">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r w14:paraId="56A712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495D6FA0">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w:t>
            </w:r>
          </w:p>
        </w:tc>
        <w:tc>
          <w:tcPr>
            <w:tcW w:w="2687" w:type="dxa"/>
            <w:noWrap w:val="0"/>
            <w:vAlign w:val="center"/>
          </w:tcPr>
          <w:p w14:paraId="337C01BC">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氨氮</w:t>
            </w:r>
          </w:p>
        </w:tc>
        <w:tc>
          <w:tcPr>
            <w:tcW w:w="2997" w:type="dxa"/>
            <w:noWrap w:val="0"/>
            <w:vAlign w:val="center"/>
          </w:tcPr>
          <w:p w14:paraId="16369B32">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w:t>
            </w:r>
          </w:p>
        </w:tc>
        <w:tc>
          <w:tcPr>
            <w:tcW w:w="2131" w:type="dxa"/>
            <w:vMerge w:val="continue"/>
            <w:noWrap w:val="0"/>
            <w:vAlign w:val="center"/>
          </w:tcPr>
          <w:p w14:paraId="4B432B7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r w14:paraId="3432A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64AE8AA3">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w:t>
            </w:r>
          </w:p>
        </w:tc>
        <w:tc>
          <w:tcPr>
            <w:tcW w:w="2687" w:type="dxa"/>
            <w:noWrap w:val="0"/>
            <w:vAlign w:val="center"/>
          </w:tcPr>
          <w:p w14:paraId="1AD63275">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阴离子表面活性剂</w:t>
            </w:r>
          </w:p>
        </w:tc>
        <w:tc>
          <w:tcPr>
            <w:tcW w:w="2997" w:type="dxa"/>
            <w:noWrap w:val="0"/>
            <w:vAlign w:val="center"/>
          </w:tcPr>
          <w:p w14:paraId="7E483AF8">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≤0.5</w:t>
            </w:r>
          </w:p>
        </w:tc>
        <w:tc>
          <w:tcPr>
            <w:tcW w:w="2131" w:type="dxa"/>
            <w:vMerge w:val="continue"/>
            <w:noWrap w:val="0"/>
            <w:vAlign w:val="center"/>
          </w:tcPr>
          <w:p w14:paraId="09FE984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r w14:paraId="55359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052873D7">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w:t>
            </w:r>
          </w:p>
        </w:tc>
        <w:tc>
          <w:tcPr>
            <w:tcW w:w="2687" w:type="dxa"/>
            <w:noWrap w:val="0"/>
            <w:vAlign w:val="center"/>
          </w:tcPr>
          <w:p w14:paraId="50FB4385">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溶解氧</w:t>
            </w:r>
          </w:p>
        </w:tc>
        <w:tc>
          <w:tcPr>
            <w:tcW w:w="2997" w:type="dxa"/>
            <w:noWrap w:val="0"/>
            <w:vAlign w:val="center"/>
          </w:tcPr>
          <w:p w14:paraId="71F5011C">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w:t>
            </w:r>
          </w:p>
        </w:tc>
        <w:tc>
          <w:tcPr>
            <w:tcW w:w="2131" w:type="dxa"/>
            <w:vMerge w:val="continue"/>
            <w:noWrap w:val="0"/>
            <w:vAlign w:val="center"/>
          </w:tcPr>
          <w:p w14:paraId="0AA5B90A">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r w14:paraId="30B6A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3EA698DA">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w:t>
            </w:r>
          </w:p>
        </w:tc>
        <w:tc>
          <w:tcPr>
            <w:tcW w:w="2687" w:type="dxa"/>
            <w:noWrap w:val="0"/>
            <w:vAlign w:val="center"/>
          </w:tcPr>
          <w:p w14:paraId="05C4BEB3">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总氯</w:t>
            </w:r>
          </w:p>
        </w:tc>
        <w:tc>
          <w:tcPr>
            <w:tcW w:w="2997" w:type="dxa"/>
            <w:noWrap w:val="0"/>
            <w:vAlign w:val="center"/>
          </w:tcPr>
          <w:p w14:paraId="63A95AF8">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出厂≥1.0，管网末端≥0.2</w:t>
            </w:r>
          </w:p>
        </w:tc>
        <w:tc>
          <w:tcPr>
            <w:tcW w:w="2131" w:type="dxa"/>
            <w:vMerge w:val="continue"/>
            <w:noWrap w:val="0"/>
            <w:vAlign w:val="center"/>
          </w:tcPr>
          <w:p w14:paraId="22A134D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r w14:paraId="4DBB1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07" w:type="dxa"/>
            <w:noWrap w:val="0"/>
            <w:vAlign w:val="center"/>
          </w:tcPr>
          <w:p w14:paraId="601DAF62">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w:t>
            </w:r>
          </w:p>
        </w:tc>
        <w:tc>
          <w:tcPr>
            <w:tcW w:w="2687" w:type="dxa"/>
            <w:noWrap w:val="0"/>
            <w:vAlign w:val="center"/>
          </w:tcPr>
          <w:p w14:paraId="4745AD12">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大肠埃希氏菌MPN/100mL</w:t>
            </w:r>
          </w:p>
        </w:tc>
        <w:tc>
          <w:tcPr>
            <w:tcW w:w="2997" w:type="dxa"/>
            <w:noWrap w:val="0"/>
            <w:vAlign w:val="center"/>
          </w:tcPr>
          <w:p w14:paraId="77605F89">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firstLine="0" w:firstLineChars="0"/>
              <w:jc w:val="center"/>
              <w:textAlignment w:val="baseline"/>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w:t>
            </w:r>
          </w:p>
        </w:tc>
        <w:tc>
          <w:tcPr>
            <w:tcW w:w="2131" w:type="dxa"/>
            <w:vMerge w:val="continue"/>
            <w:noWrap w:val="0"/>
            <w:vAlign w:val="center"/>
          </w:tcPr>
          <w:p w14:paraId="4087C8F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pacing w:val="0"/>
                <w:w w:val="100"/>
                <w:position w:val="0"/>
                <w:sz w:val="21"/>
                <w:szCs w:val="21"/>
              </w:rPr>
            </w:pPr>
          </w:p>
        </w:tc>
      </w:tr>
    </w:tbl>
    <w:p w14:paraId="44426116">
      <w:pPr>
        <w:keepNext w:val="0"/>
        <w:keepLines w:val="0"/>
        <w:pageBreakBefore w:val="0"/>
        <w:widowControl w:val="0"/>
        <w:tabs>
          <w:tab w:val="left" w:pos="1183"/>
        </w:tabs>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（3）噪声排放标准</w:t>
      </w:r>
    </w:p>
    <w:p w14:paraId="7F58260C">
      <w:pPr>
        <w:keepNext w:val="0"/>
        <w:keepLines w:val="0"/>
        <w:pageBreakBefore w:val="0"/>
        <w:widowControl w:val="0"/>
        <w:tabs>
          <w:tab w:val="left" w:pos="1183"/>
        </w:tabs>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本项目建筑施工期厂界噪声执行</w:t>
      </w:r>
      <w:r>
        <w:rPr>
          <w:rFonts w:hint="default" w:ascii="Times New Roman" w:hAnsi="Times New Roman" w:cs="Times New Roman"/>
          <w:color w:val="auto"/>
          <w:spacing w:val="0"/>
          <w:w w:val="100"/>
          <w:position w:val="0"/>
          <w:sz w:val="24"/>
          <w:szCs w:val="24"/>
          <w:highlight w:val="none"/>
          <w:lang w:val="en-US" w:eastAsia="zh-CN"/>
        </w:rPr>
        <w:t>《建筑施工噪声排放标准》（GB12523-2025）</w:t>
      </w:r>
      <w:r>
        <w:rPr>
          <w:rFonts w:hint="default" w:ascii="Times New Roman" w:hAnsi="Times New Roman" w:eastAsia="宋体" w:cs="Times New Roman"/>
          <w:color w:val="auto"/>
          <w:spacing w:val="0"/>
          <w:w w:val="100"/>
          <w:position w:val="0"/>
          <w:sz w:val="24"/>
          <w:szCs w:val="24"/>
          <w:highlight w:val="none"/>
          <w:lang w:val="en-US" w:eastAsia="zh-CN"/>
        </w:rPr>
        <w:t>的有关规定。具体见表2.4-8。</w:t>
      </w:r>
    </w:p>
    <w:p w14:paraId="71E526A4">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2.4-8</w:t>
      </w:r>
      <w:r>
        <w:rPr>
          <w:rFonts w:hint="default" w:ascii="Times New Roman" w:hAnsi="Times New Roman" w:eastAsia="宋体" w:cs="Times New Roman"/>
          <w:b/>
          <w:bCs/>
          <w:color w:val="auto"/>
          <w:spacing w:val="0"/>
          <w:w w:val="100"/>
          <w:position w:val="0"/>
          <w:sz w:val="21"/>
          <w:szCs w:val="21"/>
          <w:lang w:val="zh-CN" w:eastAsia="zh-CN"/>
        </w:rPr>
        <w:t xml:space="preserve">    建筑施工噪声排放标准    单位：dB（A）</w:t>
      </w:r>
    </w:p>
    <w:tbl>
      <w:tblPr>
        <w:tblStyle w:val="21"/>
        <w:tblW w:w="8336" w:type="dxa"/>
        <w:jc w:val="center"/>
        <w:tblLayout w:type="fixed"/>
        <w:tblCellMar>
          <w:top w:w="0" w:type="dxa"/>
          <w:left w:w="0" w:type="dxa"/>
          <w:bottom w:w="0" w:type="dxa"/>
          <w:right w:w="0" w:type="dxa"/>
        </w:tblCellMar>
      </w:tblPr>
      <w:tblGrid>
        <w:gridCol w:w="3025"/>
        <w:gridCol w:w="2635"/>
        <w:gridCol w:w="2676"/>
      </w:tblGrid>
      <w:tr w14:paraId="0ED345B7">
        <w:tblPrEx>
          <w:tblCellMar>
            <w:top w:w="0" w:type="dxa"/>
            <w:left w:w="0" w:type="dxa"/>
            <w:bottom w:w="0" w:type="dxa"/>
            <w:right w:w="0" w:type="dxa"/>
          </w:tblCellMar>
        </w:tblPrEx>
        <w:trPr>
          <w:jc w:val="center"/>
        </w:trPr>
        <w:tc>
          <w:tcPr>
            <w:tcW w:w="3025" w:type="dxa"/>
            <w:vMerge w:val="restart"/>
            <w:tcBorders>
              <w:top w:val="single" w:color="000000" w:sz="12" w:space="0"/>
              <w:left w:val="single" w:color="000000" w:sz="12" w:space="0"/>
              <w:bottom w:val="single" w:color="000000" w:sz="4" w:space="0"/>
              <w:right w:val="single" w:color="000000" w:sz="4" w:space="0"/>
            </w:tcBorders>
            <w:vAlign w:val="center"/>
          </w:tcPr>
          <w:p w14:paraId="554384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62" w:name="_Toc22126168"/>
            <w:bookmarkStart w:id="163" w:name="_Toc22408"/>
            <w:r>
              <w:rPr>
                <w:rFonts w:hint="default" w:ascii="Times New Roman" w:hAnsi="Times New Roman" w:eastAsia="宋体" w:cs="Times New Roman"/>
                <w:b w:val="0"/>
                <w:bCs w:val="0"/>
                <w:color w:val="auto"/>
                <w:spacing w:val="0"/>
                <w:w w:val="100"/>
                <w:position w:val="0"/>
                <w:sz w:val="21"/>
                <w:szCs w:val="21"/>
                <w:highlight w:val="none"/>
                <w:lang w:val="zh-CN"/>
              </w:rPr>
              <w:t>实施阶段</w:t>
            </w:r>
            <w:bookmarkEnd w:id="162"/>
            <w:bookmarkEnd w:id="163"/>
          </w:p>
        </w:tc>
        <w:tc>
          <w:tcPr>
            <w:tcW w:w="5311" w:type="dxa"/>
            <w:gridSpan w:val="2"/>
            <w:tcBorders>
              <w:top w:val="single" w:color="000000" w:sz="12" w:space="0"/>
              <w:left w:val="single" w:color="000000" w:sz="4" w:space="0"/>
              <w:bottom w:val="single" w:color="000000" w:sz="4" w:space="0"/>
              <w:right w:val="single" w:color="000000" w:sz="12" w:space="0"/>
            </w:tcBorders>
            <w:vAlign w:val="center"/>
          </w:tcPr>
          <w:p w14:paraId="194DE6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64" w:name="_Toc22126169"/>
            <w:bookmarkStart w:id="165" w:name="_Toc11178"/>
            <w:r>
              <w:rPr>
                <w:rFonts w:hint="default" w:ascii="Times New Roman" w:hAnsi="Times New Roman" w:eastAsia="宋体" w:cs="Times New Roman"/>
                <w:b w:val="0"/>
                <w:bCs w:val="0"/>
                <w:color w:val="auto"/>
                <w:spacing w:val="0"/>
                <w:w w:val="100"/>
                <w:position w:val="0"/>
                <w:sz w:val="21"/>
                <w:szCs w:val="21"/>
                <w:highlight w:val="none"/>
                <w:lang w:val="zh-CN"/>
              </w:rPr>
              <w:t>噪声排放限值dB（A）</w:t>
            </w:r>
            <w:bookmarkEnd w:id="164"/>
            <w:bookmarkEnd w:id="165"/>
          </w:p>
        </w:tc>
      </w:tr>
      <w:tr w14:paraId="02843721">
        <w:tblPrEx>
          <w:tblCellMar>
            <w:top w:w="0" w:type="dxa"/>
            <w:left w:w="0" w:type="dxa"/>
            <w:bottom w:w="0" w:type="dxa"/>
            <w:right w:w="0" w:type="dxa"/>
          </w:tblCellMar>
        </w:tblPrEx>
        <w:trPr>
          <w:jc w:val="center"/>
        </w:trPr>
        <w:tc>
          <w:tcPr>
            <w:tcW w:w="3025" w:type="dxa"/>
            <w:vMerge w:val="continue"/>
            <w:tcBorders>
              <w:top w:val="single" w:color="000000" w:sz="12" w:space="0"/>
              <w:left w:val="single" w:color="000000" w:sz="12" w:space="0"/>
              <w:bottom w:val="single" w:color="000000" w:sz="4" w:space="0"/>
              <w:right w:val="single" w:color="000000" w:sz="4" w:space="0"/>
            </w:tcBorders>
            <w:vAlign w:val="center"/>
          </w:tcPr>
          <w:p w14:paraId="277DC3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p>
        </w:tc>
        <w:tc>
          <w:tcPr>
            <w:tcW w:w="2635" w:type="dxa"/>
            <w:tcBorders>
              <w:top w:val="single" w:color="000000" w:sz="4" w:space="0"/>
              <w:left w:val="single" w:color="000000" w:sz="4" w:space="0"/>
              <w:bottom w:val="single" w:color="000000" w:sz="4" w:space="0"/>
              <w:right w:val="single" w:color="000000" w:sz="4" w:space="0"/>
            </w:tcBorders>
            <w:vAlign w:val="center"/>
          </w:tcPr>
          <w:p w14:paraId="37DB74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66" w:name="_Toc32038"/>
            <w:bookmarkStart w:id="167" w:name="_Toc22126170"/>
            <w:r>
              <w:rPr>
                <w:rFonts w:hint="default" w:ascii="Times New Roman" w:hAnsi="Times New Roman" w:eastAsia="宋体" w:cs="Times New Roman"/>
                <w:b w:val="0"/>
                <w:bCs w:val="0"/>
                <w:color w:val="auto"/>
                <w:spacing w:val="0"/>
                <w:w w:val="100"/>
                <w:position w:val="0"/>
                <w:sz w:val="21"/>
                <w:szCs w:val="21"/>
                <w:highlight w:val="none"/>
                <w:lang w:val="zh-CN"/>
              </w:rPr>
              <w:t>昼间</w:t>
            </w:r>
            <w:bookmarkEnd w:id="166"/>
            <w:bookmarkEnd w:id="167"/>
          </w:p>
        </w:tc>
        <w:tc>
          <w:tcPr>
            <w:tcW w:w="2676" w:type="dxa"/>
            <w:tcBorders>
              <w:top w:val="single" w:color="000000" w:sz="4" w:space="0"/>
              <w:left w:val="single" w:color="000000" w:sz="4" w:space="0"/>
              <w:bottom w:val="single" w:color="000000" w:sz="4" w:space="0"/>
              <w:right w:val="single" w:color="000000" w:sz="12" w:space="0"/>
            </w:tcBorders>
            <w:vAlign w:val="center"/>
          </w:tcPr>
          <w:p w14:paraId="0A8AE3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68" w:name="_Toc22126171"/>
            <w:bookmarkStart w:id="169" w:name="_Toc10682"/>
            <w:r>
              <w:rPr>
                <w:rFonts w:hint="default" w:ascii="Times New Roman" w:hAnsi="Times New Roman" w:eastAsia="宋体" w:cs="Times New Roman"/>
                <w:b w:val="0"/>
                <w:bCs w:val="0"/>
                <w:color w:val="auto"/>
                <w:spacing w:val="0"/>
                <w:w w:val="100"/>
                <w:position w:val="0"/>
                <w:sz w:val="21"/>
                <w:szCs w:val="21"/>
                <w:highlight w:val="none"/>
                <w:lang w:val="zh-CN"/>
              </w:rPr>
              <w:t>夜间</w:t>
            </w:r>
            <w:bookmarkEnd w:id="168"/>
            <w:bookmarkEnd w:id="169"/>
          </w:p>
        </w:tc>
      </w:tr>
      <w:tr w14:paraId="09389991">
        <w:tblPrEx>
          <w:tblCellMar>
            <w:top w:w="0" w:type="dxa"/>
            <w:left w:w="0" w:type="dxa"/>
            <w:bottom w:w="0" w:type="dxa"/>
            <w:right w:w="0" w:type="dxa"/>
          </w:tblCellMar>
        </w:tblPrEx>
        <w:trPr>
          <w:jc w:val="center"/>
        </w:trPr>
        <w:tc>
          <w:tcPr>
            <w:tcW w:w="3025" w:type="dxa"/>
            <w:tcBorders>
              <w:top w:val="single" w:color="000000" w:sz="4" w:space="0"/>
              <w:left w:val="single" w:color="000000" w:sz="12" w:space="0"/>
              <w:bottom w:val="single" w:color="000000" w:sz="12" w:space="0"/>
              <w:right w:val="single" w:color="000000" w:sz="4" w:space="0"/>
            </w:tcBorders>
            <w:vAlign w:val="center"/>
          </w:tcPr>
          <w:p w14:paraId="65EE77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zh-CN"/>
              </w:rPr>
            </w:pPr>
            <w:bookmarkStart w:id="170" w:name="_Toc22126172"/>
            <w:bookmarkStart w:id="171" w:name="_Toc24792"/>
            <w:r>
              <w:rPr>
                <w:rFonts w:hint="default" w:ascii="Times New Roman" w:hAnsi="Times New Roman" w:eastAsia="宋体" w:cs="Times New Roman"/>
                <w:color w:val="auto"/>
                <w:spacing w:val="0"/>
                <w:w w:val="100"/>
                <w:position w:val="0"/>
                <w:sz w:val="21"/>
                <w:szCs w:val="21"/>
                <w:highlight w:val="none"/>
                <w:lang w:val="zh-CN"/>
              </w:rPr>
              <w:t>建筑施工</w:t>
            </w:r>
            <w:bookmarkEnd w:id="170"/>
            <w:bookmarkEnd w:id="171"/>
          </w:p>
        </w:tc>
        <w:tc>
          <w:tcPr>
            <w:tcW w:w="2635" w:type="dxa"/>
            <w:tcBorders>
              <w:top w:val="single" w:color="000000" w:sz="4" w:space="0"/>
              <w:left w:val="single" w:color="000000" w:sz="4" w:space="0"/>
              <w:bottom w:val="single" w:color="000000" w:sz="12" w:space="0"/>
              <w:right w:val="single" w:color="000000" w:sz="4" w:space="0"/>
            </w:tcBorders>
            <w:vAlign w:val="center"/>
          </w:tcPr>
          <w:p w14:paraId="55213D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zh-CN"/>
              </w:rPr>
            </w:pPr>
            <w:bookmarkStart w:id="172" w:name="_Toc25886"/>
            <w:bookmarkStart w:id="173" w:name="_Toc22126173"/>
            <w:r>
              <w:rPr>
                <w:rFonts w:hint="default" w:ascii="Times New Roman" w:hAnsi="Times New Roman" w:eastAsia="宋体" w:cs="Times New Roman"/>
                <w:color w:val="auto"/>
                <w:spacing w:val="0"/>
                <w:w w:val="100"/>
                <w:position w:val="0"/>
                <w:sz w:val="21"/>
                <w:szCs w:val="21"/>
                <w:highlight w:val="none"/>
                <w:lang w:val="zh-CN"/>
              </w:rPr>
              <w:t>70</w:t>
            </w:r>
            <w:bookmarkEnd w:id="172"/>
            <w:bookmarkEnd w:id="173"/>
          </w:p>
        </w:tc>
        <w:tc>
          <w:tcPr>
            <w:tcW w:w="2676" w:type="dxa"/>
            <w:tcBorders>
              <w:top w:val="single" w:color="000000" w:sz="4" w:space="0"/>
              <w:left w:val="single" w:color="000000" w:sz="4" w:space="0"/>
              <w:bottom w:val="single" w:color="000000" w:sz="12" w:space="0"/>
              <w:right w:val="single" w:color="000000" w:sz="12" w:space="0"/>
            </w:tcBorders>
            <w:vAlign w:val="center"/>
          </w:tcPr>
          <w:p w14:paraId="13F5C1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zh-CN"/>
              </w:rPr>
            </w:pPr>
            <w:bookmarkStart w:id="174" w:name="_Toc22126174"/>
            <w:bookmarkStart w:id="175" w:name="_Toc31449"/>
            <w:r>
              <w:rPr>
                <w:rFonts w:hint="default" w:ascii="Times New Roman" w:hAnsi="Times New Roman" w:eastAsia="宋体" w:cs="Times New Roman"/>
                <w:color w:val="auto"/>
                <w:spacing w:val="0"/>
                <w:w w:val="100"/>
                <w:position w:val="0"/>
                <w:sz w:val="21"/>
                <w:szCs w:val="21"/>
                <w:highlight w:val="none"/>
                <w:lang w:val="zh-CN"/>
              </w:rPr>
              <w:t>55</w:t>
            </w:r>
            <w:bookmarkEnd w:id="174"/>
            <w:bookmarkEnd w:id="175"/>
          </w:p>
        </w:tc>
      </w:tr>
    </w:tbl>
    <w:p w14:paraId="19C9055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运营期噪声执行《工业企业厂界环境噪声排放标准》（GB12348-2008）表1的2类标准，见表2.4-9。</w:t>
      </w:r>
    </w:p>
    <w:p w14:paraId="4EA4BBDB">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2.4-9</w:t>
      </w:r>
      <w:r>
        <w:rPr>
          <w:rFonts w:hint="default" w:ascii="Times New Roman" w:hAnsi="Times New Roman" w:eastAsia="宋体" w:cs="Times New Roman"/>
          <w:b/>
          <w:bCs/>
          <w:color w:val="auto"/>
          <w:spacing w:val="0"/>
          <w:w w:val="100"/>
          <w:position w:val="0"/>
          <w:sz w:val="21"/>
          <w:szCs w:val="21"/>
          <w:lang w:val="zh-CN" w:eastAsia="zh-CN"/>
        </w:rPr>
        <w:t xml:space="preserve">    工业企业厂界环境噪声排放标准    单位：dB（A）</w:t>
      </w:r>
    </w:p>
    <w:tbl>
      <w:tblPr>
        <w:tblStyle w:val="21"/>
        <w:tblW w:w="8328" w:type="dxa"/>
        <w:jc w:val="center"/>
        <w:tblLayout w:type="fixed"/>
        <w:tblCellMar>
          <w:top w:w="0" w:type="dxa"/>
          <w:left w:w="0" w:type="dxa"/>
          <w:bottom w:w="0" w:type="dxa"/>
          <w:right w:w="0" w:type="dxa"/>
        </w:tblCellMar>
      </w:tblPr>
      <w:tblGrid>
        <w:gridCol w:w="3022"/>
        <w:gridCol w:w="2632"/>
        <w:gridCol w:w="2674"/>
      </w:tblGrid>
      <w:tr w14:paraId="0FB596F9">
        <w:tblPrEx>
          <w:tblCellMar>
            <w:top w:w="0" w:type="dxa"/>
            <w:left w:w="0" w:type="dxa"/>
            <w:bottom w:w="0" w:type="dxa"/>
            <w:right w:w="0" w:type="dxa"/>
          </w:tblCellMar>
        </w:tblPrEx>
        <w:trPr>
          <w:jc w:val="center"/>
        </w:trPr>
        <w:tc>
          <w:tcPr>
            <w:tcW w:w="3022" w:type="dxa"/>
            <w:vMerge w:val="restart"/>
            <w:tcBorders>
              <w:top w:val="single" w:color="000000" w:sz="12" w:space="0"/>
              <w:left w:val="single" w:color="000000" w:sz="12" w:space="0"/>
              <w:bottom w:val="single" w:color="000000" w:sz="4" w:space="0"/>
              <w:right w:val="single" w:color="000000" w:sz="4" w:space="0"/>
            </w:tcBorders>
            <w:vAlign w:val="center"/>
          </w:tcPr>
          <w:p w14:paraId="6B5510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76" w:name="_Toc22126175"/>
            <w:bookmarkStart w:id="177" w:name="_Toc13235"/>
            <w:r>
              <w:rPr>
                <w:rFonts w:hint="default" w:ascii="Times New Roman" w:hAnsi="Times New Roman" w:eastAsia="宋体" w:cs="Times New Roman"/>
                <w:b w:val="0"/>
                <w:bCs w:val="0"/>
                <w:color w:val="auto"/>
                <w:spacing w:val="0"/>
                <w:w w:val="100"/>
                <w:position w:val="0"/>
                <w:sz w:val="21"/>
                <w:szCs w:val="21"/>
                <w:highlight w:val="none"/>
                <w:lang w:val="zh-CN"/>
              </w:rPr>
              <w:t>声环境功能区类别</w:t>
            </w:r>
            <w:bookmarkEnd w:id="176"/>
            <w:bookmarkEnd w:id="177"/>
          </w:p>
        </w:tc>
        <w:tc>
          <w:tcPr>
            <w:tcW w:w="5306" w:type="dxa"/>
            <w:gridSpan w:val="2"/>
            <w:tcBorders>
              <w:top w:val="single" w:color="000000" w:sz="12" w:space="0"/>
              <w:left w:val="single" w:color="000000" w:sz="4" w:space="0"/>
              <w:bottom w:val="single" w:color="000000" w:sz="4" w:space="0"/>
              <w:right w:val="single" w:color="000000" w:sz="12" w:space="0"/>
            </w:tcBorders>
            <w:vAlign w:val="center"/>
          </w:tcPr>
          <w:p w14:paraId="48748D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78" w:name="_Toc13815"/>
            <w:bookmarkStart w:id="179" w:name="_Toc22126176"/>
            <w:r>
              <w:rPr>
                <w:rFonts w:hint="default" w:ascii="Times New Roman" w:hAnsi="Times New Roman" w:eastAsia="宋体" w:cs="Times New Roman"/>
                <w:b w:val="0"/>
                <w:bCs w:val="0"/>
                <w:color w:val="auto"/>
                <w:spacing w:val="0"/>
                <w:w w:val="100"/>
                <w:position w:val="0"/>
                <w:sz w:val="21"/>
                <w:szCs w:val="21"/>
                <w:highlight w:val="none"/>
                <w:lang w:val="zh-CN"/>
              </w:rPr>
              <w:t>时段</w:t>
            </w:r>
            <w:bookmarkEnd w:id="178"/>
            <w:bookmarkEnd w:id="179"/>
          </w:p>
        </w:tc>
      </w:tr>
      <w:tr w14:paraId="4F9CD4AF">
        <w:tblPrEx>
          <w:tblCellMar>
            <w:top w:w="0" w:type="dxa"/>
            <w:left w:w="0" w:type="dxa"/>
            <w:bottom w:w="0" w:type="dxa"/>
            <w:right w:w="0" w:type="dxa"/>
          </w:tblCellMar>
        </w:tblPrEx>
        <w:trPr>
          <w:jc w:val="center"/>
        </w:trPr>
        <w:tc>
          <w:tcPr>
            <w:tcW w:w="3022" w:type="dxa"/>
            <w:vMerge w:val="continue"/>
            <w:tcBorders>
              <w:top w:val="single" w:color="000000" w:sz="12" w:space="0"/>
              <w:left w:val="single" w:color="000000" w:sz="12" w:space="0"/>
              <w:bottom w:val="single" w:color="000000" w:sz="4" w:space="0"/>
              <w:right w:val="single" w:color="000000" w:sz="4" w:space="0"/>
            </w:tcBorders>
            <w:vAlign w:val="center"/>
          </w:tcPr>
          <w:p w14:paraId="43F45B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p>
        </w:tc>
        <w:tc>
          <w:tcPr>
            <w:tcW w:w="2632" w:type="dxa"/>
            <w:tcBorders>
              <w:top w:val="single" w:color="000000" w:sz="4" w:space="0"/>
              <w:left w:val="single" w:color="000000" w:sz="4" w:space="0"/>
              <w:bottom w:val="single" w:color="000000" w:sz="4" w:space="0"/>
              <w:right w:val="single" w:color="000000" w:sz="4" w:space="0"/>
            </w:tcBorders>
            <w:vAlign w:val="center"/>
          </w:tcPr>
          <w:p w14:paraId="769453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80" w:name="_Toc6117"/>
            <w:bookmarkStart w:id="181" w:name="_Toc22126177"/>
            <w:r>
              <w:rPr>
                <w:rFonts w:hint="default" w:ascii="Times New Roman" w:hAnsi="Times New Roman" w:eastAsia="宋体" w:cs="Times New Roman"/>
                <w:b w:val="0"/>
                <w:bCs w:val="0"/>
                <w:color w:val="auto"/>
                <w:spacing w:val="0"/>
                <w:w w:val="100"/>
                <w:position w:val="0"/>
                <w:sz w:val="21"/>
                <w:szCs w:val="21"/>
                <w:highlight w:val="none"/>
                <w:lang w:val="zh-CN"/>
              </w:rPr>
              <w:t>昼间</w:t>
            </w:r>
            <w:bookmarkEnd w:id="180"/>
            <w:bookmarkEnd w:id="181"/>
          </w:p>
        </w:tc>
        <w:tc>
          <w:tcPr>
            <w:tcW w:w="2674" w:type="dxa"/>
            <w:tcBorders>
              <w:top w:val="single" w:color="000000" w:sz="4" w:space="0"/>
              <w:left w:val="single" w:color="000000" w:sz="4" w:space="0"/>
              <w:bottom w:val="single" w:color="000000" w:sz="4" w:space="0"/>
              <w:right w:val="single" w:color="000000" w:sz="12" w:space="0"/>
            </w:tcBorders>
            <w:vAlign w:val="center"/>
          </w:tcPr>
          <w:p w14:paraId="3496EB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zh-CN"/>
              </w:rPr>
            </w:pPr>
            <w:bookmarkStart w:id="182" w:name="_Toc22126178"/>
            <w:bookmarkStart w:id="183" w:name="_Toc10844"/>
            <w:r>
              <w:rPr>
                <w:rFonts w:hint="default" w:ascii="Times New Roman" w:hAnsi="Times New Roman" w:eastAsia="宋体" w:cs="Times New Roman"/>
                <w:b w:val="0"/>
                <w:bCs w:val="0"/>
                <w:color w:val="auto"/>
                <w:spacing w:val="0"/>
                <w:w w:val="100"/>
                <w:position w:val="0"/>
                <w:sz w:val="21"/>
                <w:szCs w:val="21"/>
                <w:highlight w:val="none"/>
                <w:lang w:val="zh-CN"/>
              </w:rPr>
              <w:t>夜间</w:t>
            </w:r>
            <w:bookmarkEnd w:id="182"/>
            <w:bookmarkEnd w:id="183"/>
          </w:p>
        </w:tc>
      </w:tr>
      <w:tr w14:paraId="47CDC101">
        <w:tblPrEx>
          <w:tblCellMar>
            <w:top w:w="0" w:type="dxa"/>
            <w:left w:w="0" w:type="dxa"/>
            <w:bottom w:w="0" w:type="dxa"/>
            <w:right w:w="0" w:type="dxa"/>
          </w:tblCellMar>
        </w:tblPrEx>
        <w:trPr>
          <w:jc w:val="center"/>
        </w:trPr>
        <w:tc>
          <w:tcPr>
            <w:tcW w:w="3022" w:type="dxa"/>
            <w:tcBorders>
              <w:top w:val="single" w:color="000000" w:sz="4" w:space="0"/>
              <w:left w:val="single" w:color="000000" w:sz="12" w:space="0"/>
              <w:bottom w:val="single" w:color="000000" w:sz="12" w:space="0"/>
              <w:right w:val="single" w:color="000000" w:sz="4" w:space="0"/>
            </w:tcBorders>
            <w:vAlign w:val="center"/>
          </w:tcPr>
          <w:p w14:paraId="003BFC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zh-CN"/>
              </w:rPr>
            </w:pPr>
            <w:bookmarkStart w:id="184" w:name="_Toc22126179"/>
            <w:bookmarkStart w:id="185" w:name="_Toc13024"/>
            <w:r>
              <w:rPr>
                <w:rFonts w:hint="default" w:ascii="Times New Roman" w:hAnsi="Times New Roman" w:eastAsia="宋体" w:cs="Times New Roman"/>
                <w:color w:val="auto"/>
                <w:spacing w:val="0"/>
                <w:w w:val="100"/>
                <w:position w:val="0"/>
                <w:sz w:val="21"/>
                <w:szCs w:val="21"/>
                <w:highlight w:val="none"/>
                <w:lang w:val="zh-CN"/>
              </w:rPr>
              <w:t>2类</w:t>
            </w:r>
            <w:bookmarkEnd w:id="184"/>
            <w:bookmarkEnd w:id="185"/>
          </w:p>
        </w:tc>
        <w:tc>
          <w:tcPr>
            <w:tcW w:w="2632" w:type="dxa"/>
            <w:tcBorders>
              <w:top w:val="single" w:color="000000" w:sz="4" w:space="0"/>
              <w:left w:val="single" w:color="000000" w:sz="4" w:space="0"/>
              <w:bottom w:val="single" w:color="000000" w:sz="12" w:space="0"/>
              <w:right w:val="single" w:color="000000" w:sz="4" w:space="0"/>
            </w:tcBorders>
            <w:vAlign w:val="center"/>
          </w:tcPr>
          <w:p w14:paraId="2FCE99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60</w:t>
            </w:r>
          </w:p>
        </w:tc>
        <w:tc>
          <w:tcPr>
            <w:tcW w:w="2674" w:type="dxa"/>
            <w:tcBorders>
              <w:top w:val="single" w:color="000000" w:sz="4" w:space="0"/>
              <w:left w:val="single" w:color="000000" w:sz="4" w:space="0"/>
              <w:bottom w:val="single" w:color="000000" w:sz="12" w:space="0"/>
              <w:right w:val="single" w:color="000000" w:sz="12" w:space="0"/>
            </w:tcBorders>
            <w:vAlign w:val="center"/>
          </w:tcPr>
          <w:p w14:paraId="00503B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highlight w:val="none"/>
                <w:lang w:val="en-US" w:eastAsia="zh-CN"/>
              </w:rPr>
            </w:pPr>
            <w:bookmarkStart w:id="186" w:name="_Toc13592"/>
            <w:bookmarkStart w:id="187" w:name="_Toc22126181"/>
            <w:r>
              <w:rPr>
                <w:rFonts w:hint="default" w:ascii="Times New Roman" w:hAnsi="Times New Roman" w:eastAsia="宋体" w:cs="Times New Roman"/>
                <w:color w:val="auto"/>
                <w:spacing w:val="0"/>
                <w:w w:val="100"/>
                <w:position w:val="0"/>
                <w:sz w:val="21"/>
                <w:szCs w:val="21"/>
                <w:highlight w:val="none"/>
                <w:lang w:val="zh-CN"/>
              </w:rPr>
              <w:t>5</w:t>
            </w:r>
            <w:bookmarkEnd w:id="186"/>
            <w:bookmarkEnd w:id="187"/>
            <w:r>
              <w:rPr>
                <w:rFonts w:hint="default" w:ascii="Times New Roman" w:hAnsi="Times New Roman" w:eastAsia="宋体" w:cs="Times New Roman"/>
                <w:color w:val="auto"/>
                <w:spacing w:val="0"/>
                <w:w w:val="100"/>
                <w:position w:val="0"/>
                <w:sz w:val="21"/>
                <w:szCs w:val="21"/>
                <w:highlight w:val="none"/>
                <w:lang w:val="en-US" w:eastAsia="zh-CN"/>
              </w:rPr>
              <w:t>0</w:t>
            </w:r>
          </w:p>
        </w:tc>
      </w:tr>
    </w:tbl>
    <w:p w14:paraId="10AF3BC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（4）固体废物</w:t>
      </w:r>
    </w:p>
    <w:p w14:paraId="54D55DA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固废鉴别按照《危险废物鉴别标准</w:t>
      </w:r>
      <w:r>
        <w:rPr>
          <w:rFonts w:hint="default" w:ascii="Times New Roman" w:hAnsi="Times New Roman" w:cs="Times New Roman"/>
          <w:color w:val="auto"/>
          <w:spacing w:val="0"/>
          <w:w w:val="100"/>
          <w:position w:val="0"/>
          <w:sz w:val="24"/>
          <w:highlight w:val="none"/>
          <w:lang w:val="en-US" w:eastAsia="zh-CN"/>
        </w:rPr>
        <w:t xml:space="preserve"> </w:t>
      </w:r>
      <w:r>
        <w:rPr>
          <w:rFonts w:hint="default" w:ascii="Times New Roman" w:hAnsi="Times New Roman" w:eastAsia="宋体" w:cs="Times New Roman"/>
          <w:color w:val="auto"/>
          <w:spacing w:val="0"/>
          <w:w w:val="100"/>
          <w:position w:val="0"/>
          <w:sz w:val="24"/>
          <w:highlight w:val="none"/>
          <w:lang w:val="en-US" w:eastAsia="zh-CN"/>
        </w:rPr>
        <w:t>浸出毒性鉴别》（GB5085.3-2007）、《固体废物浸出毒性测定方法》（GB5086.1-1997）要求执行。</w:t>
      </w:r>
    </w:p>
    <w:p w14:paraId="70151C3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本项目废石属于第Ⅰ类一般工业固体废物，执行《一般工业固体废物贮存和填埋污染控制标准》（GB18599-2020）的有关规定；危险废物贮存执行《危险废物贮存污染控制标准》（GB18597-2023）的有关规定。</w:t>
      </w:r>
    </w:p>
    <w:p w14:paraId="41883C13">
      <w:pPr>
        <w:pStyle w:val="3"/>
        <w:bidi w:val="0"/>
        <w:rPr>
          <w:rFonts w:hint="default" w:ascii="Times New Roman" w:hAnsi="Times New Roman" w:cs="Times New Roman"/>
          <w:color w:val="auto"/>
        </w:rPr>
      </w:pPr>
      <w:bookmarkStart w:id="188" w:name="_Toc191903738"/>
      <w:bookmarkStart w:id="189" w:name="_Toc6688"/>
      <w:bookmarkStart w:id="190" w:name="_Toc22687"/>
      <w:bookmarkStart w:id="191" w:name="_Toc273373252"/>
      <w:bookmarkStart w:id="192" w:name="_Toc276469897"/>
      <w:bookmarkStart w:id="193" w:name="_Toc27227"/>
      <w:bookmarkStart w:id="194" w:name="_Toc286827182"/>
      <w:bookmarkStart w:id="195" w:name="_Toc218485490"/>
      <w:bookmarkStart w:id="196" w:name="_Toc3507"/>
      <w:bookmarkStart w:id="197" w:name="_Toc366104786"/>
      <w:bookmarkStart w:id="198" w:name="_Toc2780"/>
      <w:bookmarkStart w:id="199" w:name="_Toc28742"/>
      <w:bookmarkStart w:id="200" w:name="_Toc11611"/>
      <w:bookmarkStart w:id="201" w:name="_Toc273372167"/>
      <w:bookmarkStart w:id="202" w:name="_Toc474747835"/>
      <w:bookmarkStart w:id="203" w:name="_Toc7705"/>
      <w:bookmarkStart w:id="204" w:name="_Toc312318138"/>
      <w:bookmarkStart w:id="205" w:name="_Toc20548"/>
      <w:bookmarkStart w:id="206" w:name="_Toc13885"/>
      <w:bookmarkStart w:id="207" w:name="_Toc9312"/>
      <w:bookmarkStart w:id="208" w:name="_Toc12636"/>
      <w:bookmarkStart w:id="209" w:name="_Toc22663"/>
      <w:bookmarkStart w:id="210" w:name="_Toc32418_WPSOffice_Level1"/>
      <w:bookmarkStart w:id="211" w:name="_Toc266374523"/>
      <w:bookmarkStart w:id="212" w:name="_Toc190909896"/>
      <w:r>
        <w:rPr>
          <w:rFonts w:hint="default" w:ascii="Times New Roman" w:hAnsi="Times New Roman" w:cs="Times New Roman"/>
          <w:color w:val="auto"/>
        </w:rPr>
        <w:t>评价等级和评价范围</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5E2955AC">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大气环境影响评价等级</w:t>
      </w:r>
      <w:r>
        <w:rPr>
          <w:rFonts w:hint="default" w:ascii="Times New Roman" w:hAnsi="Times New Roman" w:cs="Times New Roman"/>
          <w:color w:val="auto"/>
        </w:rPr>
        <w:t>与评价范围</w:t>
      </w:r>
    </w:p>
    <w:p w14:paraId="162FF77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（1）判定依据</w:t>
      </w:r>
    </w:p>
    <w:p w14:paraId="6655018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根据《环境影响评价技术导则 大气环境》（HJ2.2-2018）中的推荐模式AERSCREEN，选择</w:t>
      </w:r>
      <w:r>
        <w:rPr>
          <w:rFonts w:hint="default" w:ascii="Times New Roman" w:hAnsi="Times New Roman" w:cs="Times New Roman"/>
          <w:color w:val="auto"/>
          <w:spacing w:val="0"/>
          <w:w w:val="100"/>
          <w:position w:val="0"/>
          <w:sz w:val="24"/>
          <w:highlight w:val="none"/>
          <w:lang w:val="en-US" w:eastAsia="zh-CN"/>
        </w:rPr>
        <w:t>废石破</w:t>
      </w:r>
      <w:r>
        <w:rPr>
          <w:rFonts w:hint="default" w:ascii="Times New Roman" w:hAnsi="Times New Roman" w:eastAsia="宋体" w:cs="Times New Roman"/>
          <w:color w:val="auto"/>
          <w:spacing w:val="0"/>
          <w:w w:val="100"/>
          <w:position w:val="0"/>
          <w:sz w:val="24"/>
          <w:highlight w:val="none"/>
          <w:lang w:val="en-US" w:eastAsia="zh-CN"/>
        </w:rPr>
        <w:t>碎</w:t>
      </w:r>
      <w:r>
        <w:rPr>
          <w:rFonts w:hint="default" w:ascii="Times New Roman" w:hAnsi="Times New Roman" w:cs="Times New Roman"/>
          <w:color w:val="auto"/>
          <w:spacing w:val="0"/>
          <w:w w:val="100"/>
          <w:position w:val="0"/>
          <w:sz w:val="24"/>
          <w:highlight w:val="none"/>
          <w:lang w:val="en-US" w:eastAsia="zh-CN"/>
        </w:rPr>
        <w:t>粉尘</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cs="Times New Roman"/>
          <w:color w:val="auto"/>
          <w:spacing w:val="0"/>
          <w:w w:val="100"/>
          <w:position w:val="0"/>
          <w:sz w:val="24"/>
          <w:highlight w:val="none"/>
          <w:lang w:val="en-US" w:eastAsia="zh-CN"/>
        </w:rPr>
        <w:t>水泥筒仓粉尘、</w:t>
      </w:r>
      <w:r>
        <w:rPr>
          <w:rFonts w:hint="default" w:ascii="Times New Roman" w:hAnsi="Times New Roman" w:eastAsia="宋体" w:cs="Times New Roman"/>
          <w:color w:val="auto"/>
          <w:spacing w:val="0"/>
          <w:w w:val="100"/>
          <w:position w:val="0"/>
          <w:sz w:val="24"/>
          <w:highlight w:val="none"/>
          <w:lang w:val="en-US" w:eastAsia="zh-CN"/>
        </w:rPr>
        <w:t>废石场</w:t>
      </w:r>
      <w:r>
        <w:rPr>
          <w:rFonts w:hint="default" w:ascii="Times New Roman" w:hAnsi="Times New Roman" w:cs="Times New Roman"/>
          <w:color w:val="auto"/>
          <w:spacing w:val="0"/>
          <w:w w:val="100"/>
          <w:position w:val="0"/>
          <w:sz w:val="24"/>
          <w:highlight w:val="none"/>
          <w:lang w:val="en-US" w:eastAsia="zh-CN"/>
        </w:rPr>
        <w:t>及矿石堆场</w:t>
      </w:r>
      <w:r>
        <w:rPr>
          <w:rFonts w:hint="default" w:ascii="Times New Roman" w:hAnsi="Times New Roman" w:eastAsia="宋体" w:cs="Times New Roman"/>
          <w:color w:val="auto"/>
          <w:spacing w:val="0"/>
          <w:w w:val="100"/>
          <w:position w:val="0"/>
          <w:sz w:val="24"/>
          <w:highlight w:val="none"/>
          <w:lang w:val="en-US" w:eastAsia="zh-CN"/>
        </w:rPr>
        <w:t>扬尘</w:t>
      </w:r>
      <w:r>
        <w:rPr>
          <w:rFonts w:hint="default" w:ascii="Times New Roman" w:hAnsi="Times New Roman" w:eastAsia="宋体" w:cs="Times New Roman"/>
          <w:color w:val="auto"/>
          <w:spacing w:val="0"/>
          <w:w w:val="100"/>
          <w:position w:val="0"/>
          <w:sz w:val="24"/>
          <w:highlight w:val="none"/>
        </w:rPr>
        <w:t>作为主要污染物，计算粉尘的最大地面空气质量浓度占标率</w:t>
      </w:r>
      <w:r>
        <w:rPr>
          <w:rFonts w:hint="default" w:ascii="Times New Roman" w:hAnsi="Times New Roman" w:eastAsia="宋体" w:cs="Times New Roman"/>
          <w:i/>
          <w:color w:val="auto"/>
          <w:spacing w:val="0"/>
          <w:w w:val="100"/>
          <w:position w:val="0"/>
          <w:sz w:val="24"/>
          <w:highlight w:val="none"/>
        </w:rPr>
        <w:t>P</w:t>
      </w:r>
      <w:r>
        <w:rPr>
          <w:rFonts w:hint="default" w:ascii="Times New Roman" w:hAnsi="Times New Roman" w:eastAsia="宋体" w:cs="Times New Roman"/>
          <w:i/>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（第i个污染物），及第i个污染物的地面空气质量浓度达标值10%时所对应的最远距离D</w:t>
      </w:r>
      <w:r>
        <w:rPr>
          <w:rFonts w:hint="default" w:ascii="Times New Roman" w:hAnsi="Times New Roman" w:eastAsia="宋体" w:cs="Times New Roman"/>
          <w:color w:val="auto"/>
          <w:spacing w:val="0"/>
          <w:w w:val="100"/>
          <w:position w:val="0"/>
          <w:sz w:val="24"/>
          <w:highlight w:val="none"/>
          <w:vertAlign w:val="subscript"/>
        </w:rPr>
        <w:t>10%</w:t>
      </w:r>
      <w:r>
        <w:rPr>
          <w:rFonts w:hint="default" w:ascii="Times New Roman" w:hAnsi="Times New Roman" w:eastAsia="宋体" w:cs="Times New Roman"/>
          <w:color w:val="auto"/>
          <w:spacing w:val="0"/>
          <w:w w:val="100"/>
          <w:position w:val="0"/>
          <w:sz w:val="24"/>
          <w:highlight w:val="none"/>
        </w:rPr>
        <w:t>，其中</w:t>
      </w:r>
      <w:r>
        <w:rPr>
          <w:rFonts w:hint="default" w:ascii="Times New Roman" w:hAnsi="Times New Roman" w:eastAsia="宋体" w:cs="Times New Roman"/>
          <w:i/>
          <w:color w:val="auto"/>
          <w:spacing w:val="0"/>
          <w:w w:val="100"/>
          <w:position w:val="0"/>
          <w:sz w:val="24"/>
          <w:highlight w:val="none"/>
        </w:rPr>
        <w:t>P</w:t>
      </w:r>
      <w:r>
        <w:rPr>
          <w:rFonts w:hint="default" w:ascii="Times New Roman" w:hAnsi="Times New Roman" w:eastAsia="宋体" w:cs="Times New Roman"/>
          <w:i/>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定义为：</w:t>
      </w:r>
    </w:p>
    <w:p w14:paraId="3ADCA2EB">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P</w:t>
      </w:r>
      <w:r>
        <w:rPr>
          <w:rFonts w:hint="default" w:ascii="Times New Roman" w:hAnsi="Times New Roman" w:eastAsia="宋体" w:cs="Times New Roman"/>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=C</w:t>
      </w:r>
      <w:r>
        <w:rPr>
          <w:rFonts w:hint="default" w:ascii="Times New Roman" w:hAnsi="Times New Roman" w:eastAsia="宋体" w:cs="Times New Roman"/>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/C</w:t>
      </w:r>
      <w:r>
        <w:rPr>
          <w:rFonts w:hint="default" w:ascii="Times New Roman" w:hAnsi="Times New Roman" w:eastAsia="宋体" w:cs="Times New Roman"/>
          <w:color w:val="auto"/>
          <w:spacing w:val="0"/>
          <w:w w:val="100"/>
          <w:position w:val="0"/>
          <w:sz w:val="24"/>
          <w:highlight w:val="none"/>
          <w:vertAlign w:val="subscript"/>
        </w:rPr>
        <w:t>oi</w:t>
      </w:r>
      <w:r>
        <w:rPr>
          <w:rFonts w:hint="default" w:ascii="Times New Roman" w:hAnsi="Times New Roman" w:eastAsia="宋体" w:cs="Times New Roman"/>
          <w:color w:val="auto"/>
          <w:spacing w:val="0"/>
          <w:w w:val="100"/>
          <w:position w:val="0"/>
          <w:sz w:val="24"/>
          <w:highlight w:val="none"/>
        </w:rPr>
        <w:t>×100%</w:t>
      </w:r>
    </w:p>
    <w:p w14:paraId="0D0D0DB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式中：P</w:t>
      </w:r>
      <w:r>
        <w:rPr>
          <w:rFonts w:hint="default" w:ascii="Times New Roman" w:hAnsi="Times New Roman" w:eastAsia="宋体" w:cs="Times New Roman"/>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—第i个污染物的最大地面空气质量浓度占标率，%；</w:t>
      </w:r>
    </w:p>
    <w:p w14:paraId="144C04DE">
      <w:pPr>
        <w:keepNext w:val="0"/>
        <w:keepLines w:val="0"/>
        <w:pageBreakBefore w:val="0"/>
        <w:widowControl w:val="0"/>
        <w:kinsoku/>
        <w:wordWrap/>
        <w:overflowPunct/>
        <w:topLinePunct w:val="0"/>
        <w:autoSpaceDE/>
        <w:autoSpaceDN/>
        <w:bidi w:val="0"/>
        <w:adjustRightInd/>
        <w:snapToGrid/>
        <w:spacing w:line="480" w:lineRule="exact"/>
        <w:ind w:firstLine="1200" w:firstLineChars="5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C</w:t>
      </w:r>
      <w:r>
        <w:rPr>
          <w:rFonts w:hint="default" w:ascii="Times New Roman" w:hAnsi="Times New Roman" w:eastAsia="宋体" w:cs="Times New Roman"/>
          <w:color w:val="auto"/>
          <w:spacing w:val="0"/>
          <w:w w:val="100"/>
          <w:position w:val="0"/>
          <w:sz w:val="24"/>
          <w:highlight w:val="none"/>
          <w:vertAlign w:val="subscript"/>
        </w:rPr>
        <w:t>i</w:t>
      </w:r>
      <w:r>
        <w:rPr>
          <w:rFonts w:hint="default" w:ascii="Times New Roman" w:hAnsi="Times New Roman" w:eastAsia="宋体" w:cs="Times New Roman"/>
          <w:color w:val="auto"/>
          <w:spacing w:val="0"/>
          <w:w w:val="100"/>
          <w:position w:val="0"/>
          <w:sz w:val="24"/>
          <w:highlight w:val="none"/>
        </w:rPr>
        <w:t>—采用估算模式计算出的第i个污染物的最大1h地面空气质量浓度，mg/m</w:t>
      </w:r>
      <w:r>
        <w:rPr>
          <w:rFonts w:hint="default" w:ascii="Times New Roman" w:hAnsi="Times New Roman" w:eastAsia="宋体" w:cs="Times New Roman"/>
          <w:color w:val="auto"/>
          <w:spacing w:val="0"/>
          <w:w w:val="100"/>
          <w:position w:val="0"/>
          <w:sz w:val="24"/>
          <w:highlight w:val="none"/>
          <w:vertAlign w:val="superscript"/>
        </w:rPr>
        <w:t>3</w:t>
      </w:r>
      <w:r>
        <w:rPr>
          <w:rFonts w:hint="default" w:ascii="Times New Roman" w:hAnsi="Times New Roman" w:eastAsia="宋体" w:cs="Times New Roman"/>
          <w:color w:val="auto"/>
          <w:spacing w:val="0"/>
          <w:w w:val="100"/>
          <w:position w:val="0"/>
          <w:sz w:val="24"/>
          <w:highlight w:val="none"/>
        </w:rPr>
        <w:t>；</w:t>
      </w:r>
    </w:p>
    <w:p w14:paraId="2F973AA3">
      <w:pPr>
        <w:keepNext w:val="0"/>
        <w:keepLines w:val="0"/>
        <w:pageBreakBefore w:val="0"/>
        <w:widowControl w:val="0"/>
        <w:kinsoku/>
        <w:wordWrap/>
        <w:overflowPunct/>
        <w:topLinePunct w:val="0"/>
        <w:autoSpaceDE/>
        <w:autoSpaceDN/>
        <w:bidi w:val="0"/>
        <w:adjustRightInd/>
        <w:snapToGrid/>
        <w:spacing w:line="480" w:lineRule="exact"/>
        <w:ind w:firstLine="1200" w:firstLineChars="500"/>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C</w:t>
      </w:r>
      <w:r>
        <w:rPr>
          <w:rFonts w:hint="default" w:ascii="Times New Roman" w:hAnsi="Times New Roman" w:eastAsia="宋体" w:cs="Times New Roman"/>
          <w:color w:val="auto"/>
          <w:spacing w:val="0"/>
          <w:w w:val="100"/>
          <w:position w:val="0"/>
          <w:sz w:val="24"/>
          <w:highlight w:val="none"/>
          <w:vertAlign w:val="subscript"/>
        </w:rPr>
        <w:t>oi</w:t>
      </w:r>
      <w:r>
        <w:rPr>
          <w:rFonts w:hint="default" w:ascii="Times New Roman" w:hAnsi="Times New Roman" w:eastAsia="宋体" w:cs="Times New Roman"/>
          <w:color w:val="auto"/>
          <w:spacing w:val="0"/>
          <w:w w:val="100"/>
          <w:position w:val="0"/>
          <w:sz w:val="24"/>
          <w:highlight w:val="none"/>
        </w:rPr>
        <w:t>—第i个污染物的环境空气质量标准，µg/m</w:t>
      </w:r>
      <w:r>
        <w:rPr>
          <w:rFonts w:hint="default" w:ascii="Times New Roman" w:hAnsi="Times New Roman" w:eastAsia="宋体" w:cs="Times New Roman"/>
          <w:color w:val="auto"/>
          <w:spacing w:val="0"/>
          <w:w w:val="100"/>
          <w:position w:val="0"/>
          <w:sz w:val="24"/>
          <w:highlight w:val="none"/>
          <w:vertAlign w:val="superscript"/>
        </w:rPr>
        <w:t>3</w:t>
      </w:r>
      <w:r>
        <w:rPr>
          <w:rFonts w:hint="default" w:ascii="Times New Roman" w:hAnsi="Times New Roman" w:eastAsia="宋体" w:cs="Times New Roman"/>
          <w:color w:val="auto"/>
          <w:spacing w:val="0"/>
          <w:w w:val="100"/>
          <w:position w:val="0"/>
          <w:sz w:val="24"/>
          <w:highlight w:val="none"/>
        </w:rPr>
        <w:t>；一般选用GB3095中1小时平均质量浓度的二级浓度限值。</w:t>
      </w:r>
    </w:p>
    <w:p w14:paraId="4E61212C">
      <w:pPr>
        <w:keepNext w:val="0"/>
        <w:keepLines w:val="0"/>
        <w:pageBreakBefore w:val="0"/>
        <w:widowControl w:val="0"/>
        <w:kinsoku/>
        <w:wordWrap/>
        <w:overflowPunct/>
        <w:topLinePunct w:val="0"/>
        <w:autoSpaceDE/>
        <w:autoSpaceDN/>
        <w:bidi w:val="0"/>
        <w:adjustRightInd/>
        <w:snapToGrid/>
        <w:spacing w:line="480" w:lineRule="exact"/>
        <w:ind w:firstLine="470" w:firstLineChars="196"/>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rPr>
        <w:t>预测因子</w:t>
      </w:r>
      <w:r>
        <w:rPr>
          <w:rFonts w:hint="default" w:ascii="Times New Roman" w:hAnsi="Times New Roman" w:eastAsia="宋体" w:cs="Times New Roman"/>
          <w:color w:val="auto"/>
          <w:spacing w:val="0"/>
          <w:w w:val="100"/>
          <w:position w:val="0"/>
          <w:sz w:val="24"/>
          <w:highlight w:val="none"/>
          <w:lang w:val="en-US" w:eastAsia="zh-CN"/>
        </w:rPr>
        <w:t>颗粒物（无组织）</w:t>
      </w:r>
      <w:r>
        <w:rPr>
          <w:rFonts w:hint="default" w:ascii="Times New Roman" w:hAnsi="Times New Roman" w:eastAsia="宋体" w:cs="Times New Roman"/>
          <w:color w:val="auto"/>
          <w:spacing w:val="0"/>
          <w:w w:val="100"/>
          <w:position w:val="0"/>
          <w:sz w:val="24"/>
          <w:highlight w:val="none"/>
        </w:rPr>
        <w:t>的标准值按导则要求选用日均值的3倍，取0.</w:t>
      </w:r>
      <w:r>
        <w:rPr>
          <w:rFonts w:hint="default" w:ascii="Times New Roman" w:hAnsi="Times New Roman" w:eastAsia="宋体" w:cs="Times New Roman"/>
          <w:color w:val="auto"/>
          <w:spacing w:val="0"/>
          <w:w w:val="100"/>
          <w:position w:val="0"/>
          <w:sz w:val="24"/>
          <w:highlight w:val="none"/>
          <w:lang w:val="en-US" w:eastAsia="zh-CN"/>
        </w:rPr>
        <w:t>90</w:t>
      </w:r>
      <w:r>
        <w:rPr>
          <w:rFonts w:hint="default" w:ascii="Times New Roman" w:hAnsi="Times New Roman" w:eastAsia="宋体" w:cs="Times New Roman"/>
          <w:color w:val="auto"/>
          <w:spacing w:val="0"/>
          <w:w w:val="100"/>
          <w:position w:val="0"/>
          <w:sz w:val="24"/>
          <w:highlight w:val="none"/>
        </w:rPr>
        <w:t>mg/m</w:t>
      </w:r>
      <w:r>
        <w:rPr>
          <w:rFonts w:hint="default" w:ascii="Times New Roman" w:hAnsi="Times New Roman" w:eastAsia="宋体" w:cs="Times New Roman"/>
          <w:color w:val="auto"/>
          <w:spacing w:val="0"/>
          <w:w w:val="100"/>
          <w:position w:val="0"/>
          <w:sz w:val="24"/>
          <w:highlight w:val="none"/>
          <w:vertAlign w:val="superscript"/>
        </w:rPr>
        <w:t>3</w:t>
      </w:r>
      <w:r>
        <w:rPr>
          <w:rFonts w:hint="default" w:ascii="Times New Roman" w:hAnsi="Times New Roman" w:eastAsia="宋体" w:cs="Times New Roman"/>
          <w:color w:val="auto"/>
          <w:spacing w:val="0"/>
          <w:w w:val="100"/>
          <w:position w:val="0"/>
          <w:sz w:val="24"/>
          <w:highlight w:val="none"/>
        </w:rPr>
        <w:t>。采用估算模式计算</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大气环境影响评价工作等级判据见表2.</w:t>
      </w:r>
      <w:r>
        <w:rPr>
          <w:rFonts w:hint="default" w:ascii="Times New Roman" w:hAnsi="Times New Roman" w:eastAsia="宋体" w:cs="Times New Roman"/>
          <w:color w:val="auto"/>
          <w:spacing w:val="0"/>
          <w:w w:val="100"/>
          <w:position w:val="0"/>
          <w:sz w:val="24"/>
          <w:highlight w:val="none"/>
          <w:lang w:val="en-US" w:eastAsia="zh-CN"/>
        </w:rPr>
        <w:t>5</w:t>
      </w:r>
      <w:r>
        <w:rPr>
          <w:rFonts w:hint="default" w:ascii="Times New Roman" w:hAnsi="Times New Roman" w:eastAsia="宋体" w:cs="Times New Roman"/>
          <w:color w:val="auto"/>
          <w:spacing w:val="0"/>
          <w:w w:val="100"/>
          <w:position w:val="0"/>
          <w:sz w:val="24"/>
          <w:highlight w:val="none"/>
        </w:rPr>
        <w:t>-1。</w:t>
      </w:r>
    </w:p>
    <w:p w14:paraId="191DEFFA">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表2.5-1    大气环境影响评价工作等级</w:t>
      </w:r>
    </w:p>
    <w:tbl>
      <w:tblPr>
        <w:tblStyle w:val="21"/>
        <w:tblW w:w="8516" w:type="dxa"/>
        <w:jc w:val="center"/>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Layout w:type="fixed"/>
        <w:tblCellMar>
          <w:top w:w="0" w:type="dxa"/>
          <w:left w:w="108" w:type="dxa"/>
          <w:bottom w:w="0" w:type="dxa"/>
          <w:right w:w="108" w:type="dxa"/>
        </w:tblCellMar>
      </w:tblPr>
      <w:tblGrid>
        <w:gridCol w:w="1547"/>
        <w:gridCol w:w="6969"/>
      </w:tblGrid>
      <w:tr w14:paraId="15657991">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108" w:type="dxa"/>
            <w:bottom w:w="0" w:type="dxa"/>
            <w:right w:w="108" w:type="dxa"/>
          </w:tblCellMar>
        </w:tblPrEx>
        <w:trPr>
          <w:jc w:val="center"/>
        </w:trPr>
        <w:tc>
          <w:tcPr>
            <w:tcW w:w="1547" w:type="dxa"/>
            <w:vAlign w:val="center"/>
          </w:tcPr>
          <w:p w14:paraId="3410F6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color w:val="auto"/>
                <w:spacing w:val="0"/>
                <w:w w:val="100"/>
                <w:kern w:val="0"/>
                <w:position w:val="0"/>
                <w:szCs w:val="21"/>
                <w:highlight w:val="none"/>
              </w:rPr>
            </w:pPr>
            <w:r>
              <w:rPr>
                <w:rFonts w:hint="default" w:ascii="Times New Roman" w:hAnsi="Times New Roman" w:eastAsia="宋体" w:cs="Times New Roman"/>
                <w:b w:val="0"/>
                <w:bCs/>
                <w:color w:val="auto"/>
                <w:spacing w:val="0"/>
                <w:w w:val="100"/>
                <w:kern w:val="0"/>
                <w:position w:val="0"/>
                <w:szCs w:val="21"/>
                <w:highlight w:val="none"/>
              </w:rPr>
              <w:t>评价工作等级</w:t>
            </w:r>
          </w:p>
        </w:tc>
        <w:tc>
          <w:tcPr>
            <w:tcW w:w="6969" w:type="dxa"/>
            <w:vAlign w:val="center"/>
          </w:tcPr>
          <w:p w14:paraId="23B6E3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color w:val="auto"/>
                <w:spacing w:val="0"/>
                <w:w w:val="100"/>
                <w:kern w:val="0"/>
                <w:position w:val="0"/>
                <w:szCs w:val="21"/>
                <w:highlight w:val="none"/>
              </w:rPr>
            </w:pPr>
            <w:r>
              <w:rPr>
                <w:rFonts w:hint="default" w:ascii="Times New Roman" w:hAnsi="Times New Roman" w:eastAsia="宋体" w:cs="Times New Roman"/>
                <w:b w:val="0"/>
                <w:bCs/>
                <w:color w:val="auto"/>
                <w:spacing w:val="0"/>
                <w:w w:val="100"/>
                <w:kern w:val="0"/>
                <w:position w:val="0"/>
                <w:szCs w:val="21"/>
                <w:highlight w:val="none"/>
              </w:rPr>
              <w:t>评价工作分级判据</w:t>
            </w:r>
          </w:p>
        </w:tc>
      </w:tr>
      <w:tr w14:paraId="5FAEC777">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108" w:type="dxa"/>
            <w:bottom w:w="0" w:type="dxa"/>
            <w:right w:w="108" w:type="dxa"/>
          </w:tblCellMar>
        </w:tblPrEx>
        <w:trPr>
          <w:jc w:val="center"/>
        </w:trPr>
        <w:tc>
          <w:tcPr>
            <w:tcW w:w="1547" w:type="dxa"/>
            <w:vAlign w:val="center"/>
          </w:tcPr>
          <w:p w14:paraId="6C5646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一级</w:t>
            </w:r>
          </w:p>
        </w:tc>
        <w:tc>
          <w:tcPr>
            <w:tcW w:w="6969" w:type="dxa"/>
            <w:vAlign w:val="center"/>
          </w:tcPr>
          <w:p w14:paraId="48BF63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P</w:t>
            </w:r>
            <w:r>
              <w:rPr>
                <w:rFonts w:hint="default" w:ascii="Times New Roman" w:hAnsi="Times New Roman" w:eastAsia="宋体" w:cs="Times New Roman"/>
                <w:color w:val="auto"/>
                <w:spacing w:val="0"/>
                <w:w w:val="100"/>
                <w:kern w:val="0"/>
                <w:position w:val="0"/>
                <w:szCs w:val="21"/>
                <w:highlight w:val="none"/>
                <w:vertAlign w:val="subscript"/>
              </w:rPr>
              <w:t>max</w:t>
            </w:r>
            <w:r>
              <w:rPr>
                <w:rFonts w:hint="default" w:ascii="Times New Roman" w:hAnsi="Times New Roman" w:eastAsia="宋体" w:cs="Times New Roman"/>
                <w:color w:val="auto"/>
                <w:spacing w:val="0"/>
                <w:w w:val="100"/>
                <w:kern w:val="0"/>
                <w:position w:val="0"/>
                <w:szCs w:val="21"/>
                <w:highlight w:val="none"/>
              </w:rPr>
              <w:t>≥10%</w:t>
            </w:r>
          </w:p>
        </w:tc>
      </w:tr>
      <w:tr w14:paraId="7D64275A">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108" w:type="dxa"/>
            <w:bottom w:w="0" w:type="dxa"/>
            <w:right w:w="108" w:type="dxa"/>
          </w:tblCellMar>
        </w:tblPrEx>
        <w:trPr>
          <w:jc w:val="center"/>
        </w:trPr>
        <w:tc>
          <w:tcPr>
            <w:tcW w:w="1547" w:type="dxa"/>
            <w:vAlign w:val="center"/>
          </w:tcPr>
          <w:p w14:paraId="1DD535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二级</w:t>
            </w:r>
          </w:p>
        </w:tc>
        <w:tc>
          <w:tcPr>
            <w:tcW w:w="6969" w:type="dxa"/>
            <w:vAlign w:val="center"/>
          </w:tcPr>
          <w:p w14:paraId="594984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1%≤P</w:t>
            </w:r>
            <w:r>
              <w:rPr>
                <w:rFonts w:hint="default" w:ascii="Times New Roman" w:hAnsi="Times New Roman" w:eastAsia="宋体" w:cs="Times New Roman"/>
                <w:color w:val="auto"/>
                <w:spacing w:val="0"/>
                <w:w w:val="100"/>
                <w:kern w:val="0"/>
                <w:position w:val="0"/>
                <w:szCs w:val="21"/>
                <w:highlight w:val="none"/>
                <w:vertAlign w:val="subscript"/>
              </w:rPr>
              <w:t>max</w:t>
            </w:r>
            <w:r>
              <w:rPr>
                <w:rFonts w:hint="default" w:ascii="Times New Roman" w:hAnsi="Times New Roman" w:eastAsia="宋体" w:cs="Times New Roman"/>
                <w:color w:val="auto"/>
                <w:spacing w:val="0"/>
                <w:w w:val="100"/>
                <w:kern w:val="0"/>
                <w:position w:val="0"/>
                <w:szCs w:val="21"/>
                <w:highlight w:val="none"/>
              </w:rPr>
              <w:t>＜10%</w:t>
            </w:r>
          </w:p>
        </w:tc>
      </w:tr>
      <w:tr w14:paraId="74275F33">
        <w:tblPrEx>
          <w:tblBorders>
            <w:top w:val="single" w:color="auto" w:sz="12" w:space="0"/>
            <w:left w:val="single" w:color="auto" w:sz="12" w:space="0"/>
            <w:bottom w:val="single" w:color="auto" w:sz="12" w:space="0"/>
            <w:right w:val="single" w:color="auto" w:sz="12" w:space="0"/>
            <w:insideH w:val="single" w:color="000000" w:sz="2" w:space="0"/>
            <w:insideV w:val="single" w:color="000000" w:sz="2" w:space="0"/>
          </w:tblBorders>
          <w:tblCellMar>
            <w:top w:w="0" w:type="dxa"/>
            <w:left w:w="108" w:type="dxa"/>
            <w:bottom w:w="0" w:type="dxa"/>
            <w:right w:w="108" w:type="dxa"/>
          </w:tblCellMar>
        </w:tblPrEx>
        <w:trPr>
          <w:jc w:val="center"/>
        </w:trPr>
        <w:tc>
          <w:tcPr>
            <w:tcW w:w="1547" w:type="dxa"/>
            <w:vAlign w:val="center"/>
          </w:tcPr>
          <w:p w14:paraId="33AFAB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三级</w:t>
            </w:r>
          </w:p>
        </w:tc>
        <w:tc>
          <w:tcPr>
            <w:tcW w:w="6969" w:type="dxa"/>
            <w:vAlign w:val="center"/>
          </w:tcPr>
          <w:p w14:paraId="7D9287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szCs w:val="21"/>
                <w:highlight w:val="none"/>
              </w:rPr>
            </w:pPr>
            <w:r>
              <w:rPr>
                <w:rFonts w:hint="default" w:ascii="Times New Roman" w:hAnsi="Times New Roman" w:eastAsia="宋体" w:cs="Times New Roman"/>
                <w:color w:val="auto"/>
                <w:spacing w:val="0"/>
                <w:w w:val="100"/>
                <w:kern w:val="0"/>
                <w:position w:val="0"/>
                <w:szCs w:val="21"/>
                <w:highlight w:val="none"/>
              </w:rPr>
              <w:t>P</w:t>
            </w:r>
            <w:r>
              <w:rPr>
                <w:rFonts w:hint="default" w:ascii="Times New Roman" w:hAnsi="Times New Roman" w:eastAsia="宋体" w:cs="Times New Roman"/>
                <w:color w:val="auto"/>
                <w:spacing w:val="0"/>
                <w:w w:val="100"/>
                <w:kern w:val="0"/>
                <w:position w:val="0"/>
                <w:szCs w:val="21"/>
                <w:highlight w:val="none"/>
                <w:vertAlign w:val="subscript"/>
              </w:rPr>
              <w:t>max</w:t>
            </w:r>
            <w:r>
              <w:rPr>
                <w:rFonts w:hint="default" w:ascii="Times New Roman" w:hAnsi="Times New Roman" w:eastAsia="宋体" w:cs="Times New Roman"/>
                <w:color w:val="auto"/>
                <w:spacing w:val="0"/>
                <w:w w:val="100"/>
                <w:kern w:val="0"/>
                <w:position w:val="0"/>
                <w:szCs w:val="21"/>
                <w:highlight w:val="none"/>
              </w:rPr>
              <w:t>&lt;1%</w:t>
            </w:r>
          </w:p>
        </w:tc>
      </w:tr>
    </w:tbl>
    <w:p w14:paraId="5649F787">
      <w:pPr>
        <w:spacing w:line="480" w:lineRule="exact"/>
        <w:ind w:firstLine="480" w:firstLineChars="200"/>
        <w:rPr>
          <w:rFonts w:hint="default" w:ascii="Times New Roman" w:hAnsi="Times New Roman" w:eastAsia="宋体" w:cs="Times New Roman"/>
          <w:color w:val="auto"/>
          <w:spacing w:val="0"/>
          <w:w w:val="100"/>
          <w:kern w:val="0"/>
          <w:position w:val="0"/>
          <w:sz w:val="24"/>
          <w:highlight w:val="none"/>
        </w:rPr>
      </w:pPr>
      <w:r>
        <w:rPr>
          <w:rFonts w:hint="default" w:ascii="Times New Roman" w:hAnsi="Times New Roman" w:eastAsia="宋体" w:cs="Times New Roman"/>
          <w:color w:val="auto"/>
          <w:spacing w:val="0"/>
          <w:w w:val="100"/>
          <w:kern w:val="0"/>
          <w:position w:val="0"/>
          <w:sz w:val="24"/>
          <w:highlight w:val="none"/>
        </w:rPr>
        <w:t>（2）采用数据及评价结果</w:t>
      </w:r>
    </w:p>
    <w:p w14:paraId="01C2EDA2">
      <w:pPr>
        <w:spacing w:line="480" w:lineRule="exact"/>
        <w:ind w:firstLine="480" w:firstLineChars="200"/>
        <w:rPr>
          <w:rFonts w:hint="default" w:ascii="Times New Roman" w:hAnsi="Times New Roman" w:eastAsia="宋体" w:cs="Times New Roman"/>
          <w:color w:val="auto"/>
          <w:spacing w:val="0"/>
          <w:w w:val="100"/>
          <w:kern w:val="0"/>
          <w:position w:val="0"/>
          <w:sz w:val="24"/>
          <w:szCs w:val="20"/>
          <w:highlight w:val="none"/>
        </w:rPr>
      </w:pPr>
      <w:r>
        <w:rPr>
          <w:rFonts w:hint="default" w:ascii="Times New Roman" w:hAnsi="Times New Roman" w:eastAsia="宋体" w:cs="Times New Roman"/>
          <w:color w:val="auto"/>
          <w:spacing w:val="0"/>
          <w:w w:val="100"/>
          <w:kern w:val="0"/>
          <w:position w:val="0"/>
          <w:sz w:val="24"/>
          <w:highlight w:val="none"/>
        </w:rPr>
        <w:t>根据项目初步工</w:t>
      </w:r>
      <w:r>
        <w:rPr>
          <w:rFonts w:hint="default" w:ascii="Times New Roman" w:hAnsi="Times New Roman" w:eastAsia="宋体" w:cs="Times New Roman"/>
          <w:color w:val="auto"/>
          <w:spacing w:val="0"/>
          <w:w w:val="100"/>
          <w:kern w:val="0"/>
          <w:position w:val="0"/>
          <w:sz w:val="24"/>
          <w:szCs w:val="20"/>
          <w:highlight w:val="none"/>
        </w:rPr>
        <w:t>程分析，选取了</w:t>
      </w:r>
      <w:r>
        <w:rPr>
          <w:rFonts w:hint="default" w:ascii="Times New Roman" w:hAnsi="Times New Roman" w:cs="Times New Roman"/>
          <w:color w:val="auto"/>
          <w:spacing w:val="0"/>
          <w:w w:val="100"/>
          <w:position w:val="0"/>
          <w:sz w:val="24"/>
          <w:highlight w:val="none"/>
          <w:lang w:val="en-US" w:eastAsia="zh-CN"/>
        </w:rPr>
        <w:t>废石破</w:t>
      </w:r>
      <w:r>
        <w:rPr>
          <w:rFonts w:hint="default" w:ascii="Times New Roman" w:hAnsi="Times New Roman" w:eastAsia="宋体" w:cs="Times New Roman"/>
          <w:color w:val="auto"/>
          <w:spacing w:val="0"/>
          <w:w w:val="100"/>
          <w:position w:val="0"/>
          <w:sz w:val="24"/>
          <w:highlight w:val="none"/>
          <w:lang w:val="en-US" w:eastAsia="zh-CN"/>
        </w:rPr>
        <w:t>碎</w:t>
      </w:r>
      <w:r>
        <w:rPr>
          <w:rFonts w:hint="default" w:ascii="Times New Roman" w:hAnsi="Times New Roman" w:cs="Times New Roman"/>
          <w:color w:val="auto"/>
          <w:spacing w:val="0"/>
          <w:w w:val="100"/>
          <w:position w:val="0"/>
          <w:sz w:val="24"/>
          <w:highlight w:val="none"/>
          <w:lang w:val="en-US" w:eastAsia="zh-CN"/>
        </w:rPr>
        <w:t>粉尘</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cs="Times New Roman"/>
          <w:color w:val="auto"/>
          <w:spacing w:val="0"/>
          <w:w w:val="100"/>
          <w:position w:val="0"/>
          <w:sz w:val="24"/>
          <w:highlight w:val="none"/>
          <w:lang w:val="en-US" w:eastAsia="zh-CN"/>
        </w:rPr>
        <w:t>水泥筒仓粉尘、</w:t>
      </w:r>
      <w:r>
        <w:rPr>
          <w:rFonts w:hint="default" w:ascii="Times New Roman" w:hAnsi="Times New Roman" w:eastAsia="宋体" w:cs="Times New Roman"/>
          <w:color w:val="auto"/>
          <w:spacing w:val="0"/>
          <w:w w:val="100"/>
          <w:position w:val="0"/>
          <w:sz w:val="24"/>
          <w:highlight w:val="none"/>
          <w:lang w:val="en-US" w:eastAsia="zh-CN"/>
        </w:rPr>
        <w:t>废石场</w:t>
      </w:r>
      <w:r>
        <w:rPr>
          <w:rFonts w:hint="default" w:ascii="Times New Roman" w:hAnsi="Times New Roman" w:cs="Times New Roman"/>
          <w:color w:val="auto"/>
          <w:spacing w:val="0"/>
          <w:w w:val="100"/>
          <w:position w:val="0"/>
          <w:sz w:val="24"/>
          <w:highlight w:val="none"/>
          <w:lang w:val="en-US" w:eastAsia="zh-CN"/>
        </w:rPr>
        <w:t>及矿石堆场</w:t>
      </w:r>
      <w:r>
        <w:rPr>
          <w:rFonts w:hint="default" w:ascii="Times New Roman" w:hAnsi="Times New Roman" w:eastAsia="宋体" w:cs="Times New Roman"/>
          <w:color w:val="auto"/>
          <w:spacing w:val="0"/>
          <w:w w:val="100"/>
          <w:position w:val="0"/>
          <w:sz w:val="24"/>
          <w:highlight w:val="none"/>
          <w:lang w:val="en-US" w:eastAsia="zh-CN"/>
        </w:rPr>
        <w:t>扬尘</w:t>
      </w:r>
      <w:r>
        <w:rPr>
          <w:rFonts w:hint="default" w:ascii="Times New Roman" w:hAnsi="Times New Roman" w:eastAsia="宋体" w:cs="Times New Roman"/>
          <w:color w:val="auto"/>
          <w:spacing w:val="0"/>
          <w:w w:val="100"/>
          <w:kern w:val="0"/>
          <w:position w:val="0"/>
          <w:sz w:val="24"/>
          <w:szCs w:val="20"/>
          <w:highlight w:val="none"/>
          <w:lang w:val="en-US" w:eastAsia="zh-CN"/>
        </w:rPr>
        <w:t>分别</w:t>
      </w:r>
      <w:r>
        <w:rPr>
          <w:rFonts w:hint="default" w:ascii="Times New Roman" w:hAnsi="Times New Roman" w:eastAsia="宋体" w:cs="Times New Roman"/>
          <w:color w:val="auto"/>
          <w:spacing w:val="0"/>
          <w:w w:val="100"/>
          <w:kern w:val="0"/>
          <w:position w:val="0"/>
          <w:sz w:val="24"/>
          <w:szCs w:val="20"/>
          <w:highlight w:val="none"/>
        </w:rPr>
        <w:t>进行预测，污染因子为</w:t>
      </w:r>
      <w:r>
        <w:rPr>
          <w:rFonts w:hint="default" w:ascii="Times New Roman" w:hAnsi="Times New Roman" w:eastAsia="宋体" w:cs="Times New Roman"/>
          <w:color w:val="auto"/>
          <w:spacing w:val="0"/>
          <w:w w:val="100"/>
          <w:kern w:val="0"/>
          <w:position w:val="0"/>
          <w:sz w:val="24"/>
          <w:szCs w:val="20"/>
          <w:highlight w:val="none"/>
          <w:lang w:val="en-US" w:eastAsia="zh-CN"/>
        </w:rPr>
        <w:t>颗粒物</w:t>
      </w:r>
      <w:r>
        <w:rPr>
          <w:rFonts w:hint="default" w:ascii="Times New Roman" w:hAnsi="Times New Roman" w:cs="Times New Roman"/>
          <w:color w:val="auto"/>
          <w:spacing w:val="0"/>
          <w:w w:val="100"/>
          <w:kern w:val="0"/>
          <w:position w:val="0"/>
          <w:sz w:val="24"/>
          <w:szCs w:val="20"/>
          <w:highlight w:val="none"/>
          <w:lang w:val="en-US" w:eastAsia="zh-CN"/>
        </w:rPr>
        <w:t>（PM</w:t>
      </w:r>
      <w:r>
        <w:rPr>
          <w:rFonts w:hint="default" w:ascii="Times New Roman" w:hAnsi="Times New Roman" w:cs="Times New Roman"/>
          <w:color w:val="auto"/>
          <w:spacing w:val="0"/>
          <w:w w:val="100"/>
          <w:kern w:val="0"/>
          <w:position w:val="0"/>
          <w:sz w:val="24"/>
          <w:szCs w:val="20"/>
          <w:highlight w:val="none"/>
          <w:vertAlign w:val="subscript"/>
          <w:lang w:val="en-US" w:eastAsia="zh-CN"/>
        </w:rPr>
        <w:t>10</w:t>
      </w:r>
      <w:r>
        <w:rPr>
          <w:rFonts w:hint="default" w:ascii="Times New Roman" w:hAnsi="Times New Roman" w:cs="Times New Roman"/>
          <w:color w:val="auto"/>
          <w:spacing w:val="0"/>
          <w:w w:val="100"/>
          <w:kern w:val="0"/>
          <w:position w:val="0"/>
          <w:sz w:val="24"/>
          <w:szCs w:val="20"/>
          <w:highlight w:val="none"/>
          <w:lang w:val="en-US" w:eastAsia="zh-CN"/>
        </w:rPr>
        <w:t>及TSP）</w:t>
      </w:r>
      <w:r>
        <w:rPr>
          <w:rFonts w:hint="default" w:ascii="Times New Roman" w:hAnsi="Times New Roman" w:eastAsia="宋体" w:cs="Times New Roman"/>
          <w:color w:val="auto"/>
          <w:spacing w:val="0"/>
          <w:w w:val="100"/>
          <w:kern w:val="0"/>
          <w:position w:val="0"/>
          <w:sz w:val="24"/>
          <w:szCs w:val="20"/>
          <w:highlight w:val="none"/>
          <w:lang w:val="en-US" w:eastAsia="zh-CN"/>
        </w:rPr>
        <w:t>。</w:t>
      </w:r>
      <w:r>
        <w:rPr>
          <w:rFonts w:hint="default" w:ascii="Times New Roman" w:hAnsi="Times New Roman" w:eastAsia="宋体" w:cs="Times New Roman"/>
          <w:color w:val="auto"/>
          <w:spacing w:val="0"/>
          <w:w w:val="100"/>
          <w:kern w:val="0"/>
          <w:position w:val="0"/>
          <w:sz w:val="24"/>
          <w:szCs w:val="20"/>
          <w:highlight w:val="none"/>
        </w:rPr>
        <w:t>本评价根据其排放污染物源强，利用导则推荐的估算模式AERSCREEN，对上述污染源进行预测，计算P</w:t>
      </w:r>
      <w:r>
        <w:rPr>
          <w:rFonts w:hint="default" w:ascii="Times New Roman" w:hAnsi="Times New Roman" w:eastAsia="宋体" w:cs="Times New Roman"/>
          <w:color w:val="auto"/>
          <w:spacing w:val="0"/>
          <w:w w:val="100"/>
          <w:kern w:val="0"/>
          <w:position w:val="0"/>
          <w:sz w:val="24"/>
          <w:szCs w:val="20"/>
          <w:highlight w:val="none"/>
          <w:vertAlign w:val="subscript"/>
        </w:rPr>
        <w:t>max</w:t>
      </w:r>
      <w:r>
        <w:rPr>
          <w:rFonts w:hint="default" w:ascii="Times New Roman" w:hAnsi="Times New Roman" w:eastAsia="宋体" w:cs="Times New Roman"/>
          <w:color w:val="auto"/>
          <w:spacing w:val="0"/>
          <w:w w:val="100"/>
          <w:kern w:val="0"/>
          <w:position w:val="0"/>
          <w:sz w:val="24"/>
          <w:szCs w:val="20"/>
          <w:highlight w:val="none"/>
        </w:rPr>
        <w:t>（P</w:t>
      </w:r>
      <w:r>
        <w:rPr>
          <w:rFonts w:hint="default" w:ascii="Times New Roman" w:hAnsi="Times New Roman" w:eastAsia="宋体" w:cs="Times New Roman"/>
          <w:color w:val="auto"/>
          <w:spacing w:val="0"/>
          <w:w w:val="100"/>
          <w:kern w:val="0"/>
          <w:position w:val="0"/>
          <w:sz w:val="24"/>
          <w:szCs w:val="20"/>
          <w:highlight w:val="none"/>
          <w:vertAlign w:val="subscript"/>
        </w:rPr>
        <w:t>i</w:t>
      </w:r>
      <w:r>
        <w:rPr>
          <w:rFonts w:hint="default" w:ascii="Times New Roman" w:hAnsi="Times New Roman" w:eastAsia="宋体" w:cs="Times New Roman"/>
          <w:color w:val="auto"/>
          <w:spacing w:val="0"/>
          <w:w w:val="100"/>
          <w:kern w:val="0"/>
          <w:position w:val="0"/>
          <w:sz w:val="24"/>
          <w:szCs w:val="20"/>
          <w:highlight w:val="none"/>
        </w:rPr>
        <w:t>值中最大者）和D</w:t>
      </w:r>
      <w:r>
        <w:rPr>
          <w:rFonts w:hint="default" w:ascii="Times New Roman" w:hAnsi="Times New Roman" w:eastAsia="宋体" w:cs="Times New Roman"/>
          <w:color w:val="auto"/>
          <w:spacing w:val="0"/>
          <w:w w:val="100"/>
          <w:kern w:val="0"/>
          <w:position w:val="0"/>
          <w:sz w:val="24"/>
          <w:szCs w:val="20"/>
          <w:highlight w:val="none"/>
          <w:vertAlign w:val="subscript"/>
        </w:rPr>
        <w:t>10%</w:t>
      </w:r>
      <w:r>
        <w:rPr>
          <w:rFonts w:hint="default" w:ascii="Times New Roman" w:hAnsi="Times New Roman" w:eastAsia="宋体" w:cs="Times New Roman"/>
          <w:color w:val="auto"/>
          <w:spacing w:val="0"/>
          <w:w w:val="100"/>
          <w:kern w:val="0"/>
          <w:position w:val="0"/>
          <w:sz w:val="24"/>
          <w:szCs w:val="20"/>
          <w:highlight w:val="none"/>
        </w:rPr>
        <w:t>（占标率为10%时所对应的最远距离）。</w:t>
      </w:r>
    </w:p>
    <w:p w14:paraId="04BBA3BF">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表2.5-2    估算模式参数表</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4"/>
        <w:gridCol w:w="2909"/>
        <w:gridCol w:w="2797"/>
      </w:tblGrid>
      <w:tr w14:paraId="5F6A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8" w:type="pct"/>
            <w:gridSpan w:val="2"/>
            <w:tcBorders>
              <w:top w:val="single" w:color="auto" w:sz="12" w:space="0"/>
              <w:left w:val="single" w:color="auto" w:sz="12" w:space="0"/>
            </w:tcBorders>
            <w:vAlign w:val="center"/>
          </w:tcPr>
          <w:p w14:paraId="02D0061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highlight w:val="none"/>
                <w:lang w:val="en-US" w:eastAsia="zh-CN"/>
              </w:rPr>
            </w:pPr>
            <w:r>
              <w:rPr>
                <w:rFonts w:hint="default" w:ascii="Times New Roman" w:hAnsi="Times New Roman" w:eastAsia="宋体" w:cs="Times New Roman"/>
                <w:b w:val="0"/>
                <w:bCs w:val="0"/>
                <w:color w:val="auto"/>
                <w:spacing w:val="0"/>
                <w:w w:val="100"/>
                <w:kern w:val="0"/>
                <w:position w:val="0"/>
                <w:highlight w:val="none"/>
                <w:lang w:val="en-US" w:eastAsia="zh-CN"/>
              </w:rPr>
              <w:t>参数</w:t>
            </w:r>
          </w:p>
        </w:tc>
        <w:tc>
          <w:tcPr>
            <w:tcW w:w="1641" w:type="pct"/>
            <w:tcBorders>
              <w:top w:val="single" w:color="auto" w:sz="12" w:space="0"/>
              <w:right w:val="single" w:color="auto" w:sz="12" w:space="0"/>
            </w:tcBorders>
            <w:vAlign w:val="center"/>
          </w:tcPr>
          <w:p w14:paraId="79E808E1">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highlight w:val="none"/>
                <w:lang w:val="en-US" w:eastAsia="zh-CN"/>
              </w:rPr>
            </w:pPr>
            <w:r>
              <w:rPr>
                <w:rFonts w:hint="default" w:ascii="Times New Roman" w:hAnsi="Times New Roman" w:eastAsia="宋体" w:cs="Times New Roman"/>
                <w:b w:val="0"/>
                <w:bCs w:val="0"/>
                <w:color w:val="auto"/>
                <w:spacing w:val="0"/>
                <w:w w:val="100"/>
                <w:kern w:val="0"/>
                <w:position w:val="0"/>
                <w:highlight w:val="none"/>
                <w:lang w:val="en-US" w:eastAsia="zh-CN"/>
              </w:rPr>
              <w:t>取值</w:t>
            </w:r>
          </w:p>
        </w:tc>
      </w:tr>
      <w:tr w14:paraId="5438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restart"/>
            <w:tcBorders>
              <w:left w:val="single" w:color="auto" w:sz="12" w:space="0"/>
            </w:tcBorders>
            <w:vAlign w:val="center"/>
          </w:tcPr>
          <w:p w14:paraId="32DCCDA6">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城市/农村选项</w:t>
            </w:r>
          </w:p>
        </w:tc>
        <w:tc>
          <w:tcPr>
            <w:tcW w:w="1707" w:type="pct"/>
            <w:vAlign w:val="center"/>
          </w:tcPr>
          <w:p w14:paraId="4EDB1D4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城市/农村</w:t>
            </w:r>
          </w:p>
        </w:tc>
        <w:tc>
          <w:tcPr>
            <w:tcW w:w="1641" w:type="pct"/>
            <w:tcBorders>
              <w:right w:val="single" w:color="auto" w:sz="12" w:space="0"/>
            </w:tcBorders>
            <w:vAlign w:val="center"/>
          </w:tcPr>
          <w:p w14:paraId="162191E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农村</w:t>
            </w:r>
          </w:p>
        </w:tc>
      </w:tr>
      <w:tr w14:paraId="5A7C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continue"/>
            <w:tcBorders>
              <w:left w:val="single" w:color="auto" w:sz="12" w:space="0"/>
            </w:tcBorders>
            <w:vAlign w:val="center"/>
          </w:tcPr>
          <w:p w14:paraId="22D014EA">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p>
        </w:tc>
        <w:tc>
          <w:tcPr>
            <w:tcW w:w="1707" w:type="pct"/>
            <w:vAlign w:val="center"/>
          </w:tcPr>
          <w:p w14:paraId="5BF75BB1">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人口数（城市选项时）</w:t>
            </w:r>
          </w:p>
        </w:tc>
        <w:tc>
          <w:tcPr>
            <w:tcW w:w="1641" w:type="pct"/>
            <w:tcBorders>
              <w:right w:val="single" w:color="auto" w:sz="12" w:space="0"/>
            </w:tcBorders>
            <w:vAlign w:val="center"/>
          </w:tcPr>
          <w:p w14:paraId="2017BAAB">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w:t>
            </w:r>
          </w:p>
        </w:tc>
      </w:tr>
      <w:tr w14:paraId="571F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8" w:type="pct"/>
            <w:gridSpan w:val="2"/>
            <w:tcBorders>
              <w:left w:val="single" w:color="auto" w:sz="12" w:space="0"/>
            </w:tcBorders>
            <w:vAlign w:val="center"/>
          </w:tcPr>
          <w:p w14:paraId="5501234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最高环境温度/℃</w:t>
            </w:r>
          </w:p>
        </w:tc>
        <w:tc>
          <w:tcPr>
            <w:tcW w:w="1641" w:type="pct"/>
            <w:tcBorders>
              <w:right w:val="single" w:color="auto" w:sz="12" w:space="0"/>
            </w:tcBorders>
            <w:vAlign w:val="center"/>
          </w:tcPr>
          <w:p w14:paraId="26A5E80D">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cs="Times New Roman"/>
                <w:color w:val="auto"/>
                <w:spacing w:val="0"/>
                <w:w w:val="100"/>
                <w:kern w:val="0"/>
                <w:position w:val="0"/>
                <w:highlight w:val="none"/>
                <w:lang w:val="en-US" w:eastAsia="zh-CN"/>
              </w:rPr>
              <w:t>44</w:t>
            </w:r>
          </w:p>
        </w:tc>
      </w:tr>
      <w:tr w14:paraId="6631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8" w:type="pct"/>
            <w:gridSpan w:val="2"/>
            <w:tcBorders>
              <w:left w:val="single" w:color="auto" w:sz="12" w:space="0"/>
            </w:tcBorders>
            <w:vAlign w:val="center"/>
          </w:tcPr>
          <w:p w14:paraId="31D25341">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最低环境温度/℃</w:t>
            </w:r>
          </w:p>
        </w:tc>
        <w:tc>
          <w:tcPr>
            <w:tcW w:w="1641" w:type="pct"/>
            <w:tcBorders>
              <w:right w:val="single" w:color="auto" w:sz="12" w:space="0"/>
            </w:tcBorders>
            <w:vAlign w:val="center"/>
          </w:tcPr>
          <w:p w14:paraId="0C05F761">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w:t>
            </w:r>
            <w:r>
              <w:rPr>
                <w:rFonts w:hint="default" w:ascii="Times New Roman" w:hAnsi="Times New Roman" w:cs="Times New Roman"/>
                <w:color w:val="auto"/>
                <w:spacing w:val="0"/>
                <w:w w:val="100"/>
                <w:kern w:val="0"/>
                <w:position w:val="0"/>
                <w:highlight w:val="none"/>
                <w:lang w:val="en-US" w:eastAsia="zh-CN"/>
              </w:rPr>
              <w:t>32</w:t>
            </w:r>
          </w:p>
        </w:tc>
      </w:tr>
      <w:tr w14:paraId="2A92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8" w:type="pct"/>
            <w:gridSpan w:val="2"/>
            <w:tcBorders>
              <w:left w:val="single" w:color="auto" w:sz="12" w:space="0"/>
            </w:tcBorders>
            <w:vAlign w:val="center"/>
          </w:tcPr>
          <w:p w14:paraId="27901967">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土地利用类型</w:t>
            </w:r>
          </w:p>
        </w:tc>
        <w:tc>
          <w:tcPr>
            <w:tcW w:w="1641" w:type="pct"/>
            <w:tcBorders>
              <w:right w:val="single" w:color="auto" w:sz="12" w:space="0"/>
            </w:tcBorders>
            <w:vAlign w:val="center"/>
          </w:tcPr>
          <w:p w14:paraId="178C5222">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z w:val="21"/>
                <w:szCs w:val="21"/>
                <w:highlight w:val="none"/>
                <w:lang w:bidi="ar"/>
              </w:rPr>
              <w:t>沙漠化荒地</w:t>
            </w:r>
          </w:p>
        </w:tc>
      </w:tr>
      <w:tr w14:paraId="0D32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8" w:type="pct"/>
            <w:gridSpan w:val="2"/>
            <w:tcBorders>
              <w:left w:val="single" w:color="auto" w:sz="12" w:space="0"/>
            </w:tcBorders>
            <w:vAlign w:val="center"/>
          </w:tcPr>
          <w:p w14:paraId="4937CFF9">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区域湿度条件</w:t>
            </w:r>
          </w:p>
        </w:tc>
        <w:tc>
          <w:tcPr>
            <w:tcW w:w="1641" w:type="pct"/>
            <w:tcBorders>
              <w:right w:val="single" w:color="auto" w:sz="12" w:space="0"/>
            </w:tcBorders>
            <w:vAlign w:val="center"/>
          </w:tcPr>
          <w:p w14:paraId="7534FA1F">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干燥气候</w:t>
            </w:r>
          </w:p>
        </w:tc>
      </w:tr>
      <w:tr w14:paraId="5E7B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restart"/>
            <w:tcBorders>
              <w:left w:val="single" w:color="auto" w:sz="12" w:space="0"/>
            </w:tcBorders>
            <w:vAlign w:val="center"/>
          </w:tcPr>
          <w:p w14:paraId="115257C9">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是否考虑地形</w:t>
            </w:r>
          </w:p>
        </w:tc>
        <w:tc>
          <w:tcPr>
            <w:tcW w:w="1707" w:type="pct"/>
            <w:vAlign w:val="center"/>
          </w:tcPr>
          <w:p w14:paraId="2171DE96">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考虑地形</w:t>
            </w:r>
          </w:p>
        </w:tc>
        <w:tc>
          <w:tcPr>
            <w:tcW w:w="1641" w:type="pct"/>
            <w:tcBorders>
              <w:right w:val="single" w:color="auto" w:sz="12" w:space="0"/>
            </w:tcBorders>
            <w:vAlign w:val="center"/>
          </w:tcPr>
          <w:p w14:paraId="3E209B95">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☑是  □否</w:t>
            </w:r>
          </w:p>
        </w:tc>
      </w:tr>
      <w:tr w14:paraId="2C29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continue"/>
            <w:tcBorders>
              <w:left w:val="single" w:color="auto" w:sz="12" w:space="0"/>
            </w:tcBorders>
            <w:vAlign w:val="center"/>
          </w:tcPr>
          <w:p w14:paraId="2B2AD707">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p>
        </w:tc>
        <w:tc>
          <w:tcPr>
            <w:tcW w:w="1707" w:type="pct"/>
            <w:vAlign w:val="center"/>
          </w:tcPr>
          <w:p w14:paraId="3DDC8B5F">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地形数据分辨率/m</w:t>
            </w:r>
          </w:p>
        </w:tc>
        <w:tc>
          <w:tcPr>
            <w:tcW w:w="1641" w:type="pct"/>
            <w:tcBorders>
              <w:right w:val="single" w:color="auto" w:sz="12" w:space="0"/>
            </w:tcBorders>
            <w:vAlign w:val="center"/>
          </w:tcPr>
          <w:p w14:paraId="47C8F5DF">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90m（3秒）</w:t>
            </w:r>
          </w:p>
        </w:tc>
      </w:tr>
      <w:tr w14:paraId="7CC3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restart"/>
            <w:tcBorders>
              <w:left w:val="single" w:color="auto" w:sz="12" w:space="0"/>
            </w:tcBorders>
            <w:vAlign w:val="center"/>
          </w:tcPr>
          <w:p w14:paraId="3C8B5708">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是否考虑岸线熏烟</w:t>
            </w:r>
          </w:p>
        </w:tc>
        <w:tc>
          <w:tcPr>
            <w:tcW w:w="1707" w:type="pct"/>
            <w:vAlign w:val="center"/>
          </w:tcPr>
          <w:p w14:paraId="2A163DEB">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考虑岸线熏烟</w:t>
            </w:r>
          </w:p>
        </w:tc>
        <w:tc>
          <w:tcPr>
            <w:tcW w:w="1641" w:type="pct"/>
            <w:tcBorders>
              <w:right w:val="single" w:color="auto" w:sz="12" w:space="0"/>
            </w:tcBorders>
            <w:vAlign w:val="center"/>
          </w:tcPr>
          <w:p w14:paraId="1F5A0640">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□是  ☑否</w:t>
            </w:r>
          </w:p>
        </w:tc>
      </w:tr>
      <w:tr w14:paraId="4F3F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continue"/>
            <w:tcBorders>
              <w:left w:val="single" w:color="auto" w:sz="12" w:space="0"/>
            </w:tcBorders>
            <w:vAlign w:val="center"/>
          </w:tcPr>
          <w:p w14:paraId="58C0F552">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p>
        </w:tc>
        <w:tc>
          <w:tcPr>
            <w:tcW w:w="1707" w:type="pct"/>
            <w:vAlign w:val="center"/>
          </w:tcPr>
          <w:p w14:paraId="6B53F15C">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岸线距离/km</w:t>
            </w:r>
          </w:p>
        </w:tc>
        <w:tc>
          <w:tcPr>
            <w:tcW w:w="1641" w:type="pct"/>
            <w:tcBorders>
              <w:right w:val="single" w:color="auto" w:sz="12" w:space="0"/>
            </w:tcBorders>
            <w:vAlign w:val="center"/>
          </w:tcPr>
          <w:p w14:paraId="417CA975">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w:t>
            </w:r>
          </w:p>
        </w:tc>
      </w:tr>
      <w:tr w14:paraId="75F5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1" w:type="pct"/>
            <w:vMerge w:val="continue"/>
            <w:tcBorders>
              <w:left w:val="single" w:color="auto" w:sz="12" w:space="0"/>
              <w:bottom w:val="single" w:color="auto" w:sz="12" w:space="0"/>
            </w:tcBorders>
            <w:vAlign w:val="center"/>
          </w:tcPr>
          <w:p w14:paraId="152106F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p>
        </w:tc>
        <w:tc>
          <w:tcPr>
            <w:tcW w:w="1707" w:type="pct"/>
            <w:tcBorders>
              <w:bottom w:val="single" w:color="auto" w:sz="12" w:space="0"/>
            </w:tcBorders>
            <w:vAlign w:val="center"/>
          </w:tcPr>
          <w:p w14:paraId="3BAA47BE">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岸线方向/°</w:t>
            </w:r>
          </w:p>
        </w:tc>
        <w:tc>
          <w:tcPr>
            <w:tcW w:w="1641" w:type="pct"/>
            <w:tcBorders>
              <w:bottom w:val="single" w:color="auto" w:sz="12" w:space="0"/>
              <w:right w:val="single" w:color="auto" w:sz="12" w:space="0"/>
            </w:tcBorders>
            <w:vAlign w:val="center"/>
          </w:tcPr>
          <w:p w14:paraId="34F5A0CA">
            <w:pPr>
              <w:pStyle w:val="35"/>
              <w:keepNext w:val="0"/>
              <w:keepLines w:val="0"/>
              <w:pageBreakBefore w:val="0"/>
              <w:widowControl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spacing w:val="0"/>
                <w:w w:val="100"/>
                <w:kern w:val="0"/>
                <w:position w:val="0"/>
                <w:highlight w:val="none"/>
                <w:lang w:val="en-US" w:eastAsia="zh-CN"/>
              </w:rPr>
            </w:pPr>
            <w:r>
              <w:rPr>
                <w:rFonts w:hint="default" w:ascii="Times New Roman" w:hAnsi="Times New Roman" w:eastAsia="宋体" w:cs="Times New Roman"/>
                <w:color w:val="auto"/>
                <w:spacing w:val="0"/>
                <w:w w:val="100"/>
                <w:kern w:val="0"/>
                <w:position w:val="0"/>
                <w:highlight w:val="none"/>
                <w:lang w:val="en-US" w:eastAsia="zh-CN"/>
              </w:rPr>
              <w:t>/</w:t>
            </w:r>
          </w:p>
        </w:tc>
      </w:tr>
    </w:tbl>
    <w:p w14:paraId="43CDB14F">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w:t>
      </w:r>
      <w:r>
        <w:rPr>
          <w:rFonts w:hint="eastAsia" w:ascii="Times New Roman" w:hAnsi="Times New Roman" w:cs="Times New Roman"/>
          <w:b/>
          <w:bCs/>
          <w:color w:val="auto"/>
          <w:spacing w:val="0"/>
          <w:w w:val="100"/>
          <w:position w:val="0"/>
          <w:sz w:val="21"/>
          <w:szCs w:val="21"/>
          <w:lang w:val="en-US" w:eastAsia="zh-CN"/>
        </w:rPr>
        <w:t>3</w:t>
      </w:r>
      <w:r>
        <w:rPr>
          <w:rFonts w:hint="default" w:ascii="Times New Roman" w:hAnsi="Times New Roman" w:eastAsia="宋体" w:cs="Times New Roman"/>
          <w:b/>
          <w:bCs/>
          <w:color w:val="auto"/>
          <w:spacing w:val="0"/>
          <w:w w:val="100"/>
          <w:position w:val="0"/>
          <w:sz w:val="21"/>
          <w:szCs w:val="21"/>
          <w:lang w:val="en-US" w:eastAsia="zh-CN"/>
        </w:rPr>
        <w:t xml:space="preserve">    污染源估算模式面源参数一览表</w:t>
      </w:r>
    </w:p>
    <w:tbl>
      <w:tblPr>
        <w:tblStyle w:val="21"/>
        <w:tblW w:w="508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1321"/>
        <w:gridCol w:w="568"/>
        <w:gridCol w:w="650"/>
        <w:gridCol w:w="828"/>
        <w:gridCol w:w="1162"/>
        <w:gridCol w:w="853"/>
        <w:gridCol w:w="970"/>
        <w:gridCol w:w="1654"/>
      </w:tblGrid>
      <w:tr w14:paraId="2506EF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277" w:type="pct"/>
            <w:vMerge w:val="restart"/>
            <w:noWrap w:val="0"/>
            <w:tcMar>
              <w:left w:w="0" w:type="dxa"/>
              <w:right w:w="0" w:type="dxa"/>
            </w:tcMar>
            <w:vAlign w:val="center"/>
          </w:tcPr>
          <w:p w14:paraId="0E215D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b w:val="0"/>
                <w:bCs w:val="0"/>
                <w:color w:val="auto"/>
                <w:sz w:val="21"/>
                <w:szCs w:val="21"/>
                <w:highlight w:val="none"/>
                <w:lang w:val="en-US" w:eastAsia="zh-CN"/>
              </w:rPr>
              <w:t>编号</w:t>
            </w:r>
          </w:p>
        </w:tc>
        <w:tc>
          <w:tcPr>
            <w:tcW w:w="779" w:type="pct"/>
            <w:vMerge w:val="restart"/>
            <w:noWrap w:val="0"/>
            <w:tcMar>
              <w:left w:w="0" w:type="dxa"/>
              <w:right w:w="0" w:type="dxa"/>
            </w:tcMar>
            <w:vAlign w:val="center"/>
          </w:tcPr>
          <w:p w14:paraId="1F3FAB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名称</w:t>
            </w:r>
          </w:p>
        </w:tc>
        <w:tc>
          <w:tcPr>
            <w:tcW w:w="718" w:type="pct"/>
            <w:gridSpan w:val="2"/>
            <w:noWrap w:val="0"/>
            <w:tcMar>
              <w:left w:w="0" w:type="dxa"/>
              <w:right w:w="0" w:type="dxa"/>
            </w:tcMar>
            <w:vAlign w:val="center"/>
          </w:tcPr>
          <w:p w14:paraId="0D345F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面源中心点坐标/m</w:t>
            </w:r>
          </w:p>
        </w:tc>
        <w:tc>
          <w:tcPr>
            <w:tcW w:w="488" w:type="pct"/>
            <w:vMerge w:val="restart"/>
            <w:noWrap w:val="0"/>
            <w:tcMar>
              <w:left w:w="0" w:type="dxa"/>
              <w:right w:w="0" w:type="dxa"/>
            </w:tcMar>
            <w:vAlign w:val="center"/>
          </w:tcPr>
          <w:p w14:paraId="31C41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面源海拔高度/m</w:t>
            </w:r>
          </w:p>
        </w:tc>
        <w:tc>
          <w:tcPr>
            <w:tcW w:w="685" w:type="pct"/>
            <w:vMerge w:val="restart"/>
            <w:noWrap w:val="0"/>
            <w:tcMar>
              <w:left w:w="0" w:type="dxa"/>
              <w:right w:w="0" w:type="dxa"/>
            </w:tcMar>
            <w:vAlign w:val="center"/>
          </w:tcPr>
          <w:p w14:paraId="3CEF44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面源半径（尺寸）/m</w:t>
            </w:r>
          </w:p>
        </w:tc>
        <w:tc>
          <w:tcPr>
            <w:tcW w:w="503" w:type="pct"/>
            <w:vMerge w:val="restart"/>
            <w:noWrap w:val="0"/>
            <w:tcMar>
              <w:left w:w="0" w:type="dxa"/>
              <w:right w:w="0" w:type="dxa"/>
            </w:tcMar>
            <w:vAlign w:val="center"/>
          </w:tcPr>
          <w:p w14:paraId="18E6DB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面源有效排放</w:t>
            </w:r>
            <w:r>
              <w:rPr>
                <w:rFonts w:hint="default" w:ascii="Times New Roman" w:hAnsi="Times New Roman" w:eastAsia="宋体" w:cs="Times New Roman"/>
                <w:b w:val="0"/>
                <w:bCs w:val="0"/>
                <w:color w:val="auto"/>
                <w:sz w:val="21"/>
                <w:szCs w:val="21"/>
                <w:highlight w:val="none"/>
              </w:rPr>
              <w:t>高度</w:t>
            </w:r>
            <w:r>
              <w:rPr>
                <w:rFonts w:hint="default" w:ascii="Times New Roman" w:hAnsi="Times New Roman"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m</w:t>
            </w:r>
          </w:p>
        </w:tc>
        <w:tc>
          <w:tcPr>
            <w:tcW w:w="572" w:type="pct"/>
            <w:vMerge w:val="restart"/>
            <w:noWrap w:val="0"/>
            <w:tcMar>
              <w:left w:w="0" w:type="dxa"/>
              <w:right w:w="0" w:type="dxa"/>
            </w:tcMar>
            <w:vAlign w:val="center"/>
          </w:tcPr>
          <w:p w14:paraId="67C934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年排放小时数/h</w:t>
            </w:r>
          </w:p>
        </w:tc>
        <w:tc>
          <w:tcPr>
            <w:tcW w:w="975" w:type="pct"/>
            <w:vMerge w:val="restart"/>
            <w:shd w:val="clear" w:color="auto" w:fill="auto"/>
            <w:noWrap w:val="0"/>
            <w:tcMar>
              <w:left w:w="0" w:type="dxa"/>
              <w:right w:w="0" w:type="dxa"/>
            </w:tcMar>
            <w:vAlign w:val="center"/>
          </w:tcPr>
          <w:p w14:paraId="181958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排放速率</w:t>
            </w:r>
            <w:r>
              <w:rPr>
                <w:rFonts w:hint="default"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kg</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h</w:t>
            </w:r>
            <w:r>
              <w:rPr>
                <w:rFonts w:hint="default" w:ascii="Times New Roman" w:hAnsi="Times New Roman" w:eastAsia="宋体" w:cs="Times New Roman"/>
                <w:b w:val="0"/>
                <w:bCs w:val="0"/>
                <w:color w:val="auto"/>
                <w:sz w:val="21"/>
                <w:szCs w:val="21"/>
                <w:highlight w:val="none"/>
              </w:rPr>
              <w:t>）</w:t>
            </w:r>
          </w:p>
        </w:tc>
      </w:tr>
      <w:tr w14:paraId="4AE9B1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277" w:type="pct"/>
            <w:vMerge w:val="continue"/>
            <w:noWrap w:val="0"/>
            <w:tcMar>
              <w:left w:w="0" w:type="dxa"/>
              <w:right w:w="0" w:type="dxa"/>
            </w:tcMar>
            <w:vAlign w:val="center"/>
          </w:tcPr>
          <w:p w14:paraId="5B4F93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779" w:type="pct"/>
            <w:vMerge w:val="continue"/>
            <w:noWrap w:val="0"/>
            <w:tcMar>
              <w:left w:w="0" w:type="dxa"/>
              <w:right w:w="0" w:type="dxa"/>
            </w:tcMar>
            <w:vAlign w:val="center"/>
          </w:tcPr>
          <w:p w14:paraId="6563FB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335" w:type="pct"/>
            <w:noWrap w:val="0"/>
            <w:tcMar>
              <w:left w:w="0" w:type="dxa"/>
              <w:right w:w="0" w:type="dxa"/>
            </w:tcMar>
            <w:vAlign w:val="center"/>
          </w:tcPr>
          <w:p w14:paraId="029798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X</w:t>
            </w:r>
          </w:p>
        </w:tc>
        <w:tc>
          <w:tcPr>
            <w:tcW w:w="383" w:type="pct"/>
            <w:noWrap w:val="0"/>
            <w:tcMar>
              <w:left w:w="0" w:type="dxa"/>
              <w:right w:w="0" w:type="dxa"/>
            </w:tcMar>
            <w:vAlign w:val="center"/>
          </w:tcPr>
          <w:p w14:paraId="154588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Y</w:t>
            </w:r>
          </w:p>
        </w:tc>
        <w:tc>
          <w:tcPr>
            <w:tcW w:w="488" w:type="pct"/>
            <w:vMerge w:val="continue"/>
            <w:noWrap w:val="0"/>
            <w:tcMar>
              <w:left w:w="0" w:type="dxa"/>
              <w:right w:w="0" w:type="dxa"/>
            </w:tcMar>
            <w:vAlign w:val="center"/>
          </w:tcPr>
          <w:p w14:paraId="6F039B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685" w:type="pct"/>
            <w:vMerge w:val="continue"/>
            <w:noWrap w:val="0"/>
            <w:tcMar>
              <w:left w:w="0" w:type="dxa"/>
              <w:right w:w="0" w:type="dxa"/>
            </w:tcMar>
            <w:vAlign w:val="center"/>
          </w:tcPr>
          <w:p w14:paraId="48CDCA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503" w:type="pct"/>
            <w:vMerge w:val="continue"/>
            <w:noWrap w:val="0"/>
            <w:tcMar>
              <w:left w:w="0" w:type="dxa"/>
              <w:right w:w="0" w:type="dxa"/>
            </w:tcMar>
            <w:vAlign w:val="center"/>
          </w:tcPr>
          <w:p w14:paraId="5EEB05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572" w:type="pct"/>
            <w:vMerge w:val="continue"/>
            <w:noWrap w:val="0"/>
            <w:tcMar>
              <w:left w:w="0" w:type="dxa"/>
              <w:right w:w="0" w:type="dxa"/>
            </w:tcMar>
            <w:vAlign w:val="center"/>
          </w:tcPr>
          <w:p w14:paraId="2D4B34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rPr>
            </w:pPr>
          </w:p>
        </w:tc>
        <w:tc>
          <w:tcPr>
            <w:tcW w:w="975" w:type="pct"/>
            <w:vMerge w:val="continue"/>
            <w:shd w:val="clear" w:color="auto" w:fill="auto"/>
            <w:noWrap w:val="0"/>
            <w:tcMar>
              <w:left w:w="0" w:type="dxa"/>
              <w:right w:w="0" w:type="dxa"/>
            </w:tcMar>
            <w:vAlign w:val="center"/>
          </w:tcPr>
          <w:p w14:paraId="7A8758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p>
        </w:tc>
      </w:tr>
      <w:tr w14:paraId="29A1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0A29CF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p>
        </w:tc>
        <w:tc>
          <w:tcPr>
            <w:tcW w:w="779" w:type="pct"/>
            <w:noWrap w:val="0"/>
            <w:tcMar>
              <w:left w:w="0" w:type="dxa"/>
              <w:right w:w="0" w:type="dxa"/>
            </w:tcMar>
            <w:vAlign w:val="center"/>
          </w:tcPr>
          <w:p w14:paraId="00DDD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1号</w:t>
            </w:r>
            <w:r>
              <w:rPr>
                <w:rFonts w:hint="default" w:ascii="Times New Roman" w:hAnsi="Times New Roman" w:eastAsia="宋体" w:cs="Times New Roman"/>
                <w:color w:val="auto"/>
                <w:sz w:val="21"/>
                <w:szCs w:val="21"/>
                <w:highlight w:val="none"/>
                <w:lang w:val="en-US" w:eastAsia="zh-CN"/>
              </w:rPr>
              <w:t>废石堆场</w:t>
            </w:r>
          </w:p>
        </w:tc>
        <w:tc>
          <w:tcPr>
            <w:tcW w:w="335" w:type="pct"/>
            <w:noWrap w:val="0"/>
            <w:tcMar>
              <w:left w:w="0" w:type="dxa"/>
              <w:right w:w="0" w:type="dxa"/>
            </w:tcMar>
            <w:vAlign w:val="center"/>
          </w:tcPr>
          <w:p w14:paraId="4262EE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534</w:t>
            </w:r>
          </w:p>
        </w:tc>
        <w:tc>
          <w:tcPr>
            <w:tcW w:w="383" w:type="pct"/>
            <w:noWrap w:val="0"/>
            <w:tcMar>
              <w:left w:w="0" w:type="dxa"/>
              <w:right w:w="0" w:type="dxa"/>
            </w:tcMar>
            <w:vAlign w:val="center"/>
          </w:tcPr>
          <w:p w14:paraId="0818E4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245</w:t>
            </w:r>
          </w:p>
        </w:tc>
        <w:tc>
          <w:tcPr>
            <w:tcW w:w="488" w:type="pct"/>
            <w:noWrap w:val="0"/>
            <w:tcMar>
              <w:left w:w="0" w:type="dxa"/>
              <w:right w:w="0" w:type="dxa"/>
            </w:tcMar>
            <w:vAlign w:val="center"/>
          </w:tcPr>
          <w:p w14:paraId="6A5BE7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2019</w:t>
            </w:r>
          </w:p>
        </w:tc>
        <w:tc>
          <w:tcPr>
            <w:tcW w:w="685" w:type="pct"/>
            <w:noWrap w:val="0"/>
            <w:tcMar>
              <w:left w:w="0" w:type="dxa"/>
              <w:right w:w="0" w:type="dxa"/>
            </w:tcMar>
            <w:vAlign w:val="center"/>
          </w:tcPr>
          <w:p w14:paraId="4FCC3F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71</w:t>
            </w:r>
          </w:p>
        </w:tc>
        <w:tc>
          <w:tcPr>
            <w:tcW w:w="503" w:type="pct"/>
            <w:noWrap w:val="0"/>
            <w:tcMar>
              <w:left w:w="0" w:type="dxa"/>
              <w:right w:w="0" w:type="dxa"/>
            </w:tcMar>
            <w:vAlign w:val="center"/>
          </w:tcPr>
          <w:p w14:paraId="60BA9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24</w:t>
            </w:r>
          </w:p>
        </w:tc>
        <w:tc>
          <w:tcPr>
            <w:tcW w:w="572" w:type="pct"/>
            <w:noWrap w:val="0"/>
            <w:tcMar>
              <w:left w:w="0" w:type="dxa"/>
              <w:right w:w="0" w:type="dxa"/>
            </w:tcMar>
            <w:vAlign w:val="center"/>
          </w:tcPr>
          <w:p w14:paraId="76DF67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8760</w:t>
            </w:r>
          </w:p>
        </w:tc>
        <w:tc>
          <w:tcPr>
            <w:tcW w:w="975" w:type="pct"/>
            <w:shd w:val="clear" w:color="auto" w:fill="auto"/>
            <w:noWrap w:val="0"/>
            <w:tcMar>
              <w:left w:w="0" w:type="dxa"/>
              <w:right w:w="0" w:type="dxa"/>
            </w:tcMar>
            <w:vAlign w:val="center"/>
          </w:tcPr>
          <w:p w14:paraId="5CF886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0.046</w:t>
            </w:r>
          </w:p>
        </w:tc>
      </w:tr>
      <w:tr w14:paraId="6C9AA1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0C8CE3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w:t>
            </w:r>
          </w:p>
        </w:tc>
        <w:tc>
          <w:tcPr>
            <w:tcW w:w="779" w:type="pct"/>
            <w:noWrap w:val="0"/>
            <w:tcMar>
              <w:left w:w="0" w:type="dxa"/>
              <w:right w:w="0" w:type="dxa"/>
            </w:tcMar>
            <w:vAlign w:val="center"/>
          </w:tcPr>
          <w:p w14:paraId="771C73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2号</w:t>
            </w:r>
            <w:r>
              <w:rPr>
                <w:rFonts w:hint="default" w:ascii="Times New Roman" w:hAnsi="Times New Roman" w:eastAsia="宋体" w:cs="Times New Roman"/>
                <w:color w:val="auto"/>
                <w:sz w:val="21"/>
                <w:szCs w:val="21"/>
                <w:highlight w:val="none"/>
                <w:lang w:val="en-US" w:eastAsia="zh-CN"/>
              </w:rPr>
              <w:t>废石堆场</w:t>
            </w:r>
          </w:p>
        </w:tc>
        <w:tc>
          <w:tcPr>
            <w:tcW w:w="335" w:type="pct"/>
            <w:noWrap w:val="0"/>
            <w:tcMar>
              <w:left w:w="0" w:type="dxa"/>
              <w:right w:w="0" w:type="dxa"/>
            </w:tcMar>
            <w:vAlign w:val="center"/>
          </w:tcPr>
          <w:p w14:paraId="62B169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820</w:t>
            </w:r>
          </w:p>
        </w:tc>
        <w:tc>
          <w:tcPr>
            <w:tcW w:w="383" w:type="pct"/>
            <w:noWrap w:val="0"/>
            <w:tcMar>
              <w:left w:w="0" w:type="dxa"/>
              <w:right w:w="0" w:type="dxa"/>
            </w:tcMar>
            <w:vAlign w:val="center"/>
          </w:tcPr>
          <w:p w14:paraId="7C07D6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186</w:t>
            </w:r>
          </w:p>
        </w:tc>
        <w:tc>
          <w:tcPr>
            <w:tcW w:w="488" w:type="pct"/>
            <w:noWrap w:val="0"/>
            <w:tcMar>
              <w:left w:w="0" w:type="dxa"/>
              <w:right w:w="0" w:type="dxa"/>
            </w:tcMar>
            <w:vAlign w:val="center"/>
          </w:tcPr>
          <w:p w14:paraId="5D57E4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2030</w:t>
            </w:r>
          </w:p>
        </w:tc>
        <w:tc>
          <w:tcPr>
            <w:tcW w:w="685" w:type="pct"/>
            <w:noWrap w:val="0"/>
            <w:tcMar>
              <w:left w:w="0" w:type="dxa"/>
              <w:right w:w="0" w:type="dxa"/>
            </w:tcMar>
            <w:vAlign w:val="center"/>
          </w:tcPr>
          <w:p w14:paraId="5C24DD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w:t>
            </w:r>
          </w:p>
        </w:tc>
        <w:tc>
          <w:tcPr>
            <w:tcW w:w="503" w:type="pct"/>
            <w:noWrap w:val="0"/>
            <w:tcMar>
              <w:left w:w="0" w:type="dxa"/>
              <w:right w:w="0" w:type="dxa"/>
            </w:tcMar>
            <w:vAlign w:val="center"/>
          </w:tcPr>
          <w:p w14:paraId="691E5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572" w:type="pct"/>
            <w:noWrap w:val="0"/>
            <w:tcMar>
              <w:left w:w="0" w:type="dxa"/>
              <w:right w:w="0" w:type="dxa"/>
            </w:tcMar>
            <w:vAlign w:val="center"/>
          </w:tcPr>
          <w:p w14:paraId="1774D5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8760</w:t>
            </w:r>
          </w:p>
        </w:tc>
        <w:tc>
          <w:tcPr>
            <w:tcW w:w="975" w:type="pct"/>
            <w:shd w:val="clear" w:color="auto" w:fill="auto"/>
            <w:noWrap w:val="0"/>
            <w:tcMar>
              <w:left w:w="0" w:type="dxa"/>
              <w:right w:w="0" w:type="dxa"/>
            </w:tcMar>
            <w:vAlign w:val="center"/>
          </w:tcPr>
          <w:p w14:paraId="60FB4A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0.002</w:t>
            </w:r>
          </w:p>
        </w:tc>
      </w:tr>
      <w:tr w14:paraId="5535B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5F8080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3</w:t>
            </w:r>
          </w:p>
        </w:tc>
        <w:tc>
          <w:tcPr>
            <w:tcW w:w="779" w:type="pct"/>
            <w:noWrap w:val="0"/>
            <w:tcMar>
              <w:left w:w="0" w:type="dxa"/>
              <w:right w:w="0" w:type="dxa"/>
            </w:tcMar>
            <w:vAlign w:val="center"/>
          </w:tcPr>
          <w:p w14:paraId="353439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3号</w:t>
            </w:r>
            <w:r>
              <w:rPr>
                <w:rFonts w:hint="default" w:ascii="Times New Roman" w:hAnsi="Times New Roman" w:eastAsia="宋体" w:cs="Times New Roman"/>
                <w:color w:val="auto"/>
                <w:sz w:val="21"/>
                <w:szCs w:val="21"/>
                <w:highlight w:val="none"/>
                <w:lang w:val="en-US" w:eastAsia="zh-CN"/>
              </w:rPr>
              <w:t>废石堆场</w:t>
            </w:r>
          </w:p>
        </w:tc>
        <w:tc>
          <w:tcPr>
            <w:tcW w:w="335" w:type="pct"/>
            <w:noWrap w:val="0"/>
            <w:tcMar>
              <w:left w:w="0" w:type="dxa"/>
              <w:right w:w="0" w:type="dxa"/>
            </w:tcMar>
            <w:vAlign w:val="center"/>
          </w:tcPr>
          <w:p w14:paraId="1DD5D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703</w:t>
            </w:r>
          </w:p>
        </w:tc>
        <w:tc>
          <w:tcPr>
            <w:tcW w:w="383" w:type="pct"/>
            <w:noWrap w:val="0"/>
            <w:tcMar>
              <w:left w:w="0" w:type="dxa"/>
              <w:right w:w="0" w:type="dxa"/>
            </w:tcMar>
            <w:vAlign w:val="center"/>
          </w:tcPr>
          <w:p w14:paraId="082FFF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1369</w:t>
            </w:r>
          </w:p>
        </w:tc>
        <w:tc>
          <w:tcPr>
            <w:tcW w:w="488" w:type="pct"/>
            <w:noWrap w:val="0"/>
            <w:tcMar>
              <w:left w:w="0" w:type="dxa"/>
              <w:right w:w="0" w:type="dxa"/>
            </w:tcMar>
            <w:vAlign w:val="center"/>
          </w:tcPr>
          <w:p w14:paraId="45776C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2012</w:t>
            </w:r>
          </w:p>
        </w:tc>
        <w:tc>
          <w:tcPr>
            <w:tcW w:w="685" w:type="pct"/>
            <w:noWrap w:val="0"/>
            <w:tcMar>
              <w:left w:w="0" w:type="dxa"/>
              <w:right w:w="0" w:type="dxa"/>
            </w:tcMar>
            <w:vAlign w:val="center"/>
          </w:tcPr>
          <w:p w14:paraId="3281D0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98</w:t>
            </w:r>
          </w:p>
        </w:tc>
        <w:tc>
          <w:tcPr>
            <w:tcW w:w="503" w:type="pct"/>
            <w:noWrap w:val="0"/>
            <w:tcMar>
              <w:left w:w="0" w:type="dxa"/>
              <w:right w:w="0" w:type="dxa"/>
            </w:tcMar>
            <w:vAlign w:val="center"/>
          </w:tcPr>
          <w:p w14:paraId="292FC5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18</w:t>
            </w:r>
          </w:p>
        </w:tc>
        <w:tc>
          <w:tcPr>
            <w:tcW w:w="572" w:type="pct"/>
            <w:noWrap w:val="0"/>
            <w:tcMar>
              <w:left w:w="0" w:type="dxa"/>
              <w:right w:w="0" w:type="dxa"/>
            </w:tcMar>
            <w:vAlign w:val="center"/>
          </w:tcPr>
          <w:p w14:paraId="0C88D1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8760</w:t>
            </w:r>
          </w:p>
        </w:tc>
        <w:tc>
          <w:tcPr>
            <w:tcW w:w="975" w:type="pct"/>
            <w:shd w:val="clear" w:color="auto" w:fill="auto"/>
            <w:noWrap w:val="0"/>
            <w:tcMar>
              <w:left w:w="0" w:type="dxa"/>
              <w:right w:w="0" w:type="dxa"/>
            </w:tcMar>
            <w:vAlign w:val="center"/>
          </w:tcPr>
          <w:p w14:paraId="47DDC2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0.057</w:t>
            </w:r>
          </w:p>
        </w:tc>
      </w:tr>
      <w:tr w14:paraId="50C0B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0BECEF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4</w:t>
            </w:r>
          </w:p>
        </w:tc>
        <w:tc>
          <w:tcPr>
            <w:tcW w:w="779" w:type="pct"/>
            <w:noWrap w:val="0"/>
            <w:tcMar>
              <w:left w:w="0" w:type="dxa"/>
              <w:right w:w="0" w:type="dxa"/>
            </w:tcMar>
            <w:vAlign w:val="center"/>
          </w:tcPr>
          <w:p w14:paraId="2216A3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矿石堆场</w:t>
            </w:r>
          </w:p>
        </w:tc>
        <w:tc>
          <w:tcPr>
            <w:tcW w:w="335" w:type="pct"/>
            <w:noWrap w:val="0"/>
            <w:tcMar>
              <w:left w:w="0" w:type="dxa"/>
              <w:right w:w="0" w:type="dxa"/>
            </w:tcMar>
            <w:vAlign w:val="center"/>
          </w:tcPr>
          <w:p w14:paraId="13BB29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872</w:t>
            </w:r>
          </w:p>
        </w:tc>
        <w:tc>
          <w:tcPr>
            <w:tcW w:w="383" w:type="pct"/>
            <w:noWrap w:val="0"/>
            <w:tcMar>
              <w:left w:w="0" w:type="dxa"/>
              <w:right w:w="0" w:type="dxa"/>
            </w:tcMar>
            <w:vAlign w:val="center"/>
          </w:tcPr>
          <w:p w14:paraId="7EAB7B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448</w:t>
            </w:r>
          </w:p>
        </w:tc>
        <w:tc>
          <w:tcPr>
            <w:tcW w:w="488" w:type="pct"/>
            <w:noWrap w:val="0"/>
            <w:tcMar>
              <w:left w:w="0" w:type="dxa"/>
              <w:right w:w="0" w:type="dxa"/>
            </w:tcMar>
            <w:vAlign w:val="center"/>
          </w:tcPr>
          <w:p w14:paraId="5DDB34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2021</w:t>
            </w:r>
          </w:p>
        </w:tc>
        <w:tc>
          <w:tcPr>
            <w:tcW w:w="685" w:type="pct"/>
            <w:noWrap w:val="0"/>
            <w:tcMar>
              <w:left w:w="0" w:type="dxa"/>
              <w:right w:w="0" w:type="dxa"/>
            </w:tcMar>
            <w:vAlign w:val="center"/>
          </w:tcPr>
          <w:p w14:paraId="157F8E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40</w:t>
            </w:r>
          </w:p>
        </w:tc>
        <w:tc>
          <w:tcPr>
            <w:tcW w:w="503" w:type="pct"/>
            <w:noWrap w:val="0"/>
            <w:tcMar>
              <w:left w:w="0" w:type="dxa"/>
              <w:right w:w="0" w:type="dxa"/>
            </w:tcMar>
            <w:vAlign w:val="center"/>
          </w:tcPr>
          <w:p w14:paraId="502C92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32</w:t>
            </w:r>
          </w:p>
        </w:tc>
        <w:tc>
          <w:tcPr>
            <w:tcW w:w="572" w:type="pct"/>
            <w:noWrap w:val="0"/>
            <w:tcMar>
              <w:left w:w="0" w:type="dxa"/>
              <w:right w:w="0" w:type="dxa"/>
            </w:tcMar>
            <w:vAlign w:val="center"/>
          </w:tcPr>
          <w:p w14:paraId="5EF6B6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8760</w:t>
            </w:r>
          </w:p>
        </w:tc>
        <w:tc>
          <w:tcPr>
            <w:tcW w:w="975" w:type="pct"/>
            <w:shd w:val="clear" w:color="auto" w:fill="auto"/>
            <w:noWrap w:val="0"/>
            <w:tcMar>
              <w:left w:w="0" w:type="dxa"/>
              <w:right w:w="0" w:type="dxa"/>
            </w:tcMar>
            <w:vAlign w:val="center"/>
          </w:tcPr>
          <w:p w14:paraId="5080CC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1.32</w:t>
            </w:r>
          </w:p>
        </w:tc>
      </w:tr>
      <w:tr w14:paraId="32360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730231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5</w:t>
            </w:r>
          </w:p>
        </w:tc>
        <w:tc>
          <w:tcPr>
            <w:tcW w:w="779" w:type="pct"/>
            <w:noWrap w:val="0"/>
            <w:tcMar>
              <w:left w:w="0" w:type="dxa"/>
              <w:right w:w="0" w:type="dxa"/>
            </w:tcMar>
            <w:vAlign w:val="center"/>
          </w:tcPr>
          <w:p w14:paraId="3FED51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水泥筒仓</w:t>
            </w:r>
          </w:p>
        </w:tc>
        <w:tc>
          <w:tcPr>
            <w:tcW w:w="335" w:type="pct"/>
            <w:noWrap w:val="0"/>
            <w:tcMar>
              <w:left w:w="0" w:type="dxa"/>
              <w:right w:w="0" w:type="dxa"/>
            </w:tcMar>
            <w:vAlign w:val="center"/>
          </w:tcPr>
          <w:p w14:paraId="727CBF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731</w:t>
            </w:r>
          </w:p>
        </w:tc>
        <w:tc>
          <w:tcPr>
            <w:tcW w:w="383" w:type="pct"/>
            <w:noWrap w:val="0"/>
            <w:tcMar>
              <w:left w:w="0" w:type="dxa"/>
              <w:right w:w="0" w:type="dxa"/>
            </w:tcMar>
            <w:vAlign w:val="center"/>
          </w:tcPr>
          <w:p w14:paraId="04E102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397</w:t>
            </w:r>
          </w:p>
        </w:tc>
        <w:tc>
          <w:tcPr>
            <w:tcW w:w="488" w:type="pct"/>
            <w:noWrap w:val="0"/>
            <w:tcMar>
              <w:left w:w="0" w:type="dxa"/>
              <w:right w:w="0" w:type="dxa"/>
            </w:tcMar>
            <w:vAlign w:val="center"/>
          </w:tcPr>
          <w:p w14:paraId="08A0DC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2017</w:t>
            </w:r>
          </w:p>
        </w:tc>
        <w:tc>
          <w:tcPr>
            <w:tcW w:w="685" w:type="pct"/>
            <w:noWrap w:val="0"/>
            <w:tcMar>
              <w:left w:w="0" w:type="dxa"/>
              <w:right w:w="0" w:type="dxa"/>
            </w:tcMar>
            <w:vAlign w:val="center"/>
          </w:tcPr>
          <w:p w14:paraId="0C34DD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4.5</w:t>
            </w:r>
          </w:p>
        </w:tc>
        <w:tc>
          <w:tcPr>
            <w:tcW w:w="503" w:type="pct"/>
            <w:noWrap w:val="0"/>
            <w:tcMar>
              <w:left w:w="0" w:type="dxa"/>
              <w:right w:w="0" w:type="dxa"/>
            </w:tcMar>
            <w:vAlign w:val="center"/>
          </w:tcPr>
          <w:p w14:paraId="5AD76C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c>
          <w:tcPr>
            <w:tcW w:w="572" w:type="pct"/>
            <w:noWrap w:val="0"/>
            <w:tcMar>
              <w:left w:w="0" w:type="dxa"/>
              <w:right w:w="0" w:type="dxa"/>
            </w:tcMar>
            <w:vAlign w:val="center"/>
          </w:tcPr>
          <w:p w14:paraId="61C9EB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6000</w:t>
            </w:r>
          </w:p>
        </w:tc>
        <w:tc>
          <w:tcPr>
            <w:tcW w:w="975" w:type="pct"/>
            <w:shd w:val="clear" w:color="auto" w:fill="auto"/>
            <w:noWrap w:val="0"/>
            <w:tcMar>
              <w:left w:w="0" w:type="dxa"/>
              <w:right w:w="0" w:type="dxa"/>
            </w:tcMar>
            <w:vAlign w:val="center"/>
          </w:tcPr>
          <w:p w14:paraId="21A664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0.003</w:t>
            </w:r>
          </w:p>
        </w:tc>
      </w:tr>
      <w:tr w14:paraId="00632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77" w:type="pct"/>
            <w:noWrap w:val="0"/>
            <w:tcMar>
              <w:left w:w="0" w:type="dxa"/>
              <w:right w:w="0" w:type="dxa"/>
            </w:tcMar>
            <w:vAlign w:val="center"/>
          </w:tcPr>
          <w:p w14:paraId="4E3E17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779" w:type="pct"/>
            <w:shd w:val="clear" w:color="auto" w:fill="auto"/>
            <w:noWrap w:val="0"/>
            <w:tcMar>
              <w:left w:w="0" w:type="dxa"/>
              <w:right w:w="0" w:type="dxa"/>
            </w:tcMar>
            <w:vAlign w:val="center"/>
          </w:tcPr>
          <w:p w14:paraId="6A34C9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破碎</w:t>
            </w:r>
            <w:r>
              <w:rPr>
                <w:rFonts w:hint="eastAsia" w:ascii="Times New Roman" w:hAnsi="Times New Roman" w:cs="Times New Roman"/>
                <w:color w:val="auto"/>
                <w:sz w:val="21"/>
                <w:szCs w:val="21"/>
                <w:highlight w:val="none"/>
                <w:lang w:val="en-US" w:eastAsia="zh-CN"/>
              </w:rPr>
              <w:t>粉尘</w:t>
            </w:r>
          </w:p>
        </w:tc>
        <w:tc>
          <w:tcPr>
            <w:tcW w:w="335" w:type="pct"/>
            <w:noWrap w:val="0"/>
            <w:tcMar>
              <w:left w:w="0" w:type="dxa"/>
              <w:right w:w="0" w:type="dxa"/>
            </w:tcMar>
            <w:vAlign w:val="center"/>
          </w:tcPr>
          <w:p w14:paraId="22FEB5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696</w:t>
            </w:r>
          </w:p>
        </w:tc>
        <w:tc>
          <w:tcPr>
            <w:tcW w:w="383" w:type="pct"/>
            <w:noWrap w:val="0"/>
            <w:tcMar>
              <w:left w:w="0" w:type="dxa"/>
              <w:right w:w="0" w:type="dxa"/>
            </w:tcMar>
            <w:vAlign w:val="center"/>
          </w:tcPr>
          <w:p w14:paraId="0271AE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452</w:t>
            </w:r>
          </w:p>
        </w:tc>
        <w:tc>
          <w:tcPr>
            <w:tcW w:w="488" w:type="pct"/>
            <w:noWrap w:val="0"/>
            <w:tcMar>
              <w:left w:w="0" w:type="dxa"/>
              <w:right w:w="0" w:type="dxa"/>
            </w:tcMar>
            <w:vAlign w:val="center"/>
          </w:tcPr>
          <w:p w14:paraId="2644CC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2033</w:t>
            </w:r>
          </w:p>
        </w:tc>
        <w:tc>
          <w:tcPr>
            <w:tcW w:w="685" w:type="pct"/>
            <w:noWrap w:val="0"/>
            <w:tcMar>
              <w:left w:w="0" w:type="dxa"/>
              <w:right w:w="0" w:type="dxa"/>
            </w:tcMar>
            <w:vAlign w:val="center"/>
          </w:tcPr>
          <w:p w14:paraId="5DBD88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30×40</w:t>
            </w:r>
          </w:p>
        </w:tc>
        <w:tc>
          <w:tcPr>
            <w:tcW w:w="503" w:type="pct"/>
            <w:noWrap w:val="0"/>
            <w:tcMar>
              <w:left w:w="0" w:type="dxa"/>
              <w:right w:w="0" w:type="dxa"/>
            </w:tcMar>
            <w:vAlign w:val="center"/>
          </w:tcPr>
          <w:p w14:paraId="4C816F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572" w:type="pct"/>
            <w:noWrap w:val="0"/>
            <w:tcMar>
              <w:left w:w="0" w:type="dxa"/>
              <w:right w:w="0" w:type="dxa"/>
            </w:tcMar>
            <w:vAlign w:val="center"/>
          </w:tcPr>
          <w:p w14:paraId="79D0E3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6000</w:t>
            </w:r>
          </w:p>
        </w:tc>
        <w:tc>
          <w:tcPr>
            <w:tcW w:w="975" w:type="pct"/>
            <w:shd w:val="clear" w:color="auto" w:fill="auto"/>
            <w:noWrap w:val="0"/>
            <w:tcMar>
              <w:left w:w="0" w:type="dxa"/>
              <w:right w:w="0" w:type="dxa"/>
            </w:tcMar>
            <w:vAlign w:val="center"/>
          </w:tcPr>
          <w:p w14:paraId="02F33E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ascii="Times New Roman" w:hAnsi="Times New Roman" w:cs="Times New Roman"/>
                <w:color w:val="auto"/>
                <w:sz w:val="21"/>
                <w:szCs w:val="21"/>
                <w:highlight w:val="none"/>
                <w:lang w:val="en-US" w:eastAsia="zh-CN"/>
              </w:rPr>
              <w:t>3</w:t>
            </w:r>
          </w:p>
        </w:tc>
      </w:tr>
    </w:tbl>
    <w:p w14:paraId="3C8BCE24">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w:t>
      </w:r>
      <w:r>
        <w:rPr>
          <w:rFonts w:hint="eastAsia" w:ascii="Times New Roman" w:hAnsi="Times New Roman" w:cs="Times New Roman"/>
          <w:b/>
          <w:bCs/>
          <w:color w:val="auto"/>
          <w:spacing w:val="0"/>
          <w:w w:val="100"/>
          <w:position w:val="0"/>
          <w:sz w:val="21"/>
          <w:szCs w:val="21"/>
          <w:lang w:val="en-US" w:eastAsia="zh-CN"/>
        </w:rPr>
        <w:t>4</w:t>
      </w:r>
      <w:r>
        <w:rPr>
          <w:rFonts w:hint="default" w:ascii="Times New Roman" w:hAnsi="Times New Roman" w:eastAsia="宋体" w:cs="Times New Roman"/>
          <w:b/>
          <w:bCs/>
          <w:color w:val="auto"/>
          <w:spacing w:val="0"/>
          <w:w w:val="100"/>
          <w:position w:val="0"/>
          <w:sz w:val="21"/>
          <w:szCs w:val="21"/>
          <w:lang w:val="en-US" w:eastAsia="zh-CN"/>
        </w:rPr>
        <w:t xml:space="preserve">    估算模式计算结果表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651"/>
        <w:gridCol w:w="2998"/>
        <w:gridCol w:w="1725"/>
        <w:gridCol w:w="1887"/>
        <w:gridCol w:w="1258"/>
      </w:tblGrid>
      <w:tr w14:paraId="4098117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55C67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kern w:val="0"/>
                <w:highlight w:val="none"/>
              </w:rPr>
              <w:t>序号</w:t>
            </w:r>
          </w:p>
        </w:tc>
        <w:tc>
          <w:tcPr>
            <w:tcW w:w="1759" w:type="pct"/>
            <w:vAlign w:val="center"/>
          </w:tcPr>
          <w:p w14:paraId="24BF8C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名称</w:t>
            </w:r>
          </w:p>
        </w:tc>
        <w:tc>
          <w:tcPr>
            <w:tcW w:w="1012" w:type="pct"/>
            <w:vAlign w:val="center"/>
          </w:tcPr>
          <w:p w14:paraId="166B5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rPr>
              <w:t>最大落地浓度</w:t>
            </w:r>
            <w:r>
              <w:rPr>
                <w:rFonts w:hint="default" w:ascii="Times New Roman" w:hAnsi="Times New Roman" w:eastAsia="宋体" w:cs="Times New Roman"/>
                <w:b w:val="0"/>
                <w:bCs w:val="0"/>
                <w:color w:val="auto"/>
                <w:highlight w:val="none"/>
                <w:lang w:val="en-US" w:eastAsia="zh-CN"/>
              </w:rPr>
              <w:t>（μ</w:t>
            </w:r>
            <w:r>
              <w:rPr>
                <w:rFonts w:hint="default" w:ascii="Times New Roman" w:hAnsi="Times New Roman" w:eastAsia="宋体" w:cs="Times New Roman"/>
                <w:b w:val="0"/>
                <w:bCs w:val="0"/>
                <w:color w:val="auto"/>
                <w:highlight w:val="none"/>
              </w:rPr>
              <w:t>g/m</w:t>
            </w:r>
            <w:r>
              <w:rPr>
                <w:rFonts w:hint="default" w:ascii="Times New Roman" w:hAnsi="Times New Roman" w:eastAsia="宋体" w:cs="Times New Roman"/>
                <w:b w:val="0"/>
                <w:bCs w:val="0"/>
                <w:color w:val="auto"/>
                <w:highlight w:val="none"/>
                <w:vertAlign w:val="superscript"/>
              </w:rPr>
              <w:t>3</w:t>
            </w:r>
            <w:r>
              <w:rPr>
                <w:rFonts w:hint="default" w:ascii="Times New Roman" w:hAnsi="Times New Roman" w:eastAsia="宋体" w:cs="Times New Roman"/>
                <w:b w:val="0"/>
                <w:bCs w:val="0"/>
                <w:color w:val="auto"/>
                <w:highlight w:val="none"/>
                <w:lang w:val="en-US" w:eastAsia="zh-CN"/>
              </w:rPr>
              <w:t>）</w:t>
            </w:r>
          </w:p>
        </w:tc>
        <w:tc>
          <w:tcPr>
            <w:tcW w:w="1107" w:type="pct"/>
            <w:vAlign w:val="center"/>
          </w:tcPr>
          <w:p w14:paraId="7284E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最大浓度落地距离（m）</w:t>
            </w:r>
          </w:p>
        </w:tc>
        <w:tc>
          <w:tcPr>
            <w:tcW w:w="738" w:type="pct"/>
            <w:vAlign w:val="center"/>
          </w:tcPr>
          <w:p w14:paraId="021F80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P</w:t>
            </w:r>
            <w:r>
              <w:rPr>
                <w:rFonts w:hint="default" w:ascii="Times New Roman" w:hAnsi="Times New Roman" w:eastAsia="宋体" w:cs="Times New Roman"/>
                <w:b w:val="0"/>
                <w:bCs w:val="0"/>
                <w:color w:val="auto"/>
                <w:highlight w:val="none"/>
                <w:vertAlign w:val="subscript"/>
              </w:rPr>
              <w:t>max</w:t>
            </w:r>
            <w:r>
              <w:rPr>
                <w:rFonts w:hint="default" w:ascii="Times New Roman" w:hAnsi="Times New Roman" w:eastAsia="宋体" w:cs="Times New Roman"/>
                <w:b w:val="0"/>
                <w:bCs w:val="0"/>
                <w:color w:val="auto"/>
                <w:highlight w:val="none"/>
              </w:rPr>
              <w:t>（%）</w:t>
            </w:r>
          </w:p>
        </w:tc>
      </w:tr>
      <w:tr w14:paraId="0189F42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1C5EC0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1</w:t>
            </w:r>
          </w:p>
        </w:tc>
        <w:tc>
          <w:tcPr>
            <w:tcW w:w="1759" w:type="pct"/>
            <w:vAlign w:val="center"/>
          </w:tcPr>
          <w:p w14:paraId="6FDB7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废石破碎粉尘</w:t>
            </w:r>
          </w:p>
        </w:tc>
        <w:tc>
          <w:tcPr>
            <w:tcW w:w="1012" w:type="pct"/>
            <w:vAlign w:val="center"/>
          </w:tcPr>
          <w:p w14:paraId="420E6F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32.306</w:t>
            </w:r>
          </w:p>
        </w:tc>
        <w:tc>
          <w:tcPr>
            <w:tcW w:w="1107" w:type="pct"/>
            <w:vAlign w:val="center"/>
          </w:tcPr>
          <w:p w14:paraId="60037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97</w:t>
            </w:r>
          </w:p>
        </w:tc>
        <w:tc>
          <w:tcPr>
            <w:tcW w:w="738" w:type="pct"/>
            <w:vAlign w:val="center"/>
          </w:tcPr>
          <w:p w14:paraId="0050F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8.97</w:t>
            </w:r>
          </w:p>
        </w:tc>
      </w:tr>
      <w:tr w14:paraId="711AAF5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042C38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2</w:t>
            </w:r>
          </w:p>
        </w:tc>
        <w:tc>
          <w:tcPr>
            <w:tcW w:w="1759" w:type="pct"/>
            <w:shd w:val="clear" w:color="auto" w:fill="auto"/>
            <w:vAlign w:val="center"/>
          </w:tcPr>
          <w:p w14:paraId="64BDAF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1号</w:t>
            </w:r>
            <w:r>
              <w:rPr>
                <w:rFonts w:hint="default" w:ascii="Times New Roman" w:hAnsi="Times New Roman" w:eastAsia="宋体" w:cs="Times New Roman"/>
                <w:color w:val="auto"/>
                <w:sz w:val="21"/>
                <w:szCs w:val="21"/>
                <w:highlight w:val="none"/>
                <w:lang w:val="en-US" w:eastAsia="zh-CN"/>
              </w:rPr>
              <w:t>废石堆场</w:t>
            </w:r>
          </w:p>
        </w:tc>
        <w:tc>
          <w:tcPr>
            <w:tcW w:w="1012" w:type="pct"/>
            <w:vAlign w:val="center"/>
          </w:tcPr>
          <w:p w14:paraId="050B78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7.208</w:t>
            </w:r>
          </w:p>
        </w:tc>
        <w:tc>
          <w:tcPr>
            <w:tcW w:w="1107" w:type="pct"/>
            <w:vAlign w:val="center"/>
          </w:tcPr>
          <w:p w14:paraId="01C0FB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130</w:t>
            </w:r>
          </w:p>
        </w:tc>
        <w:tc>
          <w:tcPr>
            <w:tcW w:w="738" w:type="pct"/>
            <w:vAlign w:val="center"/>
          </w:tcPr>
          <w:p w14:paraId="4C762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0.80</w:t>
            </w:r>
          </w:p>
        </w:tc>
      </w:tr>
      <w:tr w14:paraId="3686B8A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7EC28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3</w:t>
            </w:r>
          </w:p>
        </w:tc>
        <w:tc>
          <w:tcPr>
            <w:tcW w:w="1759" w:type="pct"/>
            <w:shd w:val="clear" w:color="auto" w:fill="auto"/>
            <w:vAlign w:val="center"/>
          </w:tcPr>
          <w:p w14:paraId="2044F1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2号</w:t>
            </w:r>
            <w:r>
              <w:rPr>
                <w:rFonts w:hint="default" w:ascii="Times New Roman" w:hAnsi="Times New Roman" w:eastAsia="宋体" w:cs="Times New Roman"/>
                <w:color w:val="auto"/>
                <w:sz w:val="21"/>
                <w:szCs w:val="21"/>
                <w:highlight w:val="none"/>
                <w:lang w:val="en-US" w:eastAsia="zh-CN"/>
              </w:rPr>
              <w:t>废石堆场</w:t>
            </w:r>
          </w:p>
        </w:tc>
        <w:tc>
          <w:tcPr>
            <w:tcW w:w="1012" w:type="pct"/>
            <w:vAlign w:val="center"/>
          </w:tcPr>
          <w:p w14:paraId="6C743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3.745</w:t>
            </w:r>
          </w:p>
        </w:tc>
        <w:tc>
          <w:tcPr>
            <w:tcW w:w="1107" w:type="pct"/>
            <w:vAlign w:val="center"/>
          </w:tcPr>
          <w:p w14:paraId="520C5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47</w:t>
            </w:r>
          </w:p>
        </w:tc>
        <w:tc>
          <w:tcPr>
            <w:tcW w:w="738" w:type="pct"/>
            <w:vAlign w:val="center"/>
          </w:tcPr>
          <w:p w14:paraId="7ED39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0.42</w:t>
            </w:r>
          </w:p>
        </w:tc>
      </w:tr>
      <w:tr w14:paraId="2A3A848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1CB48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4</w:t>
            </w:r>
          </w:p>
        </w:tc>
        <w:tc>
          <w:tcPr>
            <w:tcW w:w="1759" w:type="pct"/>
            <w:shd w:val="clear" w:color="auto" w:fill="auto"/>
            <w:vAlign w:val="center"/>
          </w:tcPr>
          <w:p w14:paraId="63A143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3号</w:t>
            </w:r>
            <w:r>
              <w:rPr>
                <w:rFonts w:hint="default" w:ascii="Times New Roman" w:hAnsi="Times New Roman" w:eastAsia="宋体" w:cs="Times New Roman"/>
                <w:color w:val="auto"/>
                <w:sz w:val="21"/>
                <w:szCs w:val="21"/>
                <w:highlight w:val="none"/>
                <w:lang w:val="en-US" w:eastAsia="zh-CN"/>
              </w:rPr>
              <w:t>废石堆场</w:t>
            </w:r>
          </w:p>
        </w:tc>
        <w:tc>
          <w:tcPr>
            <w:tcW w:w="1012" w:type="pct"/>
            <w:vAlign w:val="center"/>
          </w:tcPr>
          <w:p w14:paraId="5E5D9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8.938</w:t>
            </w:r>
          </w:p>
        </w:tc>
        <w:tc>
          <w:tcPr>
            <w:tcW w:w="1107" w:type="pct"/>
            <w:vAlign w:val="center"/>
          </w:tcPr>
          <w:p w14:paraId="55F1A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119</w:t>
            </w:r>
          </w:p>
        </w:tc>
        <w:tc>
          <w:tcPr>
            <w:tcW w:w="738" w:type="pct"/>
            <w:vAlign w:val="center"/>
          </w:tcPr>
          <w:p w14:paraId="1AEC7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0.99</w:t>
            </w:r>
          </w:p>
        </w:tc>
      </w:tr>
      <w:tr w14:paraId="25A765F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20A73F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5</w:t>
            </w:r>
          </w:p>
        </w:tc>
        <w:tc>
          <w:tcPr>
            <w:tcW w:w="1759" w:type="pct"/>
            <w:shd w:val="clear" w:color="auto" w:fill="auto"/>
            <w:vAlign w:val="center"/>
          </w:tcPr>
          <w:p w14:paraId="0C8647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矿石堆场</w:t>
            </w:r>
          </w:p>
        </w:tc>
        <w:tc>
          <w:tcPr>
            <w:tcW w:w="1012" w:type="pct"/>
            <w:vAlign w:val="center"/>
          </w:tcPr>
          <w:p w14:paraId="23A67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66.110</w:t>
            </w:r>
          </w:p>
        </w:tc>
        <w:tc>
          <w:tcPr>
            <w:tcW w:w="1107" w:type="pct"/>
            <w:vAlign w:val="center"/>
          </w:tcPr>
          <w:p w14:paraId="4B782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154</w:t>
            </w:r>
          </w:p>
        </w:tc>
        <w:tc>
          <w:tcPr>
            <w:tcW w:w="738" w:type="pct"/>
            <w:vAlign w:val="center"/>
          </w:tcPr>
          <w:p w14:paraId="5506B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Cs/>
                <w:color w:val="auto"/>
                <w:highlight w:val="none"/>
                <w:lang w:val="en-US" w:eastAsia="zh-CN"/>
              </w:rPr>
            </w:pPr>
            <w:r>
              <w:rPr>
                <w:rFonts w:hint="default" w:ascii="Times New Roman" w:hAnsi="Times New Roman" w:cs="Times New Roman"/>
                <w:bCs/>
                <w:color w:val="auto"/>
                <w:highlight w:val="none"/>
                <w:lang w:val="en-US" w:eastAsia="zh-CN"/>
              </w:rPr>
              <w:t>7.35</w:t>
            </w:r>
          </w:p>
        </w:tc>
      </w:tr>
      <w:tr w14:paraId="2135738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0" w:hRule="atLeast"/>
          <w:tblHeader/>
          <w:jc w:val="center"/>
        </w:trPr>
        <w:tc>
          <w:tcPr>
            <w:tcW w:w="382" w:type="pct"/>
            <w:vAlign w:val="center"/>
          </w:tcPr>
          <w:p w14:paraId="53963B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0"/>
                <w:highlight w:val="none"/>
                <w:lang w:val="en-US" w:eastAsia="zh-CN"/>
              </w:rPr>
            </w:pPr>
            <w:r>
              <w:rPr>
                <w:rFonts w:hint="default" w:ascii="Times New Roman" w:hAnsi="Times New Roman" w:cs="Times New Roman"/>
                <w:b w:val="0"/>
                <w:bCs w:val="0"/>
                <w:color w:val="auto"/>
                <w:kern w:val="0"/>
                <w:highlight w:val="none"/>
                <w:lang w:val="en-US" w:eastAsia="zh-CN"/>
              </w:rPr>
              <w:t>6</w:t>
            </w:r>
          </w:p>
        </w:tc>
        <w:tc>
          <w:tcPr>
            <w:tcW w:w="1759" w:type="pct"/>
            <w:shd w:val="clear" w:color="auto" w:fill="auto"/>
            <w:vAlign w:val="center"/>
          </w:tcPr>
          <w:p w14:paraId="060577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水泥筒仓</w:t>
            </w:r>
          </w:p>
        </w:tc>
        <w:tc>
          <w:tcPr>
            <w:tcW w:w="1012" w:type="pct"/>
            <w:shd w:val="clear" w:color="auto" w:fill="auto"/>
            <w:vAlign w:val="center"/>
          </w:tcPr>
          <w:p w14:paraId="064EA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1.684</w:t>
            </w:r>
          </w:p>
        </w:tc>
        <w:tc>
          <w:tcPr>
            <w:tcW w:w="1107" w:type="pct"/>
            <w:shd w:val="clear" w:color="auto" w:fill="auto"/>
            <w:vAlign w:val="center"/>
          </w:tcPr>
          <w:p w14:paraId="2A112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10</w:t>
            </w:r>
          </w:p>
        </w:tc>
        <w:tc>
          <w:tcPr>
            <w:tcW w:w="738" w:type="pct"/>
            <w:shd w:val="clear" w:color="auto" w:fill="auto"/>
            <w:vAlign w:val="center"/>
          </w:tcPr>
          <w:p w14:paraId="63B4D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kern w:val="2"/>
                <w:sz w:val="21"/>
                <w:szCs w:val="21"/>
                <w:highlight w:val="none"/>
                <w:lang w:val="en-US" w:eastAsia="zh-CN" w:bidi="ar-SA"/>
              </w:rPr>
              <w:t>0.13</w:t>
            </w:r>
          </w:p>
        </w:tc>
      </w:tr>
    </w:tbl>
    <w:p w14:paraId="1CA5F79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lang w:eastAsia="zh-CN"/>
        </w:rPr>
        <w:t>根据估算</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本项目</w:t>
      </w:r>
      <w:r>
        <w:rPr>
          <w:rFonts w:hint="default" w:ascii="Times New Roman" w:hAnsi="Times New Roman" w:eastAsia="宋体" w:cs="Times New Roman"/>
          <w:color w:val="auto"/>
          <w:sz w:val="24"/>
          <w:highlight w:val="none"/>
          <w:lang w:val="en-US" w:eastAsia="zh-CN"/>
        </w:rPr>
        <w:t>主要</w:t>
      </w:r>
      <w:r>
        <w:rPr>
          <w:rFonts w:hint="default" w:ascii="Times New Roman" w:hAnsi="Times New Roman" w:eastAsia="宋体" w:cs="Times New Roman"/>
          <w:color w:val="auto"/>
          <w:sz w:val="24"/>
          <w:highlight w:val="none"/>
        </w:rPr>
        <w:t>污染物粉尘最大占标率为</w:t>
      </w:r>
      <w:r>
        <w:rPr>
          <w:rFonts w:hint="default" w:ascii="Times New Roman" w:hAnsi="Times New Roman" w:cs="Times New Roman"/>
          <w:color w:val="auto"/>
          <w:sz w:val="24"/>
          <w:highlight w:val="none"/>
          <w:lang w:val="en-US" w:eastAsia="zh-CN"/>
        </w:rPr>
        <w:t>8.97</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，由污染物的最大占标率</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%＜P</w:t>
      </w:r>
      <w:r>
        <w:rPr>
          <w:rFonts w:hint="default" w:ascii="Times New Roman" w:hAnsi="Times New Roman" w:eastAsia="宋体" w:cs="Times New Roman"/>
          <w:color w:val="auto"/>
          <w:sz w:val="24"/>
          <w:highlight w:val="none"/>
          <w:vertAlign w:val="subscript"/>
        </w:rPr>
        <w:t>max</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rPr>
        <w:t>确定</w:t>
      </w:r>
      <w:r>
        <w:rPr>
          <w:rFonts w:hint="default" w:ascii="Times New Roman" w:hAnsi="Times New Roman" w:eastAsia="宋体" w:cs="Times New Roman"/>
          <w:color w:val="auto"/>
          <w:sz w:val="24"/>
          <w:highlight w:val="none"/>
          <w:lang w:val="en-US" w:eastAsia="zh-CN"/>
        </w:rPr>
        <w:t>本项目</w:t>
      </w:r>
      <w:r>
        <w:rPr>
          <w:rFonts w:hint="default" w:ascii="Times New Roman" w:hAnsi="Times New Roman" w:eastAsia="宋体" w:cs="Times New Roman"/>
          <w:color w:val="auto"/>
          <w:sz w:val="24"/>
          <w:highlight w:val="none"/>
        </w:rPr>
        <w:t>大气环境评价等级为</w:t>
      </w:r>
      <w:r>
        <w:rPr>
          <w:rFonts w:hint="default" w:ascii="Times New Roman" w:hAnsi="Times New Roman" w:eastAsia="宋体" w:cs="Times New Roman"/>
          <w:color w:val="auto"/>
          <w:sz w:val="24"/>
          <w:highlight w:val="none"/>
          <w:lang w:val="en-US" w:eastAsia="zh-CN"/>
        </w:rPr>
        <w:t>二</w:t>
      </w:r>
      <w:r>
        <w:rPr>
          <w:rFonts w:hint="default" w:ascii="Times New Roman" w:hAnsi="Times New Roman" w:eastAsia="宋体" w:cs="Times New Roman"/>
          <w:color w:val="auto"/>
          <w:sz w:val="24"/>
          <w:highlight w:val="none"/>
        </w:rPr>
        <w:t>级。</w:t>
      </w:r>
    </w:p>
    <w:p w14:paraId="12427F30">
      <w:pPr>
        <w:pStyle w:val="11"/>
        <w:keepNext w:val="0"/>
        <w:keepLines w:val="0"/>
        <w:pageBreakBefore w:val="0"/>
        <w:numPr>
          <w:ilvl w:val="0"/>
          <w:numId w:val="2"/>
        </w:numPr>
        <w:kinsoku/>
        <w:wordWrap/>
        <w:overflowPunct/>
        <w:topLinePunct w:val="0"/>
        <w:autoSpaceDE/>
        <w:autoSpaceDN/>
        <w:bidi w:val="0"/>
        <w:adjustRightInd/>
        <w:snapToGrid/>
        <w:spacing w:after="0"/>
        <w:ind w:left="0" w:leftChars="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评价范围</w:t>
      </w:r>
    </w:p>
    <w:p w14:paraId="1B45A5E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z w:val="24"/>
          <w:highlight w:val="none"/>
        </w:rPr>
        <w:t>大气环境影响评价范围为边长为5km的矩形</w:t>
      </w:r>
      <w:r>
        <w:rPr>
          <w:rFonts w:hint="default" w:ascii="Times New Roman" w:hAnsi="Times New Roman" w:eastAsia="宋体" w:cs="Times New Roman"/>
          <w:color w:val="auto"/>
          <w:sz w:val="24"/>
          <w:highlight w:val="none"/>
          <w:lang w:val="en-US" w:eastAsia="zh-CN"/>
        </w:rPr>
        <w:t>区域</w:t>
      </w:r>
      <w:r>
        <w:rPr>
          <w:rFonts w:hint="default" w:ascii="Times New Roman" w:hAnsi="Times New Roman" w:eastAsia="宋体" w:cs="Times New Roman"/>
          <w:color w:val="auto"/>
          <w:spacing w:val="0"/>
          <w:w w:val="100"/>
          <w:position w:val="0"/>
          <w:sz w:val="24"/>
          <w:highlight w:val="none"/>
        </w:rPr>
        <w:t>。</w:t>
      </w:r>
    </w:p>
    <w:p w14:paraId="199A2A00">
      <w:pPr>
        <w:pStyle w:val="4"/>
        <w:bidi w:val="0"/>
        <w:rPr>
          <w:rFonts w:hint="default" w:ascii="Times New Roman" w:hAnsi="Times New Roman" w:cs="Times New Roman"/>
          <w:color w:val="auto"/>
        </w:rPr>
      </w:pPr>
      <w:bookmarkStart w:id="213" w:name="_Toc366104788"/>
      <w:bookmarkStart w:id="214" w:name="_Toc266374525"/>
      <w:bookmarkStart w:id="215" w:name="_Toc191903740"/>
      <w:bookmarkStart w:id="216" w:name="_Toc474747836"/>
      <w:bookmarkStart w:id="217" w:name="_Toc218485492"/>
      <w:bookmarkStart w:id="218" w:name="_Toc190909898"/>
      <w:bookmarkStart w:id="219" w:name="_Toc277781476"/>
      <w:r>
        <w:rPr>
          <w:rFonts w:hint="default" w:ascii="Times New Roman" w:hAnsi="Times New Roman" w:cs="Times New Roman"/>
          <w:color w:val="auto"/>
        </w:rPr>
        <w:t>地表水评价等级与评价范围</w:t>
      </w:r>
    </w:p>
    <w:p w14:paraId="48DEF1B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）地表水环境影响评价工作等级</w:t>
      </w:r>
    </w:p>
    <w:p w14:paraId="5B026EE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根据现场调查，项目周边30km范围内无常年流水的地表水体，仅有降雨季节形成的短时地表径流，降雨过后立即渗入地下而消失。本项目生产废水全部回用不外排；生活污水经处理后，全部</w:t>
      </w:r>
      <w:r>
        <w:rPr>
          <w:rFonts w:hint="default" w:ascii="Times New Roman" w:hAnsi="Times New Roman" w:cs="Times New Roman"/>
          <w:color w:val="auto"/>
          <w:spacing w:val="0"/>
          <w:w w:val="100"/>
          <w:position w:val="0"/>
          <w:sz w:val="24"/>
          <w:szCs w:val="24"/>
          <w:lang w:val="en-US" w:eastAsia="zh-CN"/>
        </w:rPr>
        <w:t>用于矿区洒水及绿化</w:t>
      </w:r>
      <w:r>
        <w:rPr>
          <w:rFonts w:hint="default" w:ascii="Times New Roman" w:hAnsi="Times New Roman" w:eastAsia="宋体" w:cs="Times New Roman"/>
          <w:color w:val="auto"/>
          <w:spacing w:val="0"/>
          <w:w w:val="100"/>
          <w:position w:val="0"/>
          <w:sz w:val="24"/>
          <w:szCs w:val="24"/>
        </w:rPr>
        <w:t>。由此可见，本项目生产废水、生活污水全部回用，不外排</w:t>
      </w:r>
      <w:r>
        <w:rPr>
          <w:rFonts w:hint="default" w:ascii="Times New Roman" w:hAnsi="Times New Roman" w:eastAsia="宋体" w:cs="Times New Roman"/>
          <w:color w:val="auto"/>
          <w:spacing w:val="0"/>
          <w:w w:val="100"/>
          <w:position w:val="0"/>
          <w:sz w:val="24"/>
          <w:szCs w:val="24"/>
          <w:lang w:eastAsia="zh-CN"/>
        </w:rPr>
        <w:t>。</w:t>
      </w:r>
    </w:p>
    <w:p w14:paraId="21B3B504">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根据《环境影响评价技术导则 地表水环境》（HJ2.3-2018）中水污染影响型建设项目评价等级判定表，判定本项目排放方式为间接排放，地表水评价等级为三级B。</w:t>
      </w:r>
    </w:p>
    <w:p w14:paraId="79EAAA6A">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w:t>
      </w:r>
      <w:r>
        <w:rPr>
          <w:rFonts w:hint="eastAsia" w:ascii="Times New Roman" w:hAnsi="Times New Roman"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en-US" w:eastAsia="zh-CN"/>
        </w:rPr>
        <w:t xml:space="preserve">    水污染影响型建设项目评价等级判定</w:t>
      </w:r>
    </w:p>
    <w:tbl>
      <w:tblPr>
        <w:tblStyle w:val="22"/>
        <w:tblW w:w="851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29"/>
        <w:gridCol w:w="2357"/>
        <w:gridCol w:w="4128"/>
      </w:tblGrid>
      <w:tr w14:paraId="6129FD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2029" w:type="dxa"/>
            <w:vMerge w:val="restart"/>
            <w:tcBorders>
              <w:tl2br w:val="nil"/>
              <w:tr2bl w:val="nil"/>
            </w:tcBorders>
            <w:vAlign w:val="center"/>
          </w:tcPr>
          <w:p w14:paraId="53F1AE00">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r>
              <w:rPr>
                <w:rFonts w:hint="default" w:ascii="Times New Roman" w:hAnsi="Times New Roman" w:eastAsia="宋体" w:cs="Times New Roman"/>
                <w:b w:val="0"/>
                <w:bCs w:val="0"/>
                <w:color w:val="auto"/>
                <w:spacing w:val="0"/>
                <w:w w:val="100"/>
                <w:position w:val="0"/>
                <w:sz w:val="21"/>
                <w:szCs w:val="21"/>
                <w:vertAlign w:val="baseline"/>
                <w:lang w:val="en-US" w:eastAsia="zh-CN"/>
              </w:rPr>
              <w:t>评价等级</w:t>
            </w:r>
          </w:p>
        </w:tc>
        <w:tc>
          <w:tcPr>
            <w:tcW w:w="6485" w:type="dxa"/>
            <w:gridSpan w:val="2"/>
            <w:tcBorders>
              <w:tl2br w:val="nil"/>
              <w:tr2bl w:val="nil"/>
            </w:tcBorders>
            <w:vAlign w:val="center"/>
          </w:tcPr>
          <w:p w14:paraId="6062E05F">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r>
              <w:rPr>
                <w:rFonts w:hint="default" w:ascii="Times New Roman" w:hAnsi="Times New Roman" w:eastAsia="宋体" w:cs="Times New Roman"/>
                <w:b w:val="0"/>
                <w:bCs w:val="0"/>
                <w:color w:val="auto"/>
                <w:spacing w:val="0"/>
                <w:w w:val="100"/>
                <w:position w:val="0"/>
                <w:sz w:val="21"/>
                <w:szCs w:val="21"/>
                <w:vertAlign w:val="baseline"/>
                <w:lang w:val="en-US" w:eastAsia="zh-CN"/>
              </w:rPr>
              <w:t>判定依据</w:t>
            </w:r>
          </w:p>
        </w:tc>
      </w:tr>
      <w:tr w14:paraId="07C0F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2029" w:type="dxa"/>
            <w:vMerge w:val="continue"/>
            <w:tcBorders>
              <w:tl2br w:val="nil"/>
              <w:tr2bl w:val="nil"/>
            </w:tcBorders>
            <w:vAlign w:val="center"/>
          </w:tcPr>
          <w:p w14:paraId="50FCADDA">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p>
        </w:tc>
        <w:tc>
          <w:tcPr>
            <w:tcW w:w="2357" w:type="dxa"/>
            <w:tcBorders>
              <w:tl2br w:val="nil"/>
              <w:tr2bl w:val="nil"/>
            </w:tcBorders>
            <w:vAlign w:val="center"/>
          </w:tcPr>
          <w:p w14:paraId="405C229A">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r>
              <w:rPr>
                <w:rFonts w:hint="default" w:ascii="Times New Roman" w:hAnsi="Times New Roman" w:eastAsia="宋体" w:cs="Times New Roman"/>
                <w:b w:val="0"/>
                <w:bCs w:val="0"/>
                <w:color w:val="auto"/>
                <w:spacing w:val="0"/>
                <w:w w:val="100"/>
                <w:position w:val="0"/>
                <w:sz w:val="21"/>
                <w:szCs w:val="21"/>
                <w:vertAlign w:val="baseline"/>
                <w:lang w:val="en-US" w:eastAsia="zh-CN"/>
              </w:rPr>
              <w:t>排放方式</w:t>
            </w:r>
          </w:p>
        </w:tc>
        <w:tc>
          <w:tcPr>
            <w:tcW w:w="4128" w:type="dxa"/>
            <w:tcBorders>
              <w:tl2br w:val="nil"/>
              <w:tr2bl w:val="nil"/>
            </w:tcBorders>
            <w:vAlign w:val="center"/>
          </w:tcPr>
          <w:p w14:paraId="4BE98509">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r>
              <w:rPr>
                <w:rFonts w:hint="default" w:ascii="Times New Roman" w:hAnsi="Times New Roman" w:eastAsia="宋体" w:cs="Times New Roman"/>
                <w:b w:val="0"/>
                <w:bCs w:val="0"/>
                <w:color w:val="auto"/>
                <w:spacing w:val="0"/>
                <w:w w:val="100"/>
                <w:position w:val="0"/>
                <w:sz w:val="21"/>
                <w:szCs w:val="21"/>
                <w:vertAlign w:val="baseline"/>
                <w:lang w:val="en-US" w:eastAsia="zh-CN"/>
              </w:rPr>
              <w:t>废水排放量Q/（m</w:t>
            </w:r>
            <w:r>
              <w:rPr>
                <w:rFonts w:hint="default" w:ascii="Times New Roman" w:hAnsi="Times New Roman" w:eastAsia="宋体" w:cs="Times New Roman"/>
                <w:b w:val="0"/>
                <w:bCs w:val="0"/>
                <w:color w:val="auto"/>
                <w:spacing w:val="0"/>
                <w:w w:val="100"/>
                <w:position w:val="0"/>
                <w:sz w:val="21"/>
                <w:szCs w:val="21"/>
                <w:vertAlign w:val="superscript"/>
                <w:lang w:val="en-US" w:eastAsia="zh-CN"/>
              </w:rPr>
              <w:t>3</w:t>
            </w:r>
            <w:r>
              <w:rPr>
                <w:rFonts w:hint="default" w:ascii="Times New Roman" w:hAnsi="Times New Roman" w:eastAsia="宋体" w:cs="Times New Roman"/>
                <w:b w:val="0"/>
                <w:bCs w:val="0"/>
                <w:color w:val="auto"/>
                <w:spacing w:val="0"/>
                <w:w w:val="100"/>
                <w:position w:val="0"/>
                <w:sz w:val="21"/>
                <w:szCs w:val="21"/>
                <w:vertAlign w:val="baseline"/>
                <w:lang w:val="en-US" w:eastAsia="zh-CN"/>
              </w:rPr>
              <w:t>/d）</w:t>
            </w:r>
          </w:p>
          <w:p w14:paraId="41C151E7">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vertAlign w:val="baseline"/>
                <w:lang w:val="en-US" w:eastAsia="zh-CN"/>
              </w:rPr>
            </w:pPr>
            <w:r>
              <w:rPr>
                <w:rFonts w:hint="default" w:ascii="Times New Roman" w:hAnsi="Times New Roman" w:eastAsia="宋体" w:cs="Times New Roman"/>
                <w:b w:val="0"/>
                <w:bCs w:val="0"/>
                <w:color w:val="auto"/>
                <w:spacing w:val="0"/>
                <w:w w:val="100"/>
                <w:position w:val="0"/>
                <w:sz w:val="21"/>
                <w:szCs w:val="21"/>
                <w:vertAlign w:val="baseline"/>
                <w:lang w:val="en-US" w:eastAsia="zh-CN"/>
              </w:rPr>
              <w:t>水污染物当量数W/（无量纲）</w:t>
            </w:r>
          </w:p>
        </w:tc>
      </w:tr>
      <w:tr w14:paraId="19588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29" w:type="dxa"/>
            <w:tcBorders>
              <w:tl2br w:val="nil"/>
              <w:tr2bl w:val="nil"/>
            </w:tcBorders>
            <w:vAlign w:val="center"/>
          </w:tcPr>
          <w:p w14:paraId="1A8729E5">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一级</w:t>
            </w:r>
          </w:p>
        </w:tc>
        <w:tc>
          <w:tcPr>
            <w:tcW w:w="2357" w:type="dxa"/>
            <w:tcBorders>
              <w:tl2br w:val="nil"/>
              <w:tr2bl w:val="nil"/>
            </w:tcBorders>
            <w:vAlign w:val="center"/>
          </w:tcPr>
          <w:p w14:paraId="0874DB4E">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直接排放</w:t>
            </w:r>
          </w:p>
        </w:tc>
        <w:tc>
          <w:tcPr>
            <w:tcW w:w="4128" w:type="dxa"/>
            <w:tcBorders>
              <w:tl2br w:val="nil"/>
              <w:tr2bl w:val="nil"/>
            </w:tcBorders>
            <w:vAlign w:val="center"/>
          </w:tcPr>
          <w:p w14:paraId="3EA64D55">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Q≥20000或W≥600000</w:t>
            </w:r>
          </w:p>
        </w:tc>
      </w:tr>
      <w:tr w14:paraId="3C6A75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29" w:type="dxa"/>
            <w:tcBorders>
              <w:tl2br w:val="nil"/>
              <w:tr2bl w:val="nil"/>
            </w:tcBorders>
            <w:vAlign w:val="center"/>
          </w:tcPr>
          <w:p w14:paraId="26ED980C">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二级</w:t>
            </w:r>
          </w:p>
        </w:tc>
        <w:tc>
          <w:tcPr>
            <w:tcW w:w="2357" w:type="dxa"/>
            <w:tcBorders>
              <w:tl2br w:val="nil"/>
              <w:tr2bl w:val="nil"/>
            </w:tcBorders>
            <w:vAlign w:val="center"/>
          </w:tcPr>
          <w:p w14:paraId="2C8B738B">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直接排放</w:t>
            </w:r>
          </w:p>
        </w:tc>
        <w:tc>
          <w:tcPr>
            <w:tcW w:w="4128" w:type="dxa"/>
            <w:tcBorders>
              <w:tl2br w:val="nil"/>
              <w:tr2bl w:val="nil"/>
            </w:tcBorders>
            <w:vAlign w:val="center"/>
          </w:tcPr>
          <w:p w14:paraId="6726531D">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其他</w:t>
            </w:r>
          </w:p>
        </w:tc>
      </w:tr>
      <w:tr w14:paraId="69BFE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29" w:type="dxa"/>
            <w:tcBorders>
              <w:tl2br w:val="nil"/>
              <w:tr2bl w:val="nil"/>
            </w:tcBorders>
            <w:vAlign w:val="center"/>
          </w:tcPr>
          <w:p w14:paraId="3C0D9541">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三级A</w:t>
            </w:r>
          </w:p>
        </w:tc>
        <w:tc>
          <w:tcPr>
            <w:tcW w:w="2357" w:type="dxa"/>
            <w:tcBorders>
              <w:tl2br w:val="nil"/>
              <w:tr2bl w:val="nil"/>
            </w:tcBorders>
            <w:vAlign w:val="center"/>
          </w:tcPr>
          <w:p w14:paraId="35CBB3E3">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直接排放</w:t>
            </w:r>
          </w:p>
        </w:tc>
        <w:tc>
          <w:tcPr>
            <w:tcW w:w="4128" w:type="dxa"/>
            <w:tcBorders>
              <w:tl2br w:val="nil"/>
              <w:tr2bl w:val="nil"/>
            </w:tcBorders>
            <w:vAlign w:val="center"/>
          </w:tcPr>
          <w:p w14:paraId="3258F0DF">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Q＜200或W＜6000</w:t>
            </w:r>
          </w:p>
        </w:tc>
      </w:tr>
      <w:tr w14:paraId="3E87B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029" w:type="dxa"/>
            <w:tcBorders>
              <w:tl2br w:val="nil"/>
              <w:tr2bl w:val="nil"/>
            </w:tcBorders>
            <w:vAlign w:val="center"/>
          </w:tcPr>
          <w:p w14:paraId="6A08278C">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三级B</w:t>
            </w:r>
          </w:p>
        </w:tc>
        <w:tc>
          <w:tcPr>
            <w:tcW w:w="2357" w:type="dxa"/>
            <w:tcBorders>
              <w:tl2br w:val="nil"/>
              <w:tr2bl w:val="nil"/>
            </w:tcBorders>
            <w:vAlign w:val="center"/>
          </w:tcPr>
          <w:p w14:paraId="727DB10C">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间接排放</w:t>
            </w:r>
          </w:p>
        </w:tc>
        <w:tc>
          <w:tcPr>
            <w:tcW w:w="4128" w:type="dxa"/>
            <w:tcBorders>
              <w:tl2br w:val="nil"/>
              <w:tr2bl w:val="nil"/>
            </w:tcBorders>
            <w:vAlign w:val="center"/>
          </w:tcPr>
          <w:p w14:paraId="6072CB80">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 w:val="21"/>
                <w:szCs w:val="21"/>
                <w:vertAlign w:val="baseline"/>
                <w:lang w:val="en-US" w:eastAsia="zh-CN"/>
              </w:rPr>
              <w:t>—</w:t>
            </w:r>
          </w:p>
        </w:tc>
      </w:tr>
      <w:tr w14:paraId="505E8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4" w:type="dxa"/>
            <w:gridSpan w:val="3"/>
            <w:tcBorders>
              <w:tl2br w:val="nil"/>
              <w:tr2bl w:val="nil"/>
            </w:tcBorders>
            <w:vAlign w:val="center"/>
          </w:tcPr>
          <w:p w14:paraId="6C7BA1DA">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4D8AD7B6">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3597225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注3：厂区存在堆积物（露天堆放的原料、燃料、废渣等以及垃圾堆放场）、降尘污染的，应将初期雨污水纳入废水排放量，相应的主要污染物纳入水污染当量计算。</w:t>
            </w:r>
          </w:p>
          <w:p w14:paraId="44BF963F">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注4：建设项目直接排放第一类污染物的，其评价等级为一级；建设项目直接排放的污染物为受纳水体超标因子的，评价等级不低于二级。</w:t>
            </w:r>
          </w:p>
          <w:p w14:paraId="31630ADF">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注5：直接排放受纳水体影响范围涉及饮用水水源保护区、饮用水取水口、重点保护与珍稀水生生物的栖息地、重要水生生物的自然产卵场等保护目标时，评价等级不低于二级。</w:t>
            </w:r>
          </w:p>
          <w:p w14:paraId="7044F0A3">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注6：建设项目向河流、湖库排放温排水引起受纳水体水温变化超过水环境质量标准要求，且评价范围有水温敏感目标时，评价等级为一级。</w:t>
            </w:r>
          </w:p>
          <w:p w14:paraId="2134C57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注7：建设项目利用海水作为调节温度介质，排水量≥500万m</w:t>
            </w:r>
            <w:r>
              <w:rPr>
                <w:rFonts w:hint="default" w:ascii="Times New Roman" w:hAnsi="Times New Roman" w:eastAsia="宋体" w:cs="Times New Roman"/>
                <w:color w:val="auto"/>
                <w:spacing w:val="0"/>
                <w:w w:val="100"/>
                <w:position w:val="0"/>
                <w:szCs w:val="21"/>
                <w:vertAlign w:val="superscript"/>
              </w:rPr>
              <w:t>3</w:t>
            </w:r>
            <w:r>
              <w:rPr>
                <w:rFonts w:hint="default" w:ascii="Times New Roman" w:hAnsi="Times New Roman" w:eastAsia="宋体" w:cs="Times New Roman"/>
                <w:color w:val="auto"/>
                <w:spacing w:val="0"/>
                <w:w w:val="100"/>
                <w:position w:val="0"/>
                <w:szCs w:val="21"/>
              </w:rPr>
              <w:t>/d，评价等级为一级；排水量&lt;500万m</w:t>
            </w:r>
            <w:r>
              <w:rPr>
                <w:rFonts w:hint="default" w:ascii="Times New Roman" w:hAnsi="Times New Roman" w:eastAsia="宋体" w:cs="Times New Roman"/>
                <w:color w:val="auto"/>
                <w:spacing w:val="0"/>
                <w:w w:val="100"/>
                <w:position w:val="0"/>
                <w:szCs w:val="21"/>
                <w:vertAlign w:val="superscript"/>
              </w:rPr>
              <w:t>3</w:t>
            </w:r>
            <w:r>
              <w:rPr>
                <w:rFonts w:hint="default" w:ascii="Times New Roman" w:hAnsi="Times New Roman" w:eastAsia="宋体" w:cs="Times New Roman"/>
                <w:color w:val="auto"/>
                <w:spacing w:val="0"/>
                <w:w w:val="100"/>
                <w:position w:val="0"/>
                <w:szCs w:val="21"/>
              </w:rPr>
              <w:t>/d，评价等级为二级。</w:t>
            </w:r>
          </w:p>
          <w:p w14:paraId="3617909B">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注8：仅涉及清净下水排放的，如其排放水质满足受纳水体水环境质量标准要求的，评价等级为三级A。</w:t>
            </w:r>
          </w:p>
          <w:p w14:paraId="3E359CDC">
            <w:pPr>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Cs w:val="21"/>
              </w:rPr>
            </w:pPr>
            <w:r>
              <w:rPr>
                <w:rFonts w:hint="default" w:ascii="Times New Roman" w:hAnsi="Times New Roman" w:eastAsia="宋体" w:cs="Times New Roman"/>
                <w:color w:val="auto"/>
                <w:spacing w:val="0"/>
                <w:w w:val="100"/>
                <w:position w:val="0"/>
                <w:szCs w:val="21"/>
              </w:rPr>
              <w:t>注9：依托现有排放口，且对外环境未新增排放污染物的直接排放建设项目，评价等级参照间接排放，定为三级B。</w:t>
            </w:r>
          </w:p>
          <w:p w14:paraId="6FA656A4">
            <w:pPr>
              <w:pStyle w:val="36"/>
              <w:keepNext w:val="0"/>
              <w:keepLines w:val="0"/>
              <w:pageBreakBefore w:val="0"/>
              <w:suppressLineNumbers w:val="0"/>
              <w:kinsoku/>
              <w:wordWrap/>
              <w:overflowPunct/>
              <w:topLinePunct w:val="0"/>
              <w:autoSpaceDE/>
              <w:autoSpaceDN/>
              <w:bidi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vertAlign w:val="baseline"/>
                <w:lang w:val="en-US" w:eastAsia="zh-CN"/>
              </w:rPr>
            </w:pPr>
            <w:r>
              <w:rPr>
                <w:rFonts w:hint="default" w:ascii="Times New Roman" w:hAnsi="Times New Roman" w:eastAsia="宋体" w:cs="Times New Roman"/>
                <w:color w:val="auto"/>
                <w:spacing w:val="0"/>
                <w:w w:val="100"/>
                <w:position w:val="0"/>
                <w:szCs w:val="21"/>
              </w:rPr>
              <w:t>注10：建设项目生产工艺中有废水产生，但作为回水利用，不排放到外环境的，按三级B评价。</w:t>
            </w:r>
          </w:p>
        </w:tc>
      </w:tr>
    </w:tbl>
    <w:p w14:paraId="7CB2D374">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）地表水环境影响评价</w:t>
      </w:r>
      <w:r>
        <w:rPr>
          <w:rFonts w:hint="default" w:ascii="Times New Roman" w:hAnsi="Times New Roman" w:eastAsia="宋体" w:cs="Times New Roman"/>
          <w:color w:val="auto"/>
          <w:spacing w:val="0"/>
          <w:w w:val="100"/>
          <w:position w:val="0"/>
          <w:sz w:val="24"/>
          <w:szCs w:val="24"/>
          <w:lang w:val="en-US" w:eastAsia="zh-CN"/>
        </w:rPr>
        <w:t>范围</w:t>
      </w:r>
    </w:p>
    <w:p w14:paraId="11470485">
      <w:pPr>
        <w:keepNext w:val="0"/>
        <w:keepLines w:val="0"/>
        <w:pageBreakBefore w:val="0"/>
        <w:widowControl w:val="0"/>
        <w:kinsoku/>
        <w:wordWrap/>
        <w:overflowPunct/>
        <w:topLinePunct w:val="0"/>
        <w:autoSpaceDE/>
        <w:autoSpaceDN/>
        <w:bidi w:val="0"/>
        <w:adjustRightInd/>
        <w:snapToGrid/>
        <w:spacing w:line="480" w:lineRule="exact"/>
        <w:ind w:left="0" w:right="0" w:firstLine="478"/>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本项目地表水评价等级为三级B，项目周边30km范围内无常年流水的地表水体，仅有降雨季节形成的短时地表径流，降雨过后立即渗入地下而消失。因此</w:t>
      </w:r>
      <w:r>
        <w:rPr>
          <w:rFonts w:hint="default" w:ascii="Times New Roman" w:hAnsi="Times New Roman" w:cs="Times New Roman"/>
          <w:color w:val="auto"/>
          <w:spacing w:val="0"/>
          <w:w w:val="100"/>
          <w:position w:val="0"/>
          <w:sz w:val="24"/>
          <w:szCs w:val="24"/>
          <w:lang w:val="en-US" w:eastAsia="zh-CN"/>
        </w:rPr>
        <w:t>仅分析依托污水处理设施环境可行性。</w:t>
      </w:r>
    </w:p>
    <w:p w14:paraId="567D9D32">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地下水评价等级</w:t>
      </w:r>
      <w:r>
        <w:rPr>
          <w:rFonts w:hint="default" w:ascii="Times New Roman" w:hAnsi="Times New Roman" w:cs="Times New Roman"/>
          <w:color w:val="auto"/>
        </w:rPr>
        <w:t>与评价范围</w:t>
      </w:r>
    </w:p>
    <w:p w14:paraId="13D158EC">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（1）建设项目分类</w:t>
      </w:r>
    </w:p>
    <w:p w14:paraId="755162B7">
      <w:pPr>
        <w:keepNext w:val="0"/>
        <w:keepLines w:val="0"/>
        <w:pageBreakBefore w:val="0"/>
        <w:widowControl w:val="0"/>
        <w:kinsoku/>
        <w:wordWrap/>
        <w:overflowPunct/>
        <w:topLinePunct w:val="0"/>
        <w:autoSpaceDE/>
        <w:autoSpaceDN/>
        <w:bidi w:val="0"/>
        <w:adjustRightInd/>
        <w:snapToGrid/>
        <w:spacing w:line="480" w:lineRule="exact"/>
        <w:ind w:lef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本项目为</w:t>
      </w:r>
      <w:r>
        <w:rPr>
          <w:rFonts w:hint="default" w:ascii="Times New Roman" w:hAnsi="Times New Roman" w:eastAsia="宋体" w:cs="Times New Roman"/>
          <w:color w:val="auto"/>
          <w:spacing w:val="0"/>
          <w:w w:val="100"/>
          <w:position w:val="0"/>
          <w:sz w:val="24"/>
          <w:szCs w:val="24"/>
          <w:lang w:eastAsia="zh-CN"/>
        </w:rPr>
        <w:t>铜矿采矿</w:t>
      </w:r>
      <w:r>
        <w:rPr>
          <w:rFonts w:hint="default" w:ascii="Times New Roman" w:hAnsi="Times New Roman" w:eastAsia="宋体" w:cs="Times New Roman"/>
          <w:color w:val="auto"/>
          <w:spacing w:val="0"/>
          <w:w w:val="100"/>
          <w:position w:val="0"/>
          <w:sz w:val="24"/>
          <w:szCs w:val="24"/>
        </w:rPr>
        <w:t>项目，项目建设内容主要包括地下采场、废石场、矿</w:t>
      </w:r>
      <w:r>
        <w:rPr>
          <w:rFonts w:hint="default" w:ascii="Times New Roman" w:hAnsi="Times New Roman" w:cs="Times New Roman"/>
          <w:color w:val="auto"/>
          <w:spacing w:val="0"/>
          <w:w w:val="100"/>
          <w:position w:val="0"/>
          <w:sz w:val="24"/>
          <w:szCs w:val="24"/>
          <w:lang w:val="en-US" w:eastAsia="zh-CN"/>
        </w:rPr>
        <w:t>石</w:t>
      </w:r>
      <w:r>
        <w:rPr>
          <w:rFonts w:hint="default" w:ascii="Times New Roman" w:hAnsi="Times New Roman" w:eastAsia="宋体" w:cs="Times New Roman"/>
          <w:color w:val="auto"/>
          <w:spacing w:val="0"/>
          <w:w w:val="100"/>
          <w:position w:val="0"/>
          <w:sz w:val="24"/>
          <w:szCs w:val="24"/>
        </w:rPr>
        <w:t>堆场等工程内容，根据《环境影响评价技术导则</w:t>
      </w:r>
      <w:r>
        <w:rPr>
          <w:rFonts w:hint="default" w:ascii="Times New Roman" w:hAnsi="Times New Roman" w:eastAsia="宋体" w:cs="Times New Roman"/>
          <w:color w:val="auto"/>
          <w:spacing w:val="0"/>
          <w:w w:val="100"/>
          <w:position w:val="0"/>
          <w:sz w:val="24"/>
          <w:szCs w:val="24"/>
          <w:lang w:val="en-US" w:eastAsia="zh-CN"/>
        </w:rPr>
        <w:t xml:space="preserve"> </w:t>
      </w:r>
      <w:r>
        <w:rPr>
          <w:rFonts w:hint="default" w:ascii="Times New Roman" w:hAnsi="Times New Roman" w:eastAsia="宋体" w:cs="Times New Roman"/>
          <w:color w:val="auto"/>
          <w:spacing w:val="0"/>
          <w:w w:val="100"/>
          <w:position w:val="0"/>
          <w:sz w:val="24"/>
          <w:szCs w:val="24"/>
        </w:rPr>
        <w:t>地下水环境》（HJ610-2016）附录A，本项目属于“H有色金属”中的“47、采选（含单独尾矿库）”项目，废石场地下水环境影响评价类别为I类，地下采场、矿</w:t>
      </w:r>
      <w:r>
        <w:rPr>
          <w:rFonts w:hint="default" w:ascii="Times New Roman" w:hAnsi="Times New Roman" w:cs="Times New Roman"/>
          <w:color w:val="auto"/>
          <w:spacing w:val="0"/>
          <w:w w:val="100"/>
          <w:position w:val="0"/>
          <w:sz w:val="24"/>
          <w:szCs w:val="24"/>
          <w:lang w:val="en-US" w:eastAsia="zh-CN"/>
        </w:rPr>
        <w:t>石</w:t>
      </w:r>
      <w:r>
        <w:rPr>
          <w:rFonts w:hint="default" w:ascii="Times New Roman" w:hAnsi="Times New Roman" w:eastAsia="宋体" w:cs="Times New Roman"/>
          <w:color w:val="auto"/>
          <w:spacing w:val="0"/>
          <w:w w:val="100"/>
          <w:position w:val="0"/>
          <w:sz w:val="24"/>
          <w:szCs w:val="24"/>
        </w:rPr>
        <w:t>堆场</w:t>
      </w:r>
      <w:r>
        <w:rPr>
          <w:rFonts w:hint="default" w:ascii="Times New Roman" w:hAnsi="Times New Roman" w:eastAsia="宋体" w:cs="Times New Roman"/>
          <w:color w:val="auto"/>
          <w:spacing w:val="0"/>
          <w:w w:val="100"/>
          <w:position w:val="0"/>
          <w:sz w:val="24"/>
          <w:szCs w:val="24"/>
          <w:lang w:val="en-US" w:eastAsia="zh-CN"/>
        </w:rPr>
        <w:t>地</w:t>
      </w:r>
      <w:r>
        <w:rPr>
          <w:rFonts w:hint="default" w:ascii="Times New Roman" w:hAnsi="Times New Roman" w:eastAsia="宋体" w:cs="Times New Roman"/>
          <w:color w:val="auto"/>
          <w:spacing w:val="0"/>
          <w:w w:val="100"/>
          <w:position w:val="0"/>
          <w:sz w:val="24"/>
          <w:szCs w:val="24"/>
        </w:rPr>
        <w:t>下水环境影响评价类别为</w:t>
      </w:r>
      <w:r>
        <w:rPr>
          <w:rFonts w:hint="default" w:ascii="Times New Roman" w:hAnsi="Times New Roman" w:cs="Times New Roman"/>
          <w:color w:val="auto"/>
          <w:spacing w:val="0"/>
          <w:w w:val="100"/>
          <w:position w:val="0"/>
          <w:sz w:val="24"/>
          <w:szCs w:val="24"/>
          <w:lang w:eastAsia="zh-CN"/>
        </w:rPr>
        <w:t>Ⅲ类</w:t>
      </w:r>
      <w:r>
        <w:rPr>
          <w:rFonts w:hint="default" w:ascii="Times New Roman" w:hAnsi="Times New Roman" w:eastAsia="宋体" w:cs="Times New Roman"/>
          <w:color w:val="auto"/>
          <w:spacing w:val="0"/>
          <w:w w:val="100"/>
          <w:position w:val="0"/>
          <w:sz w:val="24"/>
          <w:szCs w:val="24"/>
        </w:rPr>
        <w:t>。见</w:t>
      </w:r>
      <w:r>
        <w:rPr>
          <w:rFonts w:hint="default" w:ascii="Times New Roman" w:hAnsi="Times New Roman" w:eastAsia="宋体" w:cs="Times New Roman"/>
          <w:b w:val="0"/>
          <w:bCs w:val="0"/>
          <w:color w:val="auto"/>
          <w:spacing w:val="0"/>
          <w:w w:val="100"/>
          <w:position w:val="0"/>
          <w:sz w:val="24"/>
          <w:szCs w:val="24"/>
        </w:rPr>
        <w:t>表2.</w:t>
      </w:r>
      <w:r>
        <w:rPr>
          <w:rFonts w:hint="default" w:ascii="Times New Roman" w:hAnsi="Times New Roman" w:eastAsia="宋体" w:cs="Times New Roman"/>
          <w:b w:val="0"/>
          <w:bCs w:val="0"/>
          <w:color w:val="auto"/>
          <w:spacing w:val="0"/>
          <w:w w:val="100"/>
          <w:position w:val="0"/>
          <w:sz w:val="24"/>
          <w:szCs w:val="24"/>
          <w:lang w:val="en-US" w:eastAsia="zh-CN"/>
        </w:rPr>
        <w:t>5-</w:t>
      </w:r>
      <w:r>
        <w:rPr>
          <w:rFonts w:hint="eastAsia" w:ascii="Times New Roman" w:hAnsi="Times New Roman" w:cs="Times New Roman"/>
          <w:b w:val="0"/>
          <w:bCs w:val="0"/>
          <w:color w:val="auto"/>
          <w:spacing w:val="0"/>
          <w:w w:val="100"/>
          <w:position w:val="0"/>
          <w:sz w:val="24"/>
          <w:szCs w:val="24"/>
          <w:lang w:val="en-US" w:eastAsia="zh-CN"/>
        </w:rPr>
        <w:t>6</w:t>
      </w:r>
      <w:r>
        <w:rPr>
          <w:rFonts w:hint="default" w:ascii="Times New Roman" w:hAnsi="Times New Roman" w:eastAsia="宋体" w:cs="Times New Roman"/>
          <w:b w:val="0"/>
          <w:bCs w:val="0"/>
          <w:color w:val="auto"/>
          <w:spacing w:val="0"/>
          <w:w w:val="100"/>
          <w:position w:val="0"/>
          <w:sz w:val="24"/>
          <w:szCs w:val="24"/>
        </w:rPr>
        <w:t>。</w:t>
      </w:r>
    </w:p>
    <w:p w14:paraId="4C49921C">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2.5-</w:t>
      </w:r>
      <w:r>
        <w:rPr>
          <w:rFonts w:hint="eastAsia" w:ascii="Times New Roman" w:hAnsi="Times New Roman" w:cs="Times New Roman"/>
          <w:b/>
          <w:bCs/>
          <w:color w:val="auto"/>
          <w:spacing w:val="0"/>
          <w:w w:val="100"/>
          <w:position w:val="0"/>
          <w:sz w:val="21"/>
          <w:szCs w:val="21"/>
          <w:lang w:val="en-US" w:eastAsia="zh-CN"/>
        </w:rPr>
        <w:t>6</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地下水环境影响评价行业分类表</w:t>
      </w:r>
    </w:p>
    <w:tbl>
      <w:tblPr>
        <w:tblStyle w:val="31"/>
        <w:tblW w:w="503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77"/>
        <w:gridCol w:w="1341"/>
        <w:gridCol w:w="2003"/>
        <w:gridCol w:w="2217"/>
        <w:gridCol w:w="1155"/>
      </w:tblGrid>
      <w:tr w14:paraId="74ACB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999" w:type="pct"/>
            <w:vMerge w:val="restart"/>
            <w:tcBorders>
              <w:top w:val="single" w:color="000000" w:sz="12" w:space="0"/>
              <w:left w:val="single" w:color="000000" w:sz="12" w:space="0"/>
              <w:bottom w:val="single" w:color="000000" w:sz="4" w:space="0"/>
              <w:right w:val="single" w:color="000000" w:sz="4" w:space="0"/>
            </w:tcBorders>
            <w:vAlign w:val="center"/>
          </w:tcPr>
          <w:p w14:paraId="6A1E56E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环评类别</w:t>
            </w:r>
          </w:p>
          <w:p w14:paraId="3AE777E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行业类别</w:t>
            </w:r>
          </w:p>
        </w:tc>
        <w:tc>
          <w:tcPr>
            <w:tcW w:w="799" w:type="pct"/>
            <w:vMerge w:val="restart"/>
            <w:tcBorders>
              <w:top w:val="single" w:color="000000" w:sz="12" w:space="0"/>
              <w:left w:val="single" w:color="000000" w:sz="4" w:space="0"/>
              <w:bottom w:val="single" w:color="000000" w:sz="4" w:space="0"/>
              <w:right w:val="single" w:color="000000" w:sz="4" w:space="0"/>
            </w:tcBorders>
            <w:vAlign w:val="center"/>
          </w:tcPr>
          <w:p w14:paraId="3A70B3E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报告书</w:t>
            </w:r>
          </w:p>
        </w:tc>
        <w:tc>
          <w:tcPr>
            <w:tcW w:w="1193" w:type="pct"/>
            <w:vMerge w:val="restart"/>
            <w:tcBorders>
              <w:top w:val="single" w:color="000000" w:sz="12" w:space="0"/>
              <w:left w:val="single" w:color="000000" w:sz="4" w:space="0"/>
              <w:bottom w:val="single" w:color="000000" w:sz="4" w:space="0"/>
              <w:right w:val="single" w:color="000000" w:sz="4" w:space="0"/>
            </w:tcBorders>
            <w:vAlign w:val="center"/>
          </w:tcPr>
          <w:p w14:paraId="0F00BB1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报告表</w:t>
            </w:r>
          </w:p>
        </w:tc>
        <w:tc>
          <w:tcPr>
            <w:tcW w:w="2006" w:type="pct"/>
            <w:gridSpan w:val="2"/>
            <w:tcBorders>
              <w:top w:val="single" w:color="000000" w:sz="12" w:space="0"/>
              <w:left w:val="single" w:color="000000" w:sz="4" w:space="0"/>
              <w:bottom w:val="single" w:color="000000" w:sz="4" w:space="0"/>
              <w:right w:val="single" w:color="000000" w:sz="12" w:space="0"/>
            </w:tcBorders>
            <w:vAlign w:val="center"/>
          </w:tcPr>
          <w:p w14:paraId="31C13F1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地下水环境影响评价项目类别</w:t>
            </w:r>
          </w:p>
        </w:tc>
      </w:tr>
      <w:tr w14:paraId="0E7C9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999" w:type="pct"/>
            <w:vMerge w:val="continue"/>
            <w:tcBorders>
              <w:top w:val="single" w:color="000000" w:sz="4" w:space="0"/>
              <w:left w:val="single" w:color="000000" w:sz="12" w:space="0"/>
              <w:bottom w:val="single" w:color="000000" w:sz="4" w:space="0"/>
              <w:right w:val="single" w:color="000000" w:sz="4" w:space="0"/>
            </w:tcBorders>
            <w:vAlign w:val="center"/>
          </w:tcPr>
          <w:p w14:paraId="4EEA6FD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799" w:type="pct"/>
            <w:vMerge w:val="continue"/>
            <w:tcBorders>
              <w:top w:val="single" w:color="000000" w:sz="4" w:space="0"/>
              <w:left w:val="single" w:color="000000" w:sz="4" w:space="0"/>
              <w:bottom w:val="single" w:color="000000" w:sz="4" w:space="0"/>
              <w:right w:val="single" w:color="000000" w:sz="4" w:space="0"/>
            </w:tcBorders>
            <w:vAlign w:val="center"/>
          </w:tcPr>
          <w:p w14:paraId="76A5255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193" w:type="pct"/>
            <w:vMerge w:val="continue"/>
            <w:tcBorders>
              <w:top w:val="single" w:color="000000" w:sz="4" w:space="0"/>
              <w:left w:val="single" w:color="000000" w:sz="4" w:space="0"/>
              <w:bottom w:val="single" w:color="000000" w:sz="4" w:space="0"/>
              <w:right w:val="single" w:color="000000" w:sz="4" w:space="0"/>
            </w:tcBorders>
            <w:vAlign w:val="center"/>
          </w:tcPr>
          <w:p w14:paraId="5836A44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321" w:type="pct"/>
            <w:tcBorders>
              <w:top w:val="single" w:color="000000" w:sz="4" w:space="0"/>
              <w:left w:val="single" w:color="000000" w:sz="4" w:space="0"/>
              <w:bottom w:val="single" w:color="000000" w:sz="4" w:space="0"/>
              <w:right w:val="single" w:color="000000" w:sz="4" w:space="0"/>
            </w:tcBorders>
            <w:vAlign w:val="center"/>
          </w:tcPr>
          <w:p w14:paraId="248414E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报告书</w:t>
            </w:r>
          </w:p>
        </w:tc>
        <w:tc>
          <w:tcPr>
            <w:tcW w:w="685" w:type="pct"/>
            <w:tcBorders>
              <w:top w:val="single" w:color="000000" w:sz="4" w:space="0"/>
              <w:left w:val="single" w:color="000000" w:sz="4" w:space="0"/>
              <w:bottom w:val="single" w:color="000000" w:sz="4" w:space="0"/>
              <w:right w:val="single" w:color="000000" w:sz="12" w:space="0"/>
            </w:tcBorders>
            <w:vAlign w:val="center"/>
          </w:tcPr>
          <w:p w14:paraId="4F0E36B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报告表</w:t>
            </w:r>
          </w:p>
        </w:tc>
      </w:tr>
      <w:tr w14:paraId="0FAA8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000" w:type="pct"/>
            <w:gridSpan w:val="5"/>
            <w:tcBorders>
              <w:top w:val="single" w:color="000000" w:sz="4" w:space="0"/>
              <w:left w:val="single" w:color="000000" w:sz="12" w:space="0"/>
              <w:bottom w:val="single" w:color="000000" w:sz="4" w:space="0"/>
              <w:right w:val="single" w:color="000000" w:sz="12" w:space="0"/>
            </w:tcBorders>
            <w:vAlign w:val="center"/>
          </w:tcPr>
          <w:p w14:paraId="1EBB459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H有色金属</w:t>
            </w:r>
          </w:p>
        </w:tc>
      </w:tr>
      <w:tr w14:paraId="59645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999" w:type="pct"/>
            <w:tcBorders>
              <w:top w:val="single" w:color="000000" w:sz="4" w:space="0"/>
              <w:left w:val="single" w:color="000000" w:sz="12" w:space="0"/>
              <w:bottom w:val="single" w:color="000000" w:sz="12" w:space="0"/>
              <w:right w:val="single" w:color="000000" w:sz="4" w:space="0"/>
            </w:tcBorders>
            <w:vAlign w:val="center"/>
          </w:tcPr>
          <w:p w14:paraId="39DCE99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47、采选（含单独尾矿库）</w:t>
            </w:r>
          </w:p>
        </w:tc>
        <w:tc>
          <w:tcPr>
            <w:tcW w:w="799" w:type="pct"/>
            <w:tcBorders>
              <w:top w:val="single" w:color="000000" w:sz="4" w:space="0"/>
              <w:left w:val="single" w:color="000000" w:sz="4" w:space="0"/>
              <w:bottom w:val="single" w:color="000000" w:sz="12" w:space="0"/>
              <w:right w:val="single" w:color="000000" w:sz="4" w:space="0"/>
            </w:tcBorders>
            <w:vAlign w:val="center"/>
          </w:tcPr>
          <w:p w14:paraId="77E2E72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全部</w:t>
            </w:r>
          </w:p>
        </w:tc>
        <w:tc>
          <w:tcPr>
            <w:tcW w:w="1193" w:type="pct"/>
            <w:tcBorders>
              <w:top w:val="single" w:color="000000" w:sz="4" w:space="0"/>
              <w:left w:val="single" w:color="000000" w:sz="4" w:space="0"/>
              <w:bottom w:val="single" w:color="000000" w:sz="12" w:space="0"/>
              <w:right w:val="single" w:color="000000" w:sz="4" w:space="0"/>
            </w:tcBorders>
            <w:vAlign w:val="center"/>
          </w:tcPr>
          <w:p w14:paraId="16C879E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1321" w:type="pct"/>
            <w:tcBorders>
              <w:top w:val="single" w:color="000000" w:sz="4" w:space="0"/>
              <w:left w:val="single" w:color="000000" w:sz="4" w:space="0"/>
              <w:bottom w:val="single" w:color="000000" w:sz="12" w:space="0"/>
              <w:right w:val="single" w:color="000000" w:sz="4" w:space="0"/>
            </w:tcBorders>
            <w:vAlign w:val="center"/>
          </w:tcPr>
          <w:p w14:paraId="4D5D3FD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废石场、尾矿库I类，选矿厂</w:t>
            </w:r>
            <w:r>
              <w:rPr>
                <w:rFonts w:hint="eastAsia" w:ascii="Times New Roman" w:hAnsi="Times New Roman" w:cs="Times New Roman"/>
                <w:color w:val="auto"/>
                <w:spacing w:val="0"/>
                <w:w w:val="100"/>
                <w:position w:val="0"/>
                <w:lang w:eastAsia="zh-CN"/>
              </w:rPr>
              <w:t>Ⅱ类</w:t>
            </w:r>
            <w:r>
              <w:rPr>
                <w:rFonts w:hint="default" w:ascii="Times New Roman" w:hAnsi="Times New Roman" w:eastAsia="宋体" w:cs="Times New Roman"/>
                <w:color w:val="auto"/>
                <w:spacing w:val="0"/>
                <w:w w:val="100"/>
                <w:position w:val="0"/>
              </w:rPr>
              <w:t>，其余</w:t>
            </w:r>
            <w:r>
              <w:rPr>
                <w:rFonts w:hint="eastAsia" w:ascii="Times New Roman" w:hAnsi="Times New Roman" w:cs="Times New Roman"/>
                <w:color w:val="auto"/>
                <w:spacing w:val="0"/>
                <w:w w:val="100"/>
                <w:position w:val="0"/>
                <w:lang w:eastAsia="zh-CN"/>
              </w:rPr>
              <w:t>Ⅲ类</w:t>
            </w:r>
          </w:p>
        </w:tc>
        <w:tc>
          <w:tcPr>
            <w:tcW w:w="685" w:type="pct"/>
            <w:tcBorders>
              <w:top w:val="single" w:color="000000" w:sz="4" w:space="0"/>
              <w:left w:val="single" w:color="000000" w:sz="4" w:space="0"/>
              <w:bottom w:val="single" w:color="000000" w:sz="12" w:space="0"/>
              <w:right w:val="single" w:color="000000" w:sz="12" w:space="0"/>
            </w:tcBorders>
            <w:vAlign w:val="center"/>
          </w:tcPr>
          <w:p w14:paraId="47F5C1D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bl>
    <w:p w14:paraId="6F13EAD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（2）地下水环境敏感程度</w:t>
      </w:r>
    </w:p>
    <w:p w14:paraId="031D0E7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根据《环境影响评价技术导则 地下水环境》（HJ610-2016）表1地下水环境敏感程度分级规定、本项目所在区域的水文地质资料，本工程不在集中式饮用水水源（包括已建成的在用、备用、应急水源，在建和规划的饮用水水源）准保护区；除集中式饮用水水源以外的国家或地方政府设定的与地下水环境相关的其它保护区，如热水、矿泉水、温泉等特殊地下水资源保护区。不在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故本项目地下水</w:t>
      </w:r>
      <w:r>
        <w:rPr>
          <w:rFonts w:hint="default" w:ascii="Times New Roman" w:hAnsi="Times New Roman" w:cs="Times New Roman"/>
          <w:color w:val="auto"/>
          <w:spacing w:val="0"/>
          <w:w w:val="100"/>
          <w:position w:val="0"/>
          <w:sz w:val="24"/>
          <w:highlight w:val="none"/>
          <w:lang w:val="en-US" w:eastAsia="zh-CN"/>
        </w:rPr>
        <w:t>环境</w:t>
      </w:r>
      <w:r>
        <w:rPr>
          <w:rFonts w:hint="default" w:ascii="Times New Roman" w:hAnsi="Times New Roman" w:eastAsia="宋体" w:cs="Times New Roman"/>
          <w:color w:val="auto"/>
          <w:spacing w:val="0"/>
          <w:w w:val="100"/>
          <w:position w:val="0"/>
          <w:sz w:val="24"/>
          <w:highlight w:val="none"/>
          <w:lang w:val="en-US" w:eastAsia="zh-CN"/>
        </w:rPr>
        <w:t>不敏感，具体见表2.5-</w:t>
      </w:r>
      <w:r>
        <w:rPr>
          <w:rFonts w:hint="eastAsia" w:ascii="Times New Roman" w:hAnsi="Times New Roman" w:cs="Times New Roman"/>
          <w:color w:val="auto"/>
          <w:spacing w:val="0"/>
          <w:w w:val="100"/>
          <w:position w:val="0"/>
          <w:sz w:val="24"/>
          <w:highlight w:val="none"/>
          <w:lang w:val="en-US" w:eastAsia="zh-CN"/>
        </w:rPr>
        <w:t>7</w:t>
      </w:r>
      <w:r>
        <w:rPr>
          <w:rFonts w:hint="default" w:ascii="Times New Roman" w:hAnsi="Times New Roman" w:eastAsia="宋体" w:cs="Times New Roman"/>
          <w:color w:val="auto"/>
          <w:spacing w:val="0"/>
          <w:w w:val="100"/>
          <w:position w:val="0"/>
          <w:sz w:val="24"/>
          <w:highlight w:val="none"/>
          <w:lang w:val="en-US" w:eastAsia="zh-CN"/>
        </w:rPr>
        <w:t>。</w:t>
      </w:r>
    </w:p>
    <w:p w14:paraId="7A62B0CB">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zh-CN" w:eastAsia="zh-CN"/>
        </w:rPr>
        <w:t>-</w:t>
      </w:r>
      <w:r>
        <w:rPr>
          <w:rFonts w:hint="eastAsia" w:ascii="Times New Roman" w:hAnsi="Times New Roman" w:cs="Times New Roman"/>
          <w:b/>
          <w:bCs/>
          <w:color w:val="auto"/>
          <w:spacing w:val="0"/>
          <w:w w:val="100"/>
          <w:position w:val="0"/>
          <w:sz w:val="21"/>
          <w:szCs w:val="21"/>
          <w:lang w:val="en-US" w:eastAsia="zh-CN"/>
        </w:rPr>
        <w:t>7</w:t>
      </w:r>
      <w:r>
        <w:rPr>
          <w:rFonts w:hint="default" w:ascii="Times New Roman" w:hAnsi="Times New Roman" w:eastAsia="宋体" w:cs="Times New Roman"/>
          <w:b/>
          <w:bCs/>
          <w:color w:val="auto"/>
          <w:spacing w:val="0"/>
          <w:w w:val="100"/>
          <w:position w:val="0"/>
          <w:sz w:val="21"/>
          <w:szCs w:val="21"/>
          <w:lang w:val="zh-CN" w:eastAsia="zh-CN"/>
        </w:rPr>
        <w:t xml:space="preserve"> </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 xml:space="preserve"> 地下水环境敏感程度分级</w:t>
      </w:r>
    </w:p>
    <w:tbl>
      <w:tblPr>
        <w:tblStyle w:val="21"/>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7545"/>
      </w:tblGrid>
      <w:tr w14:paraId="79BEB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jc w:val="center"/>
        </w:trPr>
        <w:tc>
          <w:tcPr>
            <w:tcW w:w="572" w:type="pct"/>
            <w:vAlign w:val="center"/>
          </w:tcPr>
          <w:p w14:paraId="65B94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分级</w:t>
            </w:r>
          </w:p>
        </w:tc>
        <w:tc>
          <w:tcPr>
            <w:tcW w:w="4427" w:type="pct"/>
            <w:vAlign w:val="center"/>
          </w:tcPr>
          <w:p w14:paraId="01E78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项目场地的地下水环境敏感特征</w:t>
            </w:r>
          </w:p>
        </w:tc>
      </w:tr>
      <w:tr w14:paraId="6100C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72" w:type="pct"/>
            <w:vAlign w:val="center"/>
          </w:tcPr>
          <w:p w14:paraId="310B31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敏感</w:t>
            </w:r>
          </w:p>
        </w:tc>
        <w:tc>
          <w:tcPr>
            <w:tcW w:w="4427" w:type="pct"/>
            <w:vAlign w:val="center"/>
          </w:tcPr>
          <w:p w14:paraId="47461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集中式饮用水水源</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包括已建成的在用、备用、应急水源地，在建和规划的饮用水水源</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准保护区；除集中式饮用水水源以外的国家或地方政府设定的与地下水环境相关的其它保护区，如热水、矿泉水、温泉等特殊地下水资源保护区。</w:t>
            </w:r>
          </w:p>
        </w:tc>
      </w:tr>
      <w:tr w14:paraId="7F395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72" w:type="pct"/>
            <w:vAlign w:val="center"/>
          </w:tcPr>
          <w:p w14:paraId="586BC9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较敏感</w:t>
            </w:r>
          </w:p>
        </w:tc>
        <w:tc>
          <w:tcPr>
            <w:tcW w:w="4427" w:type="pct"/>
            <w:vAlign w:val="center"/>
          </w:tcPr>
          <w:p w14:paraId="524FE4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集中式饮用水水源</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包括已建成的在用、备用、应急水源，在建和规划的饮用水水源</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准保护区以外的补给径流区；未划定准保护区的集中式饮用水水源，其保护区以外的补给径流区；分散式饮用水水源地；特殊地下水资源（矿泉水、温泉等）保护区以外的分布区等其它未列入上述敏感分级的环境敏感区。</w:t>
            </w:r>
          </w:p>
        </w:tc>
      </w:tr>
      <w:tr w14:paraId="4112F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72" w:type="pct"/>
            <w:vAlign w:val="center"/>
          </w:tcPr>
          <w:p w14:paraId="0C7C1EDD">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不敏感</w:t>
            </w:r>
          </w:p>
        </w:tc>
        <w:tc>
          <w:tcPr>
            <w:tcW w:w="4427" w:type="pct"/>
            <w:vAlign w:val="center"/>
          </w:tcPr>
          <w:p w14:paraId="6F20B160">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上述地区之外的其它地区。</w:t>
            </w:r>
          </w:p>
        </w:tc>
      </w:tr>
      <w:tr w14:paraId="0A8794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2"/>
            <w:vAlign w:val="center"/>
          </w:tcPr>
          <w:p w14:paraId="496F4874">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注：</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环境敏感区</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是指《建设项目环境影响评价分类管理名录》中所界定的涉及地下水的</w:t>
            </w:r>
          </w:p>
          <w:p w14:paraId="1184C245">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环境敏感区。</w:t>
            </w:r>
          </w:p>
        </w:tc>
      </w:tr>
    </w:tbl>
    <w:p w14:paraId="62435E29">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（3）评价工作等级的确定</w:t>
      </w:r>
    </w:p>
    <w:p w14:paraId="1794AF4D">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按照《环境影响评价技术导则 地下水环境》（HJ610-2016）中表2评价工作等级分级表评价工作等级的划分方法进行确定，其判据详见表2.5-</w:t>
      </w:r>
      <w:r>
        <w:rPr>
          <w:rFonts w:hint="eastAsia" w:ascii="Times New Roman" w:hAnsi="Times New Roman" w:cs="Times New Roman"/>
          <w:color w:val="auto"/>
          <w:spacing w:val="0"/>
          <w:w w:val="100"/>
          <w:position w:val="0"/>
          <w:lang w:val="en-US" w:eastAsia="zh-CN"/>
        </w:rPr>
        <w:t>8</w:t>
      </w:r>
      <w:r>
        <w:rPr>
          <w:rFonts w:hint="default" w:ascii="Times New Roman" w:hAnsi="Times New Roman" w:eastAsia="宋体" w:cs="Times New Roman"/>
          <w:color w:val="auto"/>
          <w:spacing w:val="0"/>
          <w:w w:val="100"/>
          <w:position w:val="0"/>
        </w:rPr>
        <w:t>。</w:t>
      </w:r>
    </w:p>
    <w:p w14:paraId="14095C50">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zh-CN" w:eastAsia="zh-CN"/>
        </w:rPr>
        <w:t>-</w:t>
      </w:r>
      <w:r>
        <w:rPr>
          <w:rFonts w:hint="eastAsia" w:ascii="Times New Roman" w:hAnsi="Times New Roman" w:cs="Times New Roman"/>
          <w:b/>
          <w:bCs/>
          <w:color w:val="auto"/>
          <w:spacing w:val="0"/>
          <w:w w:val="100"/>
          <w:position w:val="0"/>
          <w:sz w:val="21"/>
          <w:szCs w:val="21"/>
          <w:lang w:val="en-US" w:eastAsia="zh-CN"/>
        </w:rPr>
        <w:t>8</w:t>
      </w:r>
      <w:r>
        <w:rPr>
          <w:rFonts w:hint="default" w:ascii="Times New Roman" w:hAnsi="Times New Roman" w:eastAsia="宋体" w:cs="Times New Roman"/>
          <w:b/>
          <w:bCs/>
          <w:color w:val="auto"/>
          <w:spacing w:val="0"/>
          <w:w w:val="100"/>
          <w:position w:val="0"/>
          <w:sz w:val="21"/>
          <w:szCs w:val="21"/>
          <w:lang w:val="zh-CN" w:eastAsia="zh-CN"/>
        </w:rPr>
        <w:t xml:space="preserve">    评价区地下水环境影响评价工作等级划分</w:t>
      </w:r>
    </w:p>
    <w:tbl>
      <w:tblPr>
        <w:tblStyle w:val="21"/>
        <w:tblW w:w="49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27"/>
        <w:gridCol w:w="2130"/>
        <w:gridCol w:w="2056"/>
      </w:tblGrid>
      <w:tr w14:paraId="77A0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260" w:type="pct"/>
            <w:tcBorders>
              <w:top w:val="single" w:color="auto" w:sz="12" w:space="0"/>
              <w:left w:val="single" w:color="auto" w:sz="12" w:space="0"/>
              <w:tl2br w:val="single" w:color="auto" w:sz="4" w:space="0"/>
            </w:tcBorders>
            <w:vAlign w:val="top"/>
          </w:tcPr>
          <w:p w14:paraId="5133AA05">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 xml:space="preserve">          项目类别</w:t>
            </w:r>
          </w:p>
          <w:p w14:paraId="047D2DD6">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环境敏感程度</w:t>
            </w:r>
          </w:p>
        </w:tc>
        <w:tc>
          <w:tcPr>
            <w:tcW w:w="1259" w:type="pct"/>
            <w:tcBorders>
              <w:top w:val="single" w:color="auto" w:sz="12" w:space="0"/>
            </w:tcBorders>
            <w:vAlign w:val="center"/>
          </w:tcPr>
          <w:p w14:paraId="6F5CC6F9">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I类项目</w:t>
            </w:r>
          </w:p>
        </w:tc>
        <w:tc>
          <w:tcPr>
            <w:tcW w:w="1261" w:type="pct"/>
            <w:tcBorders>
              <w:top w:val="single" w:color="auto" w:sz="12" w:space="0"/>
            </w:tcBorders>
            <w:vAlign w:val="center"/>
          </w:tcPr>
          <w:p w14:paraId="40485147">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lang w:eastAsia="zh-CN"/>
              </w:rPr>
              <w:t>Ⅱ类</w:t>
            </w:r>
            <w:r>
              <w:rPr>
                <w:rFonts w:hint="default" w:ascii="Times New Roman" w:hAnsi="Times New Roman" w:eastAsia="宋体" w:cs="Times New Roman"/>
                <w:b w:val="0"/>
                <w:bCs w:val="0"/>
                <w:color w:val="auto"/>
                <w:spacing w:val="0"/>
                <w:w w:val="100"/>
                <w:position w:val="0"/>
                <w:highlight w:val="none"/>
              </w:rPr>
              <w:t>项目</w:t>
            </w:r>
          </w:p>
        </w:tc>
        <w:tc>
          <w:tcPr>
            <w:tcW w:w="1217" w:type="pct"/>
            <w:tcBorders>
              <w:top w:val="single" w:color="auto" w:sz="12" w:space="0"/>
              <w:right w:val="single" w:color="auto" w:sz="12" w:space="0"/>
            </w:tcBorders>
            <w:vAlign w:val="center"/>
          </w:tcPr>
          <w:p w14:paraId="3BA18171">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cs="Times New Roman"/>
                <w:b w:val="0"/>
                <w:bCs w:val="0"/>
                <w:color w:val="auto"/>
                <w:spacing w:val="0"/>
                <w:w w:val="100"/>
                <w:position w:val="0"/>
                <w:highlight w:val="none"/>
                <w:lang w:eastAsia="zh-CN"/>
              </w:rPr>
              <w:t>Ⅲ类</w:t>
            </w:r>
            <w:r>
              <w:rPr>
                <w:rFonts w:hint="default" w:ascii="Times New Roman" w:hAnsi="Times New Roman" w:eastAsia="宋体" w:cs="Times New Roman"/>
                <w:b w:val="0"/>
                <w:bCs w:val="0"/>
                <w:color w:val="auto"/>
                <w:spacing w:val="0"/>
                <w:w w:val="100"/>
                <w:position w:val="0"/>
                <w:highlight w:val="none"/>
              </w:rPr>
              <w:t>项目</w:t>
            </w:r>
          </w:p>
        </w:tc>
      </w:tr>
      <w:tr w14:paraId="1F12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tcBorders>
              <w:left w:val="single" w:color="auto" w:sz="12" w:space="0"/>
            </w:tcBorders>
            <w:vAlign w:val="center"/>
          </w:tcPr>
          <w:p w14:paraId="6B1D5154">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敏感</w:t>
            </w:r>
          </w:p>
        </w:tc>
        <w:tc>
          <w:tcPr>
            <w:tcW w:w="1259" w:type="pct"/>
            <w:vAlign w:val="center"/>
          </w:tcPr>
          <w:p w14:paraId="7259B73B">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一</w:t>
            </w:r>
          </w:p>
        </w:tc>
        <w:tc>
          <w:tcPr>
            <w:tcW w:w="1261" w:type="pct"/>
            <w:vAlign w:val="center"/>
          </w:tcPr>
          <w:p w14:paraId="758D3A8D">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一</w:t>
            </w:r>
          </w:p>
        </w:tc>
        <w:tc>
          <w:tcPr>
            <w:tcW w:w="1217" w:type="pct"/>
            <w:tcBorders>
              <w:right w:val="single" w:color="auto" w:sz="12" w:space="0"/>
            </w:tcBorders>
            <w:vAlign w:val="center"/>
          </w:tcPr>
          <w:p w14:paraId="726F0D43">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二</w:t>
            </w:r>
          </w:p>
        </w:tc>
      </w:tr>
      <w:tr w14:paraId="0C90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tcBorders>
              <w:left w:val="single" w:color="auto" w:sz="12" w:space="0"/>
            </w:tcBorders>
            <w:vAlign w:val="center"/>
          </w:tcPr>
          <w:p w14:paraId="079787DC">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较敏感</w:t>
            </w:r>
          </w:p>
        </w:tc>
        <w:tc>
          <w:tcPr>
            <w:tcW w:w="1259" w:type="pct"/>
            <w:vAlign w:val="center"/>
          </w:tcPr>
          <w:p w14:paraId="34694687">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一</w:t>
            </w:r>
          </w:p>
        </w:tc>
        <w:tc>
          <w:tcPr>
            <w:tcW w:w="1261" w:type="pct"/>
            <w:vAlign w:val="center"/>
          </w:tcPr>
          <w:p w14:paraId="1232D3ED">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二</w:t>
            </w:r>
          </w:p>
        </w:tc>
        <w:tc>
          <w:tcPr>
            <w:tcW w:w="1217" w:type="pct"/>
            <w:tcBorders>
              <w:right w:val="single" w:color="auto" w:sz="12" w:space="0"/>
            </w:tcBorders>
            <w:vAlign w:val="center"/>
          </w:tcPr>
          <w:p w14:paraId="1D106F05">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三</w:t>
            </w:r>
          </w:p>
        </w:tc>
      </w:tr>
      <w:tr w14:paraId="6177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tcBorders>
              <w:left w:val="single" w:color="auto" w:sz="12" w:space="0"/>
              <w:bottom w:val="single" w:color="auto" w:sz="12" w:space="0"/>
            </w:tcBorders>
            <w:vAlign w:val="center"/>
          </w:tcPr>
          <w:p w14:paraId="0E1A6543">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不敏感</w:t>
            </w:r>
          </w:p>
        </w:tc>
        <w:tc>
          <w:tcPr>
            <w:tcW w:w="1259" w:type="pct"/>
            <w:tcBorders>
              <w:bottom w:val="single" w:color="auto" w:sz="12" w:space="0"/>
            </w:tcBorders>
            <w:vAlign w:val="center"/>
          </w:tcPr>
          <w:p w14:paraId="15CBFC08">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二</w:t>
            </w:r>
          </w:p>
        </w:tc>
        <w:tc>
          <w:tcPr>
            <w:tcW w:w="1261" w:type="pct"/>
            <w:tcBorders>
              <w:bottom w:val="single" w:color="auto" w:sz="12" w:space="0"/>
            </w:tcBorders>
            <w:vAlign w:val="center"/>
          </w:tcPr>
          <w:p w14:paraId="67D9E132">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三</w:t>
            </w:r>
          </w:p>
        </w:tc>
        <w:tc>
          <w:tcPr>
            <w:tcW w:w="1217" w:type="pct"/>
            <w:tcBorders>
              <w:bottom w:val="single" w:color="auto" w:sz="12" w:space="0"/>
              <w:right w:val="single" w:color="auto" w:sz="12" w:space="0"/>
            </w:tcBorders>
            <w:vAlign w:val="center"/>
          </w:tcPr>
          <w:p w14:paraId="57C6C80C">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三</w:t>
            </w:r>
          </w:p>
        </w:tc>
      </w:tr>
    </w:tbl>
    <w:p w14:paraId="1AA0E16D">
      <w:pPr>
        <w:keepNext w:val="0"/>
        <w:keepLines w:val="0"/>
        <w:pageBreakBefore w:val="0"/>
        <w:widowControl w:val="0"/>
        <w:kinsoku/>
        <w:wordWrap/>
        <w:overflowPunct/>
        <w:topLinePunct w:val="0"/>
        <w:autoSpaceDE/>
        <w:autoSpaceDN/>
        <w:bidi w:val="0"/>
        <w:adjustRightInd/>
        <w:snapToGrid/>
        <w:spacing w:line="480" w:lineRule="exact"/>
        <w:ind w:left="0" w:right="0" w:firstLine="476"/>
        <w:textAlignment w:val="auto"/>
        <w:rPr>
          <w:rFonts w:hint="default" w:ascii="Times New Roman" w:hAnsi="Times New Roman" w:eastAsia="宋体" w:cs="Times New Roman"/>
          <w:b w:val="0"/>
          <w:bCs w:val="0"/>
          <w:color w:val="auto"/>
          <w:spacing w:val="0"/>
          <w:w w:val="100"/>
          <w:kern w:val="0"/>
          <w:position w:val="0"/>
          <w:sz w:val="21"/>
          <w:szCs w:val="21"/>
          <w:highlight w:val="none"/>
          <w:lang w:val="zh-CN" w:eastAsia="zh-CN" w:bidi="ar-SA"/>
        </w:rPr>
      </w:pPr>
      <w:r>
        <w:rPr>
          <w:rFonts w:hint="default" w:ascii="Times New Roman" w:hAnsi="Times New Roman" w:eastAsia="宋体" w:cs="Times New Roman"/>
          <w:b w:val="0"/>
          <w:bCs w:val="0"/>
          <w:color w:val="auto"/>
          <w:spacing w:val="0"/>
          <w:w w:val="100"/>
          <w:position w:val="0"/>
          <w:sz w:val="24"/>
          <w:szCs w:val="24"/>
        </w:rPr>
        <w:t>根据表</w:t>
      </w:r>
      <w:r>
        <w:rPr>
          <w:rFonts w:hint="default" w:ascii="Times New Roman" w:hAnsi="Times New Roman" w:eastAsia="宋体" w:cs="Times New Roman"/>
          <w:b w:val="0"/>
          <w:bCs w:val="0"/>
          <w:color w:val="auto"/>
          <w:spacing w:val="0"/>
          <w:w w:val="100"/>
          <w:position w:val="0"/>
          <w:sz w:val="24"/>
          <w:szCs w:val="24"/>
          <w:lang w:val="en-US" w:eastAsia="zh-CN"/>
        </w:rPr>
        <w:t>2.5-</w:t>
      </w:r>
      <w:r>
        <w:rPr>
          <w:rFonts w:hint="eastAsia" w:ascii="Times New Roman" w:hAnsi="Times New Roman" w:cs="Times New Roman"/>
          <w:b w:val="0"/>
          <w:bCs w:val="0"/>
          <w:color w:val="auto"/>
          <w:spacing w:val="0"/>
          <w:w w:val="100"/>
          <w:position w:val="0"/>
          <w:sz w:val="24"/>
          <w:szCs w:val="24"/>
          <w:lang w:val="en-US" w:eastAsia="zh-CN"/>
        </w:rPr>
        <w:t>8</w:t>
      </w:r>
      <w:r>
        <w:rPr>
          <w:rFonts w:hint="default" w:ascii="Times New Roman" w:hAnsi="Times New Roman" w:eastAsia="宋体" w:cs="Times New Roman"/>
          <w:b w:val="0"/>
          <w:bCs w:val="0"/>
          <w:color w:val="auto"/>
          <w:spacing w:val="0"/>
          <w:w w:val="100"/>
          <w:position w:val="0"/>
          <w:sz w:val="24"/>
          <w:szCs w:val="24"/>
        </w:rPr>
        <w:t>及以上分析内容，本项目地下水环境影响评价等级为二级，各场地的评价等级见表2.</w:t>
      </w:r>
      <w:r>
        <w:rPr>
          <w:rFonts w:hint="default" w:ascii="Times New Roman" w:hAnsi="Times New Roman" w:eastAsia="宋体" w:cs="Times New Roman"/>
          <w:b w:val="0"/>
          <w:bCs w:val="0"/>
          <w:color w:val="auto"/>
          <w:spacing w:val="0"/>
          <w:w w:val="100"/>
          <w:position w:val="0"/>
          <w:sz w:val="24"/>
          <w:szCs w:val="24"/>
          <w:lang w:val="en-US" w:eastAsia="zh-CN"/>
        </w:rPr>
        <w:t>5-</w:t>
      </w:r>
      <w:r>
        <w:rPr>
          <w:rFonts w:hint="eastAsia" w:ascii="Times New Roman" w:hAnsi="Times New Roman" w:cs="Times New Roman"/>
          <w:b w:val="0"/>
          <w:bCs w:val="0"/>
          <w:color w:val="auto"/>
          <w:spacing w:val="0"/>
          <w:w w:val="100"/>
          <w:position w:val="0"/>
          <w:sz w:val="24"/>
          <w:szCs w:val="24"/>
          <w:lang w:val="en-US" w:eastAsia="zh-CN"/>
        </w:rPr>
        <w:t>9</w:t>
      </w:r>
      <w:r>
        <w:rPr>
          <w:rFonts w:hint="default" w:ascii="Times New Roman" w:hAnsi="Times New Roman" w:eastAsia="宋体" w:cs="Times New Roman"/>
          <w:b w:val="0"/>
          <w:bCs w:val="0"/>
          <w:color w:val="auto"/>
          <w:spacing w:val="0"/>
          <w:w w:val="100"/>
          <w:position w:val="0"/>
          <w:sz w:val="24"/>
          <w:szCs w:val="24"/>
        </w:rPr>
        <w:t>。</w:t>
      </w:r>
    </w:p>
    <w:p w14:paraId="17F25574">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eastAsia" w:ascii="Times New Roman" w:hAnsi="Times New Roman" w:cs="Times New Roman"/>
          <w:b/>
          <w:bCs/>
          <w:color w:val="auto"/>
          <w:spacing w:val="0"/>
          <w:w w:val="100"/>
          <w:position w:val="0"/>
          <w:sz w:val="21"/>
          <w:szCs w:val="21"/>
          <w:lang w:val="en-US" w:eastAsia="zh-CN"/>
        </w:rPr>
        <w:t>9</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地下水环境影响评价等级确定一览表</w:t>
      </w:r>
    </w:p>
    <w:tbl>
      <w:tblPr>
        <w:tblStyle w:val="31"/>
        <w:tblW w:w="501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66"/>
        <w:gridCol w:w="701"/>
        <w:gridCol w:w="1691"/>
        <w:gridCol w:w="3713"/>
        <w:gridCol w:w="837"/>
        <w:gridCol w:w="758"/>
      </w:tblGrid>
      <w:tr w14:paraId="61FF6E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398" w:type="pct"/>
            <w:tcBorders>
              <w:tl2br w:val="nil"/>
              <w:tr2bl w:val="nil"/>
            </w:tcBorders>
            <w:vAlign w:val="center"/>
          </w:tcPr>
          <w:p w14:paraId="55882BC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序号</w:t>
            </w:r>
          </w:p>
        </w:tc>
        <w:tc>
          <w:tcPr>
            <w:tcW w:w="419" w:type="pct"/>
            <w:tcBorders>
              <w:tl2br w:val="nil"/>
              <w:tr2bl w:val="nil"/>
            </w:tcBorders>
            <w:vAlign w:val="center"/>
          </w:tcPr>
          <w:p w14:paraId="1CFC0AD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工程内容</w:t>
            </w:r>
          </w:p>
        </w:tc>
        <w:tc>
          <w:tcPr>
            <w:tcW w:w="1010" w:type="pct"/>
            <w:tcBorders>
              <w:tl2br w:val="nil"/>
              <w:tr2bl w:val="nil"/>
            </w:tcBorders>
            <w:vAlign w:val="center"/>
          </w:tcPr>
          <w:p w14:paraId="69C213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判定依据</w:t>
            </w:r>
          </w:p>
        </w:tc>
        <w:tc>
          <w:tcPr>
            <w:tcW w:w="2218" w:type="pct"/>
            <w:tcBorders>
              <w:tl2br w:val="nil"/>
              <w:tr2bl w:val="nil"/>
            </w:tcBorders>
            <w:vAlign w:val="center"/>
          </w:tcPr>
          <w:p w14:paraId="451189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本项目情况</w:t>
            </w:r>
          </w:p>
        </w:tc>
        <w:tc>
          <w:tcPr>
            <w:tcW w:w="500" w:type="pct"/>
            <w:tcBorders>
              <w:tl2br w:val="nil"/>
              <w:tr2bl w:val="nil"/>
            </w:tcBorders>
            <w:vAlign w:val="center"/>
          </w:tcPr>
          <w:p w14:paraId="2596A1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判定结果</w:t>
            </w:r>
          </w:p>
        </w:tc>
        <w:tc>
          <w:tcPr>
            <w:tcW w:w="452" w:type="pct"/>
            <w:tcBorders>
              <w:tl2br w:val="nil"/>
              <w:tr2bl w:val="nil"/>
            </w:tcBorders>
            <w:vAlign w:val="center"/>
          </w:tcPr>
          <w:p w14:paraId="142897D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评价等级</w:t>
            </w:r>
          </w:p>
        </w:tc>
      </w:tr>
      <w:tr w14:paraId="51CCD0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restart"/>
            <w:tcBorders>
              <w:tl2br w:val="nil"/>
              <w:tr2bl w:val="nil"/>
            </w:tcBorders>
            <w:vAlign w:val="center"/>
          </w:tcPr>
          <w:p w14:paraId="1376D89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419" w:type="pct"/>
            <w:vMerge w:val="restart"/>
            <w:tcBorders>
              <w:tl2br w:val="nil"/>
              <w:tr2bl w:val="nil"/>
            </w:tcBorders>
            <w:vAlign w:val="center"/>
          </w:tcPr>
          <w:p w14:paraId="05DBFA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地下采场</w:t>
            </w:r>
          </w:p>
        </w:tc>
        <w:tc>
          <w:tcPr>
            <w:tcW w:w="1010" w:type="pct"/>
            <w:tcBorders>
              <w:tl2br w:val="nil"/>
              <w:tr2bl w:val="nil"/>
            </w:tcBorders>
            <w:vAlign w:val="center"/>
          </w:tcPr>
          <w:p w14:paraId="1134777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地下水环境影响评价项目类别</w:t>
            </w:r>
          </w:p>
        </w:tc>
        <w:tc>
          <w:tcPr>
            <w:tcW w:w="2218" w:type="pct"/>
            <w:tcBorders>
              <w:tl2br w:val="nil"/>
              <w:tr2bl w:val="nil"/>
            </w:tcBorders>
            <w:vAlign w:val="center"/>
          </w:tcPr>
          <w:p w14:paraId="0FA5D49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地下采场均为</w:t>
            </w:r>
            <w:r>
              <w:rPr>
                <w:rFonts w:hint="default" w:ascii="Times New Roman" w:hAnsi="Times New Roman" w:cs="Times New Roman"/>
                <w:color w:val="auto"/>
                <w:spacing w:val="0"/>
                <w:w w:val="100"/>
                <w:position w:val="0"/>
                <w:sz w:val="21"/>
                <w:szCs w:val="21"/>
                <w:lang w:eastAsia="zh-CN"/>
              </w:rPr>
              <w:t>Ⅲ类</w:t>
            </w:r>
            <w:r>
              <w:rPr>
                <w:rFonts w:hint="default" w:ascii="Times New Roman" w:hAnsi="Times New Roman" w:eastAsia="宋体" w:cs="Times New Roman"/>
                <w:color w:val="auto"/>
                <w:spacing w:val="0"/>
                <w:w w:val="100"/>
                <w:position w:val="0"/>
                <w:sz w:val="21"/>
                <w:szCs w:val="21"/>
              </w:rPr>
              <w:t>项目</w:t>
            </w:r>
          </w:p>
        </w:tc>
        <w:tc>
          <w:tcPr>
            <w:tcW w:w="500" w:type="pct"/>
            <w:tcBorders>
              <w:tl2br w:val="nil"/>
              <w:tr2bl w:val="nil"/>
            </w:tcBorders>
            <w:vAlign w:val="center"/>
          </w:tcPr>
          <w:p w14:paraId="163835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eastAsia="zh-CN"/>
              </w:rPr>
              <w:t>Ⅲ</w:t>
            </w:r>
            <w:r>
              <w:rPr>
                <w:rFonts w:hint="default" w:ascii="Times New Roman" w:hAnsi="Times New Roman" w:eastAsia="宋体" w:cs="Times New Roman"/>
                <w:color w:val="auto"/>
                <w:spacing w:val="0"/>
                <w:w w:val="100"/>
                <w:position w:val="0"/>
                <w:sz w:val="21"/>
                <w:szCs w:val="21"/>
              </w:rPr>
              <w:t>类</w:t>
            </w:r>
          </w:p>
        </w:tc>
        <w:tc>
          <w:tcPr>
            <w:tcW w:w="452" w:type="pct"/>
            <w:vMerge w:val="restart"/>
            <w:tcBorders>
              <w:tl2br w:val="nil"/>
              <w:tr2bl w:val="nil"/>
            </w:tcBorders>
            <w:vAlign w:val="center"/>
          </w:tcPr>
          <w:p w14:paraId="15991A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三级</w:t>
            </w:r>
          </w:p>
        </w:tc>
      </w:tr>
      <w:tr w14:paraId="64DE22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continue"/>
            <w:tcBorders>
              <w:tl2br w:val="nil"/>
              <w:tr2bl w:val="nil"/>
            </w:tcBorders>
            <w:vAlign w:val="center"/>
          </w:tcPr>
          <w:p w14:paraId="00FD52D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19" w:type="pct"/>
            <w:vMerge w:val="continue"/>
            <w:tcBorders>
              <w:tl2br w:val="nil"/>
              <w:tr2bl w:val="nil"/>
            </w:tcBorders>
            <w:vAlign w:val="center"/>
          </w:tcPr>
          <w:p w14:paraId="5D953F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010" w:type="pct"/>
            <w:tcBorders>
              <w:tl2br w:val="nil"/>
              <w:tr2bl w:val="nil"/>
            </w:tcBorders>
            <w:vAlign w:val="center"/>
          </w:tcPr>
          <w:p w14:paraId="1BDDBC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地下水环境敏感程度</w:t>
            </w:r>
          </w:p>
        </w:tc>
        <w:tc>
          <w:tcPr>
            <w:tcW w:w="2218" w:type="pct"/>
            <w:tcBorders>
              <w:tl2br w:val="nil"/>
              <w:tr2bl w:val="nil"/>
            </w:tcBorders>
            <w:vAlign w:val="center"/>
          </w:tcPr>
          <w:p w14:paraId="6491F74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无集中式饮用水水源地，也无除集中式饮用水源以外的其他保护区，周边也无分散式饮用水水源地，无其他环境敏感区。</w:t>
            </w:r>
          </w:p>
        </w:tc>
        <w:tc>
          <w:tcPr>
            <w:tcW w:w="500" w:type="pct"/>
            <w:tcBorders>
              <w:tl2br w:val="nil"/>
              <w:tr2bl w:val="nil"/>
            </w:tcBorders>
            <w:vAlign w:val="center"/>
          </w:tcPr>
          <w:p w14:paraId="0CC42B1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不敏感</w:t>
            </w:r>
          </w:p>
        </w:tc>
        <w:tc>
          <w:tcPr>
            <w:tcW w:w="452" w:type="pct"/>
            <w:vMerge w:val="continue"/>
            <w:tcBorders>
              <w:tl2br w:val="nil"/>
              <w:tr2bl w:val="nil"/>
            </w:tcBorders>
            <w:vAlign w:val="center"/>
          </w:tcPr>
          <w:p w14:paraId="588F7B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7DB106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restart"/>
            <w:tcBorders>
              <w:tl2br w:val="nil"/>
              <w:tr2bl w:val="nil"/>
            </w:tcBorders>
            <w:vAlign w:val="center"/>
          </w:tcPr>
          <w:p w14:paraId="5D6BD1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val="en-US" w:eastAsia="zh-CN"/>
              </w:rPr>
              <w:t>2</w:t>
            </w:r>
          </w:p>
        </w:tc>
        <w:tc>
          <w:tcPr>
            <w:tcW w:w="419" w:type="pct"/>
            <w:vMerge w:val="restart"/>
            <w:tcBorders>
              <w:tl2br w:val="nil"/>
              <w:tr2bl w:val="nil"/>
            </w:tcBorders>
            <w:vAlign w:val="center"/>
          </w:tcPr>
          <w:p w14:paraId="35167F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废石场</w:t>
            </w:r>
          </w:p>
        </w:tc>
        <w:tc>
          <w:tcPr>
            <w:tcW w:w="1010" w:type="pct"/>
            <w:tcBorders>
              <w:tl2br w:val="nil"/>
              <w:tr2bl w:val="nil"/>
            </w:tcBorders>
            <w:vAlign w:val="center"/>
          </w:tcPr>
          <w:p w14:paraId="274BF86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rPr>
              <w:t>地下水环境影响评价项目类别</w:t>
            </w:r>
          </w:p>
        </w:tc>
        <w:tc>
          <w:tcPr>
            <w:tcW w:w="2218" w:type="pct"/>
            <w:tcBorders>
              <w:tl2br w:val="nil"/>
              <w:tr2bl w:val="nil"/>
            </w:tcBorders>
            <w:vAlign w:val="center"/>
          </w:tcPr>
          <w:p w14:paraId="5F6F25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废石场属于I类项目</w:t>
            </w:r>
          </w:p>
        </w:tc>
        <w:tc>
          <w:tcPr>
            <w:tcW w:w="500" w:type="pct"/>
            <w:tcBorders>
              <w:tl2br w:val="nil"/>
              <w:tr2bl w:val="nil"/>
            </w:tcBorders>
            <w:vAlign w:val="center"/>
          </w:tcPr>
          <w:p w14:paraId="351A852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I类</w:t>
            </w:r>
          </w:p>
        </w:tc>
        <w:tc>
          <w:tcPr>
            <w:tcW w:w="452" w:type="pct"/>
            <w:vMerge w:val="restart"/>
            <w:tcBorders>
              <w:tl2br w:val="nil"/>
              <w:tr2bl w:val="nil"/>
            </w:tcBorders>
            <w:vAlign w:val="center"/>
          </w:tcPr>
          <w:p w14:paraId="4819128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二级</w:t>
            </w:r>
          </w:p>
        </w:tc>
      </w:tr>
      <w:tr w14:paraId="04E488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continue"/>
            <w:tcBorders>
              <w:tl2br w:val="nil"/>
              <w:tr2bl w:val="nil"/>
            </w:tcBorders>
            <w:vAlign w:val="center"/>
          </w:tcPr>
          <w:p w14:paraId="73E3F8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19" w:type="pct"/>
            <w:vMerge w:val="continue"/>
            <w:tcBorders>
              <w:tl2br w:val="nil"/>
              <w:tr2bl w:val="nil"/>
            </w:tcBorders>
            <w:vAlign w:val="center"/>
          </w:tcPr>
          <w:p w14:paraId="666DFB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010" w:type="pct"/>
            <w:tcBorders>
              <w:tl2br w:val="nil"/>
              <w:tr2bl w:val="nil"/>
            </w:tcBorders>
            <w:vAlign w:val="center"/>
          </w:tcPr>
          <w:p w14:paraId="55AD90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rPr>
              <w:t>地下水环境敏感程度</w:t>
            </w:r>
          </w:p>
        </w:tc>
        <w:tc>
          <w:tcPr>
            <w:tcW w:w="2218" w:type="pct"/>
            <w:tcBorders>
              <w:tl2br w:val="nil"/>
              <w:tr2bl w:val="nil"/>
            </w:tcBorders>
            <w:vAlign w:val="center"/>
          </w:tcPr>
          <w:p w14:paraId="0A567B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无集中式饮用水水源地，也无除集中式饮用水源以外的其他保护区，周边也无分散式饮用水水源地，无其他环境敏感区。</w:t>
            </w:r>
          </w:p>
        </w:tc>
        <w:tc>
          <w:tcPr>
            <w:tcW w:w="500" w:type="pct"/>
            <w:tcBorders>
              <w:tl2br w:val="nil"/>
              <w:tr2bl w:val="nil"/>
            </w:tcBorders>
            <w:vAlign w:val="center"/>
          </w:tcPr>
          <w:p w14:paraId="2E4E05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不敏感</w:t>
            </w:r>
          </w:p>
        </w:tc>
        <w:tc>
          <w:tcPr>
            <w:tcW w:w="452" w:type="pct"/>
            <w:vMerge w:val="continue"/>
            <w:tcBorders>
              <w:tl2br w:val="nil"/>
              <w:tr2bl w:val="nil"/>
            </w:tcBorders>
            <w:vAlign w:val="center"/>
          </w:tcPr>
          <w:p w14:paraId="512224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62E33E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restart"/>
            <w:tcBorders>
              <w:tl2br w:val="nil"/>
              <w:tr2bl w:val="nil"/>
            </w:tcBorders>
            <w:vAlign w:val="center"/>
          </w:tcPr>
          <w:p w14:paraId="7F2DC5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lang w:val="en-US" w:eastAsia="zh-CN"/>
              </w:rPr>
              <w:t>3</w:t>
            </w:r>
          </w:p>
        </w:tc>
        <w:tc>
          <w:tcPr>
            <w:tcW w:w="419" w:type="pct"/>
            <w:vMerge w:val="restart"/>
            <w:tcBorders>
              <w:tl2br w:val="nil"/>
              <w:tr2bl w:val="nil"/>
            </w:tcBorders>
            <w:vAlign w:val="center"/>
          </w:tcPr>
          <w:p w14:paraId="3F77B2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矿石</w:t>
            </w:r>
            <w:r>
              <w:rPr>
                <w:rFonts w:hint="default" w:ascii="Times New Roman" w:hAnsi="Times New Roman" w:eastAsia="宋体" w:cs="Times New Roman"/>
                <w:color w:val="auto"/>
                <w:spacing w:val="0"/>
                <w:w w:val="100"/>
                <w:position w:val="0"/>
                <w:sz w:val="21"/>
                <w:szCs w:val="21"/>
              </w:rPr>
              <w:t>堆场</w:t>
            </w:r>
          </w:p>
        </w:tc>
        <w:tc>
          <w:tcPr>
            <w:tcW w:w="1010" w:type="pct"/>
            <w:tcBorders>
              <w:tl2br w:val="nil"/>
              <w:tr2bl w:val="nil"/>
            </w:tcBorders>
            <w:vAlign w:val="center"/>
          </w:tcPr>
          <w:p w14:paraId="046B34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rPr>
              <w:t>地下水环境影响评价项目类别</w:t>
            </w:r>
          </w:p>
        </w:tc>
        <w:tc>
          <w:tcPr>
            <w:tcW w:w="2218" w:type="pct"/>
            <w:tcBorders>
              <w:tl2br w:val="nil"/>
              <w:tr2bl w:val="nil"/>
            </w:tcBorders>
            <w:vAlign w:val="center"/>
          </w:tcPr>
          <w:p w14:paraId="4F8802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矿堆场属于</w:t>
            </w:r>
            <w:r>
              <w:rPr>
                <w:rFonts w:hint="default" w:ascii="Times New Roman" w:hAnsi="Times New Roman" w:cs="Times New Roman"/>
                <w:color w:val="auto"/>
                <w:spacing w:val="0"/>
                <w:w w:val="100"/>
                <w:position w:val="0"/>
                <w:sz w:val="21"/>
                <w:szCs w:val="21"/>
                <w:lang w:eastAsia="zh-CN"/>
              </w:rPr>
              <w:t>Ⅲ类</w:t>
            </w:r>
            <w:r>
              <w:rPr>
                <w:rFonts w:hint="default" w:ascii="Times New Roman" w:hAnsi="Times New Roman" w:eastAsia="宋体" w:cs="Times New Roman"/>
                <w:color w:val="auto"/>
                <w:spacing w:val="0"/>
                <w:w w:val="100"/>
                <w:position w:val="0"/>
                <w:sz w:val="21"/>
                <w:szCs w:val="21"/>
              </w:rPr>
              <w:t>项目</w:t>
            </w:r>
          </w:p>
        </w:tc>
        <w:tc>
          <w:tcPr>
            <w:tcW w:w="500" w:type="pct"/>
            <w:tcBorders>
              <w:tl2br w:val="nil"/>
              <w:tr2bl w:val="nil"/>
            </w:tcBorders>
            <w:vAlign w:val="center"/>
          </w:tcPr>
          <w:p w14:paraId="294AF5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eastAsia="zh-CN"/>
              </w:rPr>
              <w:t>Ⅲ</w:t>
            </w:r>
            <w:r>
              <w:rPr>
                <w:rFonts w:hint="default" w:ascii="Times New Roman" w:hAnsi="Times New Roman" w:eastAsia="宋体" w:cs="Times New Roman"/>
                <w:color w:val="auto"/>
                <w:spacing w:val="0"/>
                <w:w w:val="100"/>
                <w:position w:val="0"/>
                <w:sz w:val="21"/>
                <w:szCs w:val="21"/>
              </w:rPr>
              <w:t>类</w:t>
            </w:r>
          </w:p>
        </w:tc>
        <w:tc>
          <w:tcPr>
            <w:tcW w:w="452" w:type="pct"/>
            <w:vMerge w:val="restart"/>
            <w:tcBorders>
              <w:tl2br w:val="nil"/>
              <w:tr2bl w:val="nil"/>
            </w:tcBorders>
            <w:vAlign w:val="center"/>
          </w:tcPr>
          <w:p w14:paraId="399F3E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三级</w:t>
            </w:r>
          </w:p>
        </w:tc>
      </w:tr>
      <w:tr w14:paraId="581F4C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98" w:type="pct"/>
            <w:vMerge w:val="continue"/>
            <w:tcBorders>
              <w:tl2br w:val="nil"/>
              <w:tr2bl w:val="nil"/>
            </w:tcBorders>
            <w:vAlign w:val="center"/>
          </w:tcPr>
          <w:p w14:paraId="29F6D7D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19" w:type="pct"/>
            <w:vMerge w:val="continue"/>
            <w:tcBorders>
              <w:tl2br w:val="nil"/>
              <w:tr2bl w:val="nil"/>
            </w:tcBorders>
            <w:vAlign w:val="center"/>
          </w:tcPr>
          <w:p w14:paraId="1B02F5D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010" w:type="pct"/>
            <w:tcBorders>
              <w:tl2br w:val="nil"/>
              <w:tr2bl w:val="nil"/>
            </w:tcBorders>
            <w:vAlign w:val="center"/>
          </w:tcPr>
          <w:p w14:paraId="628ADC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rPr>
              <w:t>地下水环境敏感程度</w:t>
            </w:r>
          </w:p>
        </w:tc>
        <w:tc>
          <w:tcPr>
            <w:tcW w:w="2218" w:type="pct"/>
            <w:tcBorders>
              <w:tl2br w:val="nil"/>
              <w:tr2bl w:val="nil"/>
            </w:tcBorders>
            <w:vAlign w:val="center"/>
          </w:tcPr>
          <w:p w14:paraId="4B1940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无集中式饮用水水源地，也无除集中式饮用水源以外的其他保护区，周边也无分散式饮用水水源地，无其他环境敏感区。</w:t>
            </w:r>
          </w:p>
        </w:tc>
        <w:tc>
          <w:tcPr>
            <w:tcW w:w="500" w:type="pct"/>
            <w:tcBorders>
              <w:tl2br w:val="nil"/>
              <w:tr2bl w:val="nil"/>
            </w:tcBorders>
            <w:vAlign w:val="center"/>
          </w:tcPr>
          <w:p w14:paraId="3B753C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不敏感</w:t>
            </w:r>
          </w:p>
        </w:tc>
        <w:tc>
          <w:tcPr>
            <w:tcW w:w="452" w:type="pct"/>
            <w:vMerge w:val="continue"/>
            <w:tcBorders>
              <w:tl2br w:val="nil"/>
              <w:tr2bl w:val="nil"/>
            </w:tcBorders>
            <w:vAlign w:val="center"/>
          </w:tcPr>
          <w:p w14:paraId="02E664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bl>
    <w:p w14:paraId="1CA1E76C">
      <w:pPr>
        <w:pStyle w:val="9"/>
        <w:keepNext w:val="0"/>
        <w:keepLines w:val="0"/>
        <w:pageBreakBefore w:val="0"/>
        <w:widowControl/>
        <w:numPr>
          <w:ilvl w:val="0"/>
          <w:numId w:val="0"/>
        </w:numPr>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kern w:val="2"/>
          <w:position w:val="0"/>
          <w:sz w:val="24"/>
          <w:szCs w:val="24"/>
          <w:highlight w:val="none"/>
          <w:lang w:val="en-US" w:eastAsia="zh-CN" w:bidi="ar-SA"/>
        </w:rPr>
      </w:pPr>
      <w:r>
        <w:rPr>
          <w:rFonts w:hint="default" w:ascii="Times New Roman" w:hAnsi="Times New Roman" w:eastAsia="宋体" w:cs="Times New Roman"/>
          <w:color w:val="auto"/>
          <w:spacing w:val="0"/>
          <w:w w:val="100"/>
          <w:kern w:val="2"/>
          <w:position w:val="0"/>
          <w:sz w:val="24"/>
          <w:szCs w:val="24"/>
          <w:highlight w:val="none"/>
          <w:lang w:val="en-US" w:eastAsia="zh-CN" w:bidi="ar-SA"/>
        </w:rPr>
        <w:t>（4）地下水评价范围</w:t>
      </w:r>
    </w:p>
    <w:p w14:paraId="1E902703">
      <w:pPr>
        <w:keepNext w:val="0"/>
        <w:keepLines w:val="0"/>
        <w:pageBreakBefore w:val="0"/>
        <w:kinsoku/>
        <w:wordWrap/>
        <w:overflowPunct/>
        <w:topLinePunct w:val="0"/>
        <w:autoSpaceDE/>
        <w:autoSpaceDN/>
        <w:bidi w:val="0"/>
        <w:adjustRightInd/>
        <w:snapToGrid/>
        <w:textAlignment w:val="auto"/>
        <w:rPr>
          <w:rFonts w:hint="default" w:ascii="Times New Roman" w:hAnsi="Times New Roman" w:eastAsia="宋体" w:cs="Times New Roman"/>
          <w:color w:val="auto"/>
          <w:spacing w:val="0"/>
          <w:w w:val="100"/>
          <w:position w:val="0"/>
          <w:sz w:val="24"/>
          <w:szCs w:val="24"/>
          <w:highlight w:val="none"/>
          <w:lang w:val="zh-CN"/>
        </w:rPr>
      </w:pPr>
      <w:r>
        <w:rPr>
          <w:rFonts w:hint="default" w:ascii="Times New Roman" w:hAnsi="Times New Roman" w:eastAsia="宋体" w:cs="Times New Roman"/>
          <w:color w:val="auto"/>
          <w:sz w:val="24"/>
          <w:szCs w:val="24"/>
        </w:rPr>
        <w:t>本次评价采用自定义法确定调查评价范围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pacing w:val="0"/>
          <w:w w:val="100"/>
          <w:position w:val="0"/>
          <w:sz w:val="24"/>
          <w:szCs w:val="24"/>
          <w:highlight w:val="none"/>
        </w:rPr>
        <w:t>以项目区</w:t>
      </w:r>
      <w:r>
        <w:rPr>
          <w:rFonts w:hint="default" w:ascii="Times New Roman" w:hAnsi="Times New Roman" w:cs="Times New Roman"/>
          <w:color w:val="auto"/>
          <w:spacing w:val="0"/>
          <w:w w:val="100"/>
          <w:position w:val="0"/>
          <w:sz w:val="24"/>
          <w:szCs w:val="24"/>
          <w:highlight w:val="none"/>
          <w:lang w:val="en-US" w:eastAsia="zh-CN"/>
        </w:rPr>
        <w:t>最外侧边界为起点</w:t>
      </w:r>
      <w:r>
        <w:rPr>
          <w:rFonts w:hint="default" w:ascii="Times New Roman" w:hAnsi="Times New Roman" w:eastAsia="宋体" w:cs="Times New Roman"/>
          <w:color w:val="auto"/>
          <w:spacing w:val="0"/>
          <w:w w:val="100"/>
          <w:position w:val="0"/>
          <w:sz w:val="24"/>
          <w:szCs w:val="24"/>
          <w:highlight w:val="none"/>
        </w:rPr>
        <w:t>，沿地下水自</w:t>
      </w:r>
      <w:r>
        <w:rPr>
          <w:rFonts w:hint="default" w:ascii="Times New Roman" w:hAnsi="Times New Roman" w:cs="Times New Roman"/>
          <w:color w:val="auto"/>
          <w:spacing w:val="0"/>
          <w:w w:val="100"/>
          <w:position w:val="0"/>
          <w:sz w:val="24"/>
          <w:szCs w:val="24"/>
          <w:highlight w:val="none"/>
          <w:lang w:val="en-US" w:eastAsia="zh-CN"/>
        </w:rPr>
        <w:t>北东</w:t>
      </w:r>
      <w:r>
        <w:rPr>
          <w:rFonts w:hint="default" w:ascii="Times New Roman" w:hAnsi="Times New Roman" w:eastAsia="宋体" w:cs="Times New Roman"/>
          <w:color w:val="auto"/>
          <w:spacing w:val="0"/>
          <w:w w:val="100"/>
          <w:position w:val="0"/>
          <w:sz w:val="24"/>
          <w:szCs w:val="24"/>
          <w:highlight w:val="none"/>
        </w:rPr>
        <w:t>向</w:t>
      </w:r>
      <w:r>
        <w:rPr>
          <w:rFonts w:hint="default" w:ascii="Times New Roman" w:hAnsi="Times New Roman" w:cs="Times New Roman"/>
          <w:color w:val="auto"/>
          <w:spacing w:val="0"/>
          <w:w w:val="100"/>
          <w:position w:val="0"/>
          <w:sz w:val="24"/>
          <w:szCs w:val="24"/>
          <w:highlight w:val="none"/>
          <w:lang w:val="en-US" w:eastAsia="zh-CN"/>
        </w:rPr>
        <w:t>南西</w:t>
      </w:r>
      <w:r>
        <w:rPr>
          <w:rFonts w:hint="default" w:ascii="Times New Roman" w:hAnsi="Times New Roman" w:eastAsia="宋体" w:cs="Times New Roman"/>
          <w:color w:val="auto"/>
          <w:spacing w:val="0"/>
          <w:w w:val="100"/>
          <w:position w:val="0"/>
          <w:sz w:val="24"/>
          <w:szCs w:val="24"/>
          <w:highlight w:val="none"/>
        </w:rPr>
        <w:t>流向外扩（上游1km、下游2km、两侧各1km）形成的矩形区域，总计约</w:t>
      </w:r>
      <w:r>
        <w:rPr>
          <w:rFonts w:hint="default" w:ascii="Times New Roman" w:hAnsi="Times New Roman" w:cs="Times New Roman"/>
          <w:color w:val="auto"/>
          <w:spacing w:val="0"/>
          <w:w w:val="100"/>
          <w:position w:val="0"/>
          <w:sz w:val="24"/>
          <w:szCs w:val="24"/>
          <w:highlight w:val="none"/>
          <w:lang w:val="en-US" w:eastAsia="zh-CN"/>
        </w:rPr>
        <w:t>6</w:t>
      </w:r>
      <w:r>
        <w:rPr>
          <w:rFonts w:hint="default" w:ascii="Times New Roman" w:hAnsi="Times New Roman" w:eastAsia="宋体" w:cs="Times New Roman"/>
          <w:color w:val="auto"/>
          <w:spacing w:val="0"/>
          <w:w w:val="100"/>
          <w:position w:val="0"/>
          <w:sz w:val="24"/>
          <w:szCs w:val="24"/>
          <w:highlight w:val="none"/>
        </w:rPr>
        <w:t>km</w:t>
      </w:r>
      <w:r>
        <w:rPr>
          <w:rFonts w:hint="default" w:ascii="Times New Roman" w:hAnsi="Times New Roman" w:eastAsia="宋体" w:cs="Times New Roman"/>
          <w:color w:val="auto"/>
          <w:spacing w:val="0"/>
          <w:w w:val="100"/>
          <w:position w:val="0"/>
          <w:sz w:val="24"/>
          <w:szCs w:val="24"/>
          <w:highlight w:val="none"/>
          <w:vertAlign w:val="superscript"/>
        </w:rPr>
        <w:t>2</w:t>
      </w:r>
      <w:r>
        <w:rPr>
          <w:rFonts w:hint="default" w:ascii="Times New Roman" w:hAnsi="Times New Roman" w:eastAsia="宋体" w:cs="Times New Roman"/>
          <w:color w:val="auto"/>
          <w:spacing w:val="0"/>
          <w:w w:val="100"/>
          <w:position w:val="0"/>
          <w:sz w:val="24"/>
          <w:szCs w:val="24"/>
          <w:highlight w:val="none"/>
        </w:rPr>
        <w:t>。评价范围见图2.</w:t>
      </w:r>
      <w:r>
        <w:rPr>
          <w:rFonts w:hint="default" w:ascii="Times New Roman" w:hAnsi="Times New Roman" w:eastAsia="宋体" w:cs="Times New Roman"/>
          <w:color w:val="auto"/>
          <w:spacing w:val="0"/>
          <w:w w:val="100"/>
          <w:position w:val="0"/>
          <w:sz w:val="24"/>
          <w:szCs w:val="24"/>
          <w:highlight w:val="none"/>
          <w:lang w:val="en-US" w:eastAsia="zh-CN"/>
        </w:rPr>
        <w:t>5</w:t>
      </w:r>
      <w:r>
        <w:rPr>
          <w:rFonts w:hint="default" w:ascii="Times New Roman" w:hAnsi="Times New Roman" w:eastAsia="宋体" w:cs="Times New Roman"/>
          <w:color w:val="auto"/>
          <w:spacing w:val="0"/>
          <w:w w:val="100"/>
          <w:position w:val="0"/>
          <w:sz w:val="24"/>
          <w:szCs w:val="24"/>
          <w:highlight w:val="none"/>
        </w:rPr>
        <w:t>-</w:t>
      </w:r>
      <w:r>
        <w:rPr>
          <w:rFonts w:hint="default" w:ascii="Times New Roman" w:hAnsi="Times New Roman" w:eastAsia="宋体" w:cs="Times New Roman"/>
          <w:color w:val="auto"/>
          <w:spacing w:val="0"/>
          <w:w w:val="100"/>
          <w:position w:val="0"/>
          <w:sz w:val="24"/>
          <w:szCs w:val="24"/>
          <w:highlight w:val="none"/>
          <w:lang w:val="en-US" w:eastAsia="zh-CN"/>
        </w:rPr>
        <w:t>1。</w:t>
      </w:r>
    </w:p>
    <w:p w14:paraId="656F4B01">
      <w:pPr>
        <w:pStyle w:val="4"/>
        <w:bidi w:val="0"/>
        <w:rPr>
          <w:rFonts w:hint="default" w:ascii="Times New Roman" w:hAnsi="Times New Roman" w:cs="Times New Roman"/>
          <w:color w:val="auto"/>
        </w:rPr>
      </w:pPr>
      <w:r>
        <w:rPr>
          <w:rFonts w:hint="default" w:ascii="Times New Roman" w:hAnsi="Times New Roman" w:cs="Times New Roman"/>
          <w:color w:val="auto"/>
        </w:rPr>
        <w:t>声评价等级与评价范围</w:t>
      </w:r>
    </w:p>
    <w:p w14:paraId="57E69F5B">
      <w:pPr>
        <w:pStyle w:val="9"/>
        <w:keepNext w:val="0"/>
        <w:keepLines w:val="0"/>
        <w:pageBreakBefore w:val="0"/>
        <w:kinsoku/>
        <w:wordWrap/>
        <w:overflowPunct/>
        <w:topLinePunct w:val="0"/>
        <w:autoSpaceDE/>
        <w:autoSpaceDN/>
        <w:bidi w:val="0"/>
        <w:adjustRightInd/>
        <w:snapToGrid/>
        <w:spacing w:after="0" w:line="480" w:lineRule="exact"/>
        <w:ind w:left="0" w:leftChars="0" w:right="0" w:rightChars="0" w:firstLine="480" w:firstLineChars="20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（1）评价等级</w:t>
      </w:r>
    </w:p>
    <w:p w14:paraId="7896B7B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根据《环境影响评价技术导则 声环境》（HJ2.4-2021）规定：“建设项目所处的声环境功能区为GB3096规定的1类、2类地区，或者建设项目建设前后评价范围内敏感目标噪声级增高量达3~5dB（A），或者受噪声影响人口数量增加较多时，按二级评价”。</w:t>
      </w:r>
    </w:p>
    <w:p w14:paraId="5547974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项目区位于《声环境质量标准》（GB3096）中2类功能区，周围5km范围内无居民区等声环境敏感目标，受影响人数变化不大。根据《环境影响评价技术导则 声环境》（HJ2.4-2021）中的评价等级确定原则，声环境评价等级为二级。</w:t>
      </w:r>
    </w:p>
    <w:p w14:paraId="04E6CC42">
      <w:pPr>
        <w:pStyle w:val="9"/>
        <w:keepNext w:val="0"/>
        <w:keepLines w:val="0"/>
        <w:pageBreakBefore w:val="0"/>
        <w:kinsoku/>
        <w:wordWrap/>
        <w:overflowPunct/>
        <w:topLinePunct w:val="0"/>
        <w:autoSpaceDE/>
        <w:autoSpaceDN/>
        <w:bidi w:val="0"/>
        <w:adjustRightInd/>
        <w:snapToGrid/>
        <w:spacing w:after="0" w:line="480" w:lineRule="exact"/>
        <w:ind w:left="0" w:leftChars="0" w:right="0" w:rightChars="0" w:firstLine="480" w:firstLineChars="20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（2）评价范围</w:t>
      </w:r>
    </w:p>
    <w:p w14:paraId="10DE5E23">
      <w:pPr>
        <w:pStyle w:val="9"/>
        <w:keepNext w:val="0"/>
        <w:keepLines w:val="0"/>
        <w:pageBreakBefore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根据5.2的b）“二级、三级评价范围可根据建设项目所在区域和相邻区域的声环境功能区类别及声环境保护目标等实际情况适当缩小”；根据项目区周边环境情况，本次评价确定</w:t>
      </w:r>
      <w:r>
        <w:rPr>
          <w:rFonts w:hint="default" w:ascii="Times New Roman" w:hAnsi="Times New Roman" w:eastAsia="宋体" w:cs="Times New Roman"/>
          <w:color w:val="auto"/>
          <w:spacing w:val="0"/>
          <w:w w:val="100"/>
          <w:position w:val="0"/>
          <w:lang w:val="en-US" w:eastAsia="zh-CN"/>
        </w:rPr>
        <w:t>评价范围为</w:t>
      </w:r>
      <w:r>
        <w:rPr>
          <w:rFonts w:hint="default" w:ascii="Times New Roman" w:hAnsi="Times New Roman" w:cs="Times New Roman"/>
          <w:color w:val="auto"/>
          <w:spacing w:val="0"/>
          <w:w w:val="100"/>
          <w:position w:val="0"/>
          <w:lang w:val="en-US" w:eastAsia="zh-CN"/>
        </w:rPr>
        <w:t>矿区范围外200m</w:t>
      </w:r>
      <w:r>
        <w:rPr>
          <w:rFonts w:hint="default" w:ascii="Times New Roman" w:hAnsi="Times New Roman" w:eastAsia="宋体" w:cs="Times New Roman"/>
          <w:color w:val="auto"/>
          <w:spacing w:val="0"/>
          <w:w w:val="100"/>
          <w:position w:val="0"/>
        </w:rPr>
        <w:t>。</w:t>
      </w:r>
    </w:p>
    <w:p w14:paraId="175C190A">
      <w:pPr>
        <w:pStyle w:val="4"/>
        <w:bidi w:val="0"/>
        <w:rPr>
          <w:rFonts w:hint="default" w:ascii="Times New Roman" w:hAnsi="Times New Roman" w:cs="Times New Roman"/>
          <w:color w:val="auto"/>
        </w:rPr>
      </w:pPr>
      <w:r>
        <w:rPr>
          <w:rFonts w:hint="default" w:ascii="Times New Roman" w:hAnsi="Times New Roman" w:cs="Times New Roman"/>
          <w:color w:val="auto"/>
        </w:rPr>
        <w:t>生态评价等级</w:t>
      </w:r>
    </w:p>
    <w:p w14:paraId="059610EF">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（1）评价等级</w:t>
      </w:r>
    </w:p>
    <w:p w14:paraId="312468A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根据《环境影响评价技术导则 生态影响》（HJ19-2022）中6.1评价等级的判定，本项目占用扰动土地类型为采矿用地，不占用基本农田，不涉及国家公园、世界自然遗产、重要生境、自然公园；地下水水位或土壤影响范围内没有分布天然林、公益林、湿地等生态保护目标。</w:t>
      </w:r>
    </w:p>
    <w:p w14:paraId="595BF038">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表2.5-</w:t>
      </w:r>
      <w:r>
        <w:rPr>
          <w:rFonts w:hint="default" w:ascii="Times New Roman" w:hAnsi="Times New Roman" w:eastAsia="宋体" w:cs="Times New Roman"/>
          <w:b/>
          <w:bCs/>
          <w:color w:val="auto"/>
          <w:spacing w:val="0"/>
          <w:w w:val="100"/>
          <w:position w:val="0"/>
          <w:sz w:val="21"/>
          <w:szCs w:val="21"/>
          <w:lang w:val="en-US" w:eastAsia="zh-CN"/>
        </w:rPr>
        <w:t>1</w:t>
      </w:r>
      <w:r>
        <w:rPr>
          <w:rFonts w:hint="eastAsia" w:ascii="Times New Roman" w:hAnsi="Times New Roman" w:cs="Times New Roman"/>
          <w:b/>
          <w:bCs/>
          <w:color w:val="auto"/>
          <w:spacing w:val="0"/>
          <w:w w:val="100"/>
          <w:position w:val="0"/>
          <w:sz w:val="21"/>
          <w:szCs w:val="21"/>
          <w:lang w:val="en-US" w:eastAsia="zh-CN"/>
        </w:rPr>
        <w:t>0</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生态影响评价工作等级划分表</w:t>
      </w:r>
    </w:p>
    <w:tbl>
      <w:tblPr>
        <w:tblStyle w:val="21"/>
        <w:tblW w:w="4998" w:type="pct"/>
        <w:tblInd w:w="0" w:type="dxa"/>
        <w:tblLayout w:type="autofit"/>
        <w:tblCellMar>
          <w:top w:w="0" w:type="dxa"/>
          <w:left w:w="0" w:type="dxa"/>
          <w:bottom w:w="0" w:type="dxa"/>
          <w:right w:w="0" w:type="dxa"/>
        </w:tblCellMar>
      </w:tblPr>
      <w:tblGrid>
        <w:gridCol w:w="709"/>
        <w:gridCol w:w="6345"/>
        <w:gridCol w:w="1279"/>
      </w:tblGrid>
      <w:tr w14:paraId="7595EAD9">
        <w:tblPrEx>
          <w:tblCellMar>
            <w:top w:w="0" w:type="dxa"/>
            <w:left w:w="0" w:type="dxa"/>
            <w:bottom w:w="0" w:type="dxa"/>
            <w:right w:w="0" w:type="dxa"/>
          </w:tblCellMar>
        </w:tblPrEx>
        <w:trPr>
          <w:trHeight w:val="23" w:hRule="atLeast"/>
          <w:tblHeader/>
        </w:trPr>
        <w:tc>
          <w:tcPr>
            <w:tcW w:w="426" w:type="pct"/>
            <w:tcBorders>
              <w:top w:val="single" w:color="000000" w:sz="12" w:space="0"/>
              <w:left w:val="single" w:color="000000" w:sz="12" w:space="0"/>
              <w:bottom w:val="single" w:color="000000" w:sz="4" w:space="0"/>
              <w:right w:val="single" w:color="000000" w:sz="4" w:space="0"/>
            </w:tcBorders>
            <w:vAlign w:val="center"/>
          </w:tcPr>
          <w:p w14:paraId="13BBC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序号</w:t>
            </w:r>
          </w:p>
        </w:tc>
        <w:tc>
          <w:tcPr>
            <w:tcW w:w="3806" w:type="pct"/>
            <w:tcBorders>
              <w:top w:val="single" w:color="000000" w:sz="12" w:space="0"/>
              <w:left w:val="single" w:color="000000" w:sz="4" w:space="0"/>
              <w:bottom w:val="single" w:color="000000" w:sz="4" w:space="0"/>
              <w:right w:val="single" w:color="000000" w:sz="4" w:space="0"/>
            </w:tcBorders>
            <w:vAlign w:val="center"/>
          </w:tcPr>
          <w:p w14:paraId="5BEFD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确定评价等级原则</w:t>
            </w:r>
          </w:p>
        </w:tc>
        <w:tc>
          <w:tcPr>
            <w:tcW w:w="767" w:type="pct"/>
            <w:tcBorders>
              <w:top w:val="single" w:color="000000" w:sz="12" w:space="0"/>
              <w:left w:val="single" w:color="000000" w:sz="4" w:space="0"/>
              <w:bottom w:val="single" w:color="000000" w:sz="4" w:space="0"/>
              <w:right w:val="single" w:color="000000" w:sz="12" w:space="0"/>
            </w:tcBorders>
            <w:vAlign w:val="center"/>
          </w:tcPr>
          <w:p w14:paraId="441BE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评价等级</w:t>
            </w:r>
          </w:p>
        </w:tc>
      </w:tr>
      <w:tr w14:paraId="3F9F226D">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3AE6E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a</w:t>
            </w:r>
          </w:p>
        </w:tc>
        <w:tc>
          <w:tcPr>
            <w:tcW w:w="3806" w:type="pct"/>
            <w:tcBorders>
              <w:top w:val="single" w:color="000000" w:sz="4" w:space="0"/>
              <w:left w:val="single" w:color="000000" w:sz="4" w:space="0"/>
              <w:bottom w:val="single" w:color="000000" w:sz="4" w:space="0"/>
              <w:right w:val="single" w:color="000000" w:sz="4" w:space="0"/>
            </w:tcBorders>
            <w:vAlign w:val="center"/>
          </w:tcPr>
          <w:p w14:paraId="34FE3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涉及国家公园、自然保护区、世界自然遗产、重要生境时</w:t>
            </w:r>
          </w:p>
        </w:tc>
        <w:tc>
          <w:tcPr>
            <w:tcW w:w="767" w:type="pct"/>
            <w:tcBorders>
              <w:top w:val="single" w:color="000000" w:sz="4" w:space="0"/>
              <w:left w:val="single" w:color="000000" w:sz="4" w:space="0"/>
              <w:bottom w:val="single" w:color="000000" w:sz="4" w:space="0"/>
              <w:right w:val="single" w:color="000000" w:sz="12" w:space="0"/>
            </w:tcBorders>
            <w:vAlign w:val="center"/>
          </w:tcPr>
          <w:p w14:paraId="6A511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一级</w:t>
            </w:r>
          </w:p>
        </w:tc>
      </w:tr>
      <w:tr w14:paraId="0C070BCC">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6E6DC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b</w:t>
            </w:r>
          </w:p>
        </w:tc>
        <w:tc>
          <w:tcPr>
            <w:tcW w:w="3806" w:type="pct"/>
            <w:tcBorders>
              <w:top w:val="single" w:color="000000" w:sz="4" w:space="0"/>
              <w:left w:val="single" w:color="000000" w:sz="4" w:space="0"/>
              <w:bottom w:val="single" w:color="000000" w:sz="4" w:space="0"/>
              <w:right w:val="single" w:color="000000" w:sz="4" w:space="0"/>
            </w:tcBorders>
            <w:vAlign w:val="center"/>
          </w:tcPr>
          <w:p w14:paraId="12E9B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涉及自然公园时</w:t>
            </w:r>
          </w:p>
        </w:tc>
        <w:tc>
          <w:tcPr>
            <w:tcW w:w="767" w:type="pct"/>
            <w:tcBorders>
              <w:top w:val="single" w:color="000000" w:sz="4" w:space="0"/>
              <w:left w:val="single" w:color="000000" w:sz="4" w:space="0"/>
              <w:bottom w:val="single" w:color="000000" w:sz="4" w:space="0"/>
              <w:right w:val="single" w:color="000000" w:sz="12" w:space="0"/>
            </w:tcBorders>
            <w:vAlign w:val="center"/>
          </w:tcPr>
          <w:p w14:paraId="433C5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二级</w:t>
            </w:r>
          </w:p>
        </w:tc>
      </w:tr>
      <w:tr w14:paraId="796E090B">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1A96A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c</w:t>
            </w:r>
          </w:p>
        </w:tc>
        <w:tc>
          <w:tcPr>
            <w:tcW w:w="3806" w:type="pct"/>
            <w:tcBorders>
              <w:top w:val="single" w:color="000000" w:sz="4" w:space="0"/>
              <w:left w:val="single" w:color="000000" w:sz="4" w:space="0"/>
              <w:bottom w:val="single" w:color="000000" w:sz="4" w:space="0"/>
              <w:right w:val="single" w:color="000000" w:sz="4" w:space="0"/>
            </w:tcBorders>
            <w:vAlign w:val="center"/>
          </w:tcPr>
          <w:p w14:paraId="27414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涉及生态保护红线时</w:t>
            </w:r>
          </w:p>
        </w:tc>
        <w:tc>
          <w:tcPr>
            <w:tcW w:w="767" w:type="pct"/>
            <w:tcBorders>
              <w:top w:val="single" w:color="000000" w:sz="4" w:space="0"/>
              <w:left w:val="single" w:color="000000" w:sz="4" w:space="0"/>
              <w:bottom w:val="single" w:color="000000" w:sz="4" w:space="0"/>
              <w:right w:val="single" w:color="000000" w:sz="12" w:space="0"/>
            </w:tcBorders>
            <w:vAlign w:val="center"/>
          </w:tcPr>
          <w:p w14:paraId="25C30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二级</w:t>
            </w:r>
          </w:p>
        </w:tc>
      </w:tr>
      <w:tr w14:paraId="725C7538">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1BFA1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d</w:t>
            </w:r>
          </w:p>
        </w:tc>
        <w:tc>
          <w:tcPr>
            <w:tcW w:w="3806" w:type="pct"/>
            <w:tcBorders>
              <w:top w:val="single" w:color="000000" w:sz="4" w:space="0"/>
              <w:left w:val="single" w:color="000000" w:sz="4" w:space="0"/>
              <w:bottom w:val="single" w:color="000000" w:sz="4" w:space="0"/>
              <w:right w:val="single" w:color="000000" w:sz="4" w:space="0"/>
            </w:tcBorders>
            <w:vAlign w:val="center"/>
          </w:tcPr>
          <w:p w14:paraId="48876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根据HJ2.3判断属于水文要素影响型且地表水评价等级不低于二级</w:t>
            </w:r>
          </w:p>
          <w:p w14:paraId="141E1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的建设项目</w:t>
            </w:r>
          </w:p>
        </w:tc>
        <w:tc>
          <w:tcPr>
            <w:tcW w:w="767" w:type="pct"/>
            <w:tcBorders>
              <w:top w:val="single" w:color="000000" w:sz="4" w:space="0"/>
              <w:left w:val="single" w:color="000000" w:sz="4" w:space="0"/>
              <w:bottom w:val="single" w:color="000000" w:sz="4" w:space="0"/>
              <w:right w:val="single" w:color="000000" w:sz="12" w:space="0"/>
            </w:tcBorders>
            <w:vAlign w:val="center"/>
          </w:tcPr>
          <w:p w14:paraId="19AC8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不低于二级</w:t>
            </w:r>
          </w:p>
        </w:tc>
      </w:tr>
      <w:tr w14:paraId="38A4D6F5">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0315A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e</w:t>
            </w:r>
          </w:p>
        </w:tc>
        <w:tc>
          <w:tcPr>
            <w:tcW w:w="3806" w:type="pct"/>
            <w:tcBorders>
              <w:top w:val="single" w:color="000000" w:sz="4" w:space="0"/>
              <w:left w:val="single" w:color="000000" w:sz="4" w:space="0"/>
              <w:bottom w:val="single" w:color="000000" w:sz="4" w:space="0"/>
              <w:right w:val="single" w:color="000000" w:sz="4" w:space="0"/>
            </w:tcBorders>
            <w:vAlign w:val="center"/>
          </w:tcPr>
          <w:p w14:paraId="3951B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根据HJ610、HJ964判断地下水水位或土壤影响范围内分布有天然</w:t>
            </w:r>
          </w:p>
          <w:p w14:paraId="089BF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林、公益林、湿地等生态保护目标的建设项目</w:t>
            </w:r>
          </w:p>
        </w:tc>
        <w:tc>
          <w:tcPr>
            <w:tcW w:w="767" w:type="pct"/>
            <w:tcBorders>
              <w:top w:val="single" w:color="000000" w:sz="4" w:space="0"/>
              <w:left w:val="single" w:color="000000" w:sz="4" w:space="0"/>
              <w:bottom w:val="single" w:color="000000" w:sz="4" w:space="0"/>
              <w:right w:val="single" w:color="000000" w:sz="12" w:space="0"/>
            </w:tcBorders>
            <w:vAlign w:val="center"/>
          </w:tcPr>
          <w:p w14:paraId="77544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不低于二级</w:t>
            </w:r>
          </w:p>
        </w:tc>
      </w:tr>
      <w:tr w14:paraId="4F37DBDF">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3E82E7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f</w:t>
            </w:r>
          </w:p>
        </w:tc>
        <w:tc>
          <w:tcPr>
            <w:tcW w:w="3806" w:type="pct"/>
            <w:tcBorders>
              <w:top w:val="single" w:color="000000" w:sz="4" w:space="0"/>
              <w:left w:val="single" w:color="000000" w:sz="4" w:space="0"/>
              <w:bottom w:val="single" w:color="000000" w:sz="4" w:space="0"/>
              <w:right w:val="single" w:color="000000" w:sz="4" w:space="0"/>
            </w:tcBorders>
            <w:vAlign w:val="center"/>
          </w:tcPr>
          <w:p w14:paraId="4C620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当工程占地规模大于20km</w:t>
            </w:r>
            <w:r>
              <w:rPr>
                <w:rFonts w:hint="default" w:ascii="Times New Roman" w:hAnsi="Times New Roman" w:eastAsia="宋体" w:cs="Times New Roman"/>
                <w:color w:val="auto"/>
                <w:spacing w:val="0"/>
                <w:w w:val="100"/>
                <w:position w:val="0"/>
                <w:sz w:val="21"/>
                <w:szCs w:val="21"/>
                <w:vertAlign w:val="superscript"/>
              </w:rPr>
              <w:t>2</w:t>
            </w:r>
            <w:r>
              <w:rPr>
                <w:rFonts w:hint="default" w:ascii="Times New Roman" w:hAnsi="Times New Roman" w:eastAsia="宋体" w:cs="Times New Roman"/>
                <w:color w:val="auto"/>
                <w:spacing w:val="0"/>
                <w:w w:val="100"/>
                <w:position w:val="0"/>
                <w:sz w:val="21"/>
                <w:szCs w:val="21"/>
              </w:rPr>
              <w:t>时（包括永久和临时占用陆域和水域），评价等级不低于二级；改扩建项目的占地范围以新增占地（包括陆域和水域）确定；</w:t>
            </w:r>
          </w:p>
        </w:tc>
        <w:tc>
          <w:tcPr>
            <w:tcW w:w="767" w:type="pct"/>
            <w:tcBorders>
              <w:top w:val="single" w:color="000000" w:sz="4" w:space="0"/>
              <w:left w:val="single" w:color="000000" w:sz="4" w:space="0"/>
              <w:bottom w:val="single" w:color="000000" w:sz="4" w:space="0"/>
              <w:right w:val="single" w:color="000000" w:sz="12" w:space="0"/>
            </w:tcBorders>
            <w:vAlign w:val="center"/>
          </w:tcPr>
          <w:p w14:paraId="581A8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不低于二级</w:t>
            </w:r>
          </w:p>
        </w:tc>
      </w:tr>
      <w:tr w14:paraId="4AFDDAB7">
        <w:tblPrEx>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12" w:space="0"/>
              <w:right w:val="single" w:color="000000" w:sz="4" w:space="0"/>
            </w:tcBorders>
            <w:vAlign w:val="center"/>
          </w:tcPr>
          <w:p w14:paraId="00293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lang w:val="en-US" w:eastAsia="zh-CN"/>
              </w:rPr>
              <w:t>g</w:t>
            </w:r>
          </w:p>
        </w:tc>
        <w:tc>
          <w:tcPr>
            <w:tcW w:w="3806" w:type="pct"/>
            <w:tcBorders>
              <w:top w:val="single" w:color="000000" w:sz="4" w:space="0"/>
              <w:left w:val="single" w:color="000000" w:sz="4" w:space="0"/>
              <w:bottom w:val="single" w:color="000000" w:sz="12" w:space="0"/>
              <w:right w:val="single" w:color="000000" w:sz="4" w:space="0"/>
            </w:tcBorders>
            <w:vAlign w:val="center"/>
          </w:tcPr>
          <w:p w14:paraId="193F3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除本条a）、b）、c）、d）、e）、f）以外的情况</w:t>
            </w:r>
          </w:p>
        </w:tc>
        <w:tc>
          <w:tcPr>
            <w:tcW w:w="767" w:type="pct"/>
            <w:tcBorders>
              <w:top w:val="single" w:color="000000" w:sz="4" w:space="0"/>
              <w:left w:val="single" w:color="000000" w:sz="4" w:space="0"/>
              <w:bottom w:val="single" w:color="000000" w:sz="12" w:space="0"/>
              <w:right w:val="single" w:color="000000" w:sz="12" w:space="0"/>
            </w:tcBorders>
            <w:vAlign w:val="center"/>
          </w:tcPr>
          <w:p w14:paraId="48A3E6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三级</w:t>
            </w:r>
          </w:p>
        </w:tc>
      </w:tr>
    </w:tbl>
    <w:p w14:paraId="499294B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color w:val="auto"/>
          <w:spacing w:val="0"/>
        </w:rPr>
      </w:pPr>
      <w:r>
        <w:rPr>
          <w:rFonts w:hint="default" w:ascii="Times New Roman" w:hAnsi="Times New Roman" w:cs="Times New Roman"/>
          <w:color w:val="auto"/>
          <w:sz w:val="24"/>
          <w:highlight w:val="none"/>
          <w:lang w:val="en-US" w:eastAsia="zh-CN"/>
        </w:rPr>
        <w:t>经过实地调查，本项目占用扰动土地类型为采矿用地和草地，不占用基本农田，不涉及国家公园、自然保护区、世界自然遗产、重要生境、自然公园；地下水水位或土壤影响范围内没有分布天然林、公益林、湿地等生态保护目标；项目不属于水文要素影响型；项目区面积为</w:t>
      </w:r>
      <w:r>
        <w:rPr>
          <w:rFonts w:hint="default" w:ascii="Times New Roman" w:hAnsi="Times New Roman" w:eastAsia="宋体" w:cs="Times New Roman"/>
          <w:color w:val="auto"/>
          <w:spacing w:val="0"/>
          <w:w w:val="100"/>
          <w:position w:val="0"/>
          <w:sz w:val="24"/>
          <w:szCs w:val="24"/>
          <w:highlight w:val="none"/>
          <w:lang w:val="en-US" w:eastAsia="zh-CN"/>
        </w:rPr>
        <w:t>2.7131</w:t>
      </w:r>
      <w:r>
        <w:rPr>
          <w:rFonts w:hint="default" w:ascii="Times New Roman" w:hAnsi="Times New Roman" w:cs="Times New Roman"/>
          <w:color w:val="auto"/>
          <w:sz w:val="24"/>
          <w:highlight w:val="none"/>
          <w:lang w:val="en-US" w:eastAsia="zh-CN"/>
        </w:rPr>
        <w:t>km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z w:val="24"/>
          <w:highlight w:val="none"/>
          <w:lang w:val="en-US" w:eastAsia="zh-CN"/>
        </w:rPr>
        <w:t>，面积≤20km</w:t>
      </w:r>
      <w:r>
        <w:rPr>
          <w:rFonts w:hint="default" w:ascii="Times New Roman" w:hAnsi="Times New Roman" w:cs="Times New Roman"/>
          <w:color w:val="auto"/>
          <w:sz w:val="24"/>
          <w:highlight w:val="none"/>
          <w:vertAlign w:val="superscript"/>
          <w:lang w:val="en-US" w:eastAsia="zh-CN"/>
        </w:rPr>
        <w:t>2</w:t>
      </w:r>
      <w:r>
        <w:rPr>
          <w:rFonts w:hint="default" w:ascii="Times New Roman" w:hAnsi="Times New Roman" w:cs="Times New Roman"/>
          <w:color w:val="auto"/>
          <w:spacing w:val="0"/>
        </w:rPr>
        <w:t>。</w:t>
      </w:r>
    </w:p>
    <w:p w14:paraId="52B335A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根据表2.5-10的判别原则以及《环境影响评价技术导则 生态影响》（HJ19-2022）6.1中的1.1.5的“在矿山开采可能导致矿区土地利用类型明显改变，或拦河闸坝建设可能明显改变水文情势等情况下，评价等级应上调一级。”本工程的生态环境影响评价工作等级定为二级。</w:t>
      </w:r>
    </w:p>
    <w:p w14:paraId="6D1CE77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bookmarkStart w:id="220" w:name="（2）评价范围"/>
      <w:bookmarkEnd w:id="220"/>
      <w:r>
        <w:rPr>
          <w:rFonts w:hint="default" w:ascii="Times New Roman" w:hAnsi="Times New Roman" w:eastAsia="宋体" w:cs="Times New Roman"/>
          <w:color w:val="auto"/>
          <w:spacing w:val="0"/>
          <w:w w:val="100"/>
          <w:position w:val="0"/>
          <w:sz w:val="24"/>
          <w:highlight w:val="none"/>
          <w:lang w:val="en-US" w:eastAsia="zh-CN"/>
        </w:rPr>
        <w:t>（2）评价范围</w:t>
      </w:r>
    </w:p>
    <w:p w14:paraId="62A2141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依据《环境影响评价技术导则 生态影响》（HJ19-2022）并结合该区域环境功能要求，项目区范围外延</w:t>
      </w:r>
      <w:r>
        <w:rPr>
          <w:rFonts w:hint="default" w:ascii="Times New Roman" w:hAnsi="Times New Roman" w:cs="Times New Roman"/>
          <w:color w:val="auto"/>
          <w:spacing w:val="0"/>
          <w:w w:val="100"/>
          <w:position w:val="0"/>
          <w:sz w:val="24"/>
          <w:highlight w:val="none"/>
          <w:lang w:val="en-US" w:eastAsia="zh-CN"/>
        </w:rPr>
        <w:t>2000</w:t>
      </w:r>
      <w:r>
        <w:rPr>
          <w:rFonts w:hint="default" w:ascii="Times New Roman" w:hAnsi="Times New Roman" w:eastAsia="宋体" w:cs="Times New Roman"/>
          <w:color w:val="auto"/>
          <w:spacing w:val="0"/>
          <w:w w:val="100"/>
          <w:position w:val="0"/>
          <w:sz w:val="24"/>
          <w:highlight w:val="none"/>
          <w:lang w:val="en-US" w:eastAsia="zh-CN"/>
        </w:rPr>
        <w:t>m区域为生态环境影响评价范围，见图2.5-1。</w:t>
      </w:r>
    </w:p>
    <w:p w14:paraId="74273E99">
      <w:pPr>
        <w:pStyle w:val="4"/>
        <w:bidi w:val="0"/>
        <w:rPr>
          <w:rFonts w:hint="default" w:ascii="Times New Roman" w:hAnsi="Times New Roman" w:cs="Times New Roman"/>
          <w:color w:val="auto"/>
        </w:rPr>
      </w:pPr>
      <w:r>
        <w:rPr>
          <w:rFonts w:hint="default" w:ascii="Times New Roman" w:hAnsi="Times New Roman" w:cs="Times New Roman"/>
          <w:color w:val="auto"/>
        </w:rPr>
        <w:t>土壤评价等级与评价范围</w:t>
      </w:r>
    </w:p>
    <w:p w14:paraId="6EFB36F0">
      <w:pPr>
        <w:pStyle w:val="19"/>
        <w:keepNext w:val="0"/>
        <w:keepLines w:val="0"/>
        <w:pageBreakBefore w:val="0"/>
        <w:widowControl w:val="0"/>
        <w:kinsoku/>
        <w:wordWrap/>
        <w:overflowPunct w:val="0"/>
        <w:topLinePunct/>
        <w:autoSpaceDE/>
        <w:autoSpaceDN/>
        <w:bidi w:val="0"/>
        <w:adjustRightInd w:val="0"/>
        <w:snapToGrid w:val="0"/>
        <w:spacing w:before="0" w:beforeAutospacing="0" w:after="0" w:afterAutospacing="0" w:line="480" w:lineRule="exact"/>
        <w:ind w:firstLine="480" w:firstLineChars="200"/>
        <w:jc w:val="both"/>
        <w:textAlignment w:val="auto"/>
        <w:rPr>
          <w:rFonts w:hint="default" w:ascii="Times New Roman" w:hAnsi="Times New Roman" w:cs="Times New Roman"/>
          <w:color w:val="auto"/>
          <w:kern w:val="2"/>
          <w:highlight w:val="none"/>
          <w:lang w:bidi="ar"/>
        </w:rPr>
      </w:pPr>
      <w:r>
        <w:rPr>
          <w:rFonts w:hint="default" w:ascii="Times New Roman" w:hAnsi="Times New Roman" w:cs="Times New Roman"/>
          <w:color w:val="auto"/>
          <w:kern w:val="2"/>
          <w:highlight w:val="none"/>
          <w:lang w:bidi="ar"/>
        </w:rPr>
        <w:t>（1）项目类别</w:t>
      </w:r>
    </w:p>
    <w:p w14:paraId="573D684D">
      <w:pPr>
        <w:pStyle w:val="19"/>
        <w:keepNext w:val="0"/>
        <w:keepLines w:val="0"/>
        <w:pageBreakBefore w:val="0"/>
        <w:widowControl w:val="0"/>
        <w:kinsoku/>
        <w:wordWrap/>
        <w:overflowPunct w:val="0"/>
        <w:topLinePunct/>
        <w:autoSpaceDE/>
        <w:autoSpaceDN/>
        <w:bidi w:val="0"/>
        <w:adjustRightInd w:val="0"/>
        <w:snapToGrid w:val="0"/>
        <w:spacing w:before="0" w:beforeAutospacing="0" w:after="0" w:afterAutospacing="0" w:line="480" w:lineRule="exact"/>
        <w:ind w:firstLine="480" w:firstLineChars="200"/>
        <w:jc w:val="both"/>
        <w:textAlignment w:val="auto"/>
        <w:rPr>
          <w:rFonts w:hint="default" w:ascii="Times New Roman" w:hAnsi="Times New Roman" w:cs="Times New Roman"/>
          <w:color w:val="auto"/>
          <w:kern w:val="2"/>
          <w:highlight w:val="none"/>
          <w:lang w:bidi="ar"/>
        </w:rPr>
      </w:pPr>
      <w:r>
        <w:rPr>
          <w:rFonts w:hint="default" w:ascii="Times New Roman" w:hAnsi="Times New Roman" w:cs="Times New Roman"/>
          <w:color w:val="auto"/>
          <w:kern w:val="2"/>
          <w:highlight w:val="none"/>
          <w:lang w:eastAsia="zh-CN" w:bidi="ar"/>
        </w:rPr>
        <w:t>本项目</w:t>
      </w:r>
      <w:r>
        <w:rPr>
          <w:rFonts w:hint="default" w:ascii="Times New Roman" w:hAnsi="Times New Roman" w:cs="Times New Roman"/>
          <w:color w:val="auto"/>
          <w:kern w:val="2"/>
          <w:highlight w:val="none"/>
          <w:lang w:bidi="ar"/>
        </w:rPr>
        <w:t>属于《环境影响评价技术导则 土壤环境（试行）》（HJ964-2018）附录A土壤环境影响评价项目类别表中的</w:t>
      </w:r>
      <w:r>
        <w:rPr>
          <w:rFonts w:hint="default" w:ascii="Times New Roman" w:hAnsi="Times New Roman" w:cs="Times New Roman"/>
          <w:color w:val="auto"/>
          <w:kern w:val="2"/>
          <w:highlight w:val="none"/>
          <w:lang w:eastAsia="zh-CN" w:bidi="ar"/>
        </w:rPr>
        <w:t>“</w:t>
      </w:r>
      <w:r>
        <w:rPr>
          <w:rFonts w:hint="default" w:ascii="Times New Roman" w:hAnsi="Times New Roman" w:cs="Times New Roman"/>
          <w:color w:val="auto"/>
          <w:kern w:val="2"/>
          <w:highlight w:val="none"/>
          <w:lang w:bidi="ar"/>
        </w:rPr>
        <w:t>采矿业</w:t>
      </w:r>
      <w:r>
        <w:rPr>
          <w:rFonts w:hint="default" w:ascii="Times New Roman" w:hAnsi="Times New Roman" w:cs="Times New Roman"/>
          <w:color w:val="auto"/>
          <w:kern w:val="2"/>
          <w:highlight w:val="none"/>
          <w:lang w:eastAsia="zh-CN" w:bidi="ar"/>
        </w:rPr>
        <w:t>”</w:t>
      </w:r>
      <w:r>
        <w:rPr>
          <w:rFonts w:hint="default" w:ascii="Times New Roman" w:hAnsi="Times New Roman" w:cs="Times New Roman"/>
          <w:color w:val="auto"/>
          <w:kern w:val="2"/>
          <w:highlight w:val="none"/>
          <w:lang w:bidi="ar"/>
        </w:rPr>
        <w:t>中</w:t>
      </w:r>
      <w:r>
        <w:rPr>
          <w:rFonts w:hint="default" w:ascii="Times New Roman" w:hAnsi="Times New Roman" w:cs="Times New Roman"/>
          <w:color w:val="auto"/>
          <w:kern w:val="2"/>
          <w:highlight w:val="none"/>
          <w:lang w:eastAsia="zh-CN" w:bidi="ar"/>
        </w:rPr>
        <w:t>“</w:t>
      </w:r>
      <w:r>
        <w:rPr>
          <w:rFonts w:hint="default" w:ascii="Times New Roman" w:hAnsi="Times New Roman" w:cs="Times New Roman"/>
          <w:color w:val="auto"/>
          <w:kern w:val="2"/>
          <w:highlight w:val="none"/>
          <w:lang w:bidi="ar"/>
        </w:rPr>
        <w:t>金属矿、石油、页岩油开采</w:t>
      </w:r>
      <w:r>
        <w:rPr>
          <w:rFonts w:hint="default" w:ascii="Times New Roman" w:hAnsi="Times New Roman" w:cs="Times New Roman"/>
          <w:color w:val="auto"/>
          <w:kern w:val="2"/>
          <w:highlight w:val="none"/>
          <w:lang w:eastAsia="zh-CN" w:bidi="ar"/>
        </w:rPr>
        <w:t>”</w:t>
      </w:r>
      <w:r>
        <w:rPr>
          <w:rFonts w:hint="default" w:ascii="Times New Roman" w:hAnsi="Times New Roman" w:cs="Times New Roman"/>
          <w:color w:val="auto"/>
          <w:kern w:val="2"/>
          <w:highlight w:val="none"/>
          <w:lang w:bidi="ar"/>
        </w:rPr>
        <w:t>类，确定</w:t>
      </w:r>
      <w:r>
        <w:rPr>
          <w:rFonts w:hint="default" w:ascii="Times New Roman" w:hAnsi="Times New Roman" w:cs="Times New Roman"/>
          <w:color w:val="auto"/>
          <w:kern w:val="2"/>
          <w:highlight w:val="none"/>
          <w:lang w:eastAsia="zh-CN" w:bidi="ar"/>
        </w:rPr>
        <w:t>本项目</w:t>
      </w:r>
      <w:r>
        <w:rPr>
          <w:rFonts w:hint="default" w:ascii="Times New Roman" w:hAnsi="Times New Roman" w:cs="Times New Roman"/>
          <w:color w:val="auto"/>
          <w:kern w:val="2"/>
          <w:highlight w:val="none"/>
          <w:lang w:bidi="ar"/>
        </w:rPr>
        <w:t>区域土壤环境影响评价项目类别为Ⅰ类</w:t>
      </w:r>
      <w:r>
        <w:rPr>
          <w:rFonts w:hint="default" w:ascii="Times New Roman" w:hAnsi="Times New Roman" w:cs="Times New Roman"/>
          <w:color w:val="auto"/>
          <w:kern w:val="2"/>
          <w:highlight w:val="none"/>
          <w:lang w:eastAsia="zh-CN" w:bidi="ar"/>
        </w:rPr>
        <w:t>，</w:t>
      </w:r>
      <w:r>
        <w:rPr>
          <w:rFonts w:hint="default" w:ascii="Times New Roman" w:hAnsi="Times New Roman" w:cs="Times New Roman"/>
          <w:color w:val="auto"/>
          <w:kern w:val="2"/>
          <w:highlight w:val="none"/>
          <w:lang w:val="en-US" w:eastAsia="zh-CN" w:bidi="ar"/>
        </w:rPr>
        <w:t>见表2.5-1</w:t>
      </w:r>
      <w:r>
        <w:rPr>
          <w:rFonts w:hint="eastAsia" w:ascii="Times New Roman" w:hAnsi="Times New Roman" w:cs="Times New Roman"/>
          <w:color w:val="auto"/>
          <w:kern w:val="2"/>
          <w:highlight w:val="none"/>
          <w:lang w:val="en-US" w:eastAsia="zh-CN" w:bidi="ar"/>
        </w:rPr>
        <w:t>1</w:t>
      </w:r>
      <w:r>
        <w:rPr>
          <w:rFonts w:hint="default" w:ascii="Times New Roman" w:hAnsi="Times New Roman" w:cs="Times New Roman"/>
          <w:color w:val="auto"/>
          <w:kern w:val="2"/>
          <w:highlight w:val="none"/>
          <w:lang w:bidi="ar"/>
        </w:rPr>
        <w:t>。</w:t>
      </w:r>
    </w:p>
    <w:p w14:paraId="08AAD312">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表2.5-1</w:t>
      </w:r>
      <w:r>
        <w:rPr>
          <w:rFonts w:hint="eastAsia" w:ascii="Times New Roman" w:hAnsi="Times New Roman" w:cs="Times New Roman"/>
          <w:b/>
          <w:bCs/>
          <w:color w:val="auto"/>
          <w:spacing w:val="0"/>
          <w:w w:val="100"/>
          <w:position w:val="0"/>
          <w:sz w:val="21"/>
          <w:szCs w:val="21"/>
          <w:lang w:val="en-US" w:eastAsia="zh-CN"/>
        </w:rPr>
        <w:t xml:space="preserve">1  </w:t>
      </w:r>
      <w:r>
        <w:rPr>
          <w:rFonts w:hint="default" w:ascii="Times New Roman" w:hAnsi="Times New Roman" w:eastAsia="宋体" w:cs="Times New Roman"/>
          <w:b/>
          <w:bCs/>
          <w:color w:val="auto"/>
          <w:spacing w:val="0"/>
          <w:w w:val="100"/>
          <w:position w:val="0"/>
          <w:sz w:val="21"/>
          <w:szCs w:val="21"/>
          <w:lang w:val="en-US" w:eastAsia="zh-CN"/>
        </w:rPr>
        <w:t xml:space="preserve">   土壤环境影响评价项目类别</w:t>
      </w:r>
    </w:p>
    <w:tbl>
      <w:tblPr>
        <w:tblStyle w:val="22"/>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2127"/>
        <w:gridCol w:w="4897"/>
        <w:gridCol w:w="723"/>
      </w:tblGrid>
      <w:tr w14:paraId="2490E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4" w:type="pct"/>
            <w:vMerge w:val="restart"/>
            <w:tcBorders>
              <w:tl2br w:val="nil"/>
              <w:tr2bl w:val="nil"/>
            </w:tcBorders>
            <w:noWrap w:val="0"/>
            <w:vAlign w:val="center"/>
          </w:tcPr>
          <w:p w14:paraId="22C7DD3F">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行业</w:t>
            </w:r>
          </w:p>
          <w:p w14:paraId="61E9F64D">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类别</w:t>
            </w:r>
          </w:p>
        </w:tc>
        <w:tc>
          <w:tcPr>
            <w:tcW w:w="4545" w:type="pct"/>
            <w:gridSpan w:val="3"/>
            <w:tcBorders>
              <w:tl2br w:val="nil"/>
              <w:tr2bl w:val="nil"/>
            </w:tcBorders>
            <w:noWrap w:val="0"/>
            <w:vAlign w:val="center"/>
          </w:tcPr>
          <w:p w14:paraId="573B4F2C">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项目类别</w:t>
            </w:r>
          </w:p>
        </w:tc>
      </w:tr>
      <w:tr w14:paraId="68D3D7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54" w:type="pct"/>
            <w:vMerge w:val="continue"/>
            <w:tcBorders>
              <w:tl2br w:val="nil"/>
              <w:tr2bl w:val="nil"/>
            </w:tcBorders>
            <w:noWrap w:val="0"/>
            <w:vAlign w:val="center"/>
          </w:tcPr>
          <w:p w14:paraId="2B1783BC">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p>
        </w:tc>
        <w:tc>
          <w:tcPr>
            <w:tcW w:w="1248" w:type="pct"/>
            <w:tcBorders>
              <w:tl2br w:val="nil"/>
              <w:tr2bl w:val="nil"/>
            </w:tcBorders>
            <w:noWrap w:val="0"/>
            <w:vAlign w:val="center"/>
          </w:tcPr>
          <w:p w14:paraId="21D443CB">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rPr>
              <w:t>I类</w:t>
            </w:r>
          </w:p>
        </w:tc>
        <w:tc>
          <w:tcPr>
            <w:tcW w:w="2873" w:type="pct"/>
            <w:tcBorders>
              <w:tl2br w:val="nil"/>
              <w:tr2bl w:val="nil"/>
            </w:tcBorders>
            <w:noWrap w:val="0"/>
            <w:vAlign w:val="center"/>
          </w:tcPr>
          <w:p w14:paraId="54F9CCE3">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cs="Times New Roman"/>
                <w:b w:val="0"/>
                <w:bCs w:val="0"/>
                <w:color w:val="auto"/>
                <w:kern w:val="2"/>
                <w:sz w:val="21"/>
                <w:szCs w:val="21"/>
                <w:highlight w:val="none"/>
                <w:lang w:val="en-US" w:eastAsia="zh-CN"/>
              </w:rPr>
              <w:t>Ⅱ</w:t>
            </w:r>
            <w:r>
              <w:rPr>
                <w:rFonts w:hint="default" w:ascii="Times New Roman" w:hAnsi="Times New Roman" w:eastAsia="宋体" w:cs="Times New Roman"/>
                <w:b w:val="0"/>
                <w:bCs w:val="0"/>
                <w:color w:val="auto"/>
                <w:kern w:val="2"/>
                <w:sz w:val="21"/>
                <w:szCs w:val="21"/>
                <w:highlight w:val="none"/>
                <w:lang w:val="en-US" w:eastAsia="zh-CN"/>
              </w:rPr>
              <w:t>类</w:t>
            </w:r>
          </w:p>
        </w:tc>
        <w:tc>
          <w:tcPr>
            <w:tcW w:w="423" w:type="pct"/>
            <w:tcBorders>
              <w:tl2br w:val="nil"/>
              <w:tr2bl w:val="nil"/>
            </w:tcBorders>
            <w:noWrap w:val="0"/>
            <w:vAlign w:val="center"/>
          </w:tcPr>
          <w:p w14:paraId="2E1C8B57">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b w:val="0"/>
                <w:bCs w:val="0"/>
                <w:color w:val="auto"/>
                <w:kern w:val="2"/>
                <w:sz w:val="21"/>
                <w:szCs w:val="21"/>
                <w:highlight w:val="none"/>
                <w:lang w:val="en-US" w:eastAsia="zh-CN"/>
              </w:rPr>
            </w:pPr>
            <w:r>
              <w:rPr>
                <w:rFonts w:hint="default" w:ascii="Times New Roman" w:hAnsi="Times New Roman" w:cs="Times New Roman"/>
                <w:b w:val="0"/>
                <w:bCs w:val="0"/>
                <w:color w:val="auto"/>
                <w:kern w:val="2"/>
                <w:sz w:val="21"/>
                <w:szCs w:val="21"/>
                <w:highlight w:val="none"/>
                <w:lang w:val="en-US" w:eastAsia="zh-CN"/>
              </w:rPr>
              <w:t>Ⅲ</w:t>
            </w:r>
            <w:r>
              <w:rPr>
                <w:rFonts w:hint="default" w:ascii="Times New Roman" w:hAnsi="Times New Roman" w:eastAsia="宋体" w:cs="Times New Roman"/>
                <w:b w:val="0"/>
                <w:bCs w:val="0"/>
                <w:color w:val="auto"/>
                <w:kern w:val="2"/>
                <w:sz w:val="21"/>
                <w:szCs w:val="21"/>
                <w:highlight w:val="none"/>
                <w:lang w:val="en-US" w:eastAsia="zh-CN"/>
              </w:rPr>
              <w:t>类</w:t>
            </w:r>
          </w:p>
        </w:tc>
      </w:tr>
      <w:tr w14:paraId="48ABE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54" w:type="pct"/>
            <w:tcBorders>
              <w:tl2br w:val="nil"/>
              <w:tr2bl w:val="nil"/>
            </w:tcBorders>
            <w:noWrap w:val="0"/>
            <w:vAlign w:val="center"/>
          </w:tcPr>
          <w:p w14:paraId="666AF0EB">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采矿业</w:t>
            </w:r>
          </w:p>
        </w:tc>
        <w:tc>
          <w:tcPr>
            <w:tcW w:w="1248" w:type="pct"/>
            <w:tcBorders>
              <w:tl2br w:val="nil"/>
              <w:tr2bl w:val="nil"/>
            </w:tcBorders>
            <w:noWrap w:val="0"/>
            <w:vAlign w:val="center"/>
          </w:tcPr>
          <w:p w14:paraId="0E8CFFCE">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金属矿、石油、页岩油开采</w:t>
            </w:r>
          </w:p>
        </w:tc>
        <w:tc>
          <w:tcPr>
            <w:tcW w:w="2873" w:type="pct"/>
            <w:tcBorders>
              <w:tl2br w:val="nil"/>
              <w:tr2bl w:val="nil"/>
            </w:tcBorders>
            <w:noWrap w:val="0"/>
            <w:vAlign w:val="center"/>
          </w:tcPr>
          <w:p w14:paraId="2A020A5B">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化学矿采选；石棉矿采选；煤矿采选、天然气开采、页岩气开采、砂岩气开采、煤气层开采（含净化、液化）</w:t>
            </w:r>
          </w:p>
        </w:tc>
        <w:tc>
          <w:tcPr>
            <w:tcW w:w="423" w:type="pct"/>
            <w:tcBorders>
              <w:tl2br w:val="nil"/>
              <w:tr2bl w:val="nil"/>
            </w:tcBorders>
            <w:noWrap w:val="0"/>
            <w:vAlign w:val="center"/>
          </w:tcPr>
          <w:p w14:paraId="5F0332C3">
            <w:pPr>
              <w:pStyle w:val="1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其他</w:t>
            </w:r>
          </w:p>
        </w:tc>
      </w:tr>
    </w:tbl>
    <w:p w14:paraId="706AD14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（2）生态影响型</w:t>
      </w:r>
    </w:p>
    <w:p w14:paraId="6B1892A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本项目采矿</w:t>
      </w:r>
      <w:r>
        <w:rPr>
          <w:rFonts w:hint="default" w:ascii="Times New Roman" w:hAnsi="Times New Roman" w:cs="Times New Roman"/>
          <w:color w:val="auto"/>
          <w:sz w:val="24"/>
          <w:szCs w:val="24"/>
          <w:lang w:val="en-US" w:eastAsia="zh-CN"/>
        </w:rPr>
        <w:t>同时</w:t>
      </w:r>
      <w:r>
        <w:rPr>
          <w:rFonts w:hint="default" w:ascii="Times New Roman" w:hAnsi="Times New Roman" w:eastAsia="宋体" w:cs="Times New Roman"/>
          <w:color w:val="auto"/>
          <w:sz w:val="24"/>
          <w:szCs w:val="24"/>
          <w:lang w:val="en-US" w:eastAsia="zh-CN"/>
        </w:rPr>
        <w:t>属于</w:t>
      </w:r>
      <w:r>
        <w:rPr>
          <w:rFonts w:hint="default" w:ascii="Times New Roman" w:hAnsi="Times New Roman" w:cs="Times New Roman"/>
          <w:color w:val="auto"/>
          <w:sz w:val="24"/>
          <w:szCs w:val="24"/>
          <w:lang w:val="en-US" w:eastAsia="zh-CN"/>
        </w:rPr>
        <w:t>污染影响型和</w:t>
      </w:r>
      <w:r>
        <w:rPr>
          <w:rFonts w:hint="default" w:ascii="Times New Roman" w:hAnsi="Times New Roman" w:eastAsia="宋体" w:cs="Times New Roman"/>
          <w:color w:val="auto"/>
          <w:sz w:val="24"/>
          <w:szCs w:val="24"/>
          <w:lang w:val="en-US" w:eastAsia="zh-CN"/>
        </w:rPr>
        <w:t>生态影响型，根据《环境影响评价技术导则 土壤环境（试行）》（HJ964-2018）中土壤环境生态影响型敏感程度分级规定和本项目所在区域的地质资料，确定本项目所在区域的土壤环境敏感程度。矿区地处山区，土壤环境质量现状监测数据中</w:t>
      </w:r>
      <w:r>
        <w:rPr>
          <w:rFonts w:hint="default" w:ascii="Times New Roman" w:hAnsi="Times New Roman" w:eastAsia="宋体" w:cs="Times New Roman"/>
          <w:color w:val="auto"/>
          <w:sz w:val="24"/>
          <w:szCs w:val="24"/>
          <w:highlight w:val="none"/>
          <w:lang w:val="en-US" w:eastAsia="zh-CN"/>
        </w:rPr>
        <w:t>pH为7.</w:t>
      </w:r>
      <w:r>
        <w:rPr>
          <w:rFonts w:hint="default" w:ascii="Times New Roman" w:hAnsi="Times New Roman" w:cs="Times New Roman"/>
          <w:color w:val="auto"/>
          <w:sz w:val="24"/>
          <w:szCs w:val="24"/>
          <w:highlight w:val="none"/>
          <w:lang w:val="en-US" w:eastAsia="zh-CN"/>
        </w:rPr>
        <w:t>95</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8.94</w:t>
      </w:r>
      <w:r>
        <w:rPr>
          <w:rFonts w:hint="default" w:ascii="Times New Roman" w:hAnsi="Times New Roman" w:eastAsia="宋体" w:cs="Times New Roman"/>
          <w:color w:val="auto"/>
          <w:sz w:val="24"/>
          <w:szCs w:val="24"/>
          <w:highlight w:val="none"/>
          <w:lang w:val="en-US" w:eastAsia="zh-CN"/>
        </w:rPr>
        <w:t>，土壤含盐量为</w:t>
      </w:r>
      <w:r>
        <w:rPr>
          <w:rFonts w:hint="default" w:ascii="Times New Roman" w:hAnsi="Times New Roman"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3.8</w:t>
      </w:r>
      <w:r>
        <w:rPr>
          <w:rFonts w:hint="default" w:ascii="Times New Roman" w:hAnsi="Times New Roman" w:eastAsia="宋体" w:cs="Times New Roman"/>
          <w:color w:val="auto"/>
          <w:sz w:val="24"/>
          <w:szCs w:val="24"/>
          <w:highlight w:val="none"/>
          <w:lang w:val="en-US" w:eastAsia="zh-CN"/>
        </w:rPr>
        <w:t>g/kg</w:t>
      </w:r>
      <w:r>
        <w:rPr>
          <w:rFonts w:hint="default" w:ascii="Times New Roman" w:hAnsi="Times New Roman" w:eastAsia="宋体" w:cs="Times New Roman"/>
          <w:color w:val="auto"/>
          <w:sz w:val="24"/>
          <w:szCs w:val="24"/>
          <w:lang w:val="en-US" w:eastAsia="zh-CN"/>
        </w:rPr>
        <w:t>，判定本项目的土壤环境敏感程度为</w:t>
      </w:r>
      <w:r>
        <w:rPr>
          <w:rFonts w:hint="default" w:ascii="Times New Roman" w:hAnsi="Times New Roman" w:cs="Times New Roman"/>
          <w:color w:val="auto"/>
          <w:sz w:val="24"/>
          <w:szCs w:val="24"/>
          <w:lang w:val="en-US" w:eastAsia="zh-CN"/>
        </w:rPr>
        <w:t>较</w:t>
      </w:r>
      <w:r>
        <w:rPr>
          <w:rFonts w:hint="default" w:ascii="Times New Roman" w:hAnsi="Times New Roman" w:eastAsia="宋体" w:cs="Times New Roman"/>
          <w:color w:val="auto"/>
          <w:sz w:val="24"/>
          <w:szCs w:val="24"/>
          <w:lang w:val="en-US" w:eastAsia="zh-CN"/>
        </w:rPr>
        <w:t>敏感。</w:t>
      </w:r>
      <w:r>
        <w:rPr>
          <w:rFonts w:hint="default" w:ascii="Times New Roman" w:hAnsi="Times New Roman" w:cs="Times New Roman"/>
          <w:color w:val="auto"/>
          <w:sz w:val="24"/>
          <w:szCs w:val="24"/>
          <w:lang w:val="en-US" w:eastAsia="zh-CN"/>
        </w:rPr>
        <w:t>因此，</w:t>
      </w:r>
      <w:r>
        <w:rPr>
          <w:rFonts w:hint="default" w:ascii="Times New Roman" w:hAnsi="Times New Roman" w:eastAsia="宋体" w:cs="Times New Roman"/>
          <w:color w:val="auto"/>
          <w:sz w:val="24"/>
          <w:szCs w:val="24"/>
          <w:lang w:val="en-US" w:eastAsia="zh-CN"/>
        </w:rPr>
        <w:t>本项目土壤</w:t>
      </w:r>
      <w:r>
        <w:rPr>
          <w:rFonts w:hint="default" w:ascii="Times New Roman" w:hAnsi="Times New Roman" w:cs="Times New Roman"/>
          <w:color w:val="auto"/>
          <w:sz w:val="24"/>
          <w:szCs w:val="24"/>
        </w:rPr>
        <w:t>生态影响型</w:t>
      </w:r>
      <w:r>
        <w:rPr>
          <w:rFonts w:hint="default" w:ascii="Times New Roman" w:hAnsi="Times New Roman" w:eastAsia="宋体" w:cs="Times New Roman"/>
          <w:color w:val="auto"/>
          <w:sz w:val="24"/>
          <w:szCs w:val="24"/>
          <w:lang w:val="en-US" w:eastAsia="zh-CN"/>
        </w:rPr>
        <w:t>评价等级为</w:t>
      </w:r>
      <w:r>
        <w:rPr>
          <w:rFonts w:hint="default" w:ascii="Times New Roman" w:hAnsi="Times New Roman" w:cs="Times New Roman"/>
          <w:color w:val="auto"/>
          <w:sz w:val="24"/>
          <w:szCs w:val="24"/>
          <w:lang w:val="en-US" w:eastAsia="zh-CN"/>
        </w:rPr>
        <w:t>二</w:t>
      </w:r>
      <w:r>
        <w:rPr>
          <w:rFonts w:hint="default" w:ascii="Times New Roman" w:hAnsi="Times New Roman" w:eastAsia="宋体" w:cs="Times New Roman"/>
          <w:color w:val="auto"/>
          <w:sz w:val="24"/>
          <w:szCs w:val="24"/>
          <w:lang w:val="en-US" w:eastAsia="zh-CN"/>
        </w:rPr>
        <w:t>级，具体见表2.5-1</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、2.5-1</w:t>
      </w: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w:t>
      </w:r>
    </w:p>
    <w:p w14:paraId="5040FB66">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rPr>
      </w:pPr>
      <w:r>
        <w:rPr>
          <w:rFonts w:hint="default" w:ascii="Times New Roman" w:hAnsi="Times New Roman" w:eastAsia="宋体" w:cs="Times New Roman"/>
          <w:b/>
          <w:bCs/>
          <w:color w:val="auto"/>
          <w:spacing w:val="0"/>
          <w:w w:val="100"/>
          <w:position w:val="0"/>
          <w:sz w:val="21"/>
          <w:szCs w:val="21"/>
          <w:lang w:val="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zh-CN"/>
        </w:rPr>
        <w:t>-</w:t>
      </w:r>
      <w:r>
        <w:rPr>
          <w:rFonts w:hint="default" w:ascii="Times New Roman" w:hAnsi="Times New Roman" w:eastAsia="宋体" w:cs="Times New Roman"/>
          <w:b/>
          <w:bCs/>
          <w:color w:val="auto"/>
          <w:spacing w:val="0"/>
          <w:w w:val="100"/>
          <w:position w:val="0"/>
          <w:sz w:val="21"/>
          <w:szCs w:val="21"/>
          <w:lang w:val="en-US" w:eastAsia="zh-CN"/>
        </w:rPr>
        <w:t>1</w:t>
      </w:r>
      <w:r>
        <w:rPr>
          <w:rFonts w:hint="eastAsia" w:ascii="Times New Roman" w:hAnsi="Times New Roman" w:cs="Times New Roman"/>
          <w:b/>
          <w:bCs/>
          <w:color w:val="auto"/>
          <w:spacing w:val="0"/>
          <w:w w:val="100"/>
          <w:position w:val="0"/>
          <w:sz w:val="21"/>
          <w:szCs w:val="21"/>
          <w:lang w:val="en-US" w:eastAsia="zh-CN"/>
        </w:rPr>
        <w:t>2</w:t>
      </w:r>
      <w:r>
        <w:rPr>
          <w:rFonts w:hint="default" w:ascii="Times New Roman" w:hAnsi="Times New Roman" w:eastAsia="宋体" w:cs="Times New Roman"/>
          <w:b/>
          <w:bCs/>
          <w:color w:val="auto"/>
          <w:spacing w:val="0"/>
          <w:w w:val="100"/>
          <w:position w:val="0"/>
          <w:sz w:val="21"/>
          <w:szCs w:val="21"/>
          <w:lang w:val="zh-CN"/>
        </w:rPr>
        <w:t xml:space="preserve">    土壤环境敏感程度分级表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4892"/>
        <w:gridCol w:w="1390"/>
        <w:gridCol w:w="1256"/>
      </w:tblGrid>
      <w:tr w14:paraId="05AE27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6" w:type="pct"/>
            <w:vMerge w:val="restart"/>
            <w:noWrap w:val="0"/>
            <w:vAlign w:val="center"/>
          </w:tcPr>
          <w:p w14:paraId="14D27565">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敏感</w:t>
            </w:r>
          </w:p>
          <w:p w14:paraId="5E7508F8">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程度</w:t>
            </w:r>
          </w:p>
        </w:tc>
        <w:tc>
          <w:tcPr>
            <w:tcW w:w="4423" w:type="pct"/>
            <w:gridSpan w:val="3"/>
            <w:noWrap w:val="0"/>
            <w:vAlign w:val="center"/>
          </w:tcPr>
          <w:p w14:paraId="100A7553">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判别依据</w:t>
            </w:r>
          </w:p>
        </w:tc>
      </w:tr>
      <w:tr w14:paraId="38176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76" w:type="pct"/>
            <w:vMerge w:val="continue"/>
            <w:noWrap w:val="0"/>
            <w:vAlign w:val="center"/>
          </w:tcPr>
          <w:p w14:paraId="6C8E5A26">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p>
        </w:tc>
        <w:tc>
          <w:tcPr>
            <w:tcW w:w="2871" w:type="pct"/>
            <w:noWrap w:val="0"/>
            <w:vAlign w:val="center"/>
          </w:tcPr>
          <w:p w14:paraId="1C152B06">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盐化</w:t>
            </w:r>
          </w:p>
        </w:tc>
        <w:tc>
          <w:tcPr>
            <w:tcW w:w="816" w:type="pct"/>
            <w:noWrap w:val="0"/>
            <w:vAlign w:val="center"/>
          </w:tcPr>
          <w:p w14:paraId="2BE73853">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酸化</w:t>
            </w:r>
          </w:p>
        </w:tc>
        <w:tc>
          <w:tcPr>
            <w:tcW w:w="735" w:type="pct"/>
            <w:noWrap w:val="0"/>
            <w:vAlign w:val="center"/>
          </w:tcPr>
          <w:p w14:paraId="5EE112AE">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碱化</w:t>
            </w:r>
          </w:p>
        </w:tc>
      </w:tr>
      <w:tr w14:paraId="49D44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center"/>
          </w:tcPr>
          <w:p w14:paraId="445BC57E">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敏感</w:t>
            </w:r>
          </w:p>
        </w:tc>
        <w:tc>
          <w:tcPr>
            <w:tcW w:w="2871" w:type="pct"/>
            <w:noWrap w:val="0"/>
            <w:vAlign w:val="center"/>
          </w:tcPr>
          <w:p w14:paraId="5AB4BC8B">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建设项目所在地干燥度</w:t>
            </w:r>
            <w:r>
              <w:rPr>
                <w:rFonts w:hint="default" w:ascii="Times New Roman" w:hAnsi="Times New Roman" w:cs="Times New Roman"/>
                <w:color w:val="auto"/>
                <w:kern w:val="2"/>
                <w:sz w:val="21"/>
                <w:szCs w:val="21"/>
                <w:highlight w:val="none"/>
                <w:vertAlign w:val="superscript"/>
              </w:rPr>
              <w:t>a</w:t>
            </w:r>
            <w:r>
              <w:rPr>
                <w:rFonts w:hint="default" w:ascii="Times New Roman" w:hAnsi="Times New Roman" w:cs="Times New Roman"/>
                <w:color w:val="auto"/>
                <w:kern w:val="2"/>
                <w:sz w:val="21"/>
                <w:szCs w:val="21"/>
                <w:highlight w:val="none"/>
              </w:rPr>
              <w:t>＞2.5且常年地下水位平均埋深＜1.5m的地势平坦区域；或土壤含盐量＞4g/kg的区域</w:t>
            </w:r>
          </w:p>
        </w:tc>
        <w:tc>
          <w:tcPr>
            <w:tcW w:w="816" w:type="pct"/>
            <w:noWrap w:val="0"/>
            <w:vAlign w:val="center"/>
          </w:tcPr>
          <w:p w14:paraId="7210ACB1">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pH≤4.5</w:t>
            </w:r>
          </w:p>
        </w:tc>
        <w:tc>
          <w:tcPr>
            <w:tcW w:w="735" w:type="pct"/>
            <w:noWrap w:val="0"/>
            <w:vAlign w:val="center"/>
          </w:tcPr>
          <w:p w14:paraId="42E30AD6">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pH≥9.0</w:t>
            </w:r>
          </w:p>
        </w:tc>
      </w:tr>
      <w:tr w14:paraId="3E896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center"/>
          </w:tcPr>
          <w:p w14:paraId="306D3252">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较敏感</w:t>
            </w:r>
          </w:p>
        </w:tc>
        <w:tc>
          <w:tcPr>
            <w:tcW w:w="2871" w:type="pct"/>
            <w:noWrap w:val="0"/>
            <w:vAlign w:val="center"/>
          </w:tcPr>
          <w:p w14:paraId="5FCB524A">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建设项目所在地干燥度＞2.5常年地下水位平均埋深≥1.5m的，或1.8＜干燥度≤2.5且常年地下水位平均埋深＜1.8m的地势平坦区域；建设项目所在地干燥度＞2.5或常年地下水位平均埋深＜1.5m的平原区；或2g/kg＜土壤含盐量≤4g/kg的区域</w:t>
            </w:r>
          </w:p>
        </w:tc>
        <w:tc>
          <w:tcPr>
            <w:tcW w:w="816" w:type="pct"/>
            <w:noWrap w:val="0"/>
            <w:vAlign w:val="center"/>
          </w:tcPr>
          <w:p w14:paraId="7332AF63">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4.5＜pH≤5.5</w:t>
            </w:r>
          </w:p>
        </w:tc>
        <w:tc>
          <w:tcPr>
            <w:tcW w:w="735" w:type="pct"/>
            <w:noWrap w:val="0"/>
            <w:vAlign w:val="center"/>
          </w:tcPr>
          <w:p w14:paraId="026D1B89">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8.5≤pH＜9.0</w:t>
            </w:r>
          </w:p>
        </w:tc>
      </w:tr>
      <w:tr w14:paraId="774D0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76" w:type="pct"/>
            <w:noWrap w:val="0"/>
            <w:vAlign w:val="center"/>
          </w:tcPr>
          <w:p w14:paraId="02F706F5">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不敏感</w:t>
            </w:r>
          </w:p>
        </w:tc>
        <w:tc>
          <w:tcPr>
            <w:tcW w:w="2871" w:type="pct"/>
            <w:noWrap w:val="0"/>
            <w:vAlign w:val="center"/>
          </w:tcPr>
          <w:p w14:paraId="506CA019">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其他</w:t>
            </w:r>
          </w:p>
        </w:tc>
        <w:tc>
          <w:tcPr>
            <w:tcW w:w="1552" w:type="pct"/>
            <w:gridSpan w:val="2"/>
            <w:noWrap w:val="0"/>
            <w:vAlign w:val="center"/>
          </w:tcPr>
          <w:p w14:paraId="015C0710">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center"/>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5.5＜pH＜8.5</w:t>
            </w:r>
          </w:p>
        </w:tc>
      </w:tr>
      <w:tr w14:paraId="2DFBC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14:paraId="01FBF317">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exact"/>
              <w:ind w:firstLine="0" w:firstLineChars="0"/>
              <w:jc w:val="both"/>
              <w:textAlignment w:val="auto"/>
              <w:outlineLvl w:val="9"/>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vertAlign w:val="superscript"/>
              </w:rPr>
              <w:t>a</w:t>
            </w:r>
            <w:r>
              <w:rPr>
                <w:rFonts w:hint="default" w:ascii="Times New Roman" w:hAnsi="Times New Roman" w:cs="Times New Roman"/>
                <w:color w:val="auto"/>
                <w:kern w:val="2"/>
                <w:sz w:val="21"/>
                <w:szCs w:val="21"/>
                <w:highlight w:val="none"/>
              </w:rPr>
              <w:t>是指采用E601观测的多年平均水面蒸发量与降水量的比值，即蒸降比值。</w:t>
            </w:r>
          </w:p>
        </w:tc>
      </w:tr>
    </w:tbl>
    <w:p w14:paraId="3C1719DB">
      <w:pPr>
        <w:pStyle w:val="36"/>
        <w:keepNext w:val="0"/>
        <w:keepLines w:val="0"/>
        <w:pageBreakBefore w:val="0"/>
        <w:widowControl w:val="0"/>
        <w:kinsoku/>
        <w:wordWrap/>
        <w:overflowPunct/>
        <w:topLinePunct w:val="0"/>
        <w:autoSpaceDE/>
        <w:autoSpaceDN/>
        <w:bidi w:val="0"/>
        <w:adjustRightInd w:val="0"/>
        <w:snapToGrid w:val="0"/>
        <w:spacing w:after="0" w:line="480" w:lineRule="exact"/>
        <w:ind w:firstLine="0" w:firstLineChars="0"/>
        <w:textAlignment w:val="auto"/>
        <w:rPr>
          <w:rFonts w:hint="default" w:ascii="Times New Roman" w:hAnsi="Times New Roman" w:eastAsia="宋体" w:cs="Times New Roman"/>
          <w:b/>
          <w:bCs/>
          <w:snapToGrid/>
          <w:color w:val="auto"/>
          <w:spacing w:val="0"/>
          <w:w w:val="100"/>
          <w:kern w:val="2"/>
          <w:position w:val="0"/>
          <w:sz w:val="21"/>
          <w:szCs w:val="21"/>
          <w:lang w:val="en-US" w:eastAsia="zh-CN" w:bidi="ar-SA"/>
        </w:rPr>
      </w:pPr>
      <w:r>
        <w:rPr>
          <w:rFonts w:hint="default" w:ascii="Times New Roman" w:hAnsi="Times New Roman" w:eastAsia="宋体" w:cs="Times New Roman"/>
          <w:b/>
          <w:bCs/>
          <w:snapToGrid/>
          <w:color w:val="auto"/>
          <w:spacing w:val="0"/>
          <w:w w:val="100"/>
          <w:kern w:val="2"/>
          <w:position w:val="0"/>
          <w:sz w:val="21"/>
          <w:szCs w:val="21"/>
          <w:lang w:val="en-US" w:eastAsia="zh-CN" w:bidi="ar-SA"/>
        </w:rPr>
        <w:t>表2.5-1</w:t>
      </w:r>
      <w:r>
        <w:rPr>
          <w:rFonts w:hint="eastAsia" w:ascii="Times New Roman" w:hAnsi="Times New Roman" w:eastAsia="宋体" w:cs="Times New Roman"/>
          <w:b/>
          <w:bCs/>
          <w:snapToGrid/>
          <w:color w:val="auto"/>
          <w:spacing w:val="0"/>
          <w:w w:val="100"/>
          <w:kern w:val="2"/>
          <w:position w:val="0"/>
          <w:sz w:val="21"/>
          <w:szCs w:val="21"/>
          <w:lang w:val="en-US" w:eastAsia="zh-CN" w:bidi="ar-SA"/>
        </w:rPr>
        <w:t>3</w:t>
      </w:r>
      <w:r>
        <w:rPr>
          <w:rFonts w:hint="default" w:ascii="Times New Roman" w:hAnsi="Times New Roman" w:eastAsia="宋体" w:cs="Times New Roman"/>
          <w:b/>
          <w:bCs/>
          <w:snapToGrid/>
          <w:color w:val="auto"/>
          <w:spacing w:val="0"/>
          <w:w w:val="100"/>
          <w:kern w:val="2"/>
          <w:position w:val="0"/>
          <w:sz w:val="21"/>
          <w:szCs w:val="21"/>
          <w:lang w:val="en-US" w:eastAsia="zh-CN" w:bidi="ar-SA"/>
        </w:rPr>
        <w:t xml:space="preserve">    生态影响型评价工作等级划分表</w:t>
      </w:r>
    </w:p>
    <w:tbl>
      <w:tblPr>
        <w:tblStyle w:val="21"/>
        <w:tblW w:w="85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130"/>
        <w:gridCol w:w="2130"/>
        <w:gridCol w:w="2130"/>
      </w:tblGrid>
      <w:tr w14:paraId="3459A8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2129" w:type="dxa"/>
            <w:tcBorders>
              <w:tl2br w:val="nil"/>
              <w:tr2bl w:val="nil"/>
            </w:tcBorders>
            <w:noWrap w:val="0"/>
            <w:vAlign w:val="top"/>
          </w:tcPr>
          <w:p w14:paraId="46DCA83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mc:AlternateContent>
                <mc:Choice Requires="wpg">
                  <w:drawing>
                    <wp:anchor distT="0" distB="0" distL="114300" distR="114300" simplePos="0" relativeHeight="251666432" behindDoc="0" locked="0" layoutInCell="1" allowOverlap="1">
                      <wp:simplePos x="0" y="0"/>
                      <wp:positionH relativeFrom="column">
                        <wp:posOffset>-58420</wp:posOffset>
                      </wp:positionH>
                      <wp:positionV relativeFrom="paragraph">
                        <wp:posOffset>4445</wp:posOffset>
                      </wp:positionV>
                      <wp:extent cx="1333500" cy="671195"/>
                      <wp:effectExtent l="635" t="3810" r="18415" b="10795"/>
                      <wp:wrapNone/>
                      <wp:docPr id="229" name="组合 229"/>
                      <wp:cNvGraphicFramePr/>
                      <a:graphic xmlns:a="http://schemas.openxmlformats.org/drawingml/2006/main">
                        <a:graphicData uri="http://schemas.microsoft.com/office/word/2010/wordprocessingGroup">
                          <wpg:wgp>
                            <wpg:cNvGrpSpPr/>
                            <wpg:grpSpPr>
                              <a:xfrm>
                                <a:off x="0" y="0"/>
                                <a:ext cx="1333500" cy="671195"/>
                                <a:chOff x="4581" y="295007"/>
                                <a:chExt cx="2130" cy="1058"/>
                              </a:xfrm>
                              <a:effectLst/>
                            </wpg:grpSpPr>
                            <wps:wsp>
                              <wps:cNvPr id="230" name="直接连接符 3"/>
                              <wps:cNvCnPr/>
                              <wps:spPr>
                                <a:xfrm>
                                  <a:off x="4581" y="295699"/>
                                  <a:ext cx="2130" cy="367"/>
                                </a:xfrm>
                                <a:prstGeom prst="line">
                                  <a:avLst/>
                                </a:prstGeom>
                                <a:noFill/>
                                <a:ln w="6350" cap="flat" cmpd="sng" algn="ctr">
                                  <a:solidFill>
                                    <a:srgbClr val="000000"/>
                                  </a:solidFill>
                                  <a:prstDash val="solid"/>
                                </a:ln>
                                <a:effectLst/>
                              </wps:spPr>
                              <wps:bodyPr/>
                            </wps:wsp>
                            <wps:wsp>
                              <wps:cNvPr id="231" name="直接连接符 4"/>
                              <wps:cNvCnPr/>
                              <wps:spPr>
                                <a:xfrm>
                                  <a:off x="5182" y="295007"/>
                                  <a:ext cx="1517" cy="1051"/>
                                </a:xfrm>
                                <a:prstGeom prst="line">
                                  <a:avLst/>
                                </a:prstGeom>
                                <a:noFill/>
                                <a:ln w="9525" cap="flat" cmpd="sng" algn="ctr">
                                  <a:solidFill>
                                    <a:srgbClr val="000000"/>
                                  </a:solidFill>
                                  <a:prstDash val="solid"/>
                                </a:ln>
                                <a:effectLst/>
                              </wps:spPr>
                              <wps:bodyPr/>
                            </wps:wsp>
                          </wpg:wgp>
                        </a:graphicData>
                      </a:graphic>
                    </wp:anchor>
                  </w:drawing>
                </mc:Choice>
                <mc:Fallback>
                  <w:pict>
                    <v:group id="_x0000_s1026" o:spid="_x0000_s1026" o:spt="203" style="position:absolute;left:0pt;margin-left:-4.6pt;margin-top:0.35pt;height:52.85pt;width:105pt;z-index:251666432;mso-width-relative:page;mso-height-relative:page;" coordorigin="4581,295007" coordsize="2130,1058" o:gfxdata="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O+fID7WAAAABwEAAA8A&#10;AAAAAAAAAQAgAAAAIgAAAGRycy9kb3ducmV2LnhtbFBLAQIUABQAAAAIAIdO4kB889VbiwIAAMkG&#10;AAAOAAAAAAAAAAEAIAAAACUBAABkcnMvZTJvRG9jLnhtbFBLBQYAAAAABgAGAFkBAAAiBgAAAAA=&#10;">
                      <o:lock v:ext="edit" aspectratio="f"/>
                      <v:line id="直接连接符 3" o:spid="_x0000_s1026" o:spt="20" style="position:absolute;left:4581;top:295699;height:367;width:2130;" filled="f" stroked="t" coordsize="21600,21600" o:gfxdata="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f80u25AAAA3A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直接连接符 4" o:spid="_x0000_s1026" o:spt="20" style="position:absolute;left:5182;top:295007;height:1051;width:1517;" filled="f" stroked="t" coordsize="21600,21600" o:gfxdata="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74l32/&#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w:pict>
                </mc:Fallback>
              </mc:AlternateContent>
            </w:r>
            <w:r>
              <w:rPr>
                <w:rFonts w:hint="default" w:ascii="Times New Roman" w:hAnsi="Times New Roman" w:cs="Times New Roman"/>
                <w:b w:val="0"/>
                <w:bCs/>
                <w:color w:val="auto"/>
                <w:szCs w:val="21"/>
              </w:rPr>
              <w:t xml:space="preserve">  </w:t>
            </w:r>
            <w:r>
              <w:rPr>
                <w:rFonts w:hint="default" w:ascii="Times New Roman" w:hAnsi="Times New Roman" w:cs="Times New Roman"/>
                <w:b w:val="0"/>
                <w:bCs/>
                <w:color w:val="auto"/>
                <w:szCs w:val="21"/>
                <w:lang w:val="en-US" w:eastAsia="zh-CN"/>
              </w:rPr>
              <w:t xml:space="preserve">   </w:t>
            </w:r>
            <w:r>
              <w:rPr>
                <w:rFonts w:hint="default" w:ascii="Times New Roman" w:hAnsi="Times New Roman" w:cs="Times New Roman"/>
                <w:b w:val="0"/>
                <w:bCs/>
                <w:color w:val="auto"/>
                <w:szCs w:val="21"/>
              </w:rPr>
              <w:t xml:space="preserve">    项目类别</w:t>
            </w:r>
          </w:p>
          <w:p w14:paraId="69FA44D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评价工作等级</w:t>
            </w:r>
          </w:p>
          <w:p w14:paraId="55C223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敏感程度</w:t>
            </w:r>
          </w:p>
        </w:tc>
        <w:tc>
          <w:tcPr>
            <w:tcW w:w="2130" w:type="dxa"/>
            <w:tcBorders>
              <w:tl2br w:val="nil"/>
              <w:tr2bl w:val="nil"/>
            </w:tcBorders>
            <w:noWrap w:val="0"/>
            <w:vAlign w:val="center"/>
          </w:tcPr>
          <w:p w14:paraId="1023144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I类</w:t>
            </w:r>
          </w:p>
        </w:tc>
        <w:tc>
          <w:tcPr>
            <w:tcW w:w="2130" w:type="dxa"/>
            <w:tcBorders>
              <w:tl2br w:val="nil"/>
              <w:tr2bl w:val="nil"/>
            </w:tcBorders>
            <w:noWrap w:val="0"/>
            <w:vAlign w:val="center"/>
          </w:tcPr>
          <w:p w14:paraId="1089427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lang w:eastAsia="zh-CN"/>
              </w:rPr>
              <w:t>Ⅱ</w:t>
            </w:r>
            <w:r>
              <w:rPr>
                <w:rFonts w:hint="default" w:ascii="Times New Roman" w:hAnsi="Times New Roman" w:cs="Times New Roman"/>
                <w:b w:val="0"/>
                <w:bCs/>
                <w:color w:val="auto"/>
                <w:szCs w:val="21"/>
              </w:rPr>
              <w:t>类</w:t>
            </w:r>
          </w:p>
        </w:tc>
        <w:tc>
          <w:tcPr>
            <w:tcW w:w="2130" w:type="dxa"/>
            <w:tcBorders>
              <w:tl2br w:val="nil"/>
              <w:tr2bl w:val="nil"/>
            </w:tcBorders>
            <w:noWrap w:val="0"/>
            <w:vAlign w:val="center"/>
          </w:tcPr>
          <w:p w14:paraId="69411D4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lang w:eastAsia="zh-CN"/>
              </w:rPr>
              <w:t>Ⅲ</w:t>
            </w:r>
            <w:r>
              <w:rPr>
                <w:rFonts w:hint="default" w:ascii="Times New Roman" w:hAnsi="Times New Roman" w:cs="Times New Roman"/>
                <w:b w:val="0"/>
                <w:bCs/>
                <w:color w:val="auto"/>
                <w:szCs w:val="21"/>
              </w:rPr>
              <w:t>类</w:t>
            </w:r>
          </w:p>
        </w:tc>
      </w:tr>
      <w:tr w14:paraId="2737D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Borders>
              <w:tl2br w:val="nil"/>
              <w:tr2bl w:val="nil"/>
            </w:tcBorders>
            <w:noWrap w:val="0"/>
            <w:vAlign w:val="center"/>
          </w:tcPr>
          <w:p w14:paraId="461058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敏感</w:t>
            </w:r>
          </w:p>
        </w:tc>
        <w:tc>
          <w:tcPr>
            <w:tcW w:w="2130" w:type="dxa"/>
            <w:tcBorders>
              <w:tl2br w:val="nil"/>
              <w:tr2bl w:val="nil"/>
            </w:tcBorders>
            <w:noWrap w:val="0"/>
            <w:vAlign w:val="center"/>
          </w:tcPr>
          <w:p w14:paraId="481CA0F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2130" w:type="dxa"/>
            <w:tcBorders>
              <w:tl2br w:val="nil"/>
              <w:tr2bl w:val="nil"/>
            </w:tcBorders>
            <w:noWrap w:val="0"/>
            <w:vAlign w:val="center"/>
          </w:tcPr>
          <w:p w14:paraId="334AE4C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2130" w:type="dxa"/>
            <w:tcBorders>
              <w:tl2br w:val="nil"/>
              <w:tr2bl w:val="nil"/>
            </w:tcBorders>
            <w:noWrap w:val="0"/>
            <w:vAlign w:val="center"/>
          </w:tcPr>
          <w:p w14:paraId="117D8C7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r>
      <w:tr w14:paraId="44D151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Borders>
              <w:tl2br w:val="nil"/>
              <w:tr2bl w:val="nil"/>
            </w:tcBorders>
            <w:noWrap w:val="0"/>
            <w:vAlign w:val="center"/>
          </w:tcPr>
          <w:p w14:paraId="55804FB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较敏感</w:t>
            </w:r>
          </w:p>
        </w:tc>
        <w:tc>
          <w:tcPr>
            <w:tcW w:w="2130" w:type="dxa"/>
            <w:tcBorders>
              <w:tl2br w:val="nil"/>
              <w:tr2bl w:val="nil"/>
            </w:tcBorders>
            <w:noWrap w:val="0"/>
            <w:vAlign w:val="center"/>
          </w:tcPr>
          <w:p w14:paraId="698344B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2130" w:type="dxa"/>
            <w:tcBorders>
              <w:tl2br w:val="nil"/>
              <w:tr2bl w:val="nil"/>
            </w:tcBorders>
            <w:noWrap w:val="0"/>
            <w:vAlign w:val="center"/>
          </w:tcPr>
          <w:p w14:paraId="6F50808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2130" w:type="dxa"/>
            <w:tcBorders>
              <w:tl2br w:val="nil"/>
              <w:tr2bl w:val="nil"/>
            </w:tcBorders>
            <w:noWrap w:val="0"/>
            <w:vAlign w:val="center"/>
          </w:tcPr>
          <w:p w14:paraId="1F5D47E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r>
      <w:tr w14:paraId="5B4F7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29" w:type="dxa"/>
            <w:tcBorders>
              <w:tl2br w:val="nil"/>
              <w:tr2bl w:val="nil"/>
            </w:tcBorders>
            <w:noWrap w:val="0"/>
            <w:vAlign w:val="center"/>
          </w:tcPr>
          <w:p w14:paraId="29BD542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不敏感</w:t>
            </w:r>
          </w:p>
        </w:tc>
        <w:tc>
          <w:tcPr>
            <w:tcW w:w="2130" w:type="dxa"/>
            <w:tcBorders>
              <w:tl2br w:val="nil"/>
              <w:tr2bl w:val="nil"/>
            </w:tcBorders>
            <w:noWrap w:val="0"/>
            <w:vAlign w:val="center"/>
          </w:tcPr>
          <w:p w14:paraId="5CDAD366">
            <w:pPr>
              <w:keepNext w:val="0"/>
              <w:keepLines w:val="0"/>
              <w:pageBreakBefore w:val="0"/>
              <w:widowControl w:val="0"/>
              <w:tabs>
                <w:tab w:val="center" w:pos="1017"/>
                <w:tab w:val="right" w:pos="1914"/>
              </w:tabs>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2130" w:type="dxa"/>
            <w:tcBorders>
              <w:tl2br w:val="nil"/>
              <w:tr2bl w:val="nil"/>
            </w:tcBorders>
            <w:noWrap w:val="0"/>
            <w:vAlign w:val="center"/>
          </w:tcPr>
          <w:p w14:paraId="191A0E3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shd w:val="clear" w:color="auto" w:fill="auto"/>
              </w:rPr>
              <w:t>三级</w:t>
            </w:r>
          </w:p>
        </w:tc>
        <w:tc>
          <w:tcPr>
            <w:tcW w:w="2130" w:type="dxa"/>
            <w:tcBorders>
              <w:tl2br w:val="nil"/>
              <w:tr2bl w:val="nil"/>
            </w:tcBorders>
            <w:noWrap w:val="0"/>
            <w:vAlign w:val="center"/>
          </w:tcPr>
          <w:p w14:paraId="126A621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w:t>
            </w:r>
          </w:p>
        </w:tc>
      </w:tr>
    </w:tbl>
    <w:p w14:paraId="29767ADA">
      <w:pPr>
        <w:spacing w:line="48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（3）污染影响型</w:t>
      </w:r>
    </w:p>
    <w:p w14:paraId="251801EB">
      <w:pPr>
        <w:spacing w:line="480" w:lineRule="exact"/>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本项目工业场地及排土场属于污染影响型，本项目永久占地面积为</w:t>
      </w:r>
      <w:r>
        <w:rPr>
          <w:rFonts w:hint="default" w:ascii="Times New Roman" w:hAnsi="Times New Roman" w:cs="Times New Roman"/>
          <w:color w:val="auto"/>
          <w:sz w:val="24"/>
          <w:szCs w:val="24"/>
          <w:lang w:val="en-US" w:eastAsia="zh-CN"/>
        </w:rPr>
        <w:t>15.359</w:t>
      </w:r>
      <w:r>
        <w:rPr>
          <w:rFonts w:hint="default" w:ascii="Times New Roman" w:hAnsi="Times New Roman" w:eastAsia="宋体" w:cs="Times New Roman"/>
          <w:color w:val="auto"/>
          <w:sz w:val="24"/>
          <w:szCs w:val="24"/>
          <w:highlight w:val="none"/>
          <w:lang w:val="en-US" w:eastAsia="zh-CN"/>
        </w:rPr>
        <w:t>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，划分为</w:t>
      </w:r>
      <w:r>
        <w:rPr>
          <w:rFonts w:hint="default" w:ascii="Times New Roman" w:hAnsi="Times New Roman"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lang w:val="en-US" w:eastAsia="zh-CN"/>
        </w:rPr>
        <w:t>型，排土场周边存在</w:t>
      </w:r>
      <w:r>
        <w:rPr>
          <w:rFonts w:hint="default" w:ascii="Times New Roman" w:hAnsi="Times New Roman" w:cs="Times New Roman"/>
          <w:color w:val="auto"/>
          <w:sz w:val="24"/>
          <w:szCs w:val="24"/>
          <w:highlight w:val="none"/>
          <w:lang w:val="en-US" w:eastAsia="zh-CN"/>
        </w:rPr>
        <w:t>少部分</w:t>
      </w:r>
      <w:r>
        <w:rPr>
          <w:rFonts w:hint="default" w:ascii="Times New Roman" w:hAnsi="Times New Roman" w:eastAsia="宋体" w:cs="Times New Roman"/>
          <w:color w:val="auto"/>
          <w:sz w:val="24"/>
          <w:szCs w:val="24"/>
          <w:highlight w:val="none"/>
          <w:lang w:val="en-US" w:eastAsia="zh-CN"/>
        </w:rPr>
        <w:t>天然牧草地，土壤环境划分为敏感，依据《环境影响评价技术导则 土壤环境》（HJ964-2018）中的污染影响程度分级表、评价工作等级划分表（表2.5-1</w:t>
      </w:r>
      <w:r>
        <w:rPr>
          <w:rFonts w:hint="eastAsia"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、表2.5-1</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），确定本项目土壤污染影响型评价等级为一级。</w:t>
      </w:r>
    </w:p>
    <w:p w14:paraId="3E09FDA5">
      <w:pPr>
        <w:pStyle w:val="36"/>
        <w:keepNext w:val="0"/>
        <w:keepLines w:val="0"/>
        <w:pageBreakBefore w:val="0"/>
        <w:widowControl w:val="0"/>
        <w:kinsoku/>
        <w:wordWrap/>
        <w:overflowPunct/>
        <w:topLinePunct w:val="0"/>
        <w:autoSpaceDE/>
        <w:autoSpaceDN/>
        <w:bidi w:val="0"/>
        <w:adjustRightInd w:val="0"/>
        <w:snapToGrid w:val="0"/>
        <w:spacing w:after="0" w:line="480" w:lineRule="exact"/>
        <w:ind w:firstLine="0" w:firstLineChars="0"/>
        <w:textAlignment w:val="auto"/>
        <w:rPr>
          <w:rFonts w:hint="default" w:ascii="Times New Roman" w:hAnsi="Times New Roman" w:eastAsia="宋体" w:cs="Times New Roman"/>
          <w:b/>
          <w:bCs/>
          <w:snapToGrid/>
          <w:color w:val="auto"/>
          <w:spacing w:val="0"/>
          <w:w w:val="100"/>
          <w:kern w:val="2"/>
          <w:position w:val="0"/>
          <w:sz w:val="21"/>
          <w:szCs w:val="21"/>
          <w:lang w:val="en-US" w:eastAsia="zh-CN" w:bidi="ar-SA"/>
        </w:rPr>
      </w:pPr>
      <w:r>
        <w:rPr>
          <w:rFonts w:hint="default" w:ascii="Times New Roman" w:hAnsi="Times New Roman" w:eastAsia="宋体" w:cs="Times New Roman"/>
          <w:b/>
          <w:bCs/>
          <w:snapToGrid/>
          <w:color w:val="auto"/>
          <w:spacing w:val="0"/>
          <w:w w:val="100"/>
          <w:kern w:val="2"/>
          <w:position w:val="0"/>
          <w:sz w:val="21"/>
          <w:szCs w:val="21"/>
          <w:lang w:val="en-US" w:eastAsia="zh-CN" w:bidi="ar-SA"/>
        </w:rPr>
        <w:t>表2.5-1</w:t>
      </w:r>
      <w:r>
        <w:rPr>
          <w:rFonts w:hint="eastAsia" w:ascii="Times New Roman" w:hAnsi="Times New Roman" w:eastAsia="宋体" w:cs="Times New Roman"/>
          <w:b/>
          <w:bCs/>
          <w:snapToGrid/>
          <w:color w:val="auto"/>
          <w:spacing w:val="0"/>
          <w:w w:val="100"/>
          <w:kern w:val="2"/>
          <w:position w:val="0"/>
          <w:sz w:val="21"/>
          <w:szCs w:val="21"/>
          <w:lang w:val="en-US" w:eastAsia="zh-CN" w:bidi="ar-SA"/>
        </w:rPr>
        <w:t>4</w:t>
      </w:r>
      <w:r>
        <w:rPr>
          <w:rFonts w:hint="default" w:ascii="Times New Roman" w:hAnsi="Times New Roman" w:eastAsia="宋体" w:cs="Times New Roman"/>
          <w:b/>
          <w:bCs/>
          <w:snapToGrid/>
          <w:color w:val="auto"/>
          <w:spacing w:val="0"/>
          <w:w w:val="100"/>
          <w:kern w:val="2"/>
          <w:position w:val="0"/>
          <w:sz w:val="21"/>
          <w:szCs w:val="21"/>
          <w:lang w:val="en-US" w:eastAsia="zh-CN" w:bidi="ar-SA"/>
        </w:rPr>
        <w:t xml:space="preserve">   污染影响型敏感程度分级表</w:t>
      </w:r>
    </w:p>
    <w:tbl>
      <w:tblPr>
        <w:tblStyle w:val="22"/>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7409"/>
      </w:tblGrid>
      <w:tr w14:paraId="03BCF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tcBorders>
              <w:tl2br w:val="nil"/>
              <w:tr2bl w:val="nil"/>
            </w:tcBorders>
            <w:noWrap w:val="0"/>
            <w:vAlign w:val="center"/>
          </w:tcPr>
          <w:p w14:paraId="4EA73196">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敏感程度</w:t>
            </w:r>
          </w:p>
        </w:tc>
        <w:tc>
          <w:tcPr>
            <w:tcW w:w="7409" w:type="dxa"/>
            <w:tcBorders>
              <w:tl2br w:val="nil"/>
              <w:tr2bl w:val="nil"/>
            </w:tcBorders>
            <w:noWrap w:val="0"/>
            <w:vAlign w:val="center"/>
          </w:tcPr>
          <w:p w14:paraId="4DC202C1">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判别依据</w:t>
            </w:r>
          </w:p>
        </w:tc>
      </w:tr>
      <w:tr w14:paraId="5C9A2E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tcBorders>
              <w:tl2br w:val="nil"/>
              <w:tr2bl w:val="nil"/>
            </w:tcBorders>
            <w:noWrap w:val="0"/>
            <w:vAlign w:val="center"/>
          </w:tcPr>
          <w:p w14:paraId="09A1F2FF">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敏感</w:t>
            </w:r>
          </w:p>
        </w:tc>
        <w:tc>
          <w:tcPr>
            <w:tcW w:w="7409" w:type="dxa"/>
            <w:tcBorders>
              <w:tl2br w:val="nil"/>
              <w:tr2bl w:val="nil"/>
            </w:tcBorders>
            <w:noWrap w:val="0"/>
            <w:vAlign w:val="center"/>
          </w:tcPr>
          <w:p w14:paraId="4D75806E">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建设项目周边存在耕地、园地、牧草地、饮用水水源地或居民区、学校、医院、疗养院、养老院等土壤环境敏感目标的</w:t>
            </w:r>
          </w:p>
        </w:tc>
      </w:tr>
      <w:tr w14:paraId="7F181D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tcBorders>
              <w:tl2br w:val="nil"/>
              <w:tr2bl w:val="nil"/>
            </w:tcBorders>
            <w:noWrap w:val="0"/>
            <w:vAlign w:val="center"/>
          </w:tcPr>
          <w:p w14:paraId="34F8555E">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较敏感</w:t>
            </w:r>
          </w:p>
        </w:tc>
        <w:tc>
          <w:tcPr>
            <w:tcW w:w="7409" w:type="dxa"/>
            <w:tcBorders>
              <w:tl2br w:val="nil"/>
              <w:tr2bl w:val="nil"/>
            </w:tcBorders>
            <w:noWrap w:val="0"/>
            <w:vAlign w:val="center"/>
          </w:tcPr>
          <w:p w14:paraId="5B8C21FD">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建设项目周边存在其他土壤环境敏感目标的</w:t>
            </w:r>
          </w:p>
        </w:tc>
      </w:tr>
      <w:tr w14:paraId="067611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3" w:type="dxa"/>
            <w:tcBorders>
              <w:tl2br w:val="nil"/>
              <w:tr2bl w:val="nil"/>
            </w:tcBorders>
            <w:noWrap w:val="0"/>
            <w:vAlign w:val="center"/>
          </w:tcPr>
          <w:p w14:paraId="57A95728">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不敏感</w:t>
            </w:r>
          </w:p>
        </w:tc>
        <w:tc>
          <w:tcPr>
            <w:tcW w:w="7409" w:type="dxa"/>
            <w:tcBorders>
              <w:tl2br w:val="nil"/>
              <w:tr2bl w:val="nil"/>
            </w:tcBorders>
            <w:noWrap w:val="0"/>
            <w:vAlign w:val="center"/>
          </w:tcPr>
          <w:p w14:paraId="62BC4B9D">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其他情况</w:t>
            </w:r>
          </w:p>
        </w:tc>
      </w:tr>
    </w:tbl>
    <w:p w14:paraId="06DF07C5">
      <w:pPr>
        <w:pStyle w:val="36"/>
        <w:keepNext w:val="0"/>
        <w:keepLines w:val="0"/>
        <w:pageBreakBefore w:val="0"/>
        <w:widowControl w:val="0"/>
        <w:kinsoku/>
        <w:wordWrap/>
        <w:overflowPunct/>
        <w:topLinePunct w:val="0"/>
        <w:autoSpaceDE/>
        <w:autoSpaceDN/>
        <w:bidi w:val="0"/>
        <w:adjustRightInd w:val="0"/>
        <w:snapToGrid w:val="0"/>
        <w:spacing w:after="0" w:line="480" w:lineRule="exact"/>
        <w:ind w:firstLine="0" w:firstLineChars="0"/>
        <w:textAlignment w:val="auto"/>
        <w:rPr>
          <w:rFonts w:hint="default" w:ascii="Times New Roman" w:hAnsi="Times New Roman" w:eastAsia="宋体" w:cs="Times New Roman"/>
          <w:b/>
          <w:bCs/>
          <w:snapToGrid/>
          <w:color w:val="auto"/>
          <w:spacing w:val="0"/>
          <w:w w:val="100"/>
          <w:kern w:val="2"/>
          <w:position w:val="0"/>
          <w:sz w:val="21"/>
          <w:szCs w:val="21"/>
          <w:lang w:val="en-US" w:eastAsia="zh-CN" w:bidi="ar-SA"/>
        </w:rPr>
      </w:pPr>
      <w:r>
        <w:rPr>
          <w:rFonts w:hint="default" w:ascii="Times New Roman" w:hAnsi="Times New Roman" w:eastAsia="宋体" w:cs="Times New Roman"/>
          <w:b/>
          <w:bCs/>
          <w:snapToGrid/>
          <w:color w:val="auto"/>
          <w:spacing w:val="0"/>
          <w:w w:val="100"/>
          <w:kern w:val="2"/>
          <w:position w:val="0"/>
          <w:sz w:val="21"/>
          <w:szCs w:val="21"/>
          <w:lang w:val="en-US" w:eastAsia="zh-CN" w:bidi="ar-SA"/>
        </w:rPr>
        <w:t>表2.5-1</w:t>
      </w:r>
      <w:r>
        <w:rPr>
          <w:rFonts w:hint="eastAsia" w:ascii="Times New Roman" w:hAnsi="Times New Roman" w:eastAsia="宋体" w:cs="Times New Roman"/>
          <w:b/>
          <w:bCs/>
          <w:snapToGrid/>
          <w:color w:val="auto"/>
          <w:spacing w:val="0"/>
          <w:w w:val="100"/>
          <w:kern w:val="2"/>
          <w:position w:val="0"/>
          <w:sz w:val="21"/>
          <w:szCs w:val="21"/>
          <w:lang w:val="en-US" w:eastAsia="zh-CN" w:bidi="ar-SA"/>
        </w:rPr>
        <w:t>5</w:t>
      </w:r>
      <w:r>
        <w:rPr>
          <w:rFonts w:hint="default" w:ascii="Times New Roman" w:hAnsi="Times New Roman" w:eastAsia="宋体" w:cs="Times New Roman"/>
          <w:b/>
          <w:bCs/>
          <w:snapToGrid/>
          <w:color w:val="auto"/>
          <w:spacing w:val="0"/>
          <w:w w:val="100"/>
          <w:kern w:val="2"/>
          <w:position w:val="0"/>
          <w:sz w:val="21"/>
          <w:szCs w:val="21"/>
          <w:lang w:val="en-US" w:eastAsia="zh-CN" w:bidi="ar-SA"/>
        </w:rPr>
        <w:t xml:space="preserve">    污染影响型评价工作等级划分表</w:t>
      </w:r>
    </w:p>
    <w:tbl>
      <w:tblPr>
        <w:tblStyle w:val="21"/>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710"/>
        <w:gridCol w:w="710"/>
        <w:gridCol w:w="710"/>
        <w:gridCol w:w="710"/>
        <w:gridCol w:w="710"/>
        <w:gridCol w:w="711"/>
        <w:gridCol w:w="710"/>
        <w:gridCol w:w="710"/>
        <w:gridCol w:w="712"/>
      </w:tblGrid>
      <w:tr w14:paraId="5A44FA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2130" w:type="dxa"/>
            <w:vMerge w:val="restart"/>
            <w:tcBorders>
              <w:tl2br w:val="nil"/>
              <w:tr2bl w:val="nil"/>
            </w:tcBorders>
            <w:noWrap w:val="0"/>
            <w:vAlign w:val="center"/>
          </w:tcPr>
          <w:p w14:paraId="6C76D95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mc:AlternateContent>
                <mc:Choice Requires="wpg">
                  <w:drawing>
                    <wp:anchor distT="0" distB="0" distL="114300" distR="114300" simplePos="0" relativeHeight="251665408" behindDoc="0" locked="0" layoutInCell="1" allowOverlap="1">
                      <wp:simplePos x="0" y="0"/>
                      <wp:positionH relativeFrom="column">
                        <wp:posOffset>-74295</wp:posOffset>
                      </wp:positionH>
                      <wp:positionV relativeFrom="paragraph">
                        <wp:posOffset>-18415</wp:posOffset>
                      </wp:positionV>
                      <wp:extent cx="1348740" cy="754380"/>
                      <wp:effectExtent l="1270" t="3175" r="2540" b="23495"/>
                      <wp:wrapNone/>
                      <wp:docPr id="232" name="组合 232"/>
                      <wp:cNvGraphicFramePr/>
                      <a:graphic xmlns:a="http://schemas.openxmlformats.org/drawingml/2006/main">
                        <a:graphicData uri="http://schemas.microsoft.com/office/word/2010/wordprocessingGroup">
                          <wpg:wgp>
                            <wpg:cNvGrpSpPr/>
                            <wpg:grpSpPr>
                              <a:xfrm>
                                <a:off x="0" y="0"/>
                                <a:ext cx="1348740" cy="754380"/>
                                <a:chOff x="4531" y="294990"/>
                                <a:chExt cx="2180" cy="1077"/>
                              </a:xfrm>
                              <a:effectLst/>
                            </wpg:grpSpPr>
                            <wps:wsp>
                              <wps:cNvPr id="233" name="直接连接符 3"/>
                              <wps:cNvCnPr/>
                              <wps:spPr>
                                <a:xfrm>
                                  <a:off x="4531" y="295583"/>
                                  <a:ext cx="2180" cy="484"/>
                                </a:xfrm>
                                <a:prstGeom prst="line">
                                  <a:avLst/>
                                </a:prstGeom>
                                <a:noFill/>
                                <a:ln w="6350" cap="flat" cmpd="sng" algn="ctr">
                                  <a:solidFill>
                                    <a:srgbClr val="000000"/>
                                  </a:solidFill>
                                  <a:prstDash val="solid"/>
                                </a:ln>
                                <a:effectLst/>
                              </wps:spPr>
                              <wps:bodyPr/>
                            </wps:wsp>
                            <wps:wsp>
                              <wps:cNvPr id="234" name="直接连接符 4"/>
                              <wps:cNvCnPr/>
                              <wps:spPr>
                                <a:xfrm>
                                  <a:off x="5491" y="294990"/>
                                  <a:ext cx="1206" cy="1068"/>
                                </a:xfrm>
                                <a:prstGeom prst="line">
                                  <a:avLst/>
                                </a:prstGeom>
                                <a:noFill/>
                                <a:ln w="9525" cap="flat" cmpd="sng" algn="ctr">
                                  <a:solidFill>
                                    <a:srgbClr val="000000"/>
                                  </a:solidFill>
                                  <a:prstDash val="solid"/>
                                </a:ln>
                                <a:effectLst/>
                              </wps:spPr>
                              <wps:bodyPr/>
                            </wps:wsp>
                          </wpg:wgp>
                        </a:graphicData>
                      </a:graphic>
                    </wp:anchor>
                  </w:drawing>
                </mc:Choice>
                <mc:Fallback>
                  <w:pict>
                    <v:group id="_x0000_s1026" o:spid="_x0000_s1026" o:spt="203" style="position:absolute;left:0pt;margin-left:-5.85pt;margin-top:-1.45pt;height:59.4pt;width:106.2pt;z-index:251665408;mso-width-relative:page;mso-height-relative:page;" coordorigin="4531,294990" coordsize="2180,1077" o:gfxdata="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wLLNCdgAAAAKAQAADwAAAAAA&#10;AAABACAAAAAiAAAAZHJzL2Rvd25yZXYueG1sUEsBAhQAFAAAAAgAh07iQMdBO/uFAgAAyQYAAA4A&#10;AAAAAAAAAQAgAAAAJwEAAGRycy9lMm9Eb2MueG1sUEsFBgAAAAAGAAYAWQEAAB4GAAAAAA==&#10;">
                      <o:lock v:ext="edit" aspectratio="f"/>
                      <v:line id="直接连接符 3" o:spid="_x0000_s1026" o:spt="20" style="position:absolute;left:4531;top:295583;height:484;width:2180;" filled="f" stroked="t" coordsize="21600,21600" o:gfxdata="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uTJq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直接连接符 4" o:spid="_x0000_s1026" o:spt="20" style="position:absolute;left:5491;top:294990;height:1068;width:1206;" filled="f" stroked="t" coordsize="21600,21600" o:gfxdata="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jzTl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r>
              <w:rPr>
                <w:rFonts w:hint="default" w:ascii="Times New Roman" w:hAnsi="Times New Roman" w:cs="Times New Roman"/>
                <w:b w:val="0"/>
                <w:bCs/>
                <w:color w:val="auto"/>
                <w:szCs w:val="21"/>
              </w:rPr>
              <w:t xml:space="preserve">          占地规模</w:t>
            </w:r>
          </w:p>
          <w:p w14:paraId="69D3000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评价工作等级</w:t>
            </w:r>
          </w:p>
          <w:p w14:paraId="154C882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敏感程度</w:t>
            </w:r>
          </w:p>
        </w:tc>
        <w:tc>
          <w:tcPr>
            <w:tcW w:w="2130" w:type="dxa"/>
            <w:gridSpan w:val="3"/>
            <w:tcBorders>
              <w:tl2br w:val="nil"/>
              <w:tr2bl w:val="nil"/>
            </w:tcBorders>
            <w:noWrap w:val="0"/>
            <w:vAlign w:val="center"/>
          </w:tcPr>
          <w:p w14:paraId="445E142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I类</w:t>
            </w:r>
          </w:p>
        </w:tc>
        <w:tc>
          <w:tcPr>
            <w:tcW w:w="2131" w:type="dxa"/>
            <w:gridSpan w:val="3"/>
            <w:tcBorders>
              <w:tl2br w:val="nil"/>
              <w:tr2bl w:val="nil"/>
            </w:tcBorders>
            <w:noWrap w:val="0"/>
            <w:vAlign w:val="center"/>
          </w:tcPr>
          <w:p w14:paraId="189C1D1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lang w:eastAsia="zh-CN"/>
              </w:rPr>
              <w:t>Ⅱ</w:t>
            </w:r>
            <w:r>
              <w:rPr>
                <w:rFonts w:hint="default" w:ascii="Times New Roman" w:hAnsi="Times New Roman" w:cs="Times New Roman"/>
                <w:b w:val="0"/>
                <w:bCs/>
                <w:color w:val="auto"/>
                <w:szCs w:val="21"/>
              </w:rPr>
              <w:t>类</w:t>
            </w:r>
          </w:p>
        </w:tc>
        <w:tc>
          <w:tcPr>
            <w:tcW w:w="2131" w:type="dxa"/>
            <w:gridSpan w:val="3"/>
            <w:tcBorders>
              <w:tl2br w:val="nil"/>
              <w:tr2bl w:val="nil"/>
            </w:tcBorders>
            <w:noWrap w:val="0"/>
            <w:vAlign w:val="center"/>
          </w:tcPr>
          <w:p w14:paraId="0122C98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lang w:eastAsia="zh-CN"/>
              </w:rPr>
              <w:t>Ⅲ</w:t>
            </w:r>
            <w:r>
              <w:rPr>
                <w:rFonts w:hint="default" w:ascii="Times New Roman" w:hAnsi="Times New Roman" w:cs="Times New Roman"/>
                <w:b w:val="0"/>
                <w:bCs/>
                <w:color w:val="auto"/>
                <w:szCs w:val="21"/>
              </w:rPr>
              <w:t>类</w:t>
            </w:r>
          </w:p>
        </w:tc>
      </w:tr>
      <w:tr w14:paraId="6B69F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130" w:type="dxa"/>
            <w:vMerge w:val="continue"/>
            <w:tcBorders>
              <w:tl2br w:val="nil"/>
              <w:tr2bl w:val="nil"/>
            </w:tcBorders>
            <w:noWrap w:val="0"/>
            <w:vAlign w:val="center"/>
          </w:tcPr>
          <w:p w14:paraId="04DB1C0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b w:val="0"/>
                <w:bCs/>
                <w:color w:val="auto"/>
                <w:szCs w:val="21"/>
              </w:rPr>
            </w:pPr>
          </w:p>
        </w:tc>
        <w:tc>
          <w:tcPr>
            <w:tcW w:w="710" w:type="dxa"/>
            <w:tcBorders>
              <w:tl2br w:val="nil"/>
              <w:tr2bl w:val="nil"/>
            </w:tcBorders>
            <w:noWrap w:val="0"/>
            <w:vAlign w:val="center"/>
          </w:tcPr>
          <w:p w14:paraId="1EF2E8D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大</w:t>
            </w:r>
          </w:p>
        </w:tc>
        <w:tc>
          <w:tcPr>
            <w:tcW w:w="710" w:type="dxa"/>
            <w:tcBorders>
              <w:tl2br w:val="nil"/>
              <w:tr2bl w:val="nil"/>
            </w:tcBorders>
            <w:noWrap w:val="0"/>
            <w:vAlign w:val="center"/>
          </w:tcPr>
          <w:p w14:paraId="4506D1C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中</w:t>
            </w:r>
          </w:p>
        </w:tc>
        <w:tc>
          <w:tcPr>
            <w:tcW w:w="710" w:type="dxa"/>
            <w:tcBorders>
              <w:tl2br w:val="nil"/>
              <w:tr2bl w:val="nil"/>
            </w:tcBorders>
            <w:noWrap w:val="0"/>
            <w:vAlign w:val="center"/>
          </w:tcPr>
          <w:p w14:paraId="6FECF61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小</w:t>
            </w:r>
          </w:p>
        </w:tc>
        <w:tc>
          <w:tcPr>
            <w:tcW w:w="710" w:type="dxa"/>
            <w:tcBorders>
              <w:tl2br w:val="nil"/>
              <w:tr2bl w:val="nil"/>
            </w:tcBorders>
            <w:noWrap w:val="0"/>
            <w:vAlign w:val="center"/>
          </w:tcPr>
          <w:p w14:paraId="4122A50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大</w:t>
            </w:r>
          </w:p>
        </w:tc>
        <w:tc>
          <w:tcPr>
            <w:tcW w:w="710" w:type="dxa"/>
            <w:tcBorders>
              <w:tl2br w:val="nil"/>
              <w:tr2bl w:val="nil"/>
            </w:tcBorders>
            <w:noWrap w:val="0"/>
            <w:vAlign w:val="center"/>
          </w:tcPr>
          <w:p w14:paraId="5ED8785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中</w:t>
            </w:r>
          </w:p>
        </w:tc>
        <w:tc>
          <w:tcPr>
            <w:tcW w:w="710" w:type="dxa"/>
            <w:tcBorders>
              <w:tl2br w:val="nil"/>
              <w:tr2bl w:val="nil"/>
            </w:tcBorders>
            <w:noWrap w:val="0"/>
            <w:vAlign w:val="center"/>
          </w:tcPr>
          <w:p w14:paraId="6CC875D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小</w:t>
            </w:r>
          </w:p>
        </w:tc>
        <w:tc>
          <w:tcPr>
            <w:tcW w:w="710" w:type="dxa"/>
            <w:tcBorders>
              <w:tl2br w:val="nil"/>
              <w:tr2bl w:val="nil"/>
            </w:tcBorders>
            <w:noWrap w:val="0"/>
            <w:vAlign w:val="center"/>
          </w:tcPr>
          <w:p w14:paraId="00E3F4A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大</w:t>
            </w:r>
          </w:p>
        </w:tc>
        <w:tc>
          <w:tcPr>
            <w:tcW w:w="710" w:type="dxa"/>
            <w:tcBorders>
              <w:tl2br w:val="nil"/>
              <w:tr2bl w:val="nil"/>
            </w:tcBorders>
            <w:noWrap w:val="0"/>
            <w:vAlign w:val="center"/>
          </w:tcPr>
          <w:p w14:paraId="6470D6B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中</w:t>
            </w:r>
          </w:p>
        </w:tc>
        <w:tc>
          <w:tcPr>
            <w:tcW w:w="712" w:type="dxa"/>
            <w:tcBorders>
              <w:tl2br w:val="nil"/>
              <w:tr2bl w:val="nil"/>
            </w:tcBorders>
            <w:noWrap w:val="0"/>
            <w:vAlign w:val="center"/>
          </w:tcPr>
          <w:p w14:paraId="637E1FF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b w:val="0"/>
                <w:bCs/>
                <w:color w:val="auto"/>
                <w:szCs w:val="21"/>
              </w:rPr>
            </w:pPr>
            <w:r>
              <w:rPr>
                <w:rFonts w:hint="default" w:ascii="Times New Roman" w:hAnsi="Times New Roman" w:cs="Times New Roman"/>
                <w:b w:val="0"/>
                <w:bCs/>
                <w:color w:val="auto"/>
                <w:szCs w:val="21"/>
              </w:rPr>
              <w:t>小</w:t>
            </w:r>
          </w:p>
        </w:tc>
      </w:tr>
      <w:tr w14:paraId="4EEB0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30" w:type="dxa"/>
            <w:tcBorders>
              <w:tl2br w:val="nil"/>
              <w:tr2bl w:val="nil"/>
            </w:tcBorders>
            <w:noWrap w:val="0"/>
            <w:vAlign w:val="center"/>
          </w:tcPr>
          <w:p w14:paraId="18BC44D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敏感</w:t>
            </w:r>
          </w:p>
        </w:tc>
        <w:tc>
          <w:tcPr>
            <w:tcW w:w="710" w:type="dxa"/>
            <w:tcBorders>
              <w:tl2br w:val="nil"/>
              <w:tr2bl w:val="nil"/>
            </w:tcBorders>
            <w:noWrap w:val="0"/>
            <w:vAlign w:val="center"/>
          </w:tcPr>
          <w:p w14:paraId="317F86A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48D16C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04871B3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55212E1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71B56D1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314D142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069E37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58AA28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2" w:type="dxa"/>
            <w:tcBorders>
              <w:tl2br w:val="nil"/>
              <w:tr2bl w:val="nil"/>
            </w:tcBorders>
            <w:noWrap w:val="0"/>
            <w:vAlign w:val="center"/>
          </w:tcPr>
          <w:p w14:paraId="528E4EA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r>
      <w:tr w14:paraId="41F5C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30" w:type="dxa"/>
            <w:tcBorders>
              <w:tl2br w:val="nil"/>
              <w:tr2bl w:val="nil"/>
            </w:tcBorders>
            <w:noWrap w:val="0"/>
            <w:vAlign w:val="center"/>
          </w:tcPr>
          <w:p w14:paraId="6ACD8FE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较敏感</w:t>
            </w:r>
          </w:p>
        </w:tc>
        <w:tc>
          <w:tcPr>
            <w:tcW w:w="710" w:type="dxa"/>
            <w:tcBorders>
              <w:tl2br w:val="nil"/>
              <w:tr2bl w:val="nil"/>
            </w:tcBorders>
            <w:noWrap w:val="0"/>
            <w:vAlign w:val="center"/>
          </w:tcPr>
          <w:p w14:paraId="3C37DAE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702E6D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2322A6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0F17C20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0C9C796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21B1FD1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00F2EC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4EA9B7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2" w:type="dxa"/>
            <w:tcBorders>
              <w:tl2br w:val="nil"/>
              <w:tr2bl w:val="nil"/>
            </w:tcBorders>
            <w:noWrap w:val="0"/>
            <w:vAlign w:val="center"/>
          </w:tcPr>
          <w:p w14:paraId="0E7322E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w:t>
            </w:r>
          </w:p>
        </w:tc>
      </w:tr>
      <w:tr w14:paraId="65C49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30" w:type="dxa"/>
            <w:tcBorders>
              <w:tl2br w:val="nil"/>
              <w:tr2bl w:val="nil"/>
            </w:tcBorders>
            <w:noWrap w:val="0"/>
            <w:vAlign w:val="center"/>
          </w:tcPr>
          <w:p w14:paraId="12CC9C0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不敏感</w:t>
            </w:r>
          </w:p>
        </w:tc>
        <w:tc>
          <w:tcPr>
            <w:tcW w:w="710" w:type="dxa"/>
            <w:tcBorders>
              <w:tl2br w:val="nil"/>
              <w:tr2bl w:val="nil"/>
            </w:tcBorders>
            <w:noWrap w:val="0"/>
            <w:vAlign w:val="center"/>
          </w:tcPr>
          <w:p w14:paraId="5D80E3A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一级</w:t>
            </w:r>
          </w:p>
        </w:tc>
        <w:tc>
          <w:tcPr>
            <w:tcW w:w="710" w:type="dxa"/>
            <w:tcBorders>
              <w:tl2br w:val="nil"/>
              <w:tr2bl w:val="nil"/>
            </w:tcBorders>
            <w:noWrap w:val="0"/>
            <w:vAlign w:val="center"/>
          </w:tcPr>
          <w:p w14:paraId="7554183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7267315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3188C8A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二级</w:t>
            </w:r>
          </w:p>
        </w:tc>
        <w:tc>
          <w:tcPr>
            <w:tcW w:w="710" w:type="dxa"/>
            <w:tcBorders>
              <w:tl2br w:val="nil"/>
              <w:tr2bl w:val="nil"/>
            </w:tcBorders>
            <w:noWrap w:val="0"/>
            <w:vAlign w:val="center"/>
          </w:tcPr>
          <w:p w14:paraId="24A5DB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39922E8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75060C7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三级</w:t>
            </w:r>
          </w:p>
        </w:tc>
        <w:tc>
          <w:tcPr>
            <w:tcW w:w="710" w:type="dxa"/>
            <w:tcBorders>
              <w:tl2br w:val="nil"/>
              <w:tr2bl w:val="nil"/>
            </w:tcBorders>
            <w:noWrap w:val="0"/>
            <w:vAlign w:val="center"/>
          </w:tcPr>
          <w:p w14:paraId="70BF7E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w:t>
            </w:r>
          </w:p>
        </w:tc>
        <w:tc>
          <w:tcPr>
            <w:tcW w:w="712" w:type="dxa"/>
            <w:tcBorders>
              <w:tl2br w:val="nil"/>
              <w:tr2bl w:val="nil"/>
            </w:tcBorders>
            <w:noWrap w:val="0"/>
            <w:vAlign w:val="center"/>
          </w:tcPr>
          <w:p w14:paraId="41900F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w:t>
            </w:r>
          </w:p>
        </w:tc>
      </w:tr>
      <w:tr w14:paraId="6489B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2" w:type="dxa"/>
            <w:gridSpan w:val="10"/>
            <w:tcBorders>
              <w:tl2br w:val="nil"/>
              <w:tr2bl w:val="nil"/>
            </w:tcBorders>
            <w:noWrap w:val="0"/>
            <w:vAlign w:val="center"/>
          </w:tcPr>
          <w:p w14:paraId="561C6EB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注：“-”表示可不开展土壤环境影响评价工作。</w:t>
            </w:r>
          </w:p>
        </w:tc>
      </w:tr>
    </w:tbl>
    <w:p w14:paraId="40E04016">
      <w:pPr>
        <w:pStyle w:val="19"/>
        <w:keepNext w:val="0"/>
        <w:keepLines w:val="0"/>
        <w:pageBreakBefore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w w:val="100"/>
          <w:kern w:val="2"/>
          <w:position w:val="0"/>
          <w:sz w:val="24"/>
          <w:highlight w:val="none"/>
          <w:lang w:bidi="ar"/>
        </w:rPr>
      </w:pPr>
      <w:r>
        <w:rPr>
          <w:rFonts w:hint="default" w:ascii="Times New Roman" w:hAnsi="Times New Roman" w:eastAsia="宋体" w:cs="Times New Roman"/>
          <w:color w:val="auto"/>
          <w:spacing w:val="0"/>
          <w:w w:val="100"/>
          <w:kern w:val="2"/>
          <w:position w:val="0"/>
          <w:sz w:val="24"/>
          <w:highlight w:val="none"/>
          <w:lang w:bidi="ar"/>
        </w:rPr>
        <w:t>（</w:t>
      </w:r>
      <w:r>
        <w:rPr>
          <w:rFonts w:hint="default" w:ascii="Times New Roman" w:hAnsi="Times New Roman" w:cs="Times New Roman"/>
          <w:color w:val="auto"/>
          <w:spacing w:val="0"/>
          <w:w w:val="100"/>
          <w:kern w:val="2"/>
          <w:position w:val="0"/>
          <w:sz w:val="24"/>
          <w:highlight w:val="none"/>
          <w:lang w:val="en-US" w:eastAsia="zh-CN" w:bidi="ar"/>
        </w:rPr>
        <w:t>4</w:t>
      </w:r>
      <w:r>
        <w:rPr>
          <w:rFonts w:hint="default" w:ascii="Times New Roman" w:hAnsi="Times New Roman" w:eastAsia="宋体" w:cs="Times New Roman"/>
          <w:color w:val="auto"/>
          <w:spacing w:val="0"/>
          <w:w w:val="100"/>
          <w:kern w:val="2"/>
          <w:position w:val="0"/>
          <w:sz w:val="24"/>
          <w:highlight w:val="none"/>
          <w:lang w:bidi="ar"/>
        </w:rPr>
        <w:t>）土壤评价范围</w:t>
      </w:r>
    </w:p>
    <w:p w14:paraId="27BCCCF0">
      <w:pPr>
        <w:pStyle w:val="19"/>
        <w:keepNext w:val="0"/>
        <w:keepLines w:val="0"/>
        <w:pageBreakBefore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w w:val="100"/>
          <w:kern w:val="2"/>
          <w:position w:val="0"/>
          <w:sz w:val="24"/>
          <w:highlight w:val="none"/>
          <w:lang w:bidi="ar"/>
        </w:rPr>
      </w:pPr>
      <w:r>
        <w:rPr>
          <w:rFonts w:hint="default" w:ascii="Times New Roman" w:hAnsi="Times New Roman" w:eastAsia="宋体" w:cs="Times New Roman"/>
          <w:color w:val="auto"/>
          <w:spacing w:val="0"/>
          <w:w w:val="100"/>
          <w:kern w:val="2"/>
          <w:position w:val="0"/>
          <w:sz w:val="24"/>
          <w:highlight w:val="none"/>
          <w:lang w:bidi="ar"/>
        </w:rPr>
        <w:t>建设项目土壤环境影响现状调查评价范围可根据项目影响类型、污染途径、气象条件、地形地貌、水文地质条件等确定，根据土壤评价导则，参考表5，确定本项目土壤评价范围：</w:t>
      </w:r>
    </w:p>
    <w:p w14:paraId="4B22E0CA">
      <w:pPr>
        <w:pStyle w:val="19"/>
        <w:keepNext w:val="0"/>
        <w:keepLines w:val="0"/>
        <w:pageBreakBefore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w w:val="100"/>
          <w:kern w:val="2"/>
          <w:position w:val="0"/>
          <w:sz w:val="24"/>
          <w:highlight w:val="none"/>
          <w:lang w:bidi="ar"/>
        </w:rPr>
      </w:pPr>
      <w:r>
        <w:rPr>
          <w:rFonts w:hint="default" w:ascii="Times New Roman" w:hAnsi="Times New Roman" w:eastAsia="宋体" w:cs="Times New Roman"/>
          <w:color w:val="auto"/>
          <w:spacing w:val="0"/>
          <w:w w:val="100"/>
          <w:kern w:val="2"/>
          <w:position w:val="0"/>
          <w:sz w:val="24"/>
          <w:highlight w:val="none"/>
          <w:lang w:bidi="ar"/>
        </w:rPr>
        <w:t>生态影响型：以采场边界为基础，外扩</w:t>
      </w:r>
      <w:r>
        <w:rPr>
          <w:rFonts w:hint="default" w:ascii="Times New Roman" w:hAnsi="Times New Roman" w:cs="Times New Roman"/>
          <w:color w:val="auto"/>
          <w:spacing w:val="0"/>
          <w:w w:val="100"/>
          <w:kern w:val="2"/>
          <w:position w:val="0"/>
          <w:sz w:val="24"/>
          <w:highlight w:val="none"/>
          <w:lang w:val="en-US" w:eastAsia="zh-CN" w:bidi="ar"/>
        </w:rPr>
        <w:t>2</w:t>
      </w:r>
      <w:r>
        <w:rPr>
          <w:rFonts w:hint="default" w:ascii="Times New Roman" w:hAnsi="Times New Roman" w:eastAsia="宋体" w:cs="Times New Roman"/>
          <w:color w:val="auto"/>
          <w:spacing w:val="0"/>
          <w:w w:val="100"/>
          <w:kern w:val="2"/>
          <w:position w:val="0"/>
          <w:sz w:val="24"/>
          <w:highlight w:val="none"/>
          <w:lang w:bidi="ar"/>
        </w:rPr>
        <w:t>km。</w:t>
      </w:r>
    </w:p>
    <w:p w14:paraId="2A6283ED">
      <w:pPr>
        <w:pStyle w:val="19"/>
        <w:keepNext w:val="0"/>
        <w:keepLines w:val="0"/>
        <w:pageBreakBefore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w w:val="100"/>
          <w:kern w:val="2"/>
          <w:position w:val="0"/>
          <w:sz w:val="24"/>
          <w:highlight w:val="none"/>
          <w:lang w:bidi="ar"/>
        </w:rPr>
      </w:pPr>
      <w:r>
        <w:rPr>
          <w:rFonts w:hint="default" w:ascii="Times New Roman" w:hAnsi="Times New Roman" w:eastAsia="宋体" w:cs="Times New Roman"/>
          <w:color w:val="auto"/>
          <w:spacing w:val="0"/>
          <w:w w:val="100"/>
          <w:kern w:val="2"/>
          <w:position w:val="0"/>
          <w:sz w:val="24"/>
          <w:highlight w:val="none"/>
          <w:lang w:bidi="ar"/>
        </w:rPr>
        <w:t>污染影响型：</w:t>
      </w:r>
      <w:r>
        <w:rPr>
          <w:rFonts w:hint="default" w:ascii="Times New Roman" w:hAnsi="Times New Roman" w:eastAsia="宋体" w:cs="Times New Roman"/>
          <w:color w:val="auto"/>
          <w:spacing w:val="0"/>
          <w:w w:val="100"/>
          <w:kern w:val="2"/>
          <w:position w:val="0"/>
          <w:sz w:val="24"/>
          <w:highlight w:val="none"/>
          <w:lang w:eastAsia="zh-CN" w:bidi="ar"/>
        </w:rPr>
        <w:t>采矿</w:t>
      </w:r>
      <w:r>
        <w:rPr>
          <w:rFonts w:hint="default" w:ascii="Times New Roman" w:hAnsi="Times New Roman" w:eastAsia="宋体" w:cs="Times New Roman"/>
          <w:color w:val="auto"/>
          <w:spacing w:val="0"/>
          <w:w w:val="100"/>
          <w:kern w:val="2"/>
          <w:position w:val="0"/>
          <w:sz w:val="24"/>
          <w:highlight w:val="none"/>
          <w:lang w:bidi="ar"/>
        </w:rPr>
        <w:t>工业场地及废石场等场地边界外扩1km。</w:t>
      </w:r>
    </w:p>
    <w:p w14:paraId="55F265C5">
      <w:pPr>
        <w:pStyle w:val="4"/>
        <w:bidi w:val="0"/>
        <w:rPr>
          <w:rFonts w:hint="default" w:ascii="Times New Roman" w:hAnsi="Times New Roman" w:cs="Times New Roman"/>
          <w:color w:val="auto"/>
        </w:rPr>
      </w:pPr>
      <w:r>
        <w:rPr>
          <w:rFonts w:hint="default" w:ascii="Times New Roman" w:hAnsi="Times New Roman" w:cs="Times New Roman"/>
          <w:color w:val="auto"/>
        </w:rPr>
        <w:t>环境风险评价等级与评价范围</w:t>
      </w:r>
    </w:p>
    <w:p w14:paraId="176052F3">
      <w:pPr>
        <w:keepNext w:val="0"/>
        <w:keepLines w:val="0"/>
        <w:pageBreakBefore w:val="0"/>
        <w:widowControl w:val="0"/>
        <w:kinsoku/>
        <w:wordWrap/>
        <w:overflowPunct/>
        <w:topLinePunct w:val="0"/>
        <w:autoSpaceDE/>
        <w:autoSpaceDN/>
        <w:bidi w:val="0"/>
        <w:adjustRightInd/>
        <w:snapToGrid/>
        <w:spacing w:line="480" w:lineRule="exact"/>
        <w:ind w:left="0" w:right="0" w:firstLine="478"/>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根据《建设项目环境风险评价技术导则》（HJ169-2018）附录B，对拟建项目主要原辅材料、燃料、中间产品、副产品、最终产品、火灾和爆炸伴生/次生物进行识别。</w:t>
      </w:r>
    </w:p>
    <w:p w14:paraId="4D7F147F">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本项目主要使用的原辅材料为柴油、机油、硝酸铵。矿山日常柴油供应均来源于周边加油站，矿山不设油库硐室以及储油设备</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因此</w:t>
      </w:r>
      <w:r>
        <w:rPr>
          <w:rFonts w:hint="default" w:ascii="Times New Roman" w:hAnsi="Times New Roman" w:eastAsia="宋体" w:cs="Times New Roman"/>
          <w:color w:val="auto"/>
          <w:spacing w:val="0"/>
          <w:w w:val="100"/>
          <w:position w:val="0"/>
          <w:sz w:val="24"/>
          <w:szCs w:val="24"/>
        </w:rPr>
        <w:t>筛选出本项目危险物质主要包括机油、硝酸铵。</w:t>
      </w:r>
    </w:p>
    <w:p w14:paraId="44517623">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危险物质数量与临界量比值（Q）</w:t>
      </w:r>
    </w:p>
    <w:p w14:paraId="28542FEC">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根据《建设项目环境风险评价技术导则》（HJ169-2018）附录C中C.1.1，危险物质数量与临界量比值（Q），Q为0.</w:t>
      </w:r>
      <w:r>
        <w:rPr>
          <w:rFonts w:hint="default" w:ascii="Times New Roman" w:hAnsi="Times New Roman" w:cs="Times New Roman"/>
          <w:color w:val="auto"/>
          <w:spacing w:val="0"/>
          <w:w w:val="100"/>
          <w:position w:val="0"/>
          <w:sz w:val="24"/>
          <w:szCs w:val="24"/>
          <w:lang w:val="en-US" w:eastAsia="zh-CN"/>
        </w:rPr>
        <w:t>206</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，详见表2.</w:t>
      </w:r>
      <w:r>
        <w:rPr>
          <w:rFonts w:hint="default"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1</w:t>
      </w:r>
      <w:r>
        <w:rPr>
          <w:rFonts w:hint="eastAsia" w:ascii="Times New Roman" w:hAnsi="Times New Roman" w:cs="Times New Roman"/>
          <w:color w:val="auto"/>
          <w:spacing w:val="0"/>
          <w:w w:val="100"/>
          <w:position w:val="0"/>
          <w:sz w:val="24"/>
          <w:szCs w:val="24"/>
          <w:lang w:val="en-US" w:eastAsia="zh-CN"/>
        </w:rPr>
        <w:t>6</w:t>
      </w:r>
      <w:r>
        <w:rPr>
          <w:rFonts w:hint="default" w:ascii="Times New Roman" w:hAnsi="Times New Roman" w:eastAsia="宋体" w:cs="Times New Roman"/>
          <w:color w:val="auto"/>
          <w:spacing w:val="0"/>
          <w:w w:val="100"/>
          <w:position w:val="0"/>
          <w:sz w:val="24"/>
          <w:szCs w:val="24"/>
        </w:rPr>
        <w:t>。</w:t>
      </w:r>
    </w:p>
    <w:p w14:paraId="3BF1569E">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表2.5-1</w:t>
      </w:r>
      <w:r>
        <w:rPr>
          <w:rFonts w:hint="eastAsia" w:ascii="Times New Roman" w:hAnsi="Times New Roman" w:cs="Times New Roman"/>
          <w:b/>
          <w:bCs/>
          <w:color w:val="auto"/>
          <w:spacing w:val="0"/>
          <w:w w:val="100"/>
          <w:position w:val="0"/>
          <w:sz w:val="21"/>
          <w:szCs w:val="21"/>
          <w:lang w:val="en-US" w:eastAsia="zh-CN"/>
        </w:rPr>
        <w:t>6</w:t>
      </w:r>
      <w:r>
        <w:rPr>
          <w:rFonts w:hint="default" w:ascii="Times New Roman" w:hAnsi="Times New Roman" w:eastAsia="宋体" w:cs="Times New Roman"/>
          <w:b/>
          <w:bCs/>
          <w:color w:val="auto"/>
          <w:spacing w:val="0"/>
          <w:w w:val="100"/>
          <w:position w:val="0"/>
          <w:sz w:val="21"/>
          <w:szCs w:val="21"/>
          <w:lang w:val="en-US" w:eastAsia="zh-CN"/>
        </w:rPr>
        <w:t xml:space="preserve">    危险物质数量与临界量比值（Q）</w:t>
      </w:r>
    </w:p>
    <w:tbl>
      <w:tblPr>
        <w:tblStyle w:val="31"/>
        <w:tblW w:w="503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90"/>
        <w:gridCol w:w="1335"/>
        <w:gridCol w:w="1422"/>
        <w:gridCol w:w="1679"/>
        <w:gridCol w:w="1137"/>
        <w:gridCol w:w="945"/>
        <w:gridCol w:w="1185"/>
      </w:tblGrid>
      <w:tr w14:paraId="32236C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11" w:type="pct"/>
            <w:tcBorders>
              <w:tl2br w:val="nil"/>
              <w:tr2bl w:val="nil"/>
            </w:tcBorders>
            <w:vAlign w:val="center"/>
          </w:tcPr>
          <w:p w14:paraId="4D30ABA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序号</w:t>
            </w:r>
          </w:p>
        </w:tc>
        <w:tc>
          <w:tcPr>
            <w:tcW w:w="1642" w:type="pct"/>
            <w:gridSpan w:val="2"/>
            <w:tcBorders>
              <w:tl2br w:val="nil"/>
              <w:tr2bl w:val="nil"/>
            </w:tcBorders>
            <w:vAlign w:val="center"/>
          </w:tcPr>
          <w:p w14:paraId="14510B4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危险物质名称</w:t>
            </w:r>
          </w:p>
        </w:tc>
        <w:tc>
          <w:tcPr>
            <w:tcW w:w="1000" w:type="pct"/>
            <w:tcBorders>
              <w:tl2br w:val="nil"/>
              <w:tr2bl w:val="nil"/>
            </w:tcBorders>
            <w:vAlign w:val="center"/>
          </w:tcPr>
          <w:p w14:paraId="4D663C9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CAS号</w:t>
            </w:r>
          </w:p>
        </w:tc>
        <w:tc>
          <w:tcPr>
            <w:tcW w:w="677" w:type="pct"/>
            <w:tcBorders>
              <w:tl2br w:val="nil"/>
              <w:tr2bl w:val="nil"/>
            </w:tcBorders>
            <w:vAlign w:val="center"/>
          </w:tcPr>
          <w:p w14:paraId="6254255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最大存在总量/t</w:t>
            </w:r>
          </w:p>
        </w:tc>
        <w:tc>
          <w:tcPr>
            <w:tcW w:w="560" w:type="pct"/>
            <w:tcBorders>
              <w:tl2br w:val="nil"/>
              <w:tr2bl w:val="nil"/>
            </w:tcBorders>
            <w:vAlign w:val="center"/>
          </w:tcPr>
          <w:p w14:paraId="7DA075A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临界量/t</w:t>
            </w:r>
          </w:p>
        </w:tc>
        <w:tc>
          <w:tcPr>
            <w:tcW w:w="706" w:type="pct"/>
            <w:tcBorders>
              <w:tl2br w:val="nil"/>
              <w:tr2bl w:val="nil"/>
            </w:tcBorders>
            <w:vAlign w:val="center"/>
          </w:tcPr>
          <w:p w14:paraId="3E74576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该种危险物质Q值</w:t>
            </w:r>
          </w:p>
        </w:tc>
      </w:tr>
      <w:tr w14:paraId="1455F7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411" w:type="pct"/>
            <w:tcBorders>
              <w:tl2br w:val="nil"/>
              <w:tr2bl w:val="nil"/>
            </w:tcBorders>
            <w:vAlign w:val="center"/>
          </w:tcPr>
          <w:p w14:paraId="61445AD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val="en-US" w:eastAsia="zh-CN"/>
              </w:rPr>
              <w:t>1</w:t>
            </w:r>
          </w:p>
        </w:tc>
        <w:tc>
          <w:tcPr>
            <w:tcW w:w="795" w:type="pct"/>
            <w:tcBorders>
              <w:tl2br w:val="nil"/>
              <w:tr2bl w:val="nil"/>
            </w:tcBorders>
            <w:vAlign w:val="center"/>
          </w:tcPr>
          <w:p w14:paraId="1A78FD1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油类物质</w:t>
            </w:r>
          </w:p>
        </w:tc>
        <w:tc>
          <w:tcPr>
            <w:tcW w:w="847" w:type="pct"/>
            <w:tcBorders>
              <w:tl2br w:val="nil"/>
              <w:tr2bl w:val="nil"/>
            </w:tcBorders>
            <w:vAlign w:val="center"/>
          </w:tcPr>
          <w:p w14:paraId="16176DC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机油</w:t>
            </w:r>
          </w:p>
        </w:tc>
        <w:tc>
          <w:tcPr>
            <w:tcW w:w="1000" w:type="pct"/>
            <w:tcBorders>
              <w:tl2br w:val="nil"/>
              <w:tr2bl w:val="nil"/>
            </w:tcBorders>
            <w:vAlign w:val="center"/>
          </w:tcPr>
          <w:p w14:paraId="6D6399B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677" w:type="pct"/>
            <w:tcBorders>
              <w:tl2br w:val="nil"/>
              <w:tr2bl w:val="nil"/>
            </w:tcBorders>
            <w:vAlign w:val="center"/>
          </w:tcPr>
          <w:p w14:paraId="65C4CBB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16</w:t>
            </w:r>
          </w:p>
        </w:tc>
        <w:tc>
          <w:tcPr>
            <w:tcW w:w="560" w:type="pct"/>
            <w:tcBorders>
              <w:tl2br w:val="nil"/>
              <w:tr2bl w:val="nil"/>
            </w:tcBorders>
            <w:vAlign w:val="center"/>
          </w:tcPr>
          <w:p w14:paraId="56D3485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2500</w:t>
            </w:r>
          </w:p>
        </w:tc>
        <w:tc>
          <w:tcPr>
            <w:tcW w:w="706" w:type="pct"/>
            <w:tcBorders>
              <w:tl2br w:val="nil"/>
              <w:tr2bl w:val="nil"/>
            </w:tcBorders>
            <w:vAlign w:val="center"/>
          </w:tcPr>
          <w:p w14:paraId="76AB865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0.006</w:t>
            </w:r>
          </w:p>
        </w:tc>
      </w:tr>
      <w:tr w14:paraId="256DD7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11" w:type="pct"/>
            <w:tcBorders>
              <w:tl2br w:val="nil"/>
              <w:tr2bl w:val="nil"/>
            </w:tcBorders>
            <w:vAlign w:val="center"/>
          </w:tcPr>
          <w:p w14:paraId="358D03A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val="en-US" w:eastAsia="zh-CN"/>
              </w:rPr>
              <w:t>2</w:t>
            </w:r>
          </w:p>
        </w:tc>
        <w:tc>
          <w:tcPr>
            <w:tcW w:w="1642" w:type="pct"/>
            <w:gridSpan w:val="2"/>
            <w:tcBorders>
              <w:tl2br w:val="nil"/>
              <w:tr2bl w:val="nil"/>
            </w:tcBorders>
            <w:vAlign w:val="center"/>
          </w:tcPr>
          <w:p w14:paraId="11DA320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硝酸铵</w:t>
            </w:r>
          </w:p>
        </w:tc>
        <w:tc>
          <w:tcPr>
            <w:tcW w:w="1000" w:type="pct"/>
            <w:tcBorders>
              <w:tl2br w:val="nil"/>
              <w:tr2bl w:val="nil"/>
            </w:tcBorders>
            <w:vAlign w:val="center"/>
          </w:tcPr>
          <w:p w14:paraId="1543D37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6484-52-2</w:t>
            </w:r>
          </w:p>
        </w:tc>
        <w:tc>
          <w:tcPr>
            <w:tcW w:w="677" w:type="pct"/>
            <w:tcBorders>
              <w:tl2br w:val="nil"/>
              <w:tr2bl w:val="nil"/>
            </w:tcBorders>
            <w:vAlign w:val="center"/>
          </w:tcPr>
          <w:p w14:paraId="38FA747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560" w:type="pct"/>
            <w:tcBorders>
              <w:tl2br w:val="nil"/>
              <w:tr2bl w:val="nil"/>
            </w:tcBorders>
            <w:vAlign w:val="center"/>
          </w:tcPr>
          <w:p w14:paraId="7A7EC57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06" w:type="pct"/>
            <w:tcBorders>
              <w:tl2br w:val="nil"/>
              <w:tr2bl w:val="nil"/>
            </w:tcBorders>
            <w:vAlign w:val="center"/>
          </w:tcPr>
          <w:p w14:paraId="3707CA6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r>
      <w:tr w14:paraId="1B5A9A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93" w:type="pct"/>
            <w:gridSpan w:val="6"/>
            <w:tcBorders>
              <w:tl2br w:val="nil"/>
              <w:tr2bl w:val="nil"/>
            </w:tcBorders>
            <w:vAlign w:val="center"/>
          </w:tcPr>
          <w:p w14:paraId="02136B3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项目Q值Σ</w:t>
            </w:r>
          </w:p>
        </w:tc>
        <w:tc>
          <w:tcPr>
            <w:tcW w:w="706" w:type="pct"/>
            <w:tcBorders>
              <w:tl2br w:val="nil"/>
              <w:tr2bl w:val="nil"/>
            </w:tcBorders>
            <w:vAlign w:val="center"/>
          </w:tcPr>
          <w:p w14:paraId="49098BF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0.2</w:t>
            </w:r>
            <w:r>
              <w:rPr>
                <w:rFonts w:hint="default" w:ascii="Times New Roman" w:hAnsi="Times New Roman" w:cs="Times New Roman"/>
                <w:color w:val="auto"/>
                <w:spacing w:val="0"/>
                <w:w w:val="100"/>
                <w:position w:val="0"/>
                <w:sz w:val="21"/>
                <w:szCs w:val="21"/>
                <w:lang w:val="en-US" w:eastAsia="zh-CN"/>
              </w:rPr>
              <w:t>06</w:t>
            </w:r>
          </w:p>
        </w:tc>
      </w:tr>
    </w:tbl>
    <w:p w14:paraId="5ADE5876">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评价工作等级</w:t>
      </w:r>
    </w:p>
    <w:p w14:paraId="5E938624">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依据表2.</w:t>
      </w:r>
      <w:r>
        <w:rPr>
          <w:rFonts w:hint="default"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-1</w:t>
      </w:r>
      <w:r>
        <w:rPr>
          <w:rFonts w:hint="eastAsia" w:ascii="Times New Roman" w:hAnsi="Times New Roman" w:cs="Times New Roman"/>
          <w:color w:val="auto"/>
          <w:spacing w:val="0"/>
          <w:w w:val="100"/>
          <w:position w:val="0"/>
          <w:sz w:val="24"/>
          <w:szCs w:val="24"/>
          <w:lang w:val="en-US" w:eastAsia="zh-CN"/>
        </w:rPr>
        <w:t>7</w:t>
      </w:r>
      <w:r>
        <w:rPr>
          <w:rFonts w:hint="default" w:ascii="Times New Roman" w:hAnsi="Times New Roman" w:eastAsia="宋体" w:cs="Times New Roman"/>
          <w:color w:val="auto"/>
          <w:spacing w:val="0"/>
          <w:w w:val="100"/>
          <w:position w:val="0"/>
          <w:sz w:val="24"/>
          <w:szCs w:val="24"/>
        </w:rPr>
        <w:t>评价工作等级划分，环境风险评价工作等级为</w:t>
      </w:r>
      <w:r>
        <w:rPr>
          <w:rFonts w:hint="default" w:ascii="Times New Roman" w:hAnsi="Times New Roman" w:eastAsia="宋体" w:cs="Times New Roman"/>
          <w:color w:val="auto"/>
          <w:spacing w:val="0"/>
          <w:w w:val="100"/>
          <w:position w:val="0"/>
          <w:sz w:val="24"/>
          <w:szCs w:val="24"/>
          <w:lang w:val="en-US" w:eastAsia="zh-CN"/>
        </w:rPr>
        <w:t>简单分析</w:t>
      </w:r>
      <w:r>
        <w:rPr>
          <w:rFonts w:hint="default" w:ascii="Times New Roman" w:hAnsi="Times New Roman" w:eastAsia="宋体" w:cs="Times New Roman"/>
          <w:color w:val="auto"/>
          <w:spacing w:val="0"/>
          <w:w w:val="100"/>
          <w:position w:val="0"/>
          <w:sz w:val="24"/>
          <w:szCs w:val="24"/>
        </w:rPr>
        <w:t>。</w:t>
      </w:r>
    </w:p>
    <w:p w14:paraId="511CADE7">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zh-CN" w:eastAsia="zh-CN"/>
        </w:rPr>
        <w:t>-1</w:t>
      </w:r>
      <w:r>
        <w:rPr>
          <w:rFonts w:hint="eastAsia" w:ascii="Times New Roman" w:hAnsi="Times New Roman" w:cs="Times New Roman"/>
          <w:b/>
          <w:bCs/>
          <w:color w:val="auto"/>
          <w:spacing w:val="0"/>
          <w:w w:val="100"/>
          <w:position w:val="0"/>
          <w:sz w:val="21"/>
          <w:szCs w:val="21"/>
          <w:lang w:val="en-US" w:eastAsia="zh-CN"/>
        </w:rPr>
        <w:t>7</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环境风险评价工作等级划分</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667"/>
        <w:gridCol w:w="1668"/>
        <w:gridCol w:w="1664"/>
        <w:gridCol w:w="1663"/>
        <w:gridCol w:w="1671"/>
      </w:tblGrid>
      <w:tr w14:paraId="109C24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000" w:type="pct"/>
            <w:tcBorders>
              <w:tl2br w:val="nil"/>
              <w:tr2bl w:val="nil"/>
            </w:tcBorders>
            <w:vAlign w:val="center"/>
          </w:tcPr>
          <w:p w14:paraId="5828DDB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环境风险潜势</w:t>
            </w:r>
          </w:p>
        </w:tc>
        <w:tc>
          <w:tcPr>
            <w:tcW w:w="1000" w:type="pct"/>
            <w:tcBorders>
              <w:tl2br w:val="nil"/>
              <w:tr2bl w:val="nil"/>
            </w:tcBorders>
            <w:vAlign w:val="center"/>
          </w:tcPr>
          <w:p w14:paraId="7147915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14"/>
                <w:szCs w:val="14"/>
              </w:rPr>
            </w:pPr>
            <w:r>
              <w:rPr>
                <w:rFonts w:hint="eastAsia" w:ascii="Times New Roman" w:hAnsi="Times New Roman" w:cs="Times New Roman"/>
                <w:color w:val="auto"/>
                <w:spacing w:val="0"/>
                <w:w w:val="100"/>
                <w:position w:val="0"/>
                <w:lang w:eastAsia="zh-CN"/>
              </w:rPr>
              <w:t>Ⅳ</w:t>
            </w:r>
            <w:r>
              <w:rPr>
                <w:rFonts w:hint="default" w:ascii="Times New Roman" w:hAnsi="Times New Roman" w:eastAsia="宋体" w:cs="Times New Roman"/>
                <w:color w:val="auto"/>
                <w:spacing w:val="0"/>
                <w:w w:val="100"/>
                <w:position w:val="0"/>
              </w:rPr>
              <w:t>、IV</w:t>
            </w:r>
            <w:r>
              <w:rPr>
                <w:rFonts w:hint="default" w:ascii="Times New Roman" w:hAnsi="Times New Roman" w:eastAsia="宋体" w:cs="Times New Roman"/>
                <w:color w:val="auto"/>
                <w:spacing w:val="0"/>
                <w:w w:val="100"/>
                <w:kern w:val="2"/>
                <w:position w:val="0"/>
                <w:sz w:val="21"/>
                <w:szCs w:val="21"/>
                <w:vertAlign w:val="superscript"/>
                <w:lang w:val="en-US" w:eastAsia="zh-CN" w:bidi="ar-SA"/>
              </w:rPr>
              <w:t>+</w:t>
            </w:r>
          </w:p>
        </w:tc>
        <w:tc>
          <w:tcPr>
            <w:tcW w:w="998" w:type="pct"/>
            <w:tcBorders>
              <w:tl2br w:val="nil"/>
              <w:tr2bl w:val="nil"/>
            </w:tcBorders>
            <w:vAlign w:val="center"/>
          </w:tcPr>
          <w:p w14:paraId="4E3C894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cs="Times New Roman"/>
                <w:color w:val="auto"/>
                <w:spacing w:val="0"/>
                <w:w w:val="100"/>
                <w:position w:val="0"/>
                <w:sz w:val="21"/>
                <w:szCs w:val="21"/>
                <w:lang w:eastAsia="zh-CN"/>
              </w:rPr>
              <w:t>Ⅲ</w:t>
            </w:r>
          </w:p>
        </w:tc>
        <w:tc>
          <w:tcPr>
            <w:tcW w:w="997" w:type="pct"/>
            <w:tcBorders>
              <w:tl2br w:val="nil"/>
              <w:tr2bl w:val="nil"/>
            </w:tcBorders>
            <w:vAlign w:val="center"/>
          </w:tcPr>
          <w:p w14:paraId="4344C3C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II</w:t>
            </w:r>
          </w:p>
        </w:tc>
        <w:tc>
          <w:tcPr>
            <w:tcW w:w="1002" w:type="pct"/>
            <w:tcBorders>
              <w:tl2br w:val="nil"/>
              <w:tr2bl w:val="nil"/>
            </w:tcBorders>
            <w:vAlign w:val="center"/>
          </w:tcPr>
          <w:p w14:paraId="1362424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w:t>
            </w:r>
          </w:p>
        </w:tc>
      </w:tr>
      <w:tr w14:paraId="1E3D7D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000" w:type="pct"/>
            <w:tcBorders>
              <w:tl2br w:val="nil"/>
              <w:tr2bl w:val="nil"/>
            </w:tcBorders>
            <w:vAlign w:val="center"/>
          </w:tcPr>
          <w:p w14:paraId="30F0D8D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评价工作等级</w:t>
            </w:r>
          </w:p>
        </w:tc>
        <w:tc>
          <w:tcPr>
            <w:tcW w:w="1000" w:type="pct"/>
            <w:tcBorders>
              <w:tl2br w:val="nil"/>
              <w:tr2bl w:val="nil"/>
            </w:tcBorders>
            <w:vAlign w:val="center"/>
          </w:tcPr>
          <w:p w14:paraId="727841C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一</w:t>
            </w:r>
          </w:p>
        </w:tc>
        <w:tc>
          <w:tcPr>
            <w:tcW w:w="998" w:type="pct"/>
            <w:tcBorders>
              <w:tl2br w:val="nil"/>
              <w:tr2bl w:val="nil"/>
            </w:tcBorders>
            <w:vAlign w:val="center"/>
          </w:tcPr>
          <w:p w14:paraId="3D9AFEE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二</w:t>
            </w:r>
          </w:p>
        </w:tc>
        <w:tc>
          <w:tcPr>
            <w:tcW w:w="997" w:type="pct"/>
            <w:tcBorders>
              <w:tl2br w:val="nil"/>
              <w:tr2bl w:val="nil"/>
            </w:tcBorders>
            <w:vAlign w:val="center"/>
          </w:tcPr>
          <w:p w14:paraId="6BE5F7E8">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三</w:t>
            </w:r>
          </w:p>
        </w:tc>
        <w:tc>
          <w:tcPr>
            <w:tcW w:w="1002" w:type="pct"/>
            <w:tcBorders>
              <w:tl2br w:val="nil"/>
              <w:tr2bl w:val="nil"/>
            </w:tcBorders>
            <w:vAlign w:val="center"/>
          </w:tcPr>
          <w:p w14:paraId="00ACFC7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简单分析</w:t>
            </w:r>
          </w:p>
        </w:tc>
      </w:tr>
    </w:tbl>
    <w:p w14:paraId="3B8FAC2B">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）风险评价范围</w:t>
      </w:r>
    </w:p>
    <w:p w14:paraId="46D0E9B1">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简单分析，不设评价范围</w:t>
      </w:r>
      <w:r>
        <w:rPr>
          <w:rFonts w:hint="default" w:ascii="Times New Roman" w:hAnsi="Times New Roman" w:eastAsia="宋体" w:cs="Times New Roman"/>
          <w:color w:val="auto"/>
          <w:spacing w:val="0"/>
          <w:w w:val="100"/>
          <w:position w:val="0"/>
          <w:sz w:val="24"/>
          <w:szCs w:val="24"/>
        </w:rPr>
        <w:t>。</w:t>
      </w:r>
    </w:p>
    <w:p w14:paraId="507FC007">
      <w:pPr>
        <w:pStyle w:val="4"/>
        <w:bidi w:val="0"/>
        <w:rPr>
          <w:rFonts w:hint="default" w:ascii="Times New Roman" w:hAnsi="Times New Roman" w:cs="Times New Roman"/>
          <w:color w:val="auto"/>
        </w:rPr>
      </w:pPr>
      <w:r>
        <w:rPr>
          <w:rFonts w:hint="default" w:ascii="Times New Roman" w:hAnsi="Times New Roman" w:cs="Times New Roman"/>
          <w:color w:val="auto"/>
        </w:rPr>
        <w:t>小结</w:t>
      </w:r>
    </w:p>
    <w:p w14:paraId="04363580">
      <w:pPr>
        <w:keepNext w:val="0"/>
        <w:keepLines w:val="0"/>
        <w:pageBreakBefore w:val="0"/>
        <w:widowControl w:val="0"/>
        <w:kinsoku/>
        <w:wordWrap/>
        <w:overflowPunct/>
        <w:topLinePunct w:val="0"/>
        <w:autoSpaceDE/>
        <w:autoSpaceDN/>
        <w:bidi w:val="0"/>
        <w:adjustRightInd/>
        <w:snapToGrid/>
        <w:spacing w:line="480" w:lineRule="exact"/>
        <w:ind w:left="0" w:right="0" w:firstLine="481"/>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综上，汇总各环境要素评价等级及范围见表2.</w:t>
      </w:r>
      <w:r>
        <w:rPr>
          <w:rFonts w:hint="default"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1</w:t>
      </w:r>
      <w:r>
        <w:rPr>
          <w:rFonts w:hint="eastAsia" w:ascii="Times New Roman" w:hAnsi="Times New Roman" w:cs="Times New Roman"/>
          <w:color w:val="auto"/>
          <w:spacing w:val="0"/>
          <w:w w:val="100"/>
          <w:position w:val="0"/>
          <w:sz w:val="24"/>
          <w:szCs w:val="24"/>
          <w:lang w:val="en-US" w:eastAsia="zh-CN"/>
        </w:rPr>
        <w:t>7</w:t>
      </w:r>
      <w:r>
        <w:rPr>
          <w:rFonts w:hint="default" w:ascii="Times New Roman" w:hAnsi="Times New Roman" w:eastAsia="宋体" w:cs="Times New Roman"/>
          <w:color w:val="auto"/>
          <w:spacing w:val="0"/>
          <w:w w:val="100"/>
          <w:position w:val="0"/>
          <w:sz w:val="24"/>
          <w:szCs w:val="24"/>
        </w:rPr>
        <w:t>。</w:t>
      </w:r>
    </w:p>
    <w:p w14:paraId="0FED1DE8">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w:t>
      </w:r>
      <w:r>
        <w:rPr>
          <w:rFonts w:hint="default" w:ascii="Times New Roman" w:hAnsi="Times New Roman" w:eastAsia="宋体" w:cs="Times New Roman"/>
          <w:b/>
          <w:bCs/>
          <w:color w:val="auto"/>
          <w:spacing w:val="0"/>
          <w:w w:val="100"/>
          <w:position w:val="0"/>
          <w:sz w:val="21"/>
          <w:szCs w:val="21"/>
          <w:lang w:val="en-US" w:eastAsia="zh-CN"/>
        </w:rPr>
        <w:t>5</w:t>
      </w:r>
      <w:r>
        <w:rPr>
          <w:rFonts w:hint="default" w:ascii="Times New Roman" w:hAnsi="Times New Roman" w:eastAsia="宋体" w:cs="Times New Roman"/>
          <w:b/>
          <w:bCs/>
          <w:color w:val="auto"/>
          <w:spacing w:val="0"/>
          <w:w w:val="100"/>
          <w:position w:val="0"/>
          <w:sz w:val="21"/>
          <w:szCs w:val="21"/>
          <w:lang w:val="zh-CN" w:eastAsia="zh-CN"/>
        </w:rPr>
        <w:t>-</w:t>
      </w:r>
      <w:r>
        <w:rPr>
          <w:rFonts w:hint="default" w:ascii="Times New Roman" w:hAnsi="Times New Roman" w:eastAsia="宋体" w:cs="Times New Roman"/>
          <w:b/>
          <w:bCs/>
          <w:color w:val="auto"/>
          <w:spacing w:val="0"/>
          <w:w w:val="100"/>
          <w:position w:val="0"/>
          <w:sz w:val="21"/>
          <w:szCs w:val="21"/>
          <w:lang w:val="en-US" w:eastAsia="zh-CN"/>
        </w:rPr>
        <w:t>1</w:t>
      </w:r>
      <w:r>
        <w:rPr>
          <w:rFonts w:hint="eastAsia" w:ascii="Times New Roman" w:hAnsi="Times New Roman" w:cs="Times New Roman"/>
          <w:b/>
          <w:bCs/>
          <w:color w:val="auto"/>
          <w:spacing w:val="0"/>
          <w:w w:val="100"/>
          <w:position w:val="0"/>
          <w:sz w:val="21"/>
          <w:szCs w:val="21"/>
          <w:lang w:val="en-US" w:eastAsia="zh-CN"/>
        </w:rPr>
        <w:t>7</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环境影响评价等级和评价范围汇总表</w:t>
      </w:r>
    </w:p>
    <w:tbl>
      <w:tblPr>
        <w:tblStyle w:val="31"/>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10"/>
        <w:gridCol w:w="1136"/>
        <w:gridCol w:w="1137"/>
        <w:gridCol w:w="5350"/>
      </w:tblGrid>
      <w:tr w14:paraId="73DFF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blHeader/>
        </w:trPr>
        <w:tc>
          <w:tcPr>
            <w:tcW w:w="426" w:type="pct"/>
            <w:tcBorders>
              <w:top w:val="single" w:color="000000" w:sz="12" w:space="0"/>
              <w:left w:val="single" w:color="000000" w:sz="12" w:space="0"/>
              <w:bottom w:val="single" w:color="000000" w:sz="4" w:space="0"/>
              <w:right w:val="single" w:color="000000" w:sz="4" w:space="0"/>
            </w:tcBorders>
            <w:vAlign w:val="center"/>
          </w:tcPr>
          <w:p w14:paraId="685ABD8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序号</w:t>
            </w:r>
          </w:p>
        </w:tc>
        <w:tc>
          <w:tcPr>
            <w:tcW w:w="681" w:type="pct"/>
            <w:tcBorders>
              <w:top w:val="single" w:color="000000" w:sz="12" w:space="0"/>
              <w:left w:val="single" w:color="000000" w:sz="4" w:space="0"/>
              <w:bottom w:val="single" w:color="000000" w:sz="4" w:space="0"/>
              <w:right w:val="single" w:color="000000" w:sz="4" w:space="0"/>
            </w:tcBorders>
            <w:vAlign w:val="center"/>
          </w:tcPr>
          <w:p w14:paraId="1158518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环境要素</w:t>
            </w:r>
          </w:p>
        </w:tc>
        <w:tc>
          <w:tcPr>
            <w:tcW w:w="682" w:type="pct"/>
            <w:tcBorders>
              <w:top w:val="single" w:color="000000" w:sz="12" w:space="0"/>
              <w:left w:val="single" w:color="000000" w:sz="4" w:space="0"/>
              <w:bottom w:val="single" w:color="000000" w:sz="4" w:space="0"/>
              <w:right w:val="single" w:color="000000" w:sz="4" w:space="0"/>
            </w:tcBorders>
            <w:vAlign w:val="center"/>
          </w:tcPr>
          <w:p w14:paraId="725E7B0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评价等级</w:t>
            </w:r>
          </w:p>
        </w:tc>
        <w:tc>
          <w:tcPr>
            <w:tcW w:w="3208" w:type="pct"/>
            <w:tcBorders>
              <w:top w:val="single" w:color="000000" w:sz="12" w:space="0"/>
              <w:left w:val="single" w:color="000000" w:sz="4" w:space="0"/>
              <w:bottom w:val="single" w:color="000000" w:sz="4" w:space="0"/>
              <w:right w:val="single" w:color="000000" w:sz="12" w:space="0"/>
            </w:tcBorders>
            <w:vAlign w:val="center"/>
          </w:tcPr>
          <w:p w14:paraId="6108B82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评价范围</w:t>
            </w:r>
          </w:p>
        </w:tc>
      </w:tr>
      <w:tr w14:paraId="11808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shd w:val="clear" w:color="auto" w:fill="auto"/>
            <w:vAlign w:val="center"/>
          </w:tcPr>
          <w:p w14:paraId="07AAFB8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1</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A7538">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r>
              <w:rPr>
                <w:rFonts w:hint="default" w:ascii="Times New Roman" w:hAnsi="Times New Roman" w:eastAsia="宋体" w:cs="Times New Roman"/>
                <w:color w:val="auto"/>
                <w:spacing w:val="0"/>
                <w:w w:val="100"/>
                <w:position w:val="0"/>
              </w:rPr>
              <w:t>大气</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E61B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r>
              <w:rPr>
                <w:rFonts w:hint="default" w:ascii="Times New Roman" w:hAnsi="Times New Roman" w:eastAsia="宋体" w:cs="Times New Roman"/>
                <w:color w:val="auto"/>
                <w:spacing w:val="0"/>
                <w:w w:val="100"/>
                <w:position w:val="0"/>
                <w:lang w:val="en-US" w:eastAsia="zh-CN"/>
              </w:rPr>
              <w:t>二</w:t>
            </w:r>
            <w:r>
              <w:rPr>
                <w:rFonts w:hint="default" w:ascii="Times New Roman" w:hAnsi="Times New Roman" w:eastAsia="宋体" w:cs="Times New Roman"/>
                <w:color w:val="auto"/>
                <w:spacing w:val="0"/>
                <w:w w:val="100"/>
                <w:position w:val="0"/>
              </w:rPr>
              <w:t>级</w:t>
            </w:r>
          </w:p>
        </w:tc>
        <w:tc>
          <w:tcPr>
            <w:tcW w:w="3208" w:type="pct"/>
            <w:tcBorders>
              <w:top w:val="single" w:color="000000" w:sz="4" w:space="0"/>
              <w:left w:val="single" w:color="000000" w:sz="4" w:space="0"/>
              <w:bottom w:val="single" w:color="000000" w:sz="4" w:space="0"/>
              <w:right w:val="single" w:color="000000" w:sz="12" w:space="0"/>
            </w:tcBorders>
            <w:shd w:val="clear" w:color="auto" w:fill="auto"/>
            <w:vAlign w:val="center"/>
          </w:tcPr>
          <w:p w14:paraId="611BA6ED">
            <w:pPr>
              <w:pStyle w:val="30"/>
              <w:keepNext w:val="0"/>
              <w:keepLines w:val="0"/>
              <w:pageBreakBefore w:val="0"/>
              <w:widowControl w:val="0"/>
              <w:kinsoku/>
              <w:wordWrap/>
              <w:overflowPunct/>
              <w:topLinePunct w:val="0"/>
              <w:autoSpaceDE/>
              <w:autoSpaceDN/>
              <w:bidi w:val="0"/>
              <w:adjustRightInd/>
              <w:snapToGrid/>
              <w:spacing w:line="360" w:lineRule="exact"/>
              <w:ind w:left="0" w:leftChars="0" w:right="362" w:righ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r>
              <w:rPr>
                <w:rFonts w:hint="default" w:ascii="Times New Roman" w:hAnsi="Times New Roman" w:eastAsia="宋体" w:cs="Times New Roman"/>
                <w:color w:val="auto"/>
                <w:spacing w:val="0"/>
                <w:w w:val="100"/>
                <w:position w:val="0"/>
              </w:rPr>
              <w:t>边长为5km的矩形</w:t>
            </w:r>
            <w:r>
              <w:rPr>
                <w:rFonts w:hint="default" w:ascii="Times New Roman" w:hAnsi="Times New Roman" w:eastAsia="宋体" w:cs="Times New Roman"/>
                <w:color w:val="auto"/>
                <w:spacing w:val="0"/>
                <w:w w:val="100"/>
                <w:position w:val="0"/>
                <w:lang w:val="en-US" w:eastAsia="zh-CN"/>
              </w:rPr>
              <w:t>区域</w:t>
            </w:r>
          </w:p>
        </w:tc>
      </w:tr>
      <w:tr w14:paraId="5084E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53E68F9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681" w:type="pct"/>
            <w:tcBorders>
              <w:top w:val="single" w:color="000000" w:sz="4" w:space="0"/>
              <w:left w:val="single" w:color="000000" w:sz="4" w:space="0"/>
              <w:bottom w:val="single" w:color="000000" w:sz="4" w:space="0"/>
              <w:right w:val="single" w:color="000000" w:sz="4" w:space="0"/>
            </w:tcBorders>
            <w:vAlign w:val="center"/>
          </w:tcPr>
          <w:p w14:paraId="292BA74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地表水</w:t>
            </w:r>
          </w:p>
        </w:tc>
        <w:tc>
          <w:tcPr>
            <w:tcW w:w="682" w:type="pct"/>
            <w:tcBorders>
              <w:top w:val="single" w:color="000000" w:sz="4" w:space="0"/>
              <w:left w:val="single" w:color="000000" w:sz="4" w:space="0"/>
              <w:bottom w:val="single" w:color="000000" w:sz="4" w:space="0"/>
              <w:right w:val="single" w:color="000000" w:sz="4" w:space="0"/>
            </w:tcBorders>
            <w:vAlign w:val="center"/>
          </w:tcPr>
          <w:p w14:paraId="1D75EB2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三级B</w:t>
            </w:r>
          </w:p>
        </w:tc>
        <w:tc>
          <w:tcPr>
            <w:tcW w:w="3208" w:type="pct"/>
            <w:tcBorders>
              <w:top w:val="single" w:color="000000" w:sz="4" w:space="0"/>
              <w:left w:val="single" w:color="000000" w:sz="4" w:space="0"/>
              <w:bottom w:val="single" w:color="000000" w:sz="4" w:space="0"/>
              <w:right w:val="single" w:color="000000" w:sz="12" w:space="0"/>
            </w:tcBorders>
            <w:vAlign w:val="center"/>
          </w:tcPr>
          <w:p w14:paraId="129B3B9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不设评价范围</w:t>
            </w:r>
          </w:p>
        </w:tc>
      </w:tr>
      <w:tr w14:paraId="28F8A8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34F924E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3</w:t>
            </w:r>
          </w:p>
        </w:tc>
        <w:tc>
          <w:tcPr>
            <w:tcW w:w="681" w:type="pct"/>
            <w:tcBorders>
              <w:top w:val="single" w:color="000000" w:sz="4" w:space="0"/>
              <w:left w:val="single" w:color="000000" w:sz="4" w:space="0"/>
              <w:bottom w:val="single" w:color="000000" w:sz="4" w:space="0"/>
              <w:right w:val="single" w:color="000000" w:sz="4" w:space="0"/>
            </w:tcBorders>
            <w:vAlign w:val="center"/>
          </w:tcPr>
          <w:p w14:paraId="7546B1C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地下水</w:t>
            </w:r>
          </w:p>
        </w:tc>
        <w:tc>
          <w:tcPr>
            <w:tcW w:w="682" w:type="pct"/>
            <w:tcBorders>
              <w:top w:val="single" w:color="000000" w:sz="4" w:space="0"/>
              <w:left w:val="single" w:color="000000" w:sz="4" w:space="0"/>
              <w:bottom w:val="single" w:color="000000" w:sz="4" w:space="0"/>
              <w:right w:val="single" w:color="000000" w:sz="4" w:space="0"/>
            </w:tcBorders>
            <w:vAlign w:val="center"/>
          </w:tcPr>
          <w:p w14:paraId="75FCBCA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二级</w:t>
            </w:r>
          </w:p>
        </w:tc>
        <w:tc>
          <w:tcPr>
            <w:tcW w:w="3208" w:type="pct"/>
            <w:tcBorders>
              <w:top w:val="single" w:color="000000" w:sz="4" w:space="0"/>
              <w:left w:val="single" w:color="000000" w:sz="4" w:space="0"/>
              <w:bottom w:val="single" w:color="000000" w:sz="4" w:space="0"/>
              <w:right w:val="single" w:color="000000" w:sz="12" w:space="0"/>
            </w:tcBorders>
            <w:vAlign w:val="center"/>
          </w:tcPr>
          <w:p w14:paraId="20A9CEBF">
            <w:pPr>
              <w:pStyle w:val="30"/>
              <w:keepNext w:val="0"/>
              <w:keepLines w:val="0"/>
              <w:pageBreakBefore w:val="0"/>
              <w:widowControl w:val="0"/>
              <w:kinsoku/>
              <w:wordWrap/>
              <w:overflowPunct/>
              <w:topLinePunct w:val="0"/>
              <w:autoSpaceDE/>
              <w:autoSpaceDN/>
              <w:bidi w:val="0"/>
              <w:adjustRightInd/>
              <w:snapToGrid/>
              <w:spacing w:line="360" w:lineRule="exact"/>
              <w:ind w:left="0" w:right="104"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以项目区</w:t>
            </w:r>
            <w:r>
              <w:rPr>
                <w:rFonts w:hint="default" w:ascii="Times New Roman" w:hAnsi="Times New Roman" w:eastAsia="宋体" w:cs="Times New Roman"/>
                <w:color w:val="auto"/>
                <w:spacing w:val="0"/>
                <w:w w:val="100"/>
                <w:position w:val="0"/>
                <w:sz w:val="21"/>
                <w:szCs w:val="21"/>
                <w:highlight w:val="none"/>
                <w:lang w:val="en-US" w:eastAsia="zh-CN"/>
              </w:rPr>
              <w:t>最外侧边界为起点</w:t>
            </w:r>
            <w:r>
              <w:rPr>
                <w:rFonts w:hint="default" w:ascii="Times New Roman" w:hAnsi="Times New Roman" w:eastAsia="宋体" w:cs="Times New Roman"/>
                <w:color w:val="auto"/>
                <w:spacing w:val="0"/>
                <w:w w:val="100"/>
                <w:position w:val="0"/>
                <w:sz w:val="21"/>
                <w:szCs w:val="21"/>
                <w:highlight w:val="none"/>
              </w:rPr>
              <w:t>，沿地下水</w:t>
            </w:r>
            <w:r>
              <w:rPr>
                <w:rFonts w:hint="default" w:ascii="Times New Roman" w:hAnsi="Times New Roman" w:cs="Times New Roman"/>
                <w:color w:val="auto"/>
                <w:spacing w:val="0"/>
                <w:w w:val="100"/>
                <w:position w:val="0"/>
                <w:sz w:val="21"/>
                <w:szCs w:val="21"/>
                <w:highlight w:val="none"/>
                <w:lang w:val="en-US" w:eastAsia="zh-CN"/>
              </w:rPr>
              <w:t>流向</w:t>
            </w:r>
            <w:r>
              <w:rPr>
                <w:rFonts w:hint="default" w:ascii="Times New Roman" w:hAnsi="Times New Roman" w:eastAsia="宋体" w:cs="Times New Roman"/>
                <w:color w:val="auto"/>
                <w:spacing w:val="0"/>
                <w:w w:val="100"/>
                <w:position w:val="0"/>
                <w:sz w:val="21"/>
                <w:szCs w:val="21"/>
                <w:highlight w:val="none"/>
              </w:rPr>
              <w:t>自</w:t>
            </w:r>
            <w:r>
              <w:rPr>
                <w:rFonts w:hint="default" w:ascii="Times New Roman" w:hAnsi="Times New Roman" w:cs="Times New Roman"/>
                <w:color w:val="auto"/>
                <w:spacing w:val="0"/>
                <w:w w:val="100"/>
                <w:position w:val="0"/>
                <w:sz w:val="21"/>
                <w:szCs w:val="21"/>
                <w:highlight w:val="none"/>
                <w:lang w:val="en-US" w:eastAsia="zh-CN"/>
              </w:rPr>
              <w:t>北东</w:t>
            </w:r>
            <w:r>
              <w:rPr>
                <w:rFonts w:hint="default" w:ascii="Times New Roman" w:hAnsi="Times New Roman" w:eastAsia="宋体" w:cs="Times New Roman"/>
                <w:color w:val="auto"/>
                <w:spacing w:val="0"/>
                <w:w w:val="100"/>
                <w:position w:val="0"/>
                <w:sz w:val="21"/>
                <w:szCs w:val="21"/>
                <w:highlight w:val="none"/>
              </w:rPr>
              <w:t>向</w:t>
            </w:r>
            <w:r>
              <w:rPr>
                <w:rFonts w:hint="default" w:ascii="Times New Roman" w:hAnsi="Times New Roman" w:cs="Times New Roman"/>
                <w:color w:val="auto"/>
                <w:spacing w:val="0"/>
                <w:w w:val="100"/>
                <w:position w:val="0"/>
                <w:sz w:val="21"/>
                <w:szCs w:val="21"/>
                <w:highlight w:val="none"/>
                <w:lang w:val="en-US" w:eastAsia="zh-CN"/>
              </w:rPr>
              <w:t>南西</w:t>
            </w:r>
            <w:r>
              <w:rPr>
                <w:rFonts w:hint="default" w:ascii="Times New Roman" w:hAnsi="Times New Roman" w:eastAsia="宋体" w:cs="Times New Roman"/>
                <w:color w:val="auto"/>
                <w:spacing w:val="0"/>
                <w:w w:val="100"/>
                <w:position w:val="0"/>
                <w:sz w:val="21"/>
                <w:szCs w:val="21"/>
                <w:highlight w:val="none"/>
              </w:rPr>
              <w:t>外扩（上游1km、下游2km、两侧各1km）形成的矩形区域，总计约</w:t>
            </w:r>
            <w:r>
              <w:rPr>
                <w:rFonts w:hint="default" w:ascii="Times New Roman" w:hAnsi="Times New Roman" w:eastAsia="宋体" w:cs="Times New Roman"/>
                <w:color w:val="auto"/>
                <w:spacing w:val="0"/>
                <w:w w:val="100"/>
                <w:position w:val="0"/>
                <w:sz w:val="21"/>
                <w:szCs w:val="21"/>
                <w:highlight w:val="none"/>
                <w:lang w:val="en-US" w:eastAsia="zh-CN"/>
              </w:rPr>
              <w:t>6</w:t>
            </w:r>
            <w:r>
              <w:rPr>
                <w:rFonts w:hint="default" w:ascii="Times New Roman" w:hAnsi="Times New Roman" w:eastAsia="宋体" w:cs="Times New Roman"/>
                <w:color w:val="auto"/>
                <w:spacing w:val="0"/>
                <w:w w:val="100"/>
                <w:position w:val="0"/>
                <w:sz w:val="21"/>
                <w:szCs w:val="21"/>
                <w:highlight w:val="none"/>
              </w:rPr>
              <w:t>km</w:t>
            </w:r>
            <w:r>
              <w:rPr>
                <w:rFonts w:hint="default" w:ascii="Times New Roman" w:hAnsi="Times New Roman" w:eastAsia="宋体" w:cs="Times New Roman"/>
                <w:color w:val="auto"/>
                <w:spacing w:val="0"/>
                <w:w w:val="100"/>
                <w:position w:val="0"/>
                <w:sz w:val="21"/>
                <w:szCs w:val="21"/>
                <w:highlight w:val="none"/>
                <w:vertAlign w:val="superscript"/>
              </w:rPr>
              <w:t>2</w:t>
            </w:r>
            <w:r>
              <w:rPr>
                <w:rFonts w:hint="default" w:ascii="Times New Roman" w:hAnsi="Times New Roman" w:eastAsia="宋体" w:cs="Times New Roman"/>
                <w:color w:val="auto"/>
                <w:spacing w:val="0"/>
                <w:w w:val="100"/>
                <w:position w:val="0"/>
                <w:sz w:val="21"/>
                <w:szCs w:val="21"/>
                <w:highlight w:val="none"/>
              </w:rPr>
              <w:t>。</w:t>
            </w:r>
          </w:p>
        </w:tc>
      </w:tr>
      <w:tr w14:paraId="3839B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0BA3B9B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w:t>
            </w:r>
          </w:p>
        </w:tc>
        <w:tc>
          <w:tcPr>
            <w:tcW w:w="681" w:type="pct"/>
            <w:tcBorders>
              <w:top w:val="single" w:color="000000" w:sz="4" w:space="0"/>
              <w:left w:val="single" w:color="000000" w:sz="4" w:space="0"/>
              <w:bottom w:val="single" w:color="000000" w:sz="4" w:space="0"/>
              <w:right w:val="single" w:color="000000" w:sz="4" w:space="0"/>
            </w:tcBorders>
            <w:vAlign w:val="center"/>
          </w:tcPr>
          <w:p w14:paraId="2035FA1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声环境</w:t>
            </w:r>
          </w:p>
        </w:tc>
        <w:tc>
          <w:tcPr>
            <w:tcW w:w="682" w:type="pct"/>
            <w:tcBorders>
              <w:top w:val="single" w:color="000000" w:sz="4" w:space="0"/>
              <w:left w:val="single" w:color="000000" w:sz="4" w:space="0"/>
              <w:bottom w:val="single" w:color="000000" w:sz="4" w:space="0"/>
              <w:right w:val="single" w:color="000000" w:sz="4" w:space="0"/>
            </w:tcBorders>
            <w:vAlign w:val="center"/>
          </w:tcPr>
          <w:p w14:paraId="78CDBEF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二级</w:t>
            </w:r>
          </w:p>
        </w:tc>
        <w:tc>
          <w:tcPr>
            <w:tcW w:w="3208" w:type="pct"/>
            <w:tcBorders>
              <w:top w:val="single" w:color="000000" w:sz="4" w:space="0"/>
              <w:left w:val="single" w:color="000000" w:sz="4" w:space="0"/>
              <w:bottom w:val="single" w:color="000000" w:sz="4" w:space="0"/>
              <w:right w:val="single" w:color="000000" w:sz="12" w:space="0"/>
            </w:tcBorders>
            <w:vAlign w:val="center"/>
          </w:tcPr>
          <w:p w14:paraId="09D2E0B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cs="Times New Roman"/>
                <w:color w:val="auto"/>
                <w:spacing w:val="0"/>
                <w:w w:val="100"/>
                <w:position w:val="0"/>
                <w:lang w:val="en-US" w:eastAsia="zh-CN"/>
              </w:rPr>
              <w:t>矿区外</w:t>
            </w:r>
            <w:r>
              <w:rPr>
                <w:rFonts w:hint="default" w:ascii="Times New Roman" w:hAnsi="Times New Roman" w:eastAsia="宋体" w:cs="Times New Roman"/>
                <w:color w:val="auto"/>
                <w:spacing w:val="0"/>
                <w:w w:val="100"/>
                <w:position w:val="0"/>
              </w:rPr>
              <w:t>200m</w:t>
            </w:r>
          </w:p>
        </w:tc>
      </w:tr>
      <w:tr w14:paraId="648F9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799D869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w:t>
            </w:r>
          </w:p>
        </w:tc>
        <w:tc>
          <w:tcPr>
            <w:tcW w:w="681" w:type="pct"/>
            <w:tcBorders>
              <w:top w:val="single" w:color="000000" w:sz="4" w:space="0"/>
              <w:left w:val="single" w:color="000000" w:sz="4" w:space="0"/>
              <w:bottom w:val="single" w:color="000000" w:sz="4" w:space="0"/>
              <w:right w:val="single" w:color="000000" w:sz="4" w:space="0"/>
            </w:tcBorders>
            <w:vAlign w:val="center"/>
          </w:tcPr>
          <w:p w14:paraId="247914F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生态环境</w:t>
            </w:r>
          </w:p>
        </w:tc>
        <w:tc>
          <w:tcPr>
            <w:tcW w:w="682" w:type="pct"/>
            <w:tcBorders>
              <w:top w:val="single" w:color="000000" w:sz="4" w:space="0"/>
              <w:left w:val="single" w:color="000000" w:sz="4" w:space="0"/>
              <w:bottom w:val="single" w:color="000000" w:sz="4" w:space="0"/>
              <w:right w:val="single" w:color="000000" w:sz="4" w:space="0"/>
            </w:tcBorders>
            <w:vAlign w:val="center"/>
          </w:tcPr>
          <w:p w14:paraId="29AE5F0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cs="Times New Roman"/>
                <w:color w:val="auto"/>
                <w:spacing w:val="0"/>
                <w:w w:val="100"/>
                <w:position w:val="0"/>
                <w:lang w:val="en-US" w:eastAsia="zh-CN"/>
              </w:rPr>
              <w:t>二</w:t>
            </w:r>
            <w:r>
              <w:rPr>
                <w:rFonts w:hint="default" w:ascii="Times New Roman" w:hAnsi="Times New Roman" w:eastAsia="宋体" w:cs="Times New Roman"/>
                <w:color w:val="auto"/>
                <w:spacing w:val="0"/>
                <w:w w:val="100"/>
                <w:position w:val="0"/>
              </w:rPr>
              <w:t>级</w:t>
            </w:r>
          </w:p>
        </w:tc>
        <w:tc>
          <w:tcPr>
            <w:tcW w:w="3208" w:type="pct"/>
            <w:tcBorders>
              <w:top w:val="single" w:color="000000" w:sz="4" w:space="0"/>
              <w:left w:val="single" w:color="000000" w:sz="4" w:space="0"/>
              <w:bottom w:val="single" w:color="000000" w:sz="4" w:space="0"/>
              <w:right w:val="single" w:color="000000" w:sz="12" w:space="0"/>
            </w:tcBorders>
            <w:vAlign w:val="center"/>
          </w:tcPr>
          <w:p w14:paraId="1256EE4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14"/>
                <w:szCs w:val="14"/>
              </w:rPr>
            </w:pPr>
            <w:r>
              <w:rPr>
                <w:rFonts w:hint="default" w:ascii="Times New Roman" w:hAnsi="Times New Roman" w:eastAsia="宋体" w:cs="Times New Roman"/>
                <w:color w:val="auto"/>
                <w:spacing w:val="0"/>
                <w:w w:val="100"/>
                <w:position w:val="0"/>
              </w:rPr>
              <w:t>项目四周边界外扩</w:t>
            </w:r>
            <w:r>
              <w:rPr>
                <w:rFonts w:hint="default" w:ascii="Times New Roman" w:hAnsi="Times New Roman" w:cs="Times New Roman"/>
                <w:color w:val="auto"/>
                <w:spacing w:val="0"/>
                <w:w w:val="100"/>
                <w:position w:val="0"/>
                <w:lang w:val="en-US" w:eastAsia="zh-CN"/>
              </w:rPr>
              <w:t>2</w:t>
            </w:r>
            <w:r>
              <w:rPr>
                <w:rFonts w:hint="default" w:ascii="Times New Roman" w:hAnsi="Times New Roman" w:eastAsia="宋体" w:cs="Times New Roman"/>
                <w:color w:val="auto"/>
                <w:spacing w:val="0"/>
                <w:w w:val="100"/>
                <w:position w:val="0"/>
                <w:lang w:val="en-US" w:eastAsia="zh-CN"/>
              </w:rPr>
              <w:t>k</w:t>
            </w:r>
            <w:r>
              <w:rPr>
                <w:rFonts w:hint="default" w:ascii="Times New Roman" w:hAnsi="Times New Roman" w:eastAsia="宋体" w:cs="Times New Roman"/>
                <w:color w:val="auto"/>
                <w:spacing w:val="0"/>
                <w:w w:val="100"/>
                <w:position w:val="0"/>
              </w:rPr>
              <w:t>m的矩形区域</w:t>
            </w:r>
          </w:p>
        </w:tc>
      </w:tr>
      <w:tr w14:paraId="534BC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4" w:space="0"/>
              <w:right w:val="single" w:color="000000" w:sz="4" w:space="0"/>
            </w:tcBorders>
            <w:vAlign w:val="center"/>
          </w:tcPr>
          <w:p w14:paraId="06CDE9A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w:t>
            </w:r>
          </w:p>
        </w:tc>
        <w:tc>
          <w:tcPr>
            <w:tcW w:w="681" w:type="pct"/>
            <w:tcBorders>
              <w:top w:val="single" w:color="000000" w:sz="4" w:space="0"/>
              <w:left w:val="single" w:color="000000" w:sz="4" w:space="0"/>
              <w:bottom w:val="single" w:color="000000" w:sz="4" w:space="0"/>
              <w:right w:val="single" w:color="000000" w:sz="4" w:space="0"/>
            </w:tcBorders>
            <w:vAlign w:val="center"/>
          </w:tcPr>
          <w:p w14:paraId="41E3B1A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土壤环境</w:t>
            </w:r>
          </w:p>
        </w:tc>
        <w:tc>
          <w:tcPr>
            <w:tcW w:w="682" w:type="pct"/>
            <w:tcBorders>
              <w:top w:val="single" w:color="000000" w:sz="4" w:space="0"/>
              <w:left w:val="single" w:color="000000" w:sz="4" w:space="0"/>
              <w:bottom w:val="single" w:color="000000" w:sz="4" w:space="0"/>
              <w:right w:val="single" w:color="000000" w:sz="4" w:space="0"/>
            </w:tcBorders>
            <w:vAlign w:val="center"/>
          </w:tcPr>
          <w:p w14:paraId="5E23495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一级</w:t>
            </w:r>
          </w:p>
        </w:tc>
        <w:tc>
          <w:tcPr>
            <w:tcW w:w="3208" w:type="pct"/>
            <w:tcBorders>
              <w:top w:val="single" w:color="000000" w:sz="4" w:space="0"/>
              <w:left w:val="single" w:color="000000" w:sz="4" w:space="0"/>
              <w:bottom w:val="single" w:color="000000" w:sz="4" w:space="0"/>
              <w:right w:val="single" w:color="000000" w:sz="12" w:space="0"/>
            </w:tcBorders>
            <w:vAlign w:val="center"/>
          </w:tcPr>
          <w:p w14:paraId="13FFD8B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生态影响型：以采场边界为基础，外扩</w:t>
            </w:r>
            <w:r>
              <w:rPr>
                <w:rFonts w:hint="default" w:ascii="Times New Roman" w:hAnsi="Times New Roman" w:cs="Times New Roman"/>
                <w:color w:val="auto"/>
                <w:spacing w:val="0"/>
                <w:w w:val="100"/>
                <w:position w:val="0"/>
                <w:lang w:val="en-US" w:eastAsia="zh-CN"/>
              </w:rPr>
              <w:t>2</w:t>
            </w:r>
            <w:r>
              <w:rPr>
                <w:rFonts w:hint="default" w:ascii="Times New Roman" w:hAnsi="Times New Roman" w:eastAsia="宋体" w:cs="Times New Roman"/>
                <w:color w:val="auto"/>
                <w:spacing w:val="0"/>
                <w:w w:val="100"/>
                <w:position w:val="0"/>
              </w:rPr>
              <w:t>km</w:t>
            </w:r>
          </w:p>
          <w:p w14:paraId="36F19E37">
            <w:pPr>
              <w:pStyle w:val="30"/>
              <w:keepNext w:val="0"/>
              <w:keepLines w:val="0"/>
              <w:pageBreakBefore w:val="0"/>
              <w:widowControl w:val="0"/>
              <w:kinsoku/>
              <w:wordWrap/>
              <w:overflowPunct/>
              <w:topLinePunct w:val="0"/>
              <w:autoSpaceDE/>
              <w:autoSpaceDN/>
              <w:bidi w:val="0"/>
              <w:adjustRightInd/>
              <w:snapToGrid/>
              <w:spacing w:line="360" w:lineRule="exact"/>
              <w:ind w:left="0" w:right="175"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污染影响型：</w:t>
            </w:r>
            <w:r>
              <w:rPr>
                <w:rFonts w:hint="default" w:ascii="Times New Roman" w:hAnsi="Times New Roman" w:eastAsia="宋体" w:cs="Times New Roman"/>
                <w:color w:val="auto"/>
                <w:spacing w:val="0"/>
                <w:w w:val="100"/>
                <w:position w:val="0"/>
                <w:lang w:eastAsia="zh-CN"/>
              </w:rPr>
              <w:t>采矿</w:t>
            </w:r>
            <w:r>
              <w:rPr>
                <w:rFonts w:hint="default" w:ascii="Times New Roman" w:hAnsi="Times New Roman" w:eastAsia="宋体" w:cs="Times New Roman"/>
                <w:color w:val="auto"/>
                <w:spacing w:val="0"/>
                <w:w w:val="100"/>
                <w:position w:val="0"/>
              </w:rPr>
              <w:t>工业场地及废石场等场地边界外扩1km</w:t>
            </w:r>
          </w:p>
        </w:tc>
      </w:tr>
      <w:tr w14:paraId="291A5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426" w:type="pct"/>
            <w:tcBorders>
              <w:top w:val="single" w:color="000000" w:sz="4" w:space="0"/>
              <w:left w:val="single" w:color="000000" w:sz="12" w:space="0"/>
              <w:bottom w:val="single" w:color="000000" w:sz="12" w:space="0"/>
              <w:right w:val="single" w:color="000000" w:sz="4" w:space="0"/>
            </w:tcBorders>
            <w:vAlign w:val="center"/>
          </w:tcPr>
          <w:p w14:paraId="0B971F4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w:t>
            </w:r>
          </w:p>
        </w:tc>
        <w:tc>
          <w:tcPr>
            <w:tcW w:w="681" w:type="pct"/>
            <w:tcBorders>
              <w:top w:val="single" w:color="000000" w:sz="4" w:space="0"/>
              <w:left w:val="single" w:color="000000" w:sz="4" w:space="0"/>
              <w:bottom w:val="single" w:color="000000" w:sz="12" w:space="0"/>
              <w:right w:val="single" w:color="000000" w:sz="4" w:space="0"/>
            </w:tcBorders>
            <w:vAlign w:val="center"/>
          </w:tcPr>
          <w:p w14:paraId="16F80FA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环境风险</w:t>
            </w:r>
          </w:p>
        </w:tc>
        <w:tc>
          <w:tcPr>
            <w:tcW w:w="682" w:type="pct"/>
            <w:tcBorders>
              <w:top w:val="single" w:color="000000" w:sz="4" w:space="0"/>
              <w:left w:val="single" w:color="000000" w:sz="4" w:space="0"/>
              <w:bottom w:val="single" w:color="000000" w:sz="12" w:space="0"/>
              <w:right w:val="single" w:color="000000" w:sz="4" w:space="0"/>
            </w:tcBorders>
            <w:vAlign w:val="center"/>
          </w:tcPr>
          <w:p w14:paraId="3D708BF8">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lang w:val="en-US" w:eastAsia="zh-CN"/>
              </w:rPr>
              <w:t>简单分析</w:t>
            </w:r>
          </w:p>
        </w:tc>
        <w:tc>
          <w:tcPr>
            <w:tcW w:w="3208" w:type="pct"/>
            <w:tcBorders>
              <w:top w:val="single" w:color="000000" w:sz="4" w:space="0"/>
              <w:left w:val="single" w:color="000000" w:sz="4" w:space="0"/>
              <w:bottom w:val="single" w:color="000000" w:sz="12" w:space="0"/>
              <w:right w:val="single" w:color="000000" w:sz="12" w:space="0"/>
            </w:tcBorders>
            <w:vAlign w:val="center"/>
          </w:tcPr>
          <w:p w14:paraId="2DD3F690">
            <w:pPr>
              <w:pStyle w:val="30"/>
              <w:keepNext w:val="0"/>
              <w:keepLines w:val="0"/>
              <w:pageBreakBefore w:val="0"/>
              <w:widowControl w:val="0"/>
              <w:kinsoku/>
              <w:wordWrap/>
              <w:overflowPunct/>
              <w:topLinePunct w:val="0"/>
              <w:autoSpaceDE/>
              <w:autoSpaceDN/>
              <w:bidi w:val="0"/>
              <w:adjustRightInd/>
              <w:snapToGrid/>
              <w:spacing w:line="360" w:lineRule="exact"/>
              <w:ind w:left="0" w:right="119"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不设评价范围</w:t>
            </w:r>
          </w:p>
        </w:tc>
      </w:tr>
      <w:bookmarkEnd w:id="213"/>
      <w:bookmarkEnd w:id="214"/>
      <w:bookmarkEnd w:id="215"/>
      <w:bookmarkEnd w:id="216"/>
      <w:bookmarkEnd w:id="217"/>
      <w:bookmarkEnd w:id="218"/>
      <w:bookmarkEnd w:id="219"/>
    </w:tbl>
    <w:p w14:paraId="36AC0FB8">
      <w:pPr>
        <w:pStyle w:val="3"/>
        <w:bidi w:val="0"/>
        <w:rPr>
          <w:rFonts w:hint="default" w:ascii="Times New Roman" w:hAnsi="Times New Roman" w:cs="Times New Roman"/>
          <w:color w:val="auto"/>
        </w:rPr>
      </w:pPr>
      <w:bookmarkStart w:id="221" w:name="_Toc22698"/>
      <w:bookmarkStart w:id="222" w:name="_Toc25439"/>
      <w:bookmarkStart w:id="223" w:name="_Toc345"/>
      <w:bookmarkStart w:id="224" w:name="_Toc10988"/>
      <w:bookmarkStart w:id="225" w:name="_Toc2244"/>
      <w:bookmarkStart w:id="226" w:name="_Toc27638"/>
      <w:bookmarkStart w:id="227" w:name="_Toc14359"/>
      <w:bookmarkStart w:id="228" w:name="_Toc5734"/>
      <w:bookmarkStart w:id="229" w:name="_Toc32731"/>
      <w:bookmarkStart w:id="230" w:name="_Toc30285_WPSOffice_Level1"/>
      <w:bookmarkStart w:id="231" w:name="_Toc844"/>
      <w:bookmarkStart w:id="232" w:name="_Toc8373"/>
      <w:bookmarkStart w:id="233" w:name="_Toc25624"/>
      <w:bookmarkStart w:id="234" w:name="_Toc29172"/>
      <w:r>
        <w:rPr>
          <w:rFonts w:hint="default" w:ascii="Times New Roman" w:hAnsi="Times New Roman" w:cs="Times New Roman"/>
          <w:color w:val="auto"/>
        </w:rPr>
        <w:t>评价重点</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0A59DD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bookmarkStart w:id="235" w:name="_Toc6217_WPSOffice_Level1"/>
      <w:bookmarkStart w:id="236" w:name="_Toc15615"/>
      <w:bookmarkStart w:id="237" w:name="_Toc484105092"/>
      <w:bookmarkStart w:id="238" w:name="_Toc3772"/>
      <w:bookmarkStart w:id="239" w:name="_Toc2585"/>
      <w:bookmarkStart w:id="240" w:name="_Toc32291"/>
      <w:bookmarkStart w:id="241" w:name="_Toc31751"/>
      <w:bookmarkStart w:id="242" w:name="_Toc13331"/>
      <w:bookmarkStart w:id="243" w:name="_Toc493523096"/>
      <w:bookmarkStart w:id="244" w:name="_Toc3493"/>
      <w:bookmarkStart w:id="245" w:name="_Toc2971"/>
      <w:bookmarkStart w:id="246" w:name="_Toc19426"/>
      <w:bookmarkStart w:id="247" w:name="_Toc1768"/>
      <w:r>
        <w:rPr>
          <w:rFonts w:hint="default" w:ascii="Times New Roman" w:hAnsi="Times New Roman" w:eastAsia="宋体" w:cs="Times New Roman"/>
          <w:color w:val="auto"/>
          <w:spacing w:val="0"/>
          <w:w w:val="100"/>
          <w:position w:val="0"/>
          <w:sz w:val="24"/>
          <w:szCs w:val="24"/>
          <w:lang w:val="en-US" w:eastAsia="zh-CN"/>
        </w:rPr>
        <w:t>根据本项目污染物排放性质及其排放方式、排放特点，结合矿区周围环境特征，确定本次评价的重点是矿区开采现状及生态环境现状调查；预测采矿区地表塌陷、采矿扬尘等对</w:t>
      </w:r>
      <w:r>
        <w:rPr>
          <w:rFonts w:hint="default" w:ascii="Times New Roman" w:hAnsi="Times New Roman" w:eastAsia="宋体" w:cs="Times New Roman"/>
          <w:color w:val="auto"/>
          <w:spacing w:val="0"/>
          <w:w w:val="100"/>
          <w:position w:val="0"/>
          <w:sz w:val="24"/>
          <w:lang w:val="en-US" w:eastAsia="zh-CN"/>
        </w:rPr>
        <w:t>区域生态环境的影响，以及提出科学、可行的环保措施，</w:t>
      </w:r>
      <w:r>
        <w:rPr>
          <w:rFonts w:hint="default" w:ascii="Times New Roman" w:hAnsi="Times New Roman" w:eastAsia="宋体" w:cs="Times New Roman"/>
          <w:color w:val="auto"/>
          <w:spacing w:val="0"/>
          <w:w w:val="100"/>
          <w:position w:val="0"/>
          <w:sz w:val="24"/>
        </w:rPr>
        <w:t>同时关注影响范围内公众对</w:t>
      </w:r>
      <w:r>
        <w:rPr>
          <w:rFonts w:hint="default" w:ascii="Times New Roman" w:hAnsi="Times New Roman" w:eastAsia="宋体" w:cs="Times New Roman"/>
          <w:color w:val="auto"/>
          <w:spacing w:val="0"/>
          <w:w w:val="100"/>
          <w:position w:val="0"/>
          <w:sz w:val="24"/>
          <w:lang w:eastAsia="zh-CN"/>
        </w:rPr>
        <w:t>本项目</w:t>
      </w:r>
      <w:r>
        <w:rPr>
          <w:rFonts w:hint="default" w:ascii="Times New Roman" w:hAnsi="Times New Roman" w:eastAsia="宋体" w:cs="Times New Roman"/>
          <w:color w:val="auto"/>
          <w:spacing w:val="0"/>
          <w:w w:val="100"/>
          <w:position w:val="0"/>
          <w:sz w:val="24"/>
        </w:rPr>
        <w:t>的意见和建议。</w:t>
      </w:r>
    </w:p>
    <w:bookmarkEnd w:id="235"/>
    <w:bookmarkEnd w:id="236"/>
    <w:bookmarkEnd w:id="237"/>
    <w:bookmarkEnd w:id="238"/>
    <w:bookmarkEnd w:id="239"/>
    <w:bookmarkEnd w:id="240"/>
    <w:bookmarkEnd w:id="241"/>
    <w:bookmarkEnd w:id="242"/>
    <w:bookmarkEnd w:id="243"/>
    <w:bookmarkEnd w:id="244"/>
    <w:bookmarkEnd w:id="245"/>
    <w:bookmarkEnd w:id="246"/>
    <w:bookmarkEnd w:id="247"/>
    <w:p w14:paraId="166C1FED">
      <w:pPr>
        <w:pStyle w:val="3"/>
        <w:bidi w:val="0"/>
        <w:rPr>
          <w:rFonts w:hint="default" w:ascii="Times New Roman" w:hAnsi="Times New Roman" w:cs="Times New Roman"/>
          <w:color w:val="auto"/>
        </w:rPr>
      </w:pPr>
      <w:bookmarkStart w:id="248" w:name="_Toc25798"/>
      <w:bookmarkStart w:id="249" w:name="_Toc17311"/>
      <w:bookmarkStart w:id="250" w:name="_Toc22696"/>
      <w:bookmarkStart w:id="251" w:name="_Toc7455"/>
      <w:bookmarkStart w:id="252" w:name="_Toc218485493"/>
      <w:bookmarkStart w:id="253" w:name="_Toc15506"/>
      <w:bookmarkStart w:id="254" w:name="_Toc13962_WPSOffice_Level1"/>
      <w:bookmarkStart w:id="255" w:name="_Toc493523097"/>
      <w:bookmarkStart w:id="256" w:name="_Toc277781477"/>
      <w:bookmarkStart w:id="257" w:name="_Toc1525"/>
      <w:bookmarkStart w:id="258" w:name="_Toc13644"/>
      <w:bookmarkStart w:id="259" w:name="_Toc7239"/>
      <w:bookmarkStart w:id="260" w:name="_Toc190909899"/>
      <w:bookmarkStart w:id="261" w:name="_Toc31477"/>
      <w:bookmarkStart w:id="262" w:name="_Toc271476205"/>
      <w:bookmarkStart w:id="263" w:name="_Toc12819"/>
      <w:bookmarkStart w:id="264" w:name="_Toc8839"/>
      <w:bookmarkStart w:id="265" w:name="_Toc12273"/>
      <w:bookmarkStart w:id="266" w:name="_Toc484105093"/>
      <w:bookmarkStart w:id="267" w:name="_Toc191903741"/>
      <w:bookmarkStart w:id="268" w:name="_Toc8166"/>
      <w:bookmarkStart w:id="269" w:name="_Toc8746"/>
      <w:r>
        <w:rPr>
          <w:rFonts w:hint="default" w:ascii="Times New Roman" w:hAnsi="Times New Roman" w:cs="Times New Roman"/>
          <w:color w:val="auto"/>
        </w:rPr>
        <w:t>污染控制与环境保护目标</w:t>
      </w:r>
      <w:bookmarkEnd w:id="248"/>
      <w:bookmarkEnd w:id="249"/>
    </w:p>
    <w:p w14:paraId="44DFA303">
      <w:pPr>
        <w:pStyle w:val="4"/>
        <w:bidi w:val="0"/>
        <w:rPr>
          <w:rFonts w:hint="default" w:ascii="Times New Roman" w:hAnsi="Times New Roman" w:cs="Times New Roman"/>
          <w:color w:val="auto"/>
        </w:rPr>
      </w:pPr>
      <w:r>
        <w:rPr>
          <w:rFonts w:hint="default" w:ascii="Times New Roman" w:hAnsi="Times New Roman" w:cs="Times New Roman"/>
          <w:color w:val="auto"/>
          <w:lang w:val="en-US" w:eastAsia="zh-CN"/>
        </w:rPr>
        <w:t>污染与生态影响控制目</w:t>
      </w:r>
      <w:r>
        <w:rPr>
          <w:rFonts w:hint="default" w:ascii="Times New Roman" w:hAnsi="Times New Roman" w:cs="Times New Roman"/>
          <w:color w:val="auto"/>
        </w:rPr>
        <w:t>标</w:t>
      </w:r>
    </w:p>
    <w:p w14:paraId="0A8EE78C">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"2.7.1.1"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2.7.1.1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position w:val="0"/>
          <w:highlight w:val="none"/>
          <w:lang w:val="en-US" w:eastAsia="zh-CN"/>
        </w:rPr>
        <w:t>施工期</w:t>
      </w:r>
    </w:p>
    <w:p w14:paraId="72A86099">
      <w:pPr>
        <w:keepNext w:val="0"/>
        <w:keepLines w:val="0"/>
        <w:pageBreakBefore w:val="0"/>
        <w:widowControl w:val="0"/>
        <w:kinsoku/>
        <w:wordWrap/>
        <w:overflowPunct/>
        <w:topLinePunct w:val="0"/>
        <w:autoSpaceDE/>
        <w:autoSpaceDN/>
        <w:bidi w:val="0"/>
        <w:adjustRightInd/>
        <w:snapToGrid/>
        <w:spacing w:line="480" w:lineRule="exact"/>
        <w:ind w:left="0" w:firstLine="68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施工期矿山开发主要控制开挖、占用土地、植被面积和水土流失，以及施工噪声、施工扬尘等，详见表2.7-1。</w:t>
      </w:r>
    </w:p>
    <w:p w14:paraId="24AC36D6">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表2.7-1</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施工期污染控制目标</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42"/>
        <w:gridCol w:w="1382"/>
        <w:gridCol w:w="2931"/>
        <w:gridCol w:w="3078"/>
      </w:tblGrid>
      <w:tr w14:paraId="3218BC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blHeader/>
        </w:trPr>
        <w:tc>
          <w:tcPr>
            <w:tcW w:w="565" w:type="pct"/>
            <w:tcBorders>
              <w:tl2br w:val="nil"/>
              <w:tr2bl w:val="nil"/>
            </w:tcBorders>
            <w:vAlign w:val="center"/>
          </w:tcPr>
          <w:p w14:paraId="0CE9ED4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污染源</w:t>
            </w:r>
          </w:p>
        </w:tc>
        <w:tc>
          <w:tcPr>
            <w:tcW w:w="829" w:type="pct"/>
            <w:tcBorders>
              <w:tl2br w:val="nil"/>
              <w:tr2bl w:val="nil"/>
            </w:tcBorders>
            <w:vAlign w:val="center"/>
          </w:tcPr>
          <w:p w14:paraId="052571A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污染物类型</w:t>
            </w:r>
          </w:p>
        </w:tc>
        <w:tc>
          <w:tcPr>
            <w:tcW w:w="1758" w:type="pct"/>
            <w:tcBorders>
              <w:tl2br w:val="nil"/>
              <w:tr2bl w:val="nil"/>
            </w:tcBorders>
            <w:vAlign w:val="center"/>
          </w:tcPr>
          <w:p w14:paraId="258E342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控制内容</w:t>
            </w:r>
          </w:p>
        </w:tc>
        <w:tc>
          <w:tcPr>
            <w:tcW w:w="1846" w:type="pct"/>
            <w:tcBorders>
              <w:tl2br w:val="nil"/>
              <w:tr2bl w:val="nil"/>
            </w:tcBorders>
            <w:vAlign w:val="center"/>
          </w:tcPr>
          <w:p w14:paraId="504A47D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控制目标</w:t>
            </w:r>
          </w:p>
        </w:tc>
      </w:tr>
      <w:tr w14:paraId="0E679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52" w:hRule="atLeast"/>
        </w:trPr>
        <w:tc>
          <w:tcPr>
            <w:tcW w:w="565" w:type="pct"/>
            <w:tcBorders>
              <w:tl2br w:val="nil"/>
              <w:tr2bl w:val="nil"/>
            </w:tcBorders>
            <w:vAlign w:val="center"/>
          </w:tcPr>
          <w:p w14:paraId="67D2277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弃土、弃渣</w:t>
            </w:r>
          </w:p>
        </w:tc>
        <w:tc>
          <w:tcPr>
            <w:tcW w:w="829" w:type="pct"/>
            <w:tcBorders>
              <w:tl2br w:val="nil"/>
              <w:tr2bl w:val="nil"/>
            </w:tcBorders>
            <w:vAlign w:val="center"/>
          </w:tcPr>
          <w:p w14:paraId="0F49686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固体废弃物</w:t>
            </w:r>
          </w:p>
        </w:tc>
        <w:tc>
          <w:tcPr>
            <w:tcW w:w="1758" w:type="pct"/>
            <w:tcBorders>
              <w:tl2br w:val="nil"/>
              <w:tr2bl w:val="nil"/>
            </w:tcBorders>
            <w:vAlign w:val="center"/>
          </w:tcPr>
          <w:p w14:paraId="324BCC8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严格控制工业场地和矿井等地表剥离、弃土和废石占地面积，制定完善的处置措施、禁止乱堆乱放</w:t>
            </w:r>
          </w:p>
        </w:tc>
        <w:tc>
          <w:tcPr>
            <w:tcW w:w="1846" w:type="pct"/>
            <w:tcBorders>
              <w:tl2br w:val="nil"/>
              <w:tr2bl w:val="nil"/>
            </w:tcBorders>
            <w:vAlign w:val="center"/>
          </w:tcPr>
          <w:p w14:paraId="1B45EF5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控制压占土地、植被面积，使矿山范围内的新增水土流失得到有效控制，避免产生环境地质灾害</w:t>
            </w:r>
          </w:p>
        </w:tc>
      </w:tr>
      <w:tr w14:paraId="029D79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565" w:type="pct"/>
            <w:tcBorders>
              <w:tl2br w:val="nil"/>
              <w:tr2bl w:val="nil"/>
            </w:tcBorders>
            <w:vAlign w:val="center"/>
          </w:tcPr>
          <w:p w14:paraId="3527DC7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施工设备</w:t>
            </w:r>
          </w:p>
        </w:tc>
        <w:tc>
          <w:tcPr>
            <w:tcW w:w="829" w:type="pct"/>
            <w:tcBorders>
              <w:tl2br w:val="nil"/>
              <w:tr2bl w:val="nil"/>
            </w:tcBorders>
            <w:vAlign w:val="center"/>
          </w:tcPr>
          <w:p w14:paraId="7773F21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机械、空气动力性噪声</w:t>
            </w:r>
          </w:p>
        </w:tc>
        <w:tc>
          <w:tcPr>
            <w:tcW w:w="1758" w:type="pct"/>
            <w:tcBorders>
              <w:tl2br w:val="nil"/>
              <w:tr2bl w:val="nil"/>
            </w:tcBorders>
            <w:vAlign w:val="center"/>
          </w:tcPr>
          <w:p w14:paraId="45D2C5C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合理安排施工时间、采用低噪声机械设备</w:t>
            </w:r>
          </w:p>
        </w:tc>
        <w:tc>
          <w:tcPr>
            <w:tcW w:w="1846" w:type="pct"/>
            <w:tcBorders>
              <w:tl2br w:val="nil"/>
              <w:tr2bl w:val="nil"/>
            </w:tcBorders>
            <w:vAlign w:val="center"/>
          </w:tcPr>
          <w:p w14:paraId="6428D58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cs="Times New Roman"/>
                <w:color w:val="auto"/>
                <w:spacing w:val="0"/>
                <w:w w:val="100"/>
                <w:position w:val="0"/>
                <w:lang w:eastAsia="zh-CN"/>
              </w:rPr>
              <w:t>《建筑施工噪声排放标准》（GB12523-2025）</w:t>
            </w:r>
          </w:p>
        </w:tc>
      </w:tr>
      <w:tr w14:paraId="67B72D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65" w:type="pct"/>
            <w:tcBorders>
              <w:tl2br w:val="nil"/>
              <w:tr2bl w:val="nil"/>
            </w:tcBorders>
            <w:vAlign w:val="center"/>
          </w:tcPr>
          <w:p w14:paraId="6B0D336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施工场地</w:t>
            </w:r>
          </w:p>
        </w:tc>
        <w:tc>
          <w:tcPr>
            <w:tcW w:w="829" w:type="pct"/>
            <w:tcBorders>
              <w:tl2br w:val="nil"/>
              <w:tr2bl w:val="nil"/>
            </w:tcBorders>
            <w:vAlign w:val="center"/>
          </w:tcPr>
          <w:p w14:paraId="078A57F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758" w:type="pct"/>
            <w:tcBorders>
              <w:tl2br w:val="nil"/>
              <w:tr2bl w:val="nil"/>
            </w:tcBorders>
            <w:vAlign w:val="center"/>
          </w:tcPr>
          <w:p w14:paraId="07D9FC0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cs="Times New Roman"/>
                <w:color w:val="auto"/>
                <w:spacing w:val="0"/>
                <w:w w:val="100"/>
                <w:position w:val="0"/>
                <w:lang w:eastAsia="zh-CN"/>
              </w:rPr>
              <w:t>设置</w:t>
            </w:r>
            <w:r>
              <w:rPr>
                <w:rFonts w:hint="default" w:ascii="Times New Roman" w:hAnsi="Times New Roman" w:eastAsia="宋体" w:cs="Times New Roman"/>
                <w:color w:val="auto"/>
                <w:spacing w:val="0"/>
                <w:w w:val="100"/>
                <w:position w:val="0"/>
              </w:rPr>
              <w:t>围挡、遮蔽措施，阻隔施工扬尘，定期洒水降尘等</w:t>
            </w:r>
          </w:p>
        </w:tc>
        <w:tc>
          <w:tcPr>
            <w:tcW w:w="1846" w:type="pct"/>
            <w:tcBorders>
              <w:tl2br w:val="nil"/>
              <w:tr2bl w:val="nil"/>
            </w:tcBorders>
            <w:vAlign w:val="center"/>
          </w:tcPr>
          <w:p w14:paraId="415276C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无组织排放监控浓度限值</w:t>
            </w:r>
          </w:p>
        </w:tc>
      </w:tr>
    </w:tbl>
    <w:p w14:paraId="0B7E1DDC">
      <w:pPr>
        <w:pStyle w:val="5"/>
        <w:bidi w:val="0"/>
        <w:rPr>
          <w:rFonts w:hint="default" w:ascii="Times New Roman" w:hAnsi="Times New Roman" w:cs="Times New Roman"/>
          <w:color w:val="auto"/>
        </w:rPr>
      </w:pPr>
      <w:r>
        <w:rPr>
          <w:rFonts w:hint="default" w:ascii="Times New Roman" w:hAnsi="Times New Roman" w:cs="Times New Roman"/>
          <w:color w:val="auto"/>
          <w:lang w:val="en-US" w:eastAsia="zh-CN"/>
        </w:rPr>
        <w:fldChar w:fldCharType="begin"/>
      </w:r>
      <w:r>
        <w:rPr>
          <w:rFonts w:hint="default" w:ascii="Times New Roman" w:hAnsi="Times New Roman" w:cs="Times New Roman"/>
          <w:color w:val="auto"/>
          <w:lang w:val="en-US" w:eastAsia="zh-CN"/>
        </w:rPr>
        <w:instrText xml:space="preserve"> HYPERLINK "2.7.1.2" </w:instrText>
      </w:r>
      <w:r>
        <w:rPr>
          <w:rFonts w:hint="default" w:ascii="Times New Roman" w:hAnsi="Times New Roman" w:cs="Times New Roman"/>
          <w:color w:val="auto"/>
          <w:lang w:val="en-US" w:eastAsia="zh-CN"/>
        </w:rPr>
        <w:fldChar w:fldCharType="separate"/>
      </w:r>
      <w:r>
        <w:rPr>
          <w:rFonts w:hint="default" w:ascii="Times New Roman" w:hAnsi="Times New Roman" w:cs="Times New Roman"/>
          <w:color w:val="auto"/>
          <w:lang w:val="en-US" w:eastAsia="zh-CN"/>
        </w:rPr>
        <w:t>2.7.1.2</w:t>
      </w:r>
      <w:r>
        <w:rPr>
          <w:rFonts w:hint="default" w:ascii="Times New Roman" w:hAnsi="Times New Roman" w:cs="Times New Roman"/>
          <w:color w:val="auto"/>
          <w:lang w:val="en-US" w:eastAsia="zh-CN"/>
        </w:rPr>
        <w:fldChar w:fldCharType="end"/>
      </w:r>
      <w:r>
        <w:rPr>
          <w:rFonts w:hint="default" w:ascii="Times New Roman" w:hAnsi="Times New Roman" w:cs="Times New Roman"/>
          <w:color w:val="auto"/>
          <w:lang w:val="en-US" w:eastAsia="zh-CN"/>
        </w:rPr>
        <w:t>运营期</w:t>
      </w:r>
    </w:p>
    <w:p w14:paraId="2626B5F8">
      <w:pPr>
        <w:keepNext w:val="0"/>
        <w:keepLines w:val="0"/>
        <w:pageBreakBefore w:val="0"/>
        <w:widowControl w:val="0"/>
        <w:kinsoku/>
        <w:wordWrap/>
        <w:overflowPunct/>
        <w:topLinePunct w:val="0"/>
        <w:autoSpaceDE/>
        <w:autoSpaceDN/>
        <w:bidi w:val="0"/>
        <w:adjustRightInd/>
        <w:snapToGrid/>
        <w:spacing w:line="480" w:lineRule="exact"/>
        <w:ind w:left="0" w:firstLine="68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运营期控制内容与目标见表2.7-2。</w:t>
      </w:r>
    </w:p>
    <w:p w14:paraId="28CD2B70">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p>
    <w:p w14:paraId="7D51F6B0">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p>
    <w:p w14:paraId="3C05391F">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表2.7-2</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lang w:val="zh-CN" w:eastAsia="zh-CN"/>
        </w:rPr>
        <w:t>运营期污染控制内容与目标</w:t>
      </w:r>
    </w:p>
    <w:tbl>
      <w:tblPr>
        <w:tblStyle w:val="31"/>
        <w:tblW w:w="5052"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27"/>
        <w:gridCol w:w="1284"/>
        <w:gridCol w:w="2976"/>
        <w:gridCol w:w="3236"/>
      </w:tblGrid>
      <w:tr w14:paraId="2EB60B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550" w:type="pct"/>
            <w:tcBorders>
              <w:tl2br w:val="nil"/>
              <w:tr2bl w:val="nil"/>
            </w:tcBorders>
            <w:vAlign w:val="center"/>
          </w:tcPr>
          <w:p w14:paraId="7613687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污染源</w:t>
            </w:r>
          </w:p>
        </w:tc>
        <w:tc>
          <w:tcPr>
            <w:tcW w:w="762" w:type="pct"/>
            <w:tcBorders>
              <w:tl2br w:val="nil"/>
              <w:tr2bl w:val="nil"/>
            </w:tcBorders>
            <w:vAlign w:val="center"/>
          </w:tcPr>
          <w:p w14:paraId="71ABF33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污染物类型</w:t>
            </w:r>
          </w:p>
        </w:tc>
        <w:tc>
          <w:tcPr>
            <w:tcW w:w="1766" w:type="pct"/>
            <w:tcBorders>
              <w:tl2br w:val="nil"/>
              <w:tr2bl w:val="nil"/>
            </w:tcBorders>
            <w:vAlign w:val="center"/>
          </w:tcPr>
          <w:p w14:paraId="43C4B8B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控制内容</w:t>
            </w:r>
          </w:p>
        </w:tc>
        <w:tc>
          <w:tcPr>
            <w:tcW w:w="1920" w:type="pct"/>
            <w:tcBorders>
              <w:tl2br w:val="nil"/>
              <w:tr2bl w:val="nil"/>
            </w:tcBorders>
            <w:vAlign w:val="center"/>
          </w:tcPr>
          <w:p w14:paraId="7F2DE5E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控制目标</w:t>
            </w:r>
          </w:p>
        </w:tc>
      </w:tr>
      <w:tr w14:paraId="319EFC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50" w:type="pct"/>
            <w:vMerge w:val="restart"/>
            <w:tcBorders>
              <w:tl2br w:val="nil"/>
              <w:tr2bl w:val="nil"/>
            </w:tcBorders>
            <w:vAlign w:val="center"/>
          </w:tcPr>
          <w:p w14:paraId="1FABF8A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废气</w:t>
            </w:r>
          </w:p>
        </w:tc>
        <w:tc>
          <w:tcPr>
            <w:tcW w:w="762" w:type="pct"/>
            <w:tcBorders>
              <w:tl2br w:val="nil"/>
              <w:tr2bl w:val="nil"/>
            </w:tcBorders>
            <w:vAlign w:val="center"/>
          </w:tcPr>
          <w:p w14:paraId="6FF04B0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766" w:type="pct"/>
            <w:tcBorders>
              <w:tl2br w:val="nil"/>
              <w:tr2bl w:val="nil"/>
            </w:tcBorders>
            <w:vAlign w:val="center"/>
          </w:tcPr>
          <w:p w14:paraId="2C15690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rPr>
              <w:t>采取湿式凿岩、喷雾洒水、洗壁和机械通风措施；废石场洒水降尘</w:t>
            </w:r>
          </w:p>
        </w:tc>
        <w:tc>
          <w:tcPr>
            <w:tcW w:w="1920" w:type="pct"/>
            <w:tcBorders>
              <w:tl2br w:val="nil"/>
              <w:tr2bl w:val="nil"/>
            </w:tcBorders>
            <w:vAlign w:val="center"/>
          </w:tcPr>
          <w:p w14:paraId="34DB78B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达到</w:t>
            </w:r>
            <w:r>
              <w:rPr>
                <w:rFonts w:hint="default" w:ascii="Times New Roman" w:hAnsi="Times New Roman" w:cs="Times New Roman"/>
                <w:color w:val="auto"/>
                <w:spacing w:val="0"/>
                <w:w w:val="100"/>
                <w:position w:val="0"/>
                <w:lang w:eastAsia="zh-CN"/>
              </w:rPr>
              <w:t>《铜、镍、钴工业污染物排放标准》（GB25467-2010）及其修改单</w:t>
            </w:r>
            <w:r>
              <w:rPr>
                <w:rFonts w:hint="default" w:ascii="Times New Roman" w:hAnsi="Times New Roman" w:eastAsia="宋体" w:cs="Times New Roman"/>
                <w:color w:val="auto"/>
                <w:spacing w:val="0"/>
                <w:w w:val="100"/>
                <w:position w:val="0"/>
              </w:rPr>
              <w:t>浓度限值要求</w:t>
            </w:r>
          </w:p>
        </w:tc>
      </w:tr>
      <w:tr w14:paraId="2EAF75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50" w:type="pct"/>
            <w:vMerge w:val="continue"/>
            <w:tcBorders>
              <w:tl2br w:val="nil"/>
              <w:tr2bl w:val="nil"/>
            </w:tcBorders>
            <w:vAlign w:val="center"/>
          </w:tcPr>
          <w:p w14:paraId="578FBD8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p>
        </w:tc>
        <w:tc>
          <w:tcPr>
            <w:tcW w:w="762" w:type="pct"/>
            <w:tcBorders>
              <w:tl2br w:val="nil"/>
              <w:tr2bl w:val="nil"/>
            </w:tcBorders>
            <w:vAlign w:val="center"/>
          </w:tcPr>
          <w:p w14:paraId="20B47F1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766" w:type="pct"/>
            <w:tcBorders>
              <w:tl2br w:val="nil"/>
              <w:tr2bl w:val="nil"/>
            </w:tcBorders>
            <w:vAlign w:val="center"/>
          </w:tcPr>
          <w:p w14:paraId="2AA266B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lang w:val="en-US" w:eastAsia="zh-CN"/>
              </w:rPr>
              <w:t>水泥筒仓粉尘</w:t>
            </w:r>
            <w:r>
              <w:rPr>
                <w:rFonts w:hint="default" w:ascii="Times New Roman" w:hAnsi="Times New Roman" w:cs="Times New Roman"/>
                <w:color w:val="auto"/>
                <w:spacing w:val="0"/>
                <w:w w:val="100"/>
                <w:position w:val="0"/>
                <w:lang w:val="en-US" w:eastAsia="zh-CN"/>
              </w:rPr>
              <w:t>经筒仓自带仓顶除尘器处理后，无组织排放</w:t>
            </w:r>
          </w:p>
        </w:tc>
        <w:tc>
          <w:tcPr>
            <w:tcW w:w="1920" w:type="pct"/>
            <w:tcBorders>
              <w:tl2br w:val="nil"/>
              <w:tr2bl w:val="nil"/>
            </w:tcBorders>
            <w:vAlign w:val="center"/>
          </w:tcPr>
          <w:p w14:paraId="2B74F29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水泥工业大气污染物排放标准</w:t>
            </w:r>
            <w:r>
              <w:rPr>
                <w:rFonts w:hint="default" w:ascii="Times New Roman" w:hAnsi="Times New Roman" w:eastAsia="宋体" w:cs="Times New Roman"/>
                <w:color w:val="auto"/>
                <w:spacing w:val="0"/>
                <w:w w:val="100"/>
                <w:position w:val="0"/>
                <w:lang w:eastAsia="zh-CN"/>
              </w:rPr>
              <w:t>》</w:t>
            </w:r>
            <w:r>
              <w:rPr>
                <w:rFonts w:hint="eastAsia"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GB 4915-2013</w:t>
            </w:r>
            <w:r>
              <w:rPr>
                <w:rFonts w:hint="eastAsia"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fldChar w:fldCharType="begin"/>
            </w:r>
            <w:r>
              <w:rPr>
                <w:rFonts w:hint="default" w:ascii="Times New Roman" w:hAnsi="Times New Roman" w:eastAsia="宋体" w:cs="Times New Roman"/>
                <w:color w:val="auto"/>
                <w:spacing w:val="0"/>
                <w:w w:val="100"/>
                <w:position w:val="0"/>
              </w:rPr>
              <w:instrText xml:space="preserve"> HYPERLINK "https://www.mee.gov.cn/ywgz/fgbz/bz/bzwb/dqhjbh/dqgdwrywrwpfbz/201312/W020260224575335786022.pdf" </w:instrText>
            </w:r>
            <w:r>
              <w:rPr>
                <w:rFonts w:hint="default" w:ascii="Times New Roman" w:hAnsi="Times New Roman" w:eastAsia="宋体" w:cs="Times New Roman"/>
                <w:color w:val="auto"/>
                <w:spacing w:val="0"/>
                <w:w w:val="100"/>
                <w:position w:val="0"/>
              </w:rPr>
              <w:fldChar w:fldCharType="separate"/>
            </w:r>
            <w:r>
              <w:rPr>
                <w:rFonts w:hint="default" w:ascii="Times New Roman" w:hAnsi="Times New Roman" w:eastAsia="宋体" w:cs="Times New Roman"/>
                <w:color w:val="auto"/>
                <w:spacing w:val="0"/>
                <w:w w:val="100"/>
                <w:position w:val="0"/>
              </w:rPr>
              <w:t>（含2025年修改单）</w:t>
            </w:r>
            <w:r>
              <w:rPr>
                <w:rFonts w:hint="default" w:ascii="Times New Roman" w:hAnsi="Times New Roman" w:eastAsia="宋体" w:cs="Times New Roman"/>
                <w:color w:val="auto"/>
                <w:spacing w:val="0"/>
                <w:w w:val="100"/>
                <w:position w:val="0"/>
              </w:rPr>
              <w:fldChar w:fldCharType="end"/>
            </w:r>
          </w:p>
        </w:tc>
      </w:tr>
      <w:tr w14:paraId="7E964D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50" w:type="pct"/>
            <w:tcBorders>
              <w:tl2br w:val="nil"/>
              <w:tr2bl w:val="nil"/>
            </w:tcBorders>
            <w:vAlign w:val="center"/>
          </w:tcPr>
          <w:p w14:paraId="580A9F1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废水</w:t>
            </w:r>
          </w:p>
        </w:tc>
        <w:tc>
          <w:tcPr>
            <w:tcW w:w="762" w:type="pct"/>
            <w:tcBorders>
              <w:tl2br w:val="nil"/>
              <w:tr2bl w:val="nil"/>
            </w:tcBorders>
            <w:vAlign w:val="center"/>
          </w:tcPr>
          <w:p w14:paraId="6D1F2BB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pH、悬浮物、COD</w:t>
            </w:r>
            <w:r>
              <w:rPr>
                <w:rFonts w:hint="default" w:ascii="Times New Roman" w:hAnsi="Times New Roman" w:eastAsia="宋体" w:cs="Times New Roman"/>
                <w:color w:val="auto"/>
                <w:spacing w:val="0"/>
                <w:w w:val="100"/>
                <w:position w:val="0"/>
                <w:sz w:val="14"/>
                <w:szCs w:val="14"/>
              </w:rPr>
              <w:t>Cr</w:t>
            </w:r>
            <w:r>
              <w:rPr>
                <w:rFonts w:hint="default" w:ascii="Times New Roman" w:hAnsi="Times New Roman" w:eastAsia="宋体" w:cs="Times New Roman"/>
                <w:color w:val="auto"/>
                <w:spacing w:val="0"/>
                <w:w w:val="100"/>
                <w:position w:val="0"/>
              </w:rPr>
              <w:t>、铜、铅、锌、镉、六价铬等</w:t>
            </w:r>
          </w:p>
        </w:tc>
        <w:tc>
          <w:tcPr>
            <w:tcW w:w="1766" w:type="pct"/>
            <w:tcBorders>
              <w:tl2br w:val="nil"/>
              <w:tr2bl w:val="nil"/>
            </w:tcBorders>
            <w:vAlign w:val="center"/>
          </w:tcPr>
          <w:p w14:paraId="7F413C5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val="en-US"/>
              </w:rPr>
            </w:pPr>
            <w:r>
              <w:rPr>
                <w:rFonts w:hint="default" w:ascii="Times New Roman" w:hAnsi="Times New Roman" w:eastAsia="宋体" w:cs="Times New Roman"/>
                <w:color w:val="auto"/>
                <w:spacing w:val="0"/>
                <w:w w:val="100"/>
                <w:position w:val="0"/>
              </w:rPr>
              <w:t>采矿区矿坑涌水经沉淀处理后，回用于采矿生产</w:t>
            </w:r>
            <w:r>
              <w:rPr>
                <w:rFonts w:hint="default" w:ascii="Times New Roman" w:hAnsi="Times New Roman" w:cs="Times New Roman"/>
                <w:color w:val="auto"/>
                <w:spacing w:val="0"/>
                <w:w w:val="100"/>
                <w:position w:val="0"/>
                <w:lang w:eastAsia="zh-CN"/>
              </w:rPr>
              <w:t>，</w:t>
            </w:r>
            <w:r>
              <w:rPr>
                <w:rFonts w:hint="default" w:ascii="Times New Roman" w:hAnsi="Times New Roman" w:cs="Times New Roman"/>
                <w:color w:val="auto"/>
                <w:spacing w:val="0"/>
                <w:w w:val="100"/>
                <w:position w:val="0"/>
                <w:lang w:val="en-US" w:eastAsia="zh-CN"/>
              </w:rPr>
              <w:t>不外排</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项目区生活污水经一体化污水处理设施处理后</w:t>
            </w:r>
            <w:r>
              <w:rPr>
                <w:rFonts w:hint="default" w:ascii="Times New Roman" w:hAnsi="Times New Roman" w:cs="Times New Roman"/>
                <w:color w:val="auto"/>
                <w:spacing w:val="0"/>
                <w:w w:val="100"/>
                <w:position w:val="0"/>
                <w:lang w:val="en-US" w:eastAsia="zh-CN"/>
              </w:rPr>
              <w:t>用于矿区洒水、绿化</w:t>
            </w:r>
          </w:p>
        </w:tc>
        <w:tc>
          <w:tcPr>
            <w:tcW w:w="1920" w:type="pct"/>
            <w:tcBorders>
              <w:tl2br w:val="nil"/>
              <w:tr2bl w:val="nil"/>
            </w:tcBorders>
            <w:vAlign w:val="center"/>
          </w:tcPr>
          <w:p w14:paraId="7463CE4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矿井涌水和生活污水全部综合利用不外排</w:t>
            </w:r>
          </w:p>
        </w:tc>
      </w:tr>
      <w:tr w14:paraId="01E447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550" w:type="pct"/>
            <w:tcBorders>
              <w:tl2br w:val="nil"/>
              <w:tr2bl w:val="nil"/>
            </w:tcBorders>
            <w:vAlign w:val="center"/>
          </w:tcPr>
          <w:p w14:paraId="63CE8DB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噪声</w:t>
            </w:r>
          </w:p>
        </w:tc>
        <w:tc>
          <w:tcPr>
            <w:tcW w:w="762" w:type="pct"/>
            <w:tcBorders>
              <w:tl2br w:val="nil"/>
              <w:tr2bl w:val="nil"/>
            </w:tcBorders>
            <w:vAlign w:val="center"/>
          </w:tcPr>
          <w:p w14:paraId="4B9E1AA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机械噪声、空气动力噪声</w:t>
            </w:r>
          </w:p>
        </w:tc>
        <w:tc>
          <w:tcPr>
            <w:tcW w:w="1766" w:type="pct"/>
            <w:tcBorders>
              <w:tl2br w:val="nil"/>
              <w:tr2bl w:val="nil"/>
            </w:tcBorders>
            <w:vAlign w:val="center"/>
          </w:tcPr>
          <w:p w14:paraId="7C014B7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采用吸声、减振、隔声和消声等措施</w:t>
            </w:r>
          </w:p>
        </w:tc>
        <w:tc>
          <w:tcPr>
            <w:tcW w:w="1920" w:type="pct"/>
            <w:tcBorders>
              <w:tl2br w:val="nil"/>
              <w:tr2bl w:val="nil"/>
            </w:tcBorders>
            <w:vAlign w:val="center"/>
          </w:tcPr>
          <w:p w14:paraId="3750E7E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符合《工业企业厂界环境噪声排放标准》</w:t>
            </w:r>
            <w:r>
              <w:rPr>
                <w:rFonts w:hint="default" w:ascii="Times New Roman" w:hAnsi="Times New Roman" w:cs="Times New Roman"/>
                <w:color w:val="auto"/>
                <w:spacing w:val="0"/>
                <w:w w:val="100"/>
                <w:position w:val="0"/>
                <w:lang w:val="en-US" w:eastAsia="zh-CN"/>
              </w:rPr>
              <w:t>（GB12348-2008）</w:t>
            </w:r>
            <w:r>
              <w:rPr>
                <w:rFonts w:hint="default" w:ascii="Times New Roman" w:hAnsi="Times New Roman" w:eastAsia="宋体" w:cs="Times New Roman"/>
                <w:color w:val="auto"/>
                <w:spacing w:val="0"/>
                <w:w w:val="100"/>
                <w:position w:val="0"/>
              </w:rPr>
              <w:t>2类</w:t>
            </w:r>
            <w:r>
              <w:rPr>
                <w:rFonts w:hint="default" w:ascii="Times New Roman" w:hAnsi="Times New Roman" w:cs="Times New Roman"/>
                <w:color w:val="auto"/>
                <w:spacing w:val="0"/>
                <w:w w:val="100"/>
                <w:position w:val="0"/>
                <w:lang w:val="en-US" w:eastAsia="zh-CN"/>
              </w:rPr>
              <w:t>标准</w:t>
            </w:r>
          </w:p>
        </w:tc>
      </w:tr>
      <w:tr w14:paraId="10D003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50" w:type="pct"/>
            <w:tcBorders>
              <w:tl2br w:val="nil"/>
              <w:tr2bl w:val="nil"/>
            </w:tcBorders>
            <w:vAlign w:val="center"/>
          </w:tcPr>
          <w:p w14:paraId="54434D8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固体废物</w:t>
            </w:r>
          </w:p>
        </w:tc>
        <w:tc>
          <w:tcPr>
            <w:tcW w:w="762" w:type="pct"/>
            <w:tcBorders>
              <w:tl2br w:val="nil"/>
              <w:tr2bl w:val="nil"/>
            </w:tcBorders>
            <w:vAlign w:val="center"/>
          </w:tcPr>
          <w:p w14:paraId="20857A7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废石、生活垃圾</w:t>
            </w:r>
            <w:r>
              <w:rPr>
                <w:rFonts w:hint="default" w:ascii="Times New Roman" w:hAnsi="Times New Roman" w:eastAsia="宋体" w:cs="Times New Roman"/>
                <w:color w:val="auto"/>
                <w:spacing w:val="0"/>
                <w:w w:val="100"/>
                <w:position w:val="0"/>
                <w:lang w:val="en-US" w:eastAsia="zh-CN"/>
              </w:rPr>
              <w:t>和</w:t>
            </w:r>
            <w:r>
              <w:rPr>
                <w:rFonts w:hint="default" w:ascii="Times New Roman" w:hAnsi="Times New Roman" w:eastAsia="宋体" w:cs="Times New Roman"/>
                <w:color w:val="auto"/>
                <w:spacing w:val="0"/>
                <w:w w:val="100"/>
                <w:position w:val="0"/>
              </w:rPr>
              <w:t>危险废物</w:t>
            </w:r>
          </w:p>
        </w:tc>
        <w:tc>
          <w:tcPr>
            <w:tcW w:w="1766" w:type="pct"/>
            <w:tcBorders>
              <w:tl2br w:val="nil"/>
              <w:tr2bl w:val="nil"/>
            </w:tcBorders>
            <w:vAlign w:val="center"/>
          </w:tcPr>
          <w:p w14:paraId="15C8411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①建设废石场，设置拦渣坝、挡石墙和截排水沟，采取水保和复垦措施</w:t>
            </w:r>
            <w:r>
              <w:rPr>
                <w:rFonts w:hint="default"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②生活垃圾集中收集、外运得到妥善处理</w:t>
            </w:r>
            <w:r>
              <w:rPr>
                <w:rFonts w:hint="default"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lang w:val="en-US" w:eastAsia="zh-CN"/>
              </w:rPr>
              <w:t>③</w:t>
            </w:r>
            <w:r>
              <w:rPr>
                <w:rFonts w:hint="default" w:ascii="Times New Roman" w:hAnsi="Times New Roman" w:eastAsia="宋体" w:cs="Times New Roman"/>
                <w:color w:val="auto"/>
                <w:spacing w:val="0"/>
                <w:w w:val="100"/>
                <w:position w:val="0"/>
              </w:rPr>
              <w:t>危险废物规范暂存，定期委托有资质单位安全处置</w:t>
            </w:r>
          </w:p>
        </w:tc>
        <w:tc>
          <w:tcPr>
            <w:tcW w:w="1920" w:type="pct"/>
            <w:tcBorders>
              <w:tl2br w:val="nil"/>
              <w:tr2bl w:val="nil"/>
            </w:tcBorders>
            <w:vAlign w:val="center"/>
          </w:tcPr>
          <w:p w14:paraId="1A16BCD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符合《危险废物贮存污染控制标准》（GB18597-20</w:t>
            </w:r>
            <w:r>
              <w:rPr>
                <w:rFonts w:hint="default" w:ascii="Times New Roman" w:hAnsi="Times New Roman" w:eastAsia="宋体" w:cs="Times New Roman"/>
                <w:color w:val="auto"/>
                <w:spacing w:val="0"/>
                <w:w w:val="100"/>
                <w:position w:val="0"/>
                <w:lang w:val="en-US" w:eastAsia="zh-CN"/>
              </w:rPr>
              <w:t>23</w:t>
            </w:r>
            <w:r>
              <w:rPr>
                <w:rFonts w:hint="default" w:ascii="Times New Roman" w:hAnsi="Times New Roman" w:eastAsia="宋体" w:cs="Times New Roman"/>
                <w:color w:val="auto"/>
                <w:spacing w:val="0"/>
                <w:w w:val="100"/>
                <w:position w:val="0"/>
              </w:rPr>
              <w:t>）、《一般工业固体废物贮存和填埋污染控制标准》</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GB18599-2020</w:t>
            </w:r>
            <w:r>
              <w:rPr>
                <w:rFonts w:hint="default" w:ascii="Times New Roman" w:hAnsi="Times New Roman" w:eastAsia="宋体" w:cs="Times New Roman"/>
                <w:color w:val="auto"/>
                <w:spacing w:val="0"/>
                <w:w w:val="100"/>
                <w:position w:val="0"/>
                <w:lang w:eastAsia="zh-CN"/>
              </w:rPr>
              <w:t>）</w:t>
            </w:r>
          </w:p>
        </w:tc>
      </w:tr>
      <w:tr w14:paraId="74F9CC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50" w:type="pct"/>
            <w:tcBorders>
              <w:tl2br w:val="nil"/>
              <w:tr2bl w:val="nil"/>
            </w:tcBorders>
            <w:vAlign w:val="center"/>
          </w:tcPr>
          <w:p w14:paraId="50CEBAA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风险</w:t>
            </w:r>
          </w:p>
        </w:tc>
        <w:tc>
          <w:tcPr>
            <w:tcW w:w="762" w:type="pct"/>
            <w:tcBorders>
              <w:tl2br w:val="nil"/>
              <w:tr2bl w:val="nil"/>
            </w:tcBorders>
            <w:vAlign w:val="center"/>
          </w:tcPr>
          <w:p w14:paraId="553C2FA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废水</w:t>
            </w:r>
          </w:p>
        </w:tc>
        <w:tc>
          <w:tcPr>
            <w:tcW w:w="1766" w:type="pct"/>
            <w:tcBorders>
              <w:tl2br w:val="nil"/>
              <w:tr2bl w:val="nil"/>
            </w:tcBorders>
            <w:vAlign w:val="center"/>
          </w:tcPr>
          <w:p w14:paraId="1EA331D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分区防渗、制定风险应急预案</w:t>
            </w:r>
          </w:p>
        </w:tc>
        <w:tc>
          <w:tcPr>
            <w:tcW w:w="1920" w:type="pct"/>
            <w:tcBorders>
              <w:tl2br w:val="nil"/>
              <w:tr2bl w:val="nil"/>
            </w:tcBorders>
            <w:vAlign w:val="center"/>
          </w:tcPr>
          <w:p w14:paraId="3AE3164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cs="Times New Roman"/>
                <w:color w:val="auto"/>
                <w:sz w:val="21"/>
                <w:szCs w:val="21"/>
                <w:highlight w:val="none"/>
              </w:rPr>
              <w:t>降低环境风险发生概率，保证环境风险发生时能够得到及时控制</w:t>
            </w:r>
          </w:p>
        </w:tc>
      </w:tr>
    </w:tbl>
    <w:p w14:paraId="616B8C8A">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"2.7.1.3"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2.7.1.3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生态影响控制目标</w:t>
      </w:r>
    </w:p>
    <w:p w14:paraId="069304B4">
      <w:pPr>
        <w:keepNext w:val="0"/>
        <w:keepLines w:val="0"/>
        <w:pageBreakBefore w:val="0"/>
        <w:widowControl w:val="0"/>
        <w:kinsoku/>
        <w:wordWrap/>
        <w:overflowPunct/>
        <w:topLinePunct w:val="0"/>
        <w:autoSpaceDE/>
        <w:autoSpaceDN/>
        <w:bidi w:val="0"/>
        <w:adjustRightInd/>
        <w:snapToGrid/>
        <w:spacing w:line="480" w:lineRule="exact"/>
        <w:ind w:left="0" w:firstLine="68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结合项目区生态功能和特点，确定本项目生态保护目标是保护矿区所在区域生态系统的完整性，主要保护对象为</w:t>
      </w:r>
      <w:r>
        <w:rPr>
          <w:rFonts w:hint="default" w:ascii="Times New Roman" w:hAnsi="Times New Roman" w:cs="Times New Roman"/>
          <w:color w:val="auto"/>
          <w:spacing w:val="0"/>
          <w:w w:val="100"/>
          <w:position w:val="0"/>
          <w:sz w:val="24"/>
          <w:szCs w:val="24"/>
          <w:lang w:eastAsia="zh-CN"/>
        </w:rPr>
        <w:t>保护</w:t>
      </w:r>
      <w:r>
        <w:rPr>
          <w:rFonts w:hint="default" w:ascii="Times New Roman" w:hAnsi="Times New Roman" w:eastAsia="宋体" w:cs="Times New Roman"/>
          <w:color w:val="auto"/>
          <w:spacing w:val="0"/>
          <w:w w:val="100"/>
          <w:position w:val="0"/>
          <w:sz w:val="24"/>
          <w:szCs w:val="24"/>
        </w:rPr>
        <w:t>野生动植物，从而保障生态系统的整体功能和良性循环，使矿区开发对生态环境所造成的影响或破坏控制在最低限度。</w:t>
      </w:r>
    </w:p>
    <w:p w14:paraId="00B22EF1">
      <w:pPr>
        <w:pStyle w:val="4"/>
        <w:bidi w:val="0"/>
        <w:rPr>
          <w:rFonts w:hint="default" w:ascii="Times New Roman" w:hAnsi="Times New Roman" w:cs="Times New Roman"/>
          <w:color w:val="auto"/>
        </w:rPr>
      </w:pPr>
      <w:r>
        <w:rPr>
          <w:rFonts w:hint="default" w:ascii="Times New Roman" w:hAnsi="Times New Roman" w:cs="Times New Roman"/>
          <w:color w:val="auto"/>
        </w:rPr>
        <w:t>环境保护目标</w:t>
      </w:r>
    </w:p>
    <w:p w14:paraId="42F3F3FA">
      <w:pPr>
        <w:keepNext w:val="0"/>
        <w:keepLines w:val="0"/>
        <w:pageBreakBefore w:val="0"/>
        <w:widowControl w:val="0"/>
        <w:kinsoku/>
        <w:wordWrap/>
        <w:overflowPunct/>
        <w:topLinePunct w:val="0"/>
        <w:autoSpaceDE/>
        <w:autoSpaceDN/>
        <w:bidi w:val="0"/>
        <w:adjustRightInd/>
        <w:snapToGrid/>
        <w:spacing w:line="480" w:lineRule="exact"/>
        <w:ind w:left="0" w:firstLine="68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项目评价范围内无风景名胜区、自然保护区、饮用水源保护区等生态敏感区域分布，也无集中或分散居住区居民点，项目周边无地表水分布，因此本项目主要环境保护目标见表2.7-</w:t>
      </w:r>
      <w:r>
        <w:rPr>
          <w:rFonts w:hint="default" w:ascii="Times New Roman" w:hAnsi="Times New Roman"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w:t>
      </w:r>
    </w:p>
    <w:p w14:paraId="07688E52">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表2.7-</w:t>
      </w:r>
      <w:r>
        <w:rPr>
          <w:rFonts w:hint="default" w:ascii="Times New Roman" w:hAnsi="Times New Roman" w:eastAsia="宋体" w:cs="Times New Roman"/>
          <w:b/>
          <w:bCs/>
          <w:color w:val="auto"/>
          <w:spacing w:val="0"/>
          <w:w w:val="100"/>
          <w:position w:val="0"/>
          <w:sz w:val="21"/>
          <w:szCs w:val="21"/>
          <w:lang w:val="en-US" w:eastAsia="zh-CN"/>
        </w:rPr>
        <w:t xml:space="preserve">3    </w:t>
      </w:r>
      <w:r>
        <w:rPr>
          <w:rFonts w:hint="default" w:ascii="Times New Roman" w:hAnsi="Times New Roman" w:eastAsia="宋体" w:cs="Times New Roman"/>
          <w:b/>
          <w:bCs/>
          <w:color w:val="auto"/>
          <w:spacing w:val="0"/>
          <w:w w:val="100"/>
          <w:position w:val="0"/>
          <w:sz w:val="21"/>
          <w:szCs w:val="21"/>
          <w:lang w:val="zh-CN" w:eastAsia="zh-CN"/>
        </w:rPr>
        <w:t>矿区周围主要环境保护目标</w:t>
      </w:r>
    </w:p>
    <w:tbl>
      <w:tblPr>
        <w:tblStyle w:val="31"/>
        <w:tblW w:w="503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46"/>
        <w:gridCol w:w="1187"/>
        <w:gridCol w:w="1730"/>
        <w:gridCol w:w="1249"/>
        <w:gridCol w:w="1874"/>
        <w:gridCol w:w="1807"/>
      </w:tblGrid>
      <w:tr w14:paraId="10D380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5" w:type="pct"/>
            <w:tcBorders>
              <w:tl2br w:val="nil"/>
              <w:tr2bl w:val="nil"/>
            </w:tcBorders>
            <w:vAlign w:val="center"/>
          </w:tcPr>
          <w:p w14:paraId="61166D7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序号</w:t>
            </w:r>
          </w:p>
        </w:tc>
        <w:tc>
          <w:tcPr>
            <w:tcW w:w="707" w:type="pct"/>
            <w:tcBorders>
              <w:tl2br w:val="nil"/>
              <w:tr2bl w:val="nil"/>
            </w:tcBorders>
            <w:vAlign w:val="center"/>
          </w:tcPr>
          <w:p w14:paraId="20D662C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类别</w:t>
            </w:r>
          </w:p>
        </w:tc>
        <w:tc>
          <w:tcPr>
            <w:tcW w:w="1030" w:type="pct"/>
            <w:tcBorders>
              <w:tl2br w:val="nil"/>
              <w:tr2bl w:val="nil"/>
            </w:tcBorders>
            <w:vAlign w:val="center"/>
          </w:tcPr>
          <w:p w14:paraId="54E94AC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保护目标</w:t>
            </w:r>
          </w:p>
        </w:tc>
        <w:tc>
          <w:tcPr>
            <w:tcW w:w="744" w:type="pct"/>
            <w:tcBorders>
              <w:tl2br w:val="nil"/>
              <w:tr2bl w:val="nil"/>
            </w:tcBorders>
            <w:vAlign w:val="center"/>
          </w:tcPr>
          <w:p w14:paraId="1A558CE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方位</w:t>
            </w:r>
          </w:p>
        </w:tc>
        <w:tc>
          <w:tcPr>
            <w:tcW w:w="1116" w:type="pct"/>
            <w:tcBorders>
              <w:tl2br w:val="nil"/>
              <w:tr2bl w:val="nil"/>
            </w:tcBorders>
            <w:vAlign w:val="center"/>
          </w:tcPr>
          <w:p w14:paraId="339183C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保护内容</w:t>
            </w:r>
          </w:p>
        </w:tc>
        <w:tc>
          <w:tcPr>
            <w:tcW w:w="1076" w:type="pct"/>
            <w:tcBorders>
              <w:tl2br w:val="nil"/>
              <w:tr2bl w:val="nil"/>
            </w:tcBorders>
            <w:vAlign w:val="center"/>
          </w:tcPr>
          <w:p w14:paraId="7393519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保护级别</w:t>
            </w:r>
          </w:p>
        </w:tc>
      </w:tr>
      <w:tr w14:paraId="33BE9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5" w:type="pct"/>
            <w:tcBorders>
              <w:tl2br w:val="nil"/>
              <w:tr2bl w:val="nil"/>
            </w:tcBorders>
            <w:vAlign w:val="center"/>
          </w:tcPr>
          <w:p w14:paraId="6968011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707" w:type="pct"/>
            <w:tcBorders>
              <w:tl2br w:val="nil"/>
              <w:tr2bl w:val="nil"/>
            </w:tcBorders>
            <w:vAlign w:val="center"/>
          </w:tcPr>
          <w:p w14:paraId="59965B7D">
            <w:pPr>
              <w:pStyle w:val="30"/>
              <w:keepNext w:val="0"/>
              <w:keepLines w:val="0"/>
              <w:pageBreakBefore w:val="0"/>
              <w:widowControl w:val="0"/>
              <w:kinsoku/>
              <w:wordWrap/>
              <w:overflowPunct/>
              <w:topLinePunct w:val="0"/>
              <w:autoSpaceDE/>
              <w:autoSpaceDN/>
              <w:bidi w:val="0"/>
              <w:adjustRightInd/>
              <w:snapToGrid/>
              <w:spacing w:line="360" w:lineRule="exact"/>
              <w:ind w:left="0" w:right="107"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大气环境</w:t>
            </w:r>
          </w:p>
        </w:tc>
        <w:tc>
          <w:tcPr>
            <w:tcW w:w="1030" w:type="pct"/>
            <w:tcBorders>
              <w:tl2br w:val="nil"/>
              <w:tr2bl w:val="nil"/>
            </w:tcBorders>
            <w:vAlign w:val="center"/>
          </w:tcPr>
          <w:p w14:paraId="55923091">
            <w:pPr>
              <w:pStyle w:val="30"/>
              <w:keepNext w:val="0"/>
              <w:keepLines w:val="0"/>
              <w:pageBreakBefore w:val="0"/>
              <w:widowControl w:val="0"/>
              <w:kinsoku/>
              <w:wordWrap/>
              <w:overflowPunct/>
              <w:topLinePunct w:val="0"/>
              <w:autoSpaceDE/>
              <w:autoSpaceDN/>
              <w:bidi w:val="0"/>
              <w:adjustRightInd/>
              <w:snapToGrid/>
              <w:spacing w:line="360" w:lineRule="exact"/>
              <w:ind w:left="0" w:right="14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zCs w:val="21"/>
              </w:rPr>
              <w:t>项目区</w:t>
            </w:r>
            <w:r>
              <w:rPr>
                <w:rFonts w:hint="default" w:ascii="Times New Roman" w:hAnsi="Times New Roman" w:eastAsia="宋体" w:cs="Times New Roman"/>
                <w:color w:val="auto"/>
                <w:szCs w:val="21"/>
                <w:lang w:val="en-US" w:eastAsia="zh-CN"/>
              </w:rPr>
              <w:t>环境空气</w:t>
            </w:r>
          </w:p>
        </w:tc>
        <w:tc>
          <w:tcPr>
            <w:tcW w:w="744" w:type="pct"/>
            <w:tcBorders>
              <w:tl2br w:val="nil"/>
              <w:tr2bl w:val="nil"/>
            </w:tcBorders>
            <w:vAlign w:val="center"/>
          </w:tcPr>
          <w:p w14:paraId="4A2C080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w:t>
            </w:r>
          </w:p>
        </w:tc>
        <w:tc>
          <w:tcPr>
            <w:tcW w:w="1116" w:type="pct"/>
            <w:tcBorders>
              <w:tl2br w:val="nil"/>
              <w:tr2bl w:val="nil"/>
            </w:tcBorders>
            <w:vAlign w:val="center"/>
          </w:tcPr>
          <w:p w14:paraId="167BE94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大气环境</w:t>
            </w:r>
          </w:p>
        </w:tc>
        <w:tc>
          <w:tcPr>
            <w:tcW w:w="1076" w:type="pct"/>
            <w:tcBorders>
              <w:tl2br w:val="nil"/>
              <w:tr2bl w:val="nil"/>
            </w:tcBorders>
            <w:vAlign w:val="center"/>
          </w:tcPr>
          <w:p w14:paraId="1803E27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cs="Times New Roman"/>
                <w:color w:val="auto"/>
                <w:spacing w:val="0"/>
                <w:w w:val="100"/>
                <w:position w:val="0"/>
                <w:lang w:val="en-US" w:eastAsia="zh-CN"/>
              </w:rPr>
              <w:t>二</w:t>
            </w:r>
            <w:r>
              <w:rPr>
                <w:rFonts w:hint="default" w:ascii="Times New Roman" w:hAnsi="Times New Roman" w:eastAsia="宋体" w:cs="Times New Roman"/>
                <w:color w:val="auto"/>
                <w:spacing w:val="0"/>
                <w:w w:val="100"/>
                <w:position w:val="0"/>
              </w:rPr>
              <w:t>类区</w:t>
            </w:r>
          </w:p>
        </w:tc>
      </w:tr>
      <w:tr w14:paraId="17B2A4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5" w:type="pct"/>
            <w:tcBorders>
              <w:tl2br w:val="nil"/>
              <w:tr2bl w:val="nil"/>
            </w:tcBorders>
            <w:vAlign w:val="center"/>
          </w:tcPr>
          <w:p w14:paraId="0ED14CB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707" w:type="pct"/>
            <w:tcBorders>
              <w:tl2br w:val="nil"/>
              <w:tr2bl w:val="nil"/>
            </w:tcBorders>
            <w:vAlign w:val="center"/>
          </w:tcPr>
          <w:p w14:paraId="5EC9777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地下水环境</w:t>
            </w:r>
          </w:p>
        </w:tc>
        <w:tc>
          <w:tcPr>
            <w:tcW w:w="1030" w:type="pct"/>
            <w:tcBorders>
              <w:tl2br w:val="nil"/>
              <w:tr2bl w:val="nil"/>
            </w:tcBorders>
            <w:vAlign w:val="center"/>
          </w:tcPr>
          <w:p w14:paraId="59039727">
            <w:pPr>
              <w:pStyle w:val="30"/>
              <w:keepNext w:val="0"/>
              <w:keepLines w:val="0"/>
              <w:pageBreakBefore w:val="0"/>
              <w:widowControl w:val="0"/>
              <w:kinsoku/>
              <w:wordWrap/>
              <w:overflowPunct/>
              <w:topLinePunct w:val="0"/>
              <w:autoSpaceDE/>
              <w:autoSpaceDN/>
              <w:bidi w:val="0"/>
              <w:adjustRightInd/>
              <w:snapToGrid/>
              <w:spacing w:line="360" w:lineRule="exact"/>
              <w:ind w:left="0" w:right="14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项目区域潜水含水层、具有供水意义的含水层</w:t>
            </w:r>
          </w:p>
        </w:tc>
        <w:tc>
          <w:tcPr>
            <w:tcW w:w="744" w:type="pct"/>
            <w:tcBorders>
              <w:tl2br w:val="nil"/>
              <w:tr2bl w:val="nil"/>
            </w:tcBorders>
            <w:vAlign w:val="center"/>
          </w:tcPr>
          <w:p w14:paraId="2C10F69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矿区周边及下游</w:t>
            </w:r>
          </w:p>
        </w:tc>
        <w:tc>
          <w:tcPr>
            <w:tcW w:w="1116" w:type="pct"/>
            <w:tcBorders>
              <w:tl2br w:val="nil"/>
              <w:tr2bl w:val="nil"/>
            </w:tcBorders>
            <w:vAlign w:val="center"/>
          </w:tcPr>
          <w:p w14:paraId="03576B3B">
            <w:pPr>
              <w:pStyle w:val="30"/>
              <w:keepNext w:val="0"/>
              <w:keepLines w:val="0"/>
              <w:pageBreakBefore w:val="0"/>
              <w:widowControl w:val="0"/>
              <w:kinsoku/>
              <w:wordWrap/>
              <w:overflowPunct/>
              <w:topLinePunct w:val="0"/>
              <w:autoSpaceDE/>
              <w:autoSpaceDN/>
              <w:bidi w:val="0"/>
              <w:adjustRightInd/>
              <w:snapToGrid/>
              <w:spacing w:line="360" w:lineRule="exact"/>
              <w:ind w:left="0" w:right="152"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地下水质量</w:t>
            </w:r>
          </w:p>
        </w:tc>
        <w:tc>
          <w:tcPr>
            <w:tcW w:w="1076" w:type="pct"/>
            <w:tcBorders>
              <w:tl2br w:val="nil"/>
              <w:tr2bl w:val="nil"/>
            </w:tcBorders>
            <w:vAlign w:val="center"/>
          </w:tcPr>
          <w:p w14:paraId="76B4A16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维持项目区地下水质量，保持现有地下水背景值</w:t>
            </w:r>
          </w:p>
        </w:tc>
      </w:tr>
      <w:tr w14:paraId="2AC72C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5" w:type="pct"/>
            <w:tcBorders>
              <w:tl2br w:val="nil"/>
              <w:tr2bl w:val="nil"/>
            </w:tcBorders>
            <w:vAlign w:val="center"/>
          </w:tcPr>
          <w:p w14:paraId="32A59AC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w:t>
            </w:r>
          </w:p>
        </w:tc>
        <w:tc>
          <w:tcPr>
            <w:tcW w:w="707" w:type="pct"/>
            <w:tcBorders>
              <w:tl2br w:val="nil"/>
              <w:tr2bl w:val="nil"/>
            </w:tcBorders>
            <w:vAlign w:val="center"/>
          </w:tcPr>
          <w:p w14:paraId="3FDA2CC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声环境</w:t>
            </w:r>
          </w:p>
        </w:tc>
        <w:tc>
          <w:tcPr>
            <w:tcW w:w="1030" w:type="pct"/>
            <w:tcBorders>
              <w:tl2br w:val="nil"/>
              <w:tr2bl w:val="nil"/>
            </w:tcBorders>
            <w:vAlign w:val="center"/>
          </w:tcPr>
          <w:p w14:paraId="655457B2">
            <w:pPr>
              <w:pStyle w:val="30"/>
              <w:keepNext w:val="0"/>
              <w:keepLines w:val="0"/>
              <w:pageBreakBefore w:val="0"/>
              <w:widowControl w:val="0"/>
              <w:kinsoku/>
              <w:wordWrap/>
              <w:overflowPunct/>
              <w:topLinePunct w:val="0"/>
              <w:autoSpaceDE/>
              <w:autoSpaceDN/>
              <w:bidi w:val="0"/>
              <w:adjustRightInd/>
              <w:snapToGrid/>
              <w:spacing w:line="360" w:lineRule="exact"/>
              <w:ind w:left="0" w:right="14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w:t>
            </w:r>
          </w:p>
        </w:tc>
        <w:tc>
          <w:tcPr>
            <w:tcW w:w="744" w:type="pct"/>
            <w:tcBorders>
              <w:tl2br w:val="nil"/>
              <w:tr2bl w:val="nil"/>
            </w:tcBorders>
            <w:vAlign w:val="center"/>
          </w:tcPr>
          <w:p w14:paraId="7B04EDB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w:t>
            </w:r>
          </w:p>
        </w:tc>
        <w:tc>
          <w:tcPr>
            <w:tcW w:w="1116" w:type="pct"/>
            <w:tcBorders>
              <w:tl2br w:val="nil"/>
              <w:tr2bl w:val="nil"/>
            </w:tcBorders>
            <w:vAlign w:val="center"/>
          </w:tcPr>
          <w:p w14:paraId="42D5F9FC">
            <w:pPr>
              <w:pStyle w:val="30"/>
              <w:keepNext w:val="0"/>
              <w:keepLines w:val="0"/>
              <w:pageBreakBefore w:val="0"/>
              <w:widowControl w:val="0"/>
              <w:kinsoku/>
              <w:wordWrap/>
              <w:overflowPunct/>
              <w:topLinePunct w:val="0"/>
              <w:autoSpaceDE/>
              <w:autoSpaceDN/>
              <w:bidi w:val="0"/>
              <w:adjustRightInd/>
              <w:snapToGrid/>
              <w:spacing w:line="360" w:lineRule="exact"/>
              <w:ind w:left="0" w:right="152"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声环境质量</w:t>
            </w:r>
          </w:p>
        </w:tc>
        <w:tc>
          <w:tcPr>
            <w:tcW w:w="1076" w:type="pct"/>
            <w:tcBorders>
              <w:tl2br w:val="nil"/>
              <w:tr2bl w:val="nil"/>
            </w:tcBorders>
            <w:vAlign w:val="center"/>
          </w:tcPr>
          <w:p w14:paraId="2798704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维持</w:t>
            </w:r>
            <w:r>
              <w:rPr>
                <w:rFonts w:hint="default" w:ascii="Times New Roman" w:hAnsi="Times New Roman" w:eastAsia="宋体" w:cs="Times New Roman"/>
                <w:color w:val="auto"/>
                <w:spacing w:val="0"/>
                <w:w w:val="100"/>
                <w:position w:val="0"/>
                <w:lang w:val="en-US" w:eastAsia="zh-CN"/>
              </w:rPr>
              <w:t>《声环境质量标准》（GB3096-2008）中2类标准</w:t>
            </w:r>
          </w:p>
        </w:tc>
      </w:tr>
      <w:tr w14:paraId="4EDF55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5" w:type="pct"/>
            <w:tcBorders>
              <w:tl2br w:val="nil"/>
              <w:tr2bl w:val="nil"/>
            </w:tcBorders>
            <w:vAlign w:val="center"/>
          </w:tcPr>
          <w:p w14:paraId="65FC068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cs="Times New Roman"/>
                <w:color w:val="auto"/>
                <w:spacing w:val="0"/>
                <w:w w:val="100"/>
                <w:position w:val="0"/>
                <w:sz w:val="21"/>
                <w:szCs w:val="21"/>
                <w:highlight w:val="none"/>
                <w:lang w:val="en-US" w:eastAsia="zh-CN"/>
              </w:rPr>
              <w:t>4</w:t>
            </w:r>
          </w:p>
        </w:tc>
        <w:tc>
          <w:tcPr>
            <w:tcW w:w="707" w:type="pct"/>
            <w:tcBorders>
              <w:tl2br w:val="nil"/>
              <w:tr2bl w:val="nil"/>
            </w:tcBorders>
            <w:vAlign w:val="center"/>
          </w:tcPr>
          <w:p w14:paraId="5868BBBC">
            <w:pPr>
              <w:pStyle w:val="30"/>
              <w:keepNext w:val="0"/>
              <w:keepLines w:val="0"/>
              <w:pageBreakBefore w:val="0"/>
              <w:widowControl w:val="0"/>
              <w:kinsoku/>
              <w:wordWrap/>
              <w:overflowPunct/>
              <w:topLinePunct w:val="0"/>
              <w:autoSpaceDE/>
              <w:autoSpaceDN/>
              <w:bidi w:val="0"/>
              <w:adjustRightInd/>
              <w:snapToGrid/>
              <w:spacing w:line="360" w:lineRule="exact"/>
              <w:ind w:left="0" w:right="107"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生态环境</w:t>
            </w:r>
          </w:p>
        </w:tc>
        <w:tc>
          <w:tcPr>
            <w:tcW w:w="1030" w:type="pct"/>
            <w:tcBorders>
              <w:tl2br w:val="nil"/>
              <w:tr2bl w:val="nil"/>
            </w:tcBorders>
            <w:vAlign w:val="center"/>
          </w:tcPr>
          <w:p w14:paraId="73F3F0D1">
            <w:pPr>
              <w:pStyle w:val="30"/>
              <w:keepNext w:val="0"/>
              <w:keepLines w:val="0"/>
              <w:pageBreakBefore w:val="0"/>
              <w:widowControl w:val="0"/>
              <w:kinsoku/>
              <w:wordWrap/>
              <w:overflowPunct/>
              <w:topLinePunct w:val="0"/>
              <w:autoSpaceDE/>
              <w:autoSpaceDN/>
              <w:bidi w:val="0"/>
              <w:adjustRightInd/>
              <w:snapToGrid/>
              <w:spacing w:line="360" w:lineRule="exact"/>
              <w:ind w:left="0" w:right="104"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zCs w:val="21"/>
              </w:rPr>
              <w:t>影响范围内的植被、野生动物、生态空间等</w:t>
            </w:r>
          </w:p>
        </w:tc>
        <w:tc>
          <w:tcPr>
            <w:tcW w:w="744" w:type="pct"/>
            <w:tcBorders>
              <w:tl2br w:val="nil"/>
              <w:tr2bl w:val="nil"/>
            </w:tcBorders>
            <w:vAlign w:val="center"/>
          </w:tcPr>
          <w:p w14:paraId="2A0F353A">
            <w:pPr>
              <w:pStyle w:val="30"/>
              <w:keepNext w:val="0"/>
              <w:keepLines w:val="0"/>
              <w:pageBreakBefore w:val="0"/>
              <w:widowControl w:val="0"/>
              <w:kinsoku/>
              <w:wordWrap/>
              <w:overflowPunct/>
              <w:topLinePunct w:val="0"/>
              <w:autoSpaceDE/>
              <w:autoSpaceDN/>
              <w:bidi w:val="0"/>
              <w:adjustRightInd/>
              <w:snapToGrid/>
              <w:spacing w:line="360" w:lineRule="exact"/>
              <w:ind w:left="0" w:right="156"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zCs w:val="21"/>
              </w:rPr>
              <w:t>评价区域</w:t>
            </w:r>
          </w:p>
        </w:tc>
        <w:tc>
          <w:tcPr>
            <w:tcW w:w="1116" w:type="pct"/>
            <w:tcBorders>
              <w:tl2br w:val="nil"/>
              <w:tr2bl w:val="nil"/>
            </w:tcBorders>
            <w:vAlign w:val="center"/>
          </w:tcPr>
          <w:p w14:paraId="34881DC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zCs w:val="21"/>
              </w:rPr>
              <w:t>影响范围内的植被、野生动物、生态空间等</w:t>
            </w:r>
          </w:p>
        </w:tc>
        <w:tc>
          <w:tcPr>
            <w:tcW w:w="1076" w:type="pct"/>
            <w:tcBorders>
              <w:tl2br w:val="nil"/>
              <w:tr2bl w:val="nil"/>
            </w:tcBorders>
            <w:vAlign w:val="center"/>
          </w:tcPr>
          <w:p w14:paraId="483145D4">
            <w:pPr>
              <w:pStyle w:val="30"/>
              <w:keepNext w:val="0"/>
              <w:keepLines w:val="0"/>
              <w:pageBreakBefore w:val="0"/>
              <w:widowControl w:val="0"/>
              <w:kinsoku/>
              <w:wordWrap/>
              <w:overflowPunct/>
              <w:topLinePunct w:val="0"/>
              <w:autoSpaceDE/>
              <w:autoSpaceDN/>
              <w:bidi w:val="0"/>
              <w:adjustRightInd/>
              <w:snapToGrid/>
              <w:spacing w:line="360" w:lineRule="exact"/>
              <w:ind w:left="0" w:right="13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维持项目区生态现状</w:t>
            </w:r>
          </w:p>
        </w:tc>
      </w:tr>
      <w:tr w14:paraId="68062A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325" w:type="pct"/>
            <w:tcBorders>
              <w:tl2br w:val="nil"/>
              <w:tr2bl w:val="nil"/>
            </w:tcBorders>
            <w:vAlign w:val="center"/>
          </w:tcPr>
          <w:p w14:paraId="48D277C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cs="Times New Roman"/>
                <w:color w:val="auto"/>
                <w:spacing w:val="0"/>
                <w:w w:val="100"/>
                <w:position w:val="0"/>
                <w:sz w:val="21"/>
                <w:szCs w:val="21"/>
                <w:highlight w:val="none"/>
                <w:lang w:val="en-US" w:eastAsia="zh-CN"/>
              </w:rPr>
              <w:t>5</w:t>
            </w:r>
          </w:p>
        </w:tc>
        <w:tc>
          <w:tcPr>
            <w:tcW w:w="707" w:type="pct"/>
            <w:tcBorders>
              <w:tl2br w:val="nil"/>
              <w:tr2bl w:val="nil"/>
            </w:tcBorders>
            <w:vAlign w:val="center"/>
          </w:tcPr>
          <w:p w14:paraId="5304BED4">
            <w:pPr>
              <w:pStyle w:val="30"/>
              <w:keepNext w:val="0"/>
              <w:keepLines w:val="0"/>
              <w:pageBreakBefore w:val="0"/>
              <w:widowControl w:val="0"/>
              <w:kinsoku/>
              <w:wordWrap/>
              <w:overflowPunct/>
              <w:topLinePunct w:val="0"/>
              <w:autoSpaceDE/>
              <w:autoSpaceDN/>
              <w:bidi w:val="0"/>
              <w:adjustRightInd/>
              <w:snapToGrid/>
              <w:spacing w:line="360" w:lineRule="exact"/>
              <w:ind w:left="0" w:right="107"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环境风险</w:t>
            </w:r>
          </w:p>
        </w:tc>
        <w:tc>
          <w:tcPr>
            <w:tcW w:w="1030" w:type="pct"/>
            <w:tcBorders>
              <w:tl2br w:val="nil"/>
              <w:tr2bl w:val="nil"/>
            </w:tcBorders>
            <w:vAlign w:val="center"/>
          </w:tcPr>
          <w:p w14:paraId="6261C06F">
            <w:pPr>
              <w:pStyle w:val="30"/>
              <w:keepNext w:val="0"/>
              <w:keepLines w:val="0"/>
              <w:pageBreakBefore w:val="0"/>
              <w:widowControl w:val="0"/>
              <w:kinsoku/>
              <w:wordWrap/>
              <w:overflowPunct/>
              <w:topLinePunct w:val="0"/>
              <w:autoSpaceDE/>
              <w:autoSpaceDN/>
              <w:bidi w:val="0"/>
              <w:adjustRightInd/>
              <w:snapToGrid/>
              <w:spacing w:line="360" w:lineRule="exact"/>
              <w:ind w:left="0" w:right="104" w:firstLine="0" w:firstLineChars="0"/>
              <w:jc w:val="center"/>
              <w:textAlignment w:val="auto"/>
              <w:rPr>
                <w:rFonts w:hint="default" w:ascii="Times New Roman" w:hAnsi="Times New Roman" w:eastAsia="宋体" w:cs="Times New Roman"/>
                <w:color w:val="auto"/>
                <w:spacing w:val="0"/>
                <w:w w:val="100"/>
                <w:position w:val="0"/>
                <w:highlight w:val="none"/>
                <w:lang w:val="en-US"/>
              </w:rPr>
            </w:pPr>
            <w:r>
              <w:rPr>
                <w:rFonts w:hint="default" w:ascii="Times New Roman" w:hAnsi="Times New Roman" w:eastAsia="宋体" w:cs="Times New Roman"/>
                <w:color w:val="auto"/>
                <w:szCs w:val="21"/>
              </w:rPr>
              <w:t>项目区</w:t>
            </w:r>
            <w:r>
              <w:rPr>
                <w:rFonts w:hint="default" w:ascii="Times New Roman" w:hAnsi="Times New Roman" w:eastAsia="宋体" w:cs="Times New Roman"/>
                <w:color w:val="auto"/>
                <w:szCs w:val="21"/>
                <w:lang w:val="en-US" w:eastAsia="zh-CN"/>
              </w:rPr>
              <w:t>环境空气、土壤、地下水</w:t>
            </w:r>
          </w:p>
        </w:tc>
        <w:tc>
          <w:tcPr>
            <w:tcW w:w="744" w:type="pct"/>
            <w:tcBorders>
              <w:tl2br w:val="nil"/>
              <w:tr2bl w:val="nil"/>
            </w:tcBorders>
            <w:vAlign w:val="center"/>
          </w:tcPr>
          <w:p w14:paraId="4A06926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cs="Times New Roman"/>
                <w:color w:val="auto"/>
                <w:spacing w:val="0"/>
                <w:w w:val="100"/>
                <w:position w:val="0"/>
                <w:highlight w:val="none"/>
                <w:lang w:val="en-US" w:eastAsia="zh-CN"/>
              </w:rPr>
              <w:t>/</w:t>
            </w:r>
          </w:p>
        </w:tc>
        <w:tc>
          <w:tcPr>
            <w:tcW w:w="1116" w:type="pct"/>
            <w:tcBorders>
              <w:tl2br w:val="nil"/>
              <w:tr2bl w:val="nil"/>
            </w:tcBorders>
            <w:vAlign w:val="center"/>
          </w:tcPr>
          <w:p w14:paraId="1369727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zCs w:val="21"/>
              </w:rPr>
              <w:t>保护</w:t>
            </w:r>
            <w:r>
              <w:rPr>
                <w:rFonts w:hint="default" w:ascii="Times New Roman" w:hAnsi="Times New Roman" w:eastAsia="宋体" w:cs="Times New Roman"/>
                <w:color w:val="auto"/>
                <w:kern w:val="2"/>
                <w:sz w:val="21"/>
                <w:szCs w:val="21"/>
                <w:lang w:val="en-US" w:eastAsia="zh-CN" w:bidi="ar-SA"/>
              </w:rPr>
              <w:t>评价范围内的环境空气质量</w:t>
            </w:r>
            <w:r>
              <w:rPr>
                <w:rFonts w:hint="default" w:ascii="Times New Roman" w:hAnsi="Times New Roman" w:eastAsia="宋体" w:cs="Times New Roman"/>
                <w:color w:val="auto"/>
                <w:szCs w:val="21"/>
                <w:lang w:val="en-US" w:eastAsia="zh-CN"/>
              </w:rPr>
              <w:t>、土壤及地下水</w:t>
            </w:r>
          </w:p>
        </w:tc>
        <w:tc>
          <w:tcPr>
            <w:tcW w:w="1076" w:type="pct"/>
            <w:tcBorders>
              <w:tl2br w:val="nil"/>
              <w:tr2bl w:val="nil"/>
            </w:tcBorders>
            <w:vAlign w:val="center"/>
          </w:tcPr>
          <w:p w14:paraId="533446F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zCs w:val="21"/>
              </w:rPr>
              <w:t>降低环境风险发生概率</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保证环境风险发生时能够得到及时控制</w:t>
            </w:r>
          </w:p>
        </w:tc>
      </w:tr>
    </w:tbl>
    <w:p w14:paraId="7ED7D3FE">
      <w:pPr>
        <w:pStyle w:val="3"/>
        <w:bidi w:val="0"/>
        <w:rPr>
          <w:rFonts w:hint="default" w:ascii="Times New Roman" w:hAnsi="Times New Roman" w:cs="Times New Roman"/>
          <w:color w:val="auto"/>
        </w:rPr>
      </w:pPr>
      <w:bookmarkStart w:id="270" w:name="_Toc2308"/>
      <w:bookmarkStart w:id="271" w:name="_Toc11908"/>
      <w:r>
        <w:rPr>
          <w:rFonts w:hint="default" w:ascii="Times New Roman" w:hAnsi="Times New Roman" w:cs="Times New Roman"/>
          <w:color w:val="auto"/>
        </w:rPr>
        <w:t>评价时段</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758F4C28">
      <w:pPr>
        <w:rPr>
          <w:rFonts w:hint="default" w:ascii="Times New Roman" w:hAnsi="Times New Roman" w:cs="Times New Roman"/>
          <w:color w:val="auto"/>
        </w:rPr>
        <w:sectPr>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pacing w:val="0"/>
          <w:w w:val="100"/>
          <w:position w:val="0"/>
          <w:sz w:val="24"/>
          <w:lang w:val="en-US" w:eastAsia="zh-CN"/>
        </w:rPr>
        <w:t>本项目评价时段考虑施工期、运营期和</w:t>
      </w:r>
      <w:r>
        <w:rPr>
          <w:rFonts w:hint="default" w:ascii="Times New Roman" w:hAnsi="Times New Roman" w:eastAsia="宋体" w:cs="Times New Roman"/>
          <w:color w:val="auto"/>
          <w:spacing w:val="0"/>
          <w:w w:val="100"/>
          <w:position w:val="0"/>
          <w:sz w:val="24"/>
          <w:lang w:val="en-US" w:eastAsia="zh-Hans"/>
        </w:rPr>
        <w:t>闭矿</w:t>
      </w:r>
      <w:r>
        <w:rPr>
          <w:rFonts w:hint="default" w:ascii="Times New Roman" w:hAnsi="Times New Roman" w:eastAsia="宋体" w:cs="Times New Roman"/>
          <w:color w:val="auto"/>
          <w:spacing w:val="0"/>
          <w:w w:val="100"/>
          <w:position w:val="0"/>
          <w:sz w:val="24"/>
          <w:lang w:val="en-US" w:eastAsia="zh-CN"/>
        </w:rPr>
        <w:t>期。项目施工期为</w:t>
      </w:r>
      <w:r>
        <w:rPr>
          <w:rFonts w:hint="default" w:ascii="Times New Roman" w:hAnsi="Times New Roman" w:cs="Times New Roman"/>
          <w:color w:val="auto"/>
          <w:spacing w:val="0"/>
          <w:w w:val="100"/>
          <w:position w:val="0"/>
          <w:sz w:val="24"/>
          <w:lang w:val="en-US" w:eastAsia="zh-CN"/>
        </w:rPr>
        <w:t>3</w:t>
      </w:r>
      <w:r>
        <w:rPr>
          <w:rFonts w:hint="default" w:ascii="Times New Roman" w:hAnsi="Times New Roman" w:eastAsia="宋体" w:cs="Times New Roman"/>
          <w:color w:val="auto"/>
          <w:spacing w:val="0"/>
          <w:w w:val="100"/>
          <w:position w:val="0"/>
          <w:sz w:val="24"/>
          <w:lang w:val="en-US" w:eastAsia="zh-CN"/>
        </w:rPr>
        <w:t>年</w:t>
      </w:r>
      <w:r>
        <w:rPr>
          <w:rFonts w:hint="default" w:ascii="Times New Roman" w:hAnsi="Times New Roman" w:eastAsia="宋体" w:cs="Times New Roman"/>
          <w:color w:val="auto"/>
          <w:spacing w:val="0"/>
          <w:w w:val="100"/>
          <w:position w:val="0"/>
          <w:sz w:val="24"/>
          <w:highlight w:val="none"/>
          <w:lang w:val="en-US" w:eastAsia="zh-CN"/>
        </w:rPr>
        <w:t>，为202</w:t>
      </w:r>
      <w:r>
        <w:rPr>
          <w:rFonts w:hint="default" w:ascii="Times New Roman" w:hAnsi="Times New Roman" w:cs="Times New Roman"/>
          <w:color w:val="auto"/>
          <w:spacing w:val="0"/>
          <w:w w:val="100"/>
          <w:position w:val="0"/>
          <w:sz w:val="24"/>
          <w:highlight w:val="none"/>
          <w:lang w:val="en-US" w:eastAsia="zh-CN"/>
        </w:rPr>
        <w:t>7</w:t>
      </w:r>
      <w:r>
        <w:rPr>
          <w:rFonts w:hint="default" w:ascii="Times New Roman" w:hAnsi="Times New Roman" w:eastAsia="宋体" w:cs="Times New Roman"/>
          <w:color w:val="auto"/>
          <w:spacing w:val="0"/>
          <w:w w:val="100"/>
          <w:position w:val="0"/>
          <w:sz w:val="24"/>
          <w:highlight w:val="none"/>
          <w:lang w:val="en-US" w:eastAsia="zh-CN"/>
        </w:rPr>
        <w:t>年1月~202</w:t>
      </w:r>
      <w:r>
        <w:rPr>
          <w:rFonts w:hint="default" w:ascii="Times New Roman" w:hAnsi="Times New Roman" w:cs="Times New Roman"/>
          <w:color w:val="auto"/>
          <w:spacing w:val="0"/>
          <w:w w:val="100"/>
          <w:position w:val="0"/>
          <w:sz w:val="24"/>
          <w:highlight w:val="none"/>
          <w:lang w:val="en-US" w:eastAsia="zh-CN"/>
        </w:rPr>
        <w:t>9</w:t>
      </w:r>
      <w:r>
        <w:rPr>
          <w:rFonts w:hint="default" w:ascii="Times New Roman" w:hAnsi="Times New Roman" w:eastAsia="宋体" w:cs="Times New Roman"/>
          <w:color w:val="auto"/>
          <w:spacing w:val="0"/>
          <w:w w:val="100"/>
          <w:position w:val="0"/>
          <w:sz w:val="24"/>
          <w:highlight w:val="none"/>
          <w:lang w:val="en-US" w:eastAsia="zh-CN"/>
        </w:rPr>
        <w:t>年12月，</w:t>
      </w:r>
      <w:r>
        <w:rPr>
          <w:rFonts w:hint="default" w:ascii="Times New Roman" w:hAnsi="Times New Roman" w:eastAsia="宋体" w:cs="Times New Roman"/>
          <w:color w:val="auto"/>
          <w:spacing w:val="0"/>
          <w:w w:val="100"/>
          <w:position w:val="0"/>
          <w:sz w:val="24"/>
          <w:lang w:val="en-US" w:eastAsia="zh-CN"/>
        </w:rPr>
        <w:t>矿区服务年限为</w:t>
      </w:r>
      <w:r>
        <w:rPr>
          <w:rFonts w:hint="default" w:ascii="Times New Roman" w:hAnsi="Times New Roman" w:cs="Times New Roman"/>
          <w:color w:val="auto"/>
          <w:spacing w:val="0"/>
          <w:w w:val="100"/>
          <w:position w:val="0"/>
          <w:sz w:val="24"/>
          <w:lang w:val="en-US" w:eastAsia="zh-CN"/>
        </w:rPr>
        <w:t>10.4</w:t>
      </w:r>
      <w:r>
        <w:rPr>
          <w:rFonts w:hint="default" w:ascii="Times New Roman" w:hAnsi="Times New Roman" w:eastAsia="宋体" w:cs="Times New Roman"/>
          <w:color w:val="auto"/>
          <w:spacing w:val="0"/>
          <w:w w:val="100"/>
          <w:position w:val="0"/>
          <w:sz w:val="24"/>
          <w:lang w:val="en-US" w:eastAsia="zh-CN"/>
        </w:rPr>
        <w:t>年，运营期为项目建成投产后；</w:t>
      </w:r>
      <w:r>
        <w:rPr>
          <w:rFonts w:hint="default" w:ascii="Times New Roman" w:hAnsi="Times New Roman" w:eastAsia="宋体" w:cs="Times New Roman"/>
          <w:color w:val="auto"/>
          <w:spacing w:val="0"/>
          <w:w w:val="100"/>
          <w:position w:val="0"/>
          <w:sz w:val="24"/>
          <w:lang w:val="en-US" w:eastAsia="zh-Hans"/>
        </w:rPr>
        <w:t>闭矿</w:t>
      </w:r>
      <w:r>
        <w:rPr>
          <w:rFonts w:hint="default" w:ascii="Times New Roman" w:hAnsi="Times New Roman" w:eastAsia="宋体" w:cs="Times New Roman"/>
          <w:color w:val="auto"/>
          <w:spacing w:val="0"/>
          <w:w w:val="100"/>
          <w:position w:val="0"/>
          <w:sz w:val="24"/>
          <w:lang w:val="en-US" w:eastAsia="zh-CN"/>
        </w:rPr>
        <w:t>期为开采结束后1~2</w:t>
      </w:r>
      <w:r>
        <w:rPr>
          <w:rFonts w:hint="default" w:ascii="Times New Roman" w:hAnsi="Times New Roman" w:eastAsia="宋体" w:cs="Times New Roman"/>
          <w:color w:val="auto"/>
          <w:spacing w:val="0"/>
          <w:w w:val="100"/>
          <w:position w:val="0"/>
          <w:sz w:val="24"/>
          <w:lang w:val="en-US" w:eastAsia="zh-Hans"/>
        </w:rPr>
        <w:t>年</w:t>
      </w:r>
      <w:r>
        <w:rPr>
          <w:rFonts w:hint="default" w:ascii="Times New Roman" w:hAnsi="Times New Roman" w:eastAsia="宋体" w:cs="Times New Roman"/>
          <w:color w:val="auto"/>
          <w:spacing w:val="0"/>
          <w:w w:val="100"/>
          <w:position w:val="0"/>
          <w:sz w:val="24"/>
          <w:lang w:val="en-US" w:eastAsia="zh-CN"/>
        </w:rPr>
        <w:t>。</w:t>
      </w:r>
    </w:p>
    <w:p w14:paraId="334F7836">
      <w:pPr>
        <w:pStyle w:val="2"/>
        <w:bidi w:val="0"/>
        <w:rPr>
          <w:rFonts w:hint="default" w:ascii="Times New Roman" w:hAnsi="Times New Roman" w:cs="Times New Roman"/>
          <w:color w:val="auto"/>
          <w:lang w:val="en-US" w:eastAsia="zh-CN"/>
        </w:rPr>
      </w:pPr>
      <w:bookmarkStart w:id="272" w:name="_Toc9991"/>
      <w:bookmarkStart w:id="273" w:name="_Toc21341"/>
      <w:bookmarkStart w:id="274" w:name="_Toc22529"/>
      <w:r>
        <w:rPr>
          <w:rFonts w:hint="default" w:ascii="Times New Roman" w:hAnsi="Times New Roman" w:cs="Times New Roman"/>
          <w:color w:val="auto"/>
          <w:lang w:val="en-US" w:eastAsia="zh-CN"/>
        </w:rPr>
        <w:t>建设项目工程分析</w:t>
      </w:r>
      <w:bookmarkEnd w:id="272"/>
      <w:bookmarkEnd w:id="273"/>
      <w:bookmarkEnd w:id="274"/>
    </w:p>
    <w:p w14:paraId="1F0BA0C2">
      <w:pPr>
        <w:pStyle w:val="3"/>
        <w:bidi w:val="0"/>
        <w:rPr>
          <w:rFonts w:hint="default" w:ascii="Times New Roman" w:hAnsi="Times New Roman" w:cs="Times New Roman"/>
          <w:color w:val="auto"/>
          <w:lang w:val="en-US" w:eastAsia="zh-CN"/>
        </w:rPr>
      </w:pPr>
      <w:bookmarkStart w:id="275" w:name="_Toc11498"/>
      <w:bookmarkStart w:id="276" w:name="_Toc28264"/>
      <w:r>
        <w:rPr>
          <w:rFonts w:hint="default" w:ascii="Times New Roman" w:hAnsi="Times New Roman" w:cs="Times New Roman"/>
          <w:color w:val="auto"/>
          <w:lang w:val="en-US" w:eastAsia="zh-CN"/>
        </w:rPr>
        <w:t>矿区范围及资源特征</w:t>
      </w:r>
      <w:bookmarkEnd w:id="275"/>
      <w:bookmarkEnd w:id="276"/>
    </w:p>
    <w:p w14:paraId="6809A52D">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矿区勘探历程</w:t>
      </w:r>
    </w:p>
    <w:p w14:paraId="5887B51B">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1952～1956年，甘肃玉门矿务局679队在该区进行过1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50万和1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20万地质普查工作。</w:t>
      </w:r>
    </w:p>
    <w:p w14:paraId="1113FCA0">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1956～1957年，祁连山地质队分别在小白石头、星星峡、铅炉子（红星山）一带进行过矿点检查评价工作。</w:t>
      </w:r>
    </w:p>
    <w:p w14:paraId="65332801">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1958年甘肃地质局花牛山队曾对红星山矿区进行过少量槽探及钻探工作，但未能有所突破。同年新疆地质局区测队在本区开展了正规1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20万区域地质调查工作，出版了1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20万星星峡幅区域地质图、矿产图及说明书，为本区的地质矿产勘查工作奠定了基础。</w:t>
      </w:r>
    </w:p>
    <w:p w14:paraId="1367D9FB">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1960年，新疆地质局区测队在该区开展了1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5万地质普查工作，为区内地质矿产勘查提供了基础地质资料。</w:t>
      </w:r>
    </w:p>
    <w:p w14:paraId="2BFF2A4E">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1960～1963年，新疆冶金局七〇四队在矿区开展了1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2.5万地质普查找矿工作和以自然电场法为主的物探工作，在矿区获得了几处有价值的自然电场法异常，但未能及时给予正确的解释和工程验证。</w:t>
      </w:r>
    </w:p>
    <w:p w14:paraId="5CA8A937">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1960年，甘肃地质局区测队在该区完成1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20万区域地质测量工作。</w:t>
      </w:r>
    </w:p>
    <w:p w14:paraId="6832287C">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1979～1981年，新疆冶金地质勘探公司七〇四队通过三年的野外地质资料收集工作，编制完成了（包括本幅图在内的）17幅1</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5万成矿规律图、成矿预测图及说明书，对各矿种均作了详尽论述。</w:t>
      </w:r>
    </w:p>
    <w:p w14:paraId="4C6CFA11">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2003年新疆维吾尔自治区有色地质勘查局七〇四队在充分收集研究前人成果资料的基础上，利用地、物、化综合方法找矿，发现了铅锌多金属矿体。同时，还发现有较大找矿潜力的铁、铜矿产，为区内进一步开展地质勘查工作提供了充分的地质依据。</w:t>
      </w:r>
    </w:p>
    <w:p w14:paraId="312DF47D">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2006—2009年，哈密金石矿业有限公司在该区申请设立探矿权，并委托甘肃省第二地质勘查院开展了地质普查工作，通过近4年的地质勘查工作在矿权区内圈定Ⅰ、Ⅱ、Ⅲ、Ⅳ、Ⅴ、Ⅵ共6条铜矿体，报告未经评审。</w:t>
      </w:r>
    </w:p>
    <w:p w14:paraId="0A53FDC2">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2011年5月—2011年10月，由哈密市金石矿业有限责任公司组织编写该探矿区详查设计，中国冶金地质总局西北局乌鲁木齐地质调查所组织实施了勘查工作。详查工作始于2011年4月—2011年10月，野外工作时长6个月，于2012年10月提交了《新疆哈密市大红山北铜矿详查报告》及相关附表、附图一套。该详查工作共圈定了</w:t>
      </w:r>
      <w:r>
        <w:rPr>
          <w:rFonts w:hint="default" w:ascii="Times New Roman" w:hAnsi="Times New Roman" w:cs="Times New Roman"/>
          <w:color w:val="auto"/>
          <w:spacing w:val="0"/>
          <w:w w:val="100"/>
          <w:position w:val="0"/>
          <w:sz w:val="24"/>
          <w:szCs w:val="24"/>
          <w:lang w:val="en-US" w:eastAsia="zh-CN"/>
        </w:rPr>
        <w:t>7</w:t>
      </w:r>
      <w:r>
        <w:rPr>
          <w:rFonts w:hint="default" w:ascii="Times New Roman" w:hAnsi="Times New Roman" w:eastAsia="宋体" w:cs="Times New Roman"/>
          <w:color w:val="auto"/>
          <w:spacing w:val="0"/>
          <w:w w:val="100"/>
          <w:position w:val="0"/>
          <w:sz w:val="24"/>
          <w:szCs w:val="24"/>
        </w:rPr>
        <w:t>条铜矿体，编号分别为Ⅰ、Ⅱ、Ⅲ、</w:t>
      </w:r>
      <w:r>
        <w:rPr>
          <w:rFonts w:hint="default" w:ascii="Times New Roman" w:hAnsi="Times New Roman" w:cs="Times New Roman" w:eastAsiaTheme="minorEastAsia"/>
          <w:color w:val="auto"/>
          <w:sz w:val="24"/>
          <w:szCs w:val="24"/>
        </w:rPr>
        <w:t>Ⅲ-1</w:t>
      </w:r>
      <w:r>
        <w:rPr>
          <w:rFonts w:hint="default" w:ascii="Times New Roman" w:hAnsi="Times New Roman" w:cs="Times New Roman" w:eastAsiaTheme="minorEastAsia"/>
          <w:color w:val="auto"/>
          <w:sz w:val="24"/>
          <w:szCs w:val="24"/>
          <w:lang w:eastAsia="zh-CN"/>
        </w:rPr>
        <w:t>、</w:t>
      </w:r>
      <w:r>
        <w:rPr>
          <w:rFonts w:hint="default" w:ascii="Times New Roman" w:hAnsi="Times New Roman" w:eastAsia="宋体" w:cs="Times New Roman"/>
          <w:color w:val="auto"/>
          <w:spacing w:val="0"/>
          <w:w w:val="100"/>
          <w:position w:val="0"/>
          <w:sz w:val="24"/>
          <w:szCs w:val="24"/>
        </w:rPr>
        <w:t>Ⅳ、Ⅴ、Ⅵ。新疆维吾尔自治区矿产资源量评审中心于2012年11月16日，组织有关专家对该报告进行了评审，2013年2月1日对以下资源量进行了备案，备案文号为新国土资储备字〔</w:t>
      </w:r>
      <w:r>
        <w:rPr>
          <w:rFonts w:hint="default" w:ascii="Times New Roman" w:hAnsi="Times New Roman" w:eastAsia="宋体" w:cs="Times New Roman"/>
          <w:color w:val="auto"/>
          <w:spacing w:val="0"/>
          <w:w w:val="100"/>
          <w:position w:val="0"/>
          <w:sz w:val="24"/>
          <w:szCs w:val="24"/>
          <w:lang w:val="en-US" w:eastAsia="zh-CN"/>
        </w:rPr>
        <w:t>2013</w:t>
      </w:r>
      <w:r>
        <w:rPr>
          <w:rFonts w:hint="default" w:ascii="Times New Roman" w:hAnsi="Times New Roman" w:eastAsia="宋体" w:cs="Times New Roman"/>
          <w:color w:val="auto"/>
          <w:spacing w:val="0"/>
          <w:w w:val="100"/>
          <w:position w:val="0"/>
          <w:sz w:val="24"/>
          <w:szCs w:val="24"/>
        </w:rPr>
        <w:t>〕031号。</w:t>
      </w:r>
    </w:p>
    <w:p w14:paraId="20D76D1B">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2025年5月哈密市金石矿业有限责任公司，委托中国冶金地质总局西北地质勘查院编制完成《新疆哈密市大红山北铜矿资源储量核实报告》。中国冶金地质总局西北地质勘查院，在充分收集研究前人地质工作成果资料的基础上，进行了地勘核实工作。编制了《新疆哈密市大红山北铜矿资源储量核实报告》，新圈定了4条铜矿体，编号分别为Ⅳ-1、Ⅳ-1-1、Ⅳ-1-2、Ⅳ-1-3号。</w:t>
      </w:r>
    </w:p>
    <w:p w14:paraId="0C010E64">
      <w:pPr>
        <w:keepNext w:val="0"/>
        <w:keepLines w:val="0"/>
        <w:pageBreakBefore w:val="0"/>
        <w:widowControl w:val="0"/>
        <w:kinsoku/>
        <w:wordWrap/>
        <w:overflowPunct/>
        <w:topLinePunct w:val="0"/>
        <w:autoSpaceDE/>
        <w:autoSpaceDN/>
        <w:bidi w:val="0"/>
        <w:adjustRightInd/>
        <w:snapToGrid/>
        <w:spacing w:line="480" w:lineRule="exact"/>
        <w:ind w:left="0" w:right="0" w:firstLine="473"/>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新疆维吾尔自治区矿产资源量评审中心于2025年6月26日，组织有关专家对该报告进行了评审，2025年9月30日对评审意见书（新矿评储字〔</w:t>
      </w:r>
      <w:r>
        <w:rPr>
          <w:rFonts w:hint="default" w:ascii="Times New Roman" w:hAnsi="Times New Roman" w:eastAsia="宋体" w:cs="Times New Roman"/>
          <w:color w:val="auto"/>
          <w:spacing w:val="0"/>
          <w:w w:val="100"/>
          <w:position w:val="0"/>
          <w:sz w:val="24"/>
          <w:szCs w:val="24"/>
          <w:lang w:val="en-US" w:eastAsia="zh-CN"/>
        </w:rPr>
        <w:t>20</w:t>
      </w:r>
      <w:r>
        <w:rPr>
          <w:rFonts w:hint="default" w:ascii="Times New Roman" w:hAnsi="Times New Roman" w:cs="Times New Roman"/>
          <w:color w:val="auto"/>
          <w:spacing w:val="0"/>
          <w:w w:val="100"/>
          <w:position w:val="0"/>
          <w:sz w:val="24"/>
          <w:szCs w:val="24"/>
          <w:lang w:val="en-US" w:eastAsia="zh-CN"/>
        </w:rPr>
        <w:t>25</w:t>
      </w:r>
      <w:r>
        <w:rPr>
          <w:rFonts w:hint="default" w:ascii="Times New Roman" w:hAnsi="Times New Roman" w:eastAsia="宋体" w:cs="Times New Roman"/>
          <w:color w:val="auto"/>
          <w:spacing w:val="0"/>
          <w:w w:val="100"/>
          <w:position w:val="0"/>
          <w:sz w:val="24"/>
          <w:szCs w:val="24"/>
        </w:rPr>
        <w:t>〕50号）的资源量进行了备案，备案文号为新自然资储备字〔</w:t>
      </w:r>
      <w:r>
        <w:rPr>
          <w:rFonts w:hint="default" w:ascii="Times New Roman" w:hAnsi="Times New Roman" w:eastAsia="宋体" w:cs="Times New Roman"/>
          <w:color w:val="auto"/>
          <w:spacing w:val="0"/>
          <w:w w:val="100"/>
          <w:position w:val="0"/>
          <w:sz w:val="24"/>
          <w:szCs w:val="24"/>
          <w:lang w:val="en-US" w:eastAsia="zh-CN"/>
        </w:rPr>
        <w:t>20</w:t>
      </w:r>
      <w:r>
        <w:rPr>
          <w:rFonts w:hint="default" w:ascii="Times New Roman" w:hAnsi="Times New Roman" w:cs="Times New Roman"/>
          <w:color w:val="auto"/>
          <w:spacing w:val="0"/>
          <w:w w:val="100"/>
          <w:position w:val="0"/>
          <w:sz w:val="24"/>
          <w:szCs w:val="24"/>
          <w:lang w:val="en-US" w:eastAsia="zh-CN"/>
        </w:rPr>
        <w:t>25</w:t>
      </w:r>
      <w:r>
        <w:rPr>
          <w:rFonts w:hint="default" w:ascii="Times New Roman" w:hAnsi="Times New Roman" w:eastAsia="宋体" w:cs="Times New Roman"/>
          <w:color w:val="auto"/>
          <w:spacing w:val="0"/>
          <w:w w:val="100"/>
          <w:position w:val="0"/>
          <w:sz w:val="24"/>
          <w:szCs w:val="24"/>
        </w:rPr>
        <w:t>〕50号。</w:t>
      </w:r>
    </w:p>
    <w:p w14:paraId="107E90E1">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探矿权、矿区范围</w:t>
      </w:r>
    </w:p>
    <w:p w14:paraId="6492CEF6">
      <w:pPr>
        <w:pStyle w:val="6"/>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探矿权首次设置于2006年，勘查许可证证号：6500000611169，面积4.95km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w:t>
      </w:r>
    </w:p>
    <w:p w14:paraId="6F1AA9FA">
      <w:pPr>
        <w:pStyle w:val="6"/>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采矿权首次设置于2017年，矿山名称为哈密市金石矿业有限责任公司哈密市大红山北铜矿，采矿权证号C6500002017053210144562，开采矿种为铜矿，开采方式为地下开采，生产规模为18万吨/年，面积2.7155km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。期限为2017年5月16日至2020年5月16日。</w:t>
      </w:r>
    </w:p>
    <w:p w14:paraId="6CF7CA43">
      <w:pPr>
        <w:pStyle w:val="6"/>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采矿权首次延续于2020年，矿山名称为哈密市金石矿业有限责任公司哈密市大红山北铜矿，采矿权证号C6500002017053210144562，开采矿种为铜矿，开采方式为地下开采，生产规模为18万吨/年，面积2.7133km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。期限为2020年5月16日至2022年7月24日。</w:t>
      </w:r>
    </w:p>
    <w:p w14:paraId="791762A6">
      <w:pPr>
        <w:pStyle w:val="6"/>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采矿权第二次延续于2022年，矿山名称为哈密市金石矿业有限责任公司哈密市大红山北铜矿，采矿权证号C6500002017053210144562，开采矿种为铜矿，开采方式为地下开采，生产规模为18万吨/年，面积2.7131km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。期限为2022年8月1日至2024年8月1日。</w:t>
      </w:r>
    </w:p>
    <w:p w14:paraId="678C1BFA">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根据哈密市金石矿业有限责任公司现持有《采矿许可证》，该采矿证信息如下：</w:t>
      </w:r>
    </w:p>
    <w:p w14:paraId="5AC68832">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采矿许可证号：XC6500002017053210144562；</w:t>
      </w:r>
    </w:p>
    <w:p w14:paraId="387CCBC3">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采矿权人：哈密市金石矿业有限责任公司；</w:t>
      </w:r>
    </w:p>
    <w:p w14:paraId="6005485D">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地    址：新疆哈密市伊州区八一路禧花园小区4号楼1905室；</w:t>
      </w:r>
    </w:p>
    <w:p w14:paraId="29F26239">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矿山名称：哈密市金石矿业有限责任公司哈密市大红山北铜矿；</w:t>
      </w:r>
    </w:p>
    <w:p w14:paraId="48D42420">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经济类型：有限责任公司；</w:t>
      </w:r>
    </w:p>
    <w:p w14:paraId="4FFAC099">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开采矿种：铜矿、银矿；</w:t>
      </w:r>
    </w:p>
    <w:p w14:paraId="06502CE3">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开采方式：地下；</w:t>
      </w:r>
    </w:p>
    <w:p w14:paraId="0AF4D873">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矿区面积：</w:t>
      </w:r>
      <w:bookmarkStart w:id="277" w:name="OLE_LINK609"/>
      <w:bookmarkStart w:id="278" w:name="OLE_LINK608"/>
      <w:r>
        <w:rPr>
          <w:rFonts w:hint="default" w:ascii="Times New Roman" w:hAnsi="Times New Roman" w:cs="Times New Roman" w:eastAsiaTheme="minorEastAsia"/>
          <w:color w:val="auto"/>
          <w:kern w:val="0"/>
          <w:sz w:val="24"/>
          <w:szCs w:val="24"/>
          <w:lang w:val="en-US" w:eastAsia="zh-CN" w:bidi="ar-SA"/>
        </w:rPr>
        <w:t>2.7131km</w:t>
      </w:r>
      <w:r>
        <w:rPr>
          <w:rFonts w:hint="default" w:ascii="Times New Roman" w:hAnsi="Times New Roman" w:cs="Times New Roman" w:eastAsiaTheme="minorEastAsia"/>
          <w:color w:val="auto"/>
          <w:kern w:val="0"/>
          <w:sz w:val="24"/>
          <w:szCs w:val="24"/>
          <w:vertAlign w:val="superscript"/>
          <w:lang w:val="en-US" w:eastAsia="zh-CN" w:bidi="ar-SA"/>
        </w:rPr>
        <w:t>2</w:t>
      </w:r>
      <w:bookmarkEnd w:id="277"/>
      <w:bookmarkEnd w:id="278"/>
      <w:r>
        <w:rPr>
          <w:rFonts w:hint="default" w:ascii="Times New Roman" w:hAnsi="Times New Roman" w:cs="Times New Roman" w:eastAsiaTheme="minorEastAsia"/>
          <w:color w:val="auto"/>
          <w:kern w:val="0"/>
          <w:sz w:val="24"/>
          <w:szCs w:val="24"/>
          <w:lang w:val="en-US" w:eastAsia="zh-CN" w:bidi="ar-SA"/>
        </w:rPr>
        <w:t>；</w:t>
      </w:r>
    </w:p>
    <w:p w14:paraId="18AA6A1A">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开采深度：</w:t>
      </w:r>
      <w:bookmarkStart w:id="279" w:name="OLE_LINK606"/>
      <w:bookmarkStart w:id="280" w:name="OLE_LINK607"/>
      <w:r>
        <w:rPr>
          <w:rFonts w:hint="default" w:ascii="Times New Roman" w:hAnsi="Times New Roman" w:cs="Times New Roman" w:eastAsiaTheme="minorEastAsia"/>
          <w:color w:val="auto"/>
          <w:kern w:val="0"/>
          <w:sz w:val="24"/>
          <w:szCs w:val="24"/>
          <w:lang w:val="en-US" w:eastAsia="zh-CN" w:bidi="ar-SA"/>
        </w:rPr>
        <w:t>2108米至1702米</w:t>
      </w:r>
      <w:bookmarkEnd w:id="279"/>
      <w:bookmarkEnd w:id="280"/>
      <w:r>
        <w:rPr>
          <w:rFonts w:hint="default" w:ascii="Times New Roman" w:hAnsi="Times New Roman" w:cs="Times New Roman" w:eastAsiaTheme="minorEastAsia"/>
          <w:color w:val="auto"/>
          <w:kern w:val="0"/>
          <w:sz w:val="24"/>
          <w:szCs w:val="24"/>
          <w:lang w:val="en-US" w:eastAsia="zh-CN" w:bidi="ar-SA"/>
        </w:rPr>
        <w:t>；</w:t>
      </w:r>
    </w:p>
    <w:p w14:paraId="2967C4A3">
      <w:pPr>
        <w:pStyle w:val="2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eastAsiaTheme="minorEastAsia"/>
          <w:color w:val="auto"/>
          <w:kern w:val="0"/>
          <w:sz w:val="24"/>
          <w:szCs w:val="24"/>
          <w:lang w:val="en-US" w:eastAsia="zh-CN" w:bidi="ar-SA"/>
        </w:rPr>
      </w:pPr>
      <w:r>
        <w:rPr>
          <w:rFonts w:hint="default" w:ascii="Times New Roman" w:hAnsi="Times New Roman" w:cs="Times New Roman" w:eastAsiaTheme="minorEastAsia"/>
          <w:color w:val="auto"/>
          <w:kern w:val="0"/>
          <w:sz w:val="24"/>
          <w:szCs w:val="24"/>
          <w:lang w:val="en-US" w:eastAsia="zh-CN" w:bidi="ar-SA"/>
        </w:rPr>
        <w:t>有效期限：自2026年8月27日～2034年6月15日；</w:t>
      </w:r>
    </w:p>
    <w:p w14:paraId="103A336A">
      <w:pPr>
        <w:pStyle w:val="2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pacing w:val="0"/>
          <w:w w:val="100"/>
          <w:kern w:val="2"/>
          <w:position w:val="0"/>
          <w:sz w:val="21"/>
          <w:szCs w:val="21"/>
          <w:lang w:val="en-US" w:eastAsia="zh-CN" w:bidi="ar-SA"/>
        </w:rPr>
      </w:pPr>
      <w:r>
        <w:rPr>
          <w:rFonts w:hint="default" w:ascii="Times New Roman" w:hAnsi="Times New Roman" w:eastAsia="宋体" w:cs="Times New Roman"/>
          <w:b/>
          <w:bCs/>
          <w:color w:val="auto"/>
          <w:spacing w:val="0"/>
          <w:w w:val="100"/>
          <w:kern w:val="2"/>
          <w:position w:val="0"/>
          <w:sz w:val="21"/>
          <w:szCs w:val="21"/>
          <w:lang w:val="en-US" w:eastAsia="zh-CN" w:bidi="ar-SA"/>
        </w:rPr>
        <w:t>表3.1-1    哈密市大红山北铜矿现有采矿权许可证范围拐点坐标一览表</w:t>
      </w:r>
    </w:p>
    <w:p w14:paraId="442E7FF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2025年哈密市金石矿业有限责任公司委托</w:t>
      </w:r>
      <w:r>
        <w:rPr>
          <w:rFonts w:hint="default" w:ascii="Times New Roman" w:hAnsi="Times New Roman" w:cs="Times New Roman"/>
          <w:color w:val="auto"/>
          <w:sz w:val="24"/>
          <w:szCs w:val="24"/>
        </w:rPr>
        <w:t>新疆宝源利丰地质工程有限公司</w:t>
      </w:r>
      <w:r>
        <w:rPr>
          <w:rFonts w:hint="default" w:ascii="Times New Roman" w:hAnsi="Times New Roman" w:cs="Times New Roman"/>
          <w:color w:val="auto"/>
          <w:sz w:val="24"/>
          <w:szCs w:val="24"/>
          <w:lang w:val="en-US" w:eastAsia="zh-CN"/>
        </w:rPr>
        <w:t>编制了《哈密市金石矿业有限责任公司哈密市大红山北铜矿开采方案》，并取得《哈密市金石矿业有限责任公司哈密市大红山北铜矿开采方案》评审意见书（新矿开评字</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2026</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9号）。根据开采方案，</w:t>
      </w:r>
      <w:r>
        <w:rPr>
          <w:rFonts w:hint="default" w:ascii="Times New Roman" w:hAnsi="Times New Roman" w:cs="Times New Roman" w:eastAsiaTheme="minorEastAsia"/>
          <w:color w:val="auto"/>
          <w:sz w:val="24"/>
          <w:szCs w:val="24"/>
        </w:rPr>
        <w:t>开采方式为地下开采，面积2.7131km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，生产规模</w:t>
      </w:r>
      <w:r>
        <w:rPr>
          <w:rFonts w:hint="default" w:ascii="Times New Roman" w:hAnsi="Times New Roman" w:cs="Times New Roman" w:eastAsiaTheme="minorEastAsia"/>
          <w:color w:val="auto"/>
          <w:sz w:val="24"/>
          <w:szCs w:val="24"/>
          <w:lang w:val="en-US" w:eastAsia="zh-CN"/>
        </w:rPr>
        <w:t>30</w:t>
      </w:r>
      <w:r>
        <w:rPr>
          <w:rFonts w:hint="default" w:ascii="Times New Roman" w:hAnsi="Times New Roman" w:cs="Times New Roman" w:eastAsiaTheme="minorEastAsia"/>
          <w:color w:val="auto"/>
          <w:sz w:val="24"/>
          <w:szCs w:val="24"/>
        </w:rPr>
        <w:t>万吨/年。</w:t>
      </w:r>
    </w:p>
    <w:p w14:paraId="78074DDE">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矿体特征</w:t>
      </w:r>
    </w:p>
    <w:p w14:paraId="04AA9F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w:t>
      </w:r>
      <w:r>
        <w:rPr>
          <w:rFonts w:hint="default" w:ascii="Times New Roman" w:hAnsi="Times New Roman" w:eastAsia="宋体" w:cs="Times New Roman"/>
          <w:color w:val="auto"/>
          <w:spacing w:val="0"/>
          <w:w w:val="100"/>
          <w:position w:val="0"/>
          <w:sz w:val="24"/>
          <w:szCs w:val="24"/>
        </w:rPr>
        <w:t>《新疆哈密市大红山北铜矿资源储量核实报告》</w:t>
      </w:r>
      <w:r>
        <w:rPr>
          <w:rFonts w:hint="default" w:ascii="Times New Roman" w:hAnsi="Times New Roman" w:cs="Times New Roman" w:eastAsiaTheme="minorEastAsia"/>
          <w:color w:val="auto"/>
          <w:sz w:val="24"/>
          <w:szCs w:val="24"/>
        </w:rPr>
        <w:t>，在区内共圈定11条铜矿体，编号为Ⅰ、Ⅱ、Ⅲ、Ⅲ-1、Ⅳ、Ⅴ、Ⅵ、Ⅳ-1、Ⅳ-1-1、Ⅳ-1-2、Ⅳ-1-3</w:t>
      </w:r>
      <w:r>
        <w:rPr>
          <w:rFonts w:hint="default" w:ascii="Times New Roman" w:hAnsi="Times New Roman" w:cs="Times New Roman" w:eastAsiaTheme="minorEastAsia"/>
          <w:color w:val="auto"/>
          <w:sz w:val="24"/>
          <w:szCs w:val="24"/>
          <w:lang w:val="en-US" w:eastAsia="zh-CN"/>
        </w:rPr>
        <w:t>，矿体在平面上的分布情况见下图3.1-1</w:t>
      </w:r>
      <w:r>
        <w:rPr>
          <w:rFonts w:hint="default" w:ascii="Times New Roman" w:hAnsi="Times New Roman" w:cs="Times New Roman" w:eastAsiaTheme="minorEastAsia"/>
          <w:color w:val="auto"/>
          <w:sz w:val="24"/>
          <w:szCs w:val="24"/>
        </w:rPr>
        <w:t>。其中Ⅳ-1、Ⅳ-1-1、Ⅳ-1-2、Ⅳ-1-3号矿体是新发现矿体，新发现矿体和原详查工作圈定的Ⅴ号矿体为盲矿体。区内铜矿体主要赋存于岩体与灰岩接触部位的矽卡岩中，部分赋存于灰岩与大理岩的接触部位的矽卡岩中，呈层状、透镜状产出，矿体产状与含矿地层基本一致，在倾向和走向上变化不大，较为稳定。其中Ⅱ、Ⅳ-1号矿体规模较大，资源量占总资源量的60.94%，为矿区内主要矿体，Ⅰ、Ⅲ、Ⅳ、Ⅴ、Ⅵ、Ⅳ-1-3号矿体为次要矿体，其余Ⅲ-1、Ⅳ-1-1、Ⅳ-1-2号矿体规模相对较小。现将主要、次要矿体特征简述如下。</w:t>
      </w:r>
    </w:p>
    <w:p w14:paraId="20C10D8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color w:val="auto"/>
          <w:sz w:val="24"/>
        </w:rPr>
      </w:pPr>
    </w:p>
    <w:p w14:paraId="2930EBA1">
      <w:pPr>
        <w:pStyle w:val="29"/>
        <w:spacing w:line="240" w:lineRule="auto"/>
        <w:ind w:left="0" w:leftChars="0" w:firstLine="0" w:firstLineChars="0"/>
        <w:jc w:val="center"/>
        <w:rPr>
          <w:rFonts w:hint="default" w:ascii="Times New Roman" w:hAnsi="Times New Roman" w:eastAsia="宋体" w:cs="Times New Roman"/>
          <w:b/>
          <w:bCs/>
          <w:color w:val="auto"/>
          <w:spacing w:val="0"/>
          <w:w w:val="100"/>
          <w:kern w:val="2"/>
          <w:position w:val="0"/>
          <w:sz w:val="21"/>
          <w:szCs w:val="21"/>
          <w:lang w:val="en-US" w:eastAsia="zh-CN" w:bidi="ar-SA"/>
        </w:rPr>
      </w:pPr>
      <w:r>
        <w:rPr>
          <w:rFonts w:hint="default" w:ascii="Times New Roman" w:hAnsi="Times New Roman" w:eastAsia="宋体" w:cs="Times New Roman"/>
          <w:b/>
          <w:bCs/>
          <w:color w:val="auto"/>
          <w:spacing w:val="0"/>
          <w:w w:val="100"/>
          <w:kern w:val="2"/>
          <w:position w:val="0"/>
          <w:sz w:val="21"/>
          <w:szCs w:val="21"/>
          <w:lang w:val="en-US" w:eastAsia="zh-CN" w:bidi="ar-SA"/>
        </w:rPr>
        <w:t>图3.1-1    平面矿体分布位置示意图</w:t>
      </w:r>
    </w:p>
    <w:p w14:paraId="54CC556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（1）Ⅰ号矿体</w:t>
      </w:r>
    </w:p>
    <w:p w14:paraId="3DF643E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北部，矿体分布于97线～102勘查线之间，在93线向西12m延伸出采矿权范围。控制矿体总体长度为158m，其中地表出露矿体长度78m，在94线～98线之间矿体地表无出露；最大斜深226m（90线），最大埋深230m（90线），矿体产出标高2045m（93线）～1808m（90线）。含矿岩性主要为矽卡岩，围岩主要为黑云母二长花岗岩，矿体与围岩界线清晰。</w:t>
      </w:r>
    </w:p>
    <w:p w14:paraId="2B98318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矿体形态较规则，呈层状产出，连续性好，沿走向及倾向上均呈波状起伏，沿倾向方向上具有尖灭再现特征。矿体总体产状为倾向348°～351°，倾角87°～89°，总体属产状较稳定的陡倾斜矿体。</w:t>
      </w:r>
    </w:p>
    <w:p w14:paraId="08B04FB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1.41m～3.38m之间，矿体平均厚度2.67m。地表出露最大厚度3.38m，出现在97勘查线YK97-1采样工程中，最小厚度3.11m，出现在90勘查线YK90-1采样工程中；矿体深部最大厚度2.66m，出现在98勘查线ZK98-1钻探工程中，最小厚度1.41m，出现在90勘查线的ZK90-3钻探工程中。矿体厚度变化系数Vm=27.51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6EEE491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矿体单工程Cu品位最高0.80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，出现在93勘查线YK93-1地表采样工程中，单工程Cu品位最低0.59</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，出现在98勘查线ZK98-2钻探工程中，矿体平均品位0.66</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；品位变化系数Vc=15.36</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4676C0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矿体厚度与品位相关性较差。矿体厚度沿倾向从地表至深部呈现由厚变薄的趋势，沿走向从97线至98线方向呈现变薄趋势；品位沿走向、倾向变化不显著趋于稳定趋势。</w:t>
      </w:r>
    </w:p>
    <w:p w14:paraId="54C8F99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综上所述，Ⅰ号矿体属厚度变化稳定，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3D1B0D0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（2）Ⅱ号矿体</w:t>
      </w:r>
    </w:p>
    <w:p w14:paraId="51CFF88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北部，矿体分布于97线～106勘查线之间，在106线北东方向延出矿界。控制矿体长度210m，最大斜深332m（90线），最大埋深340m（90线），矿体产出标高2052m（93线）～1702m（90线）。含矿岩性主要为矽卡岩，围岩主要为灰黑色灰岩、黑云母二长花岗岩等，矿体与围岩界线清晰。</w:t>
      </w:r>
    </w:p>
    <w:p w14:paraId="327EEA6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矿体形态较规则，呈层状产出，连续性好，沿走向及倾向上均呈波状起伏。矿体总体产状为倾向318°～321°，倾角77°～85°，总体属产状较稳定的陡倾斜矿体。</w:t>
      </w:r>
    </w:p>
    <w:p w14:paraId="49F244B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1.25m～7.09m之间，矿体平均厚度3.62m。地表出露最大厚度7.09m，出现在106勘查线CK106-1采样工程中，最小厚度1.97m，出现在94勘查线YK94-2采样工程中；矿体深部最大厚度6.97m，出现在98勘查线ZK98-2钻探工程中，最小厚度1.25m，出现在90勘查线的ZK90-3钻探工程中。矿体厚度变化系数Vm=58.94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6E42B9C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矿体单工程Cu品位最高0.90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，出现在90勘查线ZK90-2钻探工程中，单工程Cu品位最低0.50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，出现在90勘查线ZK90-1钻探工程中，矿体平均品位0.59</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；品位变化系数Vc=26.65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10DEFCD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矿体厚度沿倾向从地表至深部仅在局部位置变化相对较大，总体呈现稳定；品位沿走向、倾向变化不显著趋于稳定趋势。</w:t>
      </w:r>
    </w:p>
    <w:p w14:paraId="55957D7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综上所述，Ⅱ号矿体属厚度变化稳定，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62FB507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（3）Ⅲ号矿体</w:t>
      </w:r>
    </w:p>
    <w:p w14:paraId="5E4BBAD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中部偏南，矿体分布于11线～16勘查线之间。控制矿体长度226m，最大斜深286m（4线），最大埋深249m（4线），矿体产出标高2052m（0线）～1803m（4线）。含矿岩性主要为矽卡岩，围岩主要为灰黑色灰岩、黑云母二长花岗岩、闪长岩等，矿体与围岩界线清晰。</w:t>
      </w:r>
    </w:p>
    <w:p w14:paraId="1A4B34A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矿体形态较规则，呈层状产出，连续性好，沿走向及倾向上均呈波状起伏。矿体产状</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285°～295°∠45°～69°，矿体产状沿走向在0～4勘查线上局部变化较大，走向为232°，延倾向上在8～12勘查线上由于受深部岩体影响矿体产状有变缓趋势，总体属产状较稳定陡倾斜矿体。</w:t>
      </w:r>
    </w:p>
    <w:p w14:paraId="5230ACA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0.56m～12.14m之间，矿体平均厚度3.64m。地表出露最大厚度5.16m，出现在8勘查线TC8-1采样工程中，最小厚度0.56m，出现在0勘查线TC0-1采样工程中；矿体深部最大厚度12.14m，出现在4勘查线ZK4-1钻探工程中，最小厚度0.97m，出现在0勘查线的ZK0-1钻探工程中。矿体厚度变化系数Vm=83.88%，矿体厚度变化系数Vm介于60～130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，属厚度变化较稳定矿体。</w:t>
      </w:r>
    </w:p>
    <w:p w14:paraId="305BB04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矿体单工程Cu品位最高0.71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，分别出现在0勘查线TC0-1采样工程中和ZK0-1钻探工程中；单工程Cu品位最低0.41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，出现在4勘查线ZK4-2钻探工程中；矿体平均品位0.53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；品位变化系数Vc=31.23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4885423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分析，矿体厚度与品位相关性较弱；矿体在沿倾向（由地表至深部）呈现出中间厚，四周略薄的趋势，无论在地表还是深部在4线上显示最厚；根据变化趋势分析，矿体沿走向在0～8线之间厚度相对较大，总体呈现出由薄→厚→薄的趋势；品位沿走向变化不明显，沿倾向由地表至深部有减小的趋势。</w:t>
      </w:r>
    </w:p>
    <w:p w14:paraId="3B4A364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综上所述，Ⅲ号矿体属厚度变化较稳定，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291257F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（4）Ⅳ号矿体</w:t>
      </w:r>
    </w:p>
    <w:p w14:paraId="3FC6058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南部，矿体分布于81～78勘查线之间。控制矿体长度134m，最大斜深127m（70线），最大埋深86m（70线），矿体产出标高2025m（70线）～1939m（70线）。含矿岩性主要为矽卡岩，围岩主要为灰黑色灰岩、白云质大理岩、花岗闪长岩，矿体与围岩界线清晰。</w:t>
      </w:r>
    </w:p>
    <w:p w14:paraId="2ACE377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层状产出，沿走向呈波状起伏状，在77～73线走向为262°，73～70线走向为180°，70～74线走向为255°；矿体沿走向及倾向方向在77线断开，77～78线之间矿体沿走向在70线CK70-1工程中呈现出尖灭再现特征，沿倾向连续。矿体总体产状为倾向305°～320°，倾角45°～56°，总体属产状较稳定的陡倾斜矿体。</w:t>
      </w:r>
    </w:p>
    <w:p w14:paraId="44320DD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1.15m～2.64m之间，矿体平均厚度2.05m。地表出露最大厚度2.30m，出现在74勘查线YK74-1采样工程中，最小厚度2.12m，出现在73勘查线YK73-1采样工程中；矿体深部最大厚度2.64m，出现在70勘查线ZK70-1钻探工程中，最小厚度1.15m，出现在74勘查线的ZK74-1钻探工程中。矿体厚度变化系数Vm=31.14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4F49F3D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矿体单工程Cu品位最高0.66</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，出现在74勘查线YK74-1地表采样工程中，单工程Cu品位最低0.40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，出现在74勘查线深部钻探工程ZK74-1中，矿体平均品位0.54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；品位变化系数Vc=27.49</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631CF0F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经分析，矿体厚度与品位相关性较弱；矿体在地表至深部仅在地表采样工程YK74-1处厚度相对较大，其他位置变化不明显且品位无明显变化。</w:t>
      </w:r>
    </w:p>
    <w:p w14:paraId="6855672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综上所述，Ⅳ号矿体属厚度变化稳定，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2F64510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（5）Ⅴ号矿体</w:t>
      </w:r>
    </w:p>
    <w:p w14:paraId="3685B3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西南部，矿体分布于57线～58勘查线之间，为盲矿体。控制矿体长度107m，最大斜深54m（53线），最大埋深107m（53线），矿体产出标高2038m（54线）～1959m（53线）。含矿岩性主要为矽卡岩，围岩主要为灰黑色灰岩、黑云母二长花岗岩等，矿体与围岩界线清晰。</w:t>
      </w:r>
    </w:p>
    <w:p w14:paraId="424D41F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矿体形态较规则，呈似层状产出，沿走向上形态变化不明显。矿体总体产状为倾向310°～330°，倾角27°～45°，总体属产状较稳定的缓倾斜矿体。</w:t>
      </w:r>
    </w:p>
    <w:p w14:paraId="28E84E3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矿体厚度变化一般在1.00m～3.53m之间，矿体平均厚度2.05m。矿体深部最大厚度3.53m，出现在54勘查线ZK54-1钻探工程中，最小厚度1.00m，出现在53勘查线的ZK53-1钻探工程中。矿体厚度变化系数Vm=45.53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730D514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矿体单工程Cu品位最高0.53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，出现在54勘查线深部钻探工程ZK54-1中，单工程Cu品位最低0.40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，出现在50勘查线深部钻探工程ZK50-1中，矿体平均品位0.48</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；品位变化系数Vc=13.89</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60F3B43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综上所述，Ⅴ号矿体属厚度变化稳定，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分布均匀矿体。厚度与品位分布关系。</w:t>
      </w:r>
    </w:p>
    <w:p w14:paraId="0056387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（6）Ⅵ号矿体</w:t>
      </w:r>
    </w:p>
    <w:p w14:paraId="06C1F35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中部，矿体分布于125～122勘查线之间。控制矿体长度200m，最大斜深182m（117线），最大埋深155m（117线），矿体产出标高2015m（113线）～1858m（117线）。含矿岩性主要为矽卡岩，围岩主要为灰黑色灰岩、黑云母二长花岗岩等，矿体与围岩界线清晰。</w:t>
      </w:r>
    </w:p>
    <w:p w14:paraId="59A0577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矿体形态较规则，呈层状产出，连续性好，矿体产状沿走向、倾向变化不明显。矿体总体产状为倾向285°～320°，倾角64°～68°，总体属产状较稳定的陡倾斜矿体。</w:t>
      </w:r>
    </w:p>
    <w:p w14:paraId="7747A3A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1.06m～3.46m之间，矿体平均厚度2.41m。地表出露最大厚度3.46m，出现在117勘查线TC117-1采样工程中，最小厚度1.87m，出现在114勘查线TC114-1采样工程中；矿体深部最大厚度3.41m，出现在117勘查线ZK117-1钻探工程中，最小厚度1.06m，出现在117勘查线的ZK117-2钻探工程中。矿体厚度变化系数Vm=34.05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125DC96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矿体单工程Cu品位最高0.70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，出现在114勘查线TC114-1地表采样工程中，单工程Cu品位最低0.52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，出现在110勘查线深部钻探工程ZK110-2中，矿体平均品位0.62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；品位变化系数Vc=10.08</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33056EB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经分析，矿体厚度与品位相关性较弱；矿体在地表至深部仅在地表采样工程TC117-1、ZK117-1、ZK118-1、ZK118-2处呈现出略有变厚趋势，其他位置变化不明显且品位无明显变化。</w:t>
      </w:r>
    </w:p>
    <w:p w14:paraId="7275D9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综上所述，Ⅵ号矿体属厚度变化稳定，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2E2F37C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（7）Ⅳ-1号矿体</w:t>
      </w:r>
    </w:p>
    <w:p w14:paraId="647A7F9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东南部，矿体分布于211～216勘查线之间，矿体形态呈透镜状，矿体赋存于中元古界蓟县系卡瓦布拉克群（JxKw）灰黑色灰岩、条带状大理岩化灰岩及大理岩外接触带的矽卡岩中，局部位于闪长岩与灰黑色灰岩接触部位的矽卡岩中，矿体与围岩界线清晰，该矿体为盲矿体，深部连续分布。控制矿体长度540m，控制最大斜深170m（207线），最大埋深108m（212线），矿体产出标高2007m（203线）～1937m（212线），从211～216勘查线之间矿体往东南表现有侧伏趋势。</w:t>
      </w:r>
    </w:p>
    <w:p w14:paraId="4A7E931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呈透镜状产出，沿走向厚度变化不大，沿倾向在203、200勘查线上局部有变厚特征。受深部岩体影响，局部矿体产状变化较大，总体产状为倾向32°～44°，倾角10°～45°。在203勘查线以西呈略向南西倾的缓倾斜矿体，在203勘查线以东呈中间平缓，两端翘起的</w:t>
      </w:r>
      <w:r>
        <w:rPr>
          <w:rFonts w:hint="default" w:ascii="Times New Roman" w:hAnsi="Times New Roman" w:cs="Times New Roman"/>
          <w:color w:val="auto"/>
          <w:sz w:val="24"/>
          <w:szCs w:val="24"/>
          <w:lang w:eastAsia="zh-CN"/>
        </w:rPr>
        <w:t>“U”形</w:t>
      </w:r>
      <w:r>
        <w:rPr>
          <w:rFonts w:hint="default" w:ascii="Times New Roman" w:hAnsi="Times New Roman" w:cs="Times New Roman"/>
          <w:color w:val="auto"/>
          <w:sz w:val="24"/>
          <w:szCs w:val="24"/>
        </w:rPr>
        <w:t>，翘起部位产状相对较陡，以200线和204线最为明显。总体属产状变化较大的缓倾斜矿体。</w:t>
      </w:r>
    </w:p>
    <w:p w14:paraId="74DD7FC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0.80m～25.62m之间，矿体平均厚度6.97m，矿体地表未出露。矿体深部最大厚度25.62m，出现在203勘查线ZK203-1钻探工程中，最小厚度0.80m，出现在203勘查线的ZK203-8钻探工程中。矿体厚度变化系数Vm=90.14%，矿体厚度变化系数Vm介于60～130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，属厚度变化较稳定矿体。</w:t>
      </w:r>
    </w:p>
    <w:p w14:paraId="707C6F8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矿体单工程Cu品位最高1.27</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，出现在212勘查线深部钻探工程ZK212-4中，单工程Cu品位最低0.48</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，出现在216勘查线ZK216-3钻探工程中，矿体Cu平均品位0.74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；单工程伴生Au品位最高0.66g/t，出现在208勘查线深部钻探工程ZK208-1中，最低0.08g/t，出现在208勘查线ZK208-3钻探工程中，矿体伴生Au平均品位0.39g/t，Cu品位变化系数Vc=31.11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70D0682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经矿体厚度与品位相关性较弱；矿体在沿倾向（由地表至深部）呈现出中间厚，四周略薄的趋势；根据厚度及品位等值线图分析，矿体沿走向在203～212线之间ZK203-1、ZK200-1、ZK208-2、ZK212-1、ZK212-3工程处厚度相对变化较大，最大厚度可达25.62m，其他位置相对稳定，品位沿走向及倾向变化不明显。矿体厚度、品位变化情况见图</w:t>
      </w:r>
      <w:r>
        <w:rPr>
          <w:rFonts w:hint="default" w:ascii="Times New Roman" w:hAnsi="Times New Roman" w:cs="Times New Roman"/>
          <w:color w:val="auto"/>
          <w:sz w:val="24"/>
          <w:szCs w:val="24"/>
          <w:lang w:val="en-US" w:eastAsia="zh-CN"/>
        </w:rPr>
        <w:t>3.1-2、3.1-3</w:t>
      </w:r>
      <w:r>
        <w:rPr>
          <w:rFonts w:hint="default" w:ascii="Times New Roman" w:hAnsi="Times New Roman" w:cs="Times New Roman"/>
          <w:color w:val="auto"/>
          <w:sz w:val="24"/>
          <w:szCs w:val="24"/>
          <w:lang w:eastAsia="zh-CN"/>
        </w:rPr>
        <w:t>。</w:t>
      </w:r>
    </w:p>
    <w:p w14:paraId="0637E08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综上所述，Ⅳ-1号矿体属厚度变化较稳定，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2A04B6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color w:val="auto"/>
          <w:sz w:val="24"/>
          <w:szCs w:val="24"/>
          <w:lang w:eastAsia="zh-CN"/>
        </w:rPr>
      </w:pPr>
    </w:p>
    <w:p w14:paraId="7504D829">
      <w:pPr>
        <w:pStyle w:val="29"/>
        <w:spacing w:line="240" w:lineRule="auto"/>
        <w:ind w:left="0" w:leftChars="0" w:firstLine="0" w:firstLineChars="0"/>
        <w:jc w:val="center"/>
        <w:rPr>
          <w:rFonts w:hint="default" w:ascii="Times New Roman" w:hAnsi="Times New Roman" w:eastAsia="宋体" w:cs="Times New Roman"/>
          <w:b/>
          <w:bCs/>
          <w:color w:val="auto"/>
          <w:spacing w:val="0"/>
          <w:w w:val="100"/>
          <w:kern w:val="2"/>
          <w:position w:val="0"/>
          <w:sz w:val="21"/>
          <w:szCs w:val="21"/>
          <w:lang w:val="en-US" w:eastAsia="zh-CN" w:bidi="ar-SA"/>
        </w:rPr>
      </w:pPr>
      <w:r>
        <w:rPr>
          <w:rFonts w:hint="default" w:ascii="Times New Roman" w:hAnsi="Times New Roman" w:eastAsia="宋体" w:cs="Times New Roman"/>
          <w:b/>
          <w:bCs/>
          <w:color w:val="auto"/>
          <w:spacing w:val="0"/>
          <w:w w:val="100"/>
          <w:kern w:val="2"/>
          <w:position w:val="0"/>
          <w:sz w:val="21"/>
          <w:szCs w:val="21"/>
          <w:lang w:val="en-US" w:eastAsia="zh-CN" w:bidi="ar-SA"/>
        </w:rPr>
        <w:t>图3.1-</w:t>
      </w:r>
      <w:r>
        <w:rPr>
          <w:rFonts w:hint="default" w:ascii="Times New Roman" w:hAnsi="Times New Roman" w:cs="Times New Roman"/>
          <w:b/>
          <w:bCs/>
          <w:color w:val="auto"/>
          <w:spacing w:val="0"/>
          <w:w w:val="100"/>
          <w:kern w:val="2"/>
          <w:position w:val="0"/>
          <w:sz w:val="21"/>
          <w:szCs w:val="21"/>
          <w:lang w:val="en-US" w:eastAsia="zh-CN" w:bidi="ar-SA"/>
        </w:rPr>
        <w:t>2</w:t>
      </w:r>
      <w:r>
        <w:rPr>
          <w:rFonts w:hint="default" w:ascii="Times New Roman" w:hAnsi="Times New Roman" w:eastAsia="宋体" w:cs="Times New Roman"/>
          <w:b/>
          <w:bCs/>
          <w:color w:val="auto"/>
          <w:spacing w:val="0"/>
          <w:w w:val="100"/>
          <w:kern w:val="2"/>
          <w:position w:val="0"/>
          <w:sz w:val="21"/>
          <w:szCs w:val="21"/>
          <w:lang w:val="en-US" w:eastAsia="zh-CN" w:bidi="ar-SA"/>
        </w:rPr>
        <w:t xml:space="preserve">     Ⅳ-1号矿体厚度等值线图</w:t>
      </w:r>
    </w:p>
    <w:p w14:paraId="63C656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color w:val="auto"/>
          <w:sz w:val="24"/>
          <w:szCs w:val="24"/>
        </w:rPr>
      </w:pPr>
    </w:p>
    <w:p w14:paraId="58CFF3F7">
      <w:pPr>
        <w:pStyle w:val="29"/>
        <w:spacing w:line="240" w:lineRule="auto"/>
        <w:ind w:left="0" w:leftChars="0" w:firstLine="0" w:firstLineChars="0"/>
        <w:jc w:val="center"/>
        <w:rPr>
          <w:rFonts w:hint="default" w:ascii="Times New Roman" w:hAnsi="Times New Roman" w:eastAsia="宋体" w:cs="Times New Roman"/>
          <w:b/>
          <w:bCs/>
          <w:color w:val="auto"/>
          <w:spacing w:val="0"/>
          <w:w w:val="100"/>
          <w:kern w:val="2"/>
          <w:position w:val="0"/>
          <w:sz w:val="21"/>
          <w:szCs w:val="21"/>
          <w:lang w:val="en-US" w:eastAsia="zh-CN" w:bidi="ar-SA"/>
        </w:rPr>
      </w:pPr>
      <w:r>
        <w:rPr>
          <w:rFonts w:hint="default" w:ascii="Times New Roman" w:hAnsi="Times New Roman" w:eastAsia="宋体" w:cs="Times New Roman"/>
          <w:b/>
          <w:bCs/>
          <w:color w:val="auto"/>
          <w:spacing w:val="0"/>
          <w:w w:val="100"/>
          <w:kern w:val="2"/>
          <w:position w:val="0"/>
          <w:sz w:val="21"/>
          <w:szCs w:val="21"/>
          <w:lang w:val="en-US" w:eastAsia="zh-CN" w:bidi="ar-SA"/>
        </w:rPr>
        <w:t>图3.1-</w:t>
      </w:r>
      <w:r>
        <w:rPr>
          <w:rFonts w:hint="default" w:ascii="Times New Roman" w:hAnsi="Times New Roman" w:cs="Times New Roman"/>
          <w:b/>
          <w:bCs/>
          <w:color w:val="auto"/>
          <w:spacing w:val="0"/>
          <w:w w:val="100"/>
          <w:kern w:val="2"/>
          <w:position w:val="0"/>
          <w:sz w:val="21"/>
          <w:szCs w:val="21"/>
          <w:lang w:val="en-US" w:eastAsia="zh-CN" w:bidi="ar-SA"/>
        </w:rPr>
        <w:t>3</w:t>
      </w:r>
      <w:r>
        <w:rPr>
          <w:rFonts w:hint="default" w:ascii="Times New Roman" w:hAnsi="Times New Roman" w:eastAsia="宋体" w:cs="Times New Roman"/>
          <w:b/>
          <w:bCs/>
          <w:color w:val="auto"/>
          <w:spacing w:val="0"/>
          <w:w w:val="100"/>
          <w:kern w:val="2"/>
          <w:position w:val="0"/>
          <w:sz w:val="21"/>
          <w:szCs w:val="21"/>
          <w:lang w:val="en-US" w:eastAsia="zh-CN" w:bidi="ar-SA"/>
        </w:rPr>
        <w:t xml:space="preserve">     Ⅳ-1号矿体品位等值线图</w:t>
      </w:r>
    </w:p>
    <w:p w14:paraId="28AE795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（8）Ⅳ-1-3号矿体</w:t>
      </w:r>
    </w:p>
    <w:p w14:paraId="4871923D">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位于矿区东南部Ⅳ-1号矿体下部，矿体分布于211～216勘查线之间，沿走向向南东方向延出界外。矿体形态呈不规则脉状赋存于中元古界蓟县系卡瓦布拉克群（JxKw）灰黑色灰岩、条带状大理岩化灰岩与花岗闪长岩体外接触带的矽卡岩中，矿体与围岩界线清晰，地表沿走向矿体无出露，均为深部钻探工程控制的隐伏盲矿体。</w:t>
      </w:r>
    </w:p>
    <w:p w14:paraId="4803F84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控制矿体长度432m（含外推部分），控制最大斜深112m（204线），最大埋深125m（212线），矿体产出标高1954m（207线、216线）～1912m（203线），从207～216勘查线之间矿体往东南有侧伏趋势。</w:t>
      </w:r>
    </w:p>
    <w:p w14:paraId="5B5814D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矿体形态呈透镜状产出，矿体产状变化较大，总体走向为北西－南东，总体产状为倾向32°～44°，倾角10°～45°。总体表现为中间平缓，两端略向上翘起的</w:t>
      </w:r>
      <w:r>
        <w:rPr>
          <w:rFonts w:hint="default" w:ascii="Times New Roman" w:hAnsi="Times New Roman" w:cs="Times New Roman"/>
          <w:color w:val="auto"/>
          <w:sz w:val="24"/>
          <w:szCs w:val="24"/>
          <w:lang w:eastAsia="zh-CN"/>
        </w:rPr>
        <w:t>“U”形</w:t>
      </w:r>
      <w:r>
        <w:rPr>
          <w:rFonts w:hint="default" w:ascii="Times New Roman" w:hAnsi="Times New Roman" w:cs="Times New Roman"/>
          <w:color w:val="auto"/>
          <w:sz w:val="24"/>
          <w:szCs w:val="24"/>
        </w:rPr>
        <w:t>，翘起部位产状相对稍陡，以200线和204线最为明显。总体属产状变化较大缓倾斜矿体。</w:t>
      </w:r>
    </w:p>
    <w:p w14:paraId="5D23F7D5">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厚度变化一般在1.00m～4.45m之间，矿体平均厚度2.35m，地表矿体无出露。矿体深部最大厚度4.45m，出现在212勘查线ZK212-4钻探工程中，最小厚度1.00m，出现在208勘查线的ZK208-4钻探工程中。矿体厚度变化系数Vm=49.04%，矿体厚度变化系数Vm＜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，属厚度变化稳定矿体。</w:t>
      </w:r>
    </w:p>
    <w:p w14:paraId="47E79905">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矿体单工程Cu品位最高1.15</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，出现在212勘查线ZK212-4钻探工程中，单工程Cu品位最低0.44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，出现在203勘查线ZK203-3钻探工程中，矿体平均品位0.73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；单工程伴生Au品位最高0.82g/t，出现在212勘查线深部钻探工程ZK212-4中，最低0.10g/t，出现在200勘查线ZK200-1钻探工程中，矿体伴生Au平均品位0.40g/t；Cu品位变化系数Vc=35.34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，品位变化系数Vc＜60</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，属</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1AE62B3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综上所述，Ⅳ-1-3号矿体属厚度变化稳定，</w:t>
      </w:r>
      <w:r>
        <w:rPr>
          <w:rFonts w:hint="default" w:ascii="Times New Roman" w:hAnsi="Times New Roman" w:cs="Times New Roman"/>
          <w:color w:val="auto"/>
          <w:sz w:val="24"/>
          <w:szCs w:val="24"/>
          <w:lang w:eastAsia="zh-CN"/>
        </w:rPr>
        <w:t>有用组分</w:t>
      </w:r>
      <w:r>
        <w:rPr>
          <w:rFonts w:hint="default" w:ascii="Times New Roman" w:hAnsi="Times New Roman" w:cs="Times New Roman"/>
          <w:color w:val="auto"/>
          <w:sz w:val="24"/>
          <w:szCs w:val="24"/>
        </w:rPr>
        <w:t>分布均匀矿体。</w:t>
      </w:r>
    </w:p>
    <w:p w14:paraId="0B147AA8">
      <w:pPr>
        <w:pStyle w:val="29"/>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default" w:ascii="Times New Roman" w:hAnsi="Times New Roman" w:cs="Times New Roman" w:eastAsiaTheme="minorEastAsia"/>
          <w:b/>
          <w:bCs/>
          <w:color w:val="auto"/>
          <w:sz w:val="24"/>
          <w:szCs w:val="24"/>
        </w:rPr>
        <w:sectPr>
          <w:footerReference r:id="rId13"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291" w:charSpace="0"/>
        </w:sectPr>
      </w:pPr>
    </w:p>
    <w:p w14:paraId="6661C414">
      <w:pPr>
        <w:pStyle w:val="29"/>
        <w:spacing w:line="240" w:lineRule="auto"/>
        <w:ind w:left="0" w:leftChars="0" w:firstLine="0" w:firstLineChars="0"/>
        <w:jc w:val="center"/>
        <w:rPr>
          <w:rFonts w:hint="default" w:ascii="Times New Roman" w:hAnsi="Times New Roman" w:eastAsia="宋体" w:cs="Times New Roman"/>
          <w:b/>
          <w:bCs/>
          <w:color w:val="auto"/>
          <w:spacing w:val="0"/>
          <w:w w:val="100"/>
          <w:kern w:val="2"/>
          <w:position w:val="0"/>
          <w:sz w:val="21"/>
          <w:szCs w:val="21"/>
          <w:lang w:val="en-US" w:eastAsia="zh-CN" w:bidi="ar-SA"/>
        </w:rPr>
      </w:pPr>
      <w:r>
        <w:rPr>
          <w:rFonts w:hint="default" w:ascii="Times New Roman" w:hAnsi="Times New Roman" w:eastAsia="宋体" w:cs="Times New Roman"/>
          <w:b/>
          <w:bCs/>
          <w:color w:val="auto"/>
          <w:spacing w:val="0"/>
          <w:w w:val="100"/>
          <w:kern w:val="2"/>
          <w:position w:val="0"/>
          <w:sz w:val="21"/>
          <w:szCs w:val="21"/>
          <w:lang w:val="en-US" w:eastAsia="zh-CN" w:bidi="ar-SA"/>
        </w:rPr>
        <w:t>表3.1-2    矿体基本特征一览表</w:t>
      </w:r>
    </w:p>
    <w:tbl>
      <w:tblPr>
        <w:tblStyle w:val="22"/>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2"/>
        <w:gridCol w:w="737"/>
        <w:gridCol w:w="958"/>
        <w:gridCol w:w="1111"/>
        <w:gridCol w:w="818"/>
        <w:gridCol w:w="592"/>
        <w:gridCol w:w="592"/>
        <w:gridCol w:w="1348"/>
        <w:gridCol w:w="700"/>
        <w:gridCol w:w="2379"/>
        <w:gridCol w:w="1300"/>
        <w:gridCol w:w="724"/>
        <w:gridCol w:w="624"/>
        <w:gridCol w:w="753"/>
      </w:tblGrid>
      <w:tr w14:paraId="6EBBA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574" w:type="pct"/>
            <w:gridSpan w:val="3"/>
            <w:tcBorders>
              <w:tl2br w:val="nil"/>
              <w:tr2bl w:val="nil"/>
            </w:tcBorders>
            <w:vAlign w:val="center"/>
          </w:tcPr>
          <w:p w14:paraId="1E6AB7B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bookmarkStart w:id="281" w:name="_Hlk21768252"/>
            <w:r>
              <w:rPr>
                <w:rFonts w:hint="default" w:ascii="Times New Roman" w:hAnsi="Times New Roman" w:cs="Times New Roman" w:eastAsiaTheme="minorEastAsia"/>
                <w:b/>
                <w:color w:val="auto"/>
                <w:sz w:val="18"/>
                <w:szCs w:val="18"/>
              </w:rPr>
              <w:t>矿 体 编 号</w:t>
            </w:r>
          </w:p>
        </w:tc>
        <w:tc>
          <w:tcPr>
            <w:tcW w:w="769" w:type="pct"/>
            <w:gridSpan w:val="2"/>
            <w:tcBorders>
              <w:tl2br w:val="nil"/>
              <w:tr2bl w:val="nil"/>
            </w:tcBorders>
            <w:vAlign w:val="center"/>
          </w:tcPr>
          <w:p w14:paraId="077567F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分 布 位 置</w:t>
            </w:r>
          </w:p>
        </w:tc>
        <w:tc>
          <w:tcPr>
            <w:tcW w:w="304" w:type="pct"/>
            <w:vMerge w:val="restart"/>
            <w:tcBorders>
              <w:tl2br w:val="nil"/>
              <w:tr2bl w:val="nil"/>
            </w:tcBorders>
            <w:vAlign w:val="center"/>
          </w:tcPr>
          <w:p w14:paraId="2E3761C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形态</w:t>
            </w:r>
          </w:p>
        </w:tc>
        <w:tc>
          <w:tcPr>
            <w:tcW w:w="1201" w:type="pct"/>
            <w:gridSpan w:val="4"/>
            <w:tcBorders>
              <w:tl2br w:val="nil"/>
              <w:tr2bl w:val="nil"/>
            </w:tcBorders>
            <w:vAlign w:val="center"/>
          </w:tcPr>
          <w:p w14:paraId="11C3AD9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规    模（m）</w:t>
            </w:r>
          </w:p>
        </w:tc>
        <w:tc>
          <w:tcPr>
            <w:tcW w:w="884" w:type="pct"/>
            <w:vMerge w:val="restart"/>
            <w:tcBorders>
              <w:tl2br w:val="nil"/>
              <w:tr2bl w:val="nil"/>
            </w:tcBorders>
            <w:vAlign w:val="center"/>
          </w:tcPr>
          <w:p w14:paraId="57097C4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产     状</w:t>
            </w:r>
          </w:p>
        </w:tc>
        <w:tc>
          <w:tcPr>
            <w:tcW w:w="752" w:type="pct"/>
            <w:gridSpan w:val="2"/>
            <w:tcBorders>
              <w:tl2br w:val="nil"/>
              <w:tr2bl w:val="nil"/>
            </w:tcBorders>
            <w:vAlign w:val="center"/>
          </w:tcPr>
          <w:p w14:paraId="288A3DD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Cu品位（%）</w:t>
            </w:r>
          </w:p>
        </w:tc>
        <w:tc>
          <w:tcPr>
            <w:tcW w:w="232" w:type="pct"/>
            <w:vMerge w:val="restart"/>
            <w:tcBorders>
              <w:tl2br w:val="nil"/>
              <w:tr2bl w:val="nil"/>
            </w:tcBorders>
            <w:vAlign w:val="center"/>
          </w:tcPr>
          <w:p w14:paraId="4828AA0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出露</w:t>
            </w:r>
          </w:p>
          <w:p w14:paraId="3424610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状况</w:t>
            </w:r>
          </w:p>
        </w:tc>
        <w:tc>
          <w:tcPr>
            <w:tcW w:w="280" w:type="pct"/>
            <w:vMerge w:val="restart"/>
            <w:tcBorders>
              <w:tl2br w:val="nil"/>
              <w:tr2bl w:val="nil"/>
            </w:tcBorders>
            <w:vAlign w:val="center"/>
          </w:tcPr>
          <w:p w14:paraId="1A77A00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备 注</w:t>
            </w:r>
          </w:p>
        </w:tc>
      </w:tr>
      <w:tr w14:paraId="27DC3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vMerge w:val="restart"/>
            <w:tcBorders>
              <w:tl2br w:val="nil"/>
              <w:tr2bl w:val="nil"/>
            </w:tcBorders>
            <w:vAlign w:val="center"/>
          </w:tcPr>
          <w:p w14:paraId="731ED81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原编号</w:t>
            </w:r>
          </w:p>
        </w:tc>
        <w:tc>
          <w:tcPr>
            <w:tcW w:w="282" w:type="pct"/>
            <w:gridSpan w:val="2"/>
            <w:vMerge w:val="restart"/>
            <w:tcBorders>
              <w:tl2br w:val="nil"/>
              <w:tr2bl w:val="nil"/>
            </w:tcBorders>
            <w:vAlign w:val="center"/>
          </w:tcPr>
          <w:p w14:paraId="6924634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现编号</w:t>
            </w:r>
          </w:p>
        </w:tc>
        <w:tc>
          <w:tcPr>
            <w:tcW w:w="356" w:type="pct"/>
            <w:vMerge w:val="restart"/>
            <w:tcBorders>
              <w:tl2br w:val="nil"/>
              <w:tr2bl w:val="nil"/>
            </w:tcBorders>
            <w:vAlign w:val="center"/>
          </w:tcPr>
          <w:p w14:paraId="42760B3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勘查线</w:t>
            </w:r>
          </w:p>
        </w:tc>
        <w:tc>
          <w:tcPr>
            <w:tcW w:w="413" w:type="pct"/>
            <w:vMerge w:val="restart"/>
            <w:tcBorders>
              <w:tl2br w:val="nil"/>
              <w:tr2bl w:val="nil"/>
            </w:tcBorders>
            <w:vAlign w:val="center"/>
          </w:tcPr>
          <w:p w14:paraId="07A1FBFE">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赋存标高</w:t>
            </w:r>
          </w:p>
          <w:p w14:paraId="1B4FAFF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（m）</w:t>
            </w:r>
          </w:p>
        </w:tc>
        <w:tc>
          <w:tcPr>
            <w:tcW w:w="304" w:type="pct"/>
            <w:vMerge w:val="continue"/>
            <w:tcBorders>
              <w:tl2br w:val="nil"/>
              <w:tr2bl w:val="nil"/>
            </w:tcBorders>
            <w:vAlign w:val="center"/>
          </w:tcPr>
          <w:p w14:paraId="57DE944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220" w:type="pct"/>
            <w:vMerge w:val="restart"/>
            <w:tcBorders>
              <w:tl2br w:val="nil"/>
              <w:tr2bl w:val="nil"/>
            </w:tcBorders>
            <w:vAlign w:val="center"/>
          </w:tcPr>
          <w:p w14:paraId="422540F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长度</w:t>
            </w:r>
          </w:p>
        </w:tc>
        <w:tc>
          <w:tcPr>
            <w:tcW w:w="220" w:type="pct"/>
            <w:vMerge w:val="restart"/>
            <w:tcBorders>
              <w:tl2br w:val="nil"/>
              <w:tr2bl w:val="nil"/>
            </w:tcBorders>
            <w:vAlign w:val="center"/>
          </w:tcPr>
          <w:p w14:paraId="14C9370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最大</w:t>
            </w:r>
          </w:p>
          <w:p w14:paraId="712AE37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斜深</w:t>
            </w:r>
          </w:p>
        </w:tc>
        <w:tc>
          <w:tcPr>
            <w:tcW w:w="760" w:type="pct"/>
            <w:gridSpan w:val="2"/>
            <w:tcBorders>
              <w:tl2br w:val="nil"/>
              <w:tr2bl w:val="nil"/>
            </w:tcBorders>
            <w:vAlign w:val="center"/>
          </w:tcPr>
          <w:p w14:paraId="519422F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厚    度</w:t>
            </w:r>
          </w:p>
        </w:tc>
        <w:tc>
          <w:tcPr>
            <w:tcW w:w="884" w:type="pct"/>
            <w:vMerge w:val="continue"/>
            <w:tcBorders>
              <w:tl2br w:val="nil"/>
              <w:tr2bl w:val="nil"/>
            </w:tcBorders>
            <w:vAlign w:val="center"/>
          </w:tcPr>
          <w:p w14:paraId="35B1A91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483" w:type="pct"/>
            <w:vMerge w:val="restart"/>
            <w:tcBorders>
              <w:tl2br w:val="nil"/>
              <w:tr2bl w:val="nil"/>
            </w:tcBorders>
            <w:vAlign w:val="center"/>
          </w:tcPr>
          <w:p w14:paraId="094B266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变 化</w:t>
            </w:r>
          </w:p>
        </w:tc>
        <w:tc>
          <w:tcPr>
            <w:tcW w:w="269" w:type="pct"/>
            <w:vMerge w:val="restart"/>
            <w:tcBorders>
              <w:tl2br w:val="nil"/>
              <w:tr2bl w:val="nil"/>
            </w:tcBorders>
            <w:vAlign w:val="center"/>
          </w:tcPr>
          <w:p w14:paraId="532D434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平 均</w:t>
            </w:r>
          </w:p>
        </w:tc>
        <w:tc>
          <w:tcPr>
            <w:tcW w:w="232" w:type="pct"/>
            <w:vMerge w:val="continue"/>
            <w:tcBorders>
              <w:tl2br w:val="nil"/>
              <w:tr2bl w:val="nil"/>
            </w:tcBorders>
            <w:vAlign w:val="center"/>
          </w:tcPr>
          <w:p w14:paraId="699093D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0" w:type="pct"/>
            <w:vMerge w:val="continue"/>
            <w:tcBorders>
              <w:tl2br w:val="nil"/>
              <w:tr2bl w:val="nil"/>
            </w:tcBorders>
            <w:vAlign w:val="center"/>
          </w:tcPr>
          <w:p w14:paraId="08B2FDF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4CD6A6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292" w:type="pct"/>
            <w:vMerge w:val="continue"/>
            <w:tcBorders>
              <w:tl2br w:val="nil"/>
              <w:tr2bl w:val="nil"/>
            </w:tcBorders>
            <w:vAlign w:val="center"/>
          </w:tcPr>
          <w:p w14:paraId="6E96514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282" w:type="pct"/>
            <w:gridSpan w:val="2"/>
            <w:vMerge w:val="continue"/>
            <w:tcBorders>
              <w:tl2br w:val="nil"/>
              <w:tr2bl w:val="nil"/>
            </w:tcBorders>
            <w:vAlign w:val="center"/>
          </w:tcPr>
          <w:p w14:paraId="56D61EA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356" w:type="pct"/>
            <w:vMerge w:val="continue"/>
            <w:tcBorders>
              <w:tl2br w:val="nil"/>
              <w:tr2bl w:val="nil"/>
            </w:tcBorders>
            <w:vAlign w:val="center"/>
          </w:tcPr>
          <w:p w14:paraId="4878888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413" w:type="pct"/>
            <w:vMerge w:val="continue"/>
            <w:tcBorders>
              <w:tl2br w:val="nil"/>
              <w:tr2bl w:val="nil"/>
            </w:tcBorders>
            <w:vAlign w:val="center"/>
          </w:tcPr>
          <w:p w14:paraId="66BC8BD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304" w:type="pct"/>
            <w:vMerge w:val="continue"/>
            <w:tcBorders>
              <w:tl2br w:val="nil"/>
              <w:tr2bl w:val="nil"/>
            </w:tcBorders>
            <w:vAlign w:val="center"/>
          </w:tcPr>
          <w:p w14:paraId="30FDC28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220" w:type="pct"/>
            <w:vMerge w:val="continue"/>
            <w:tcBorders>
              <w:tl2br w:val="nil"/>
              <w:tr2bl w:val="nil"/>
            </w:tcBorders>
            <w:vAlign w:val="center"/>
          </w:tcPr>
          <w:p w14:paraId="4BA4AA4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220" w:type="pct"/>
            <w:vMerge w:val="continue"/>
            <w:tcBorders>
              <w:tl2br w:val="nil"/>
              <w:tr2bl w:val="nil"/>
            </w:tcBorders>
            <w:vAlign w:val="center"/>
          </w:tcPr>
          <w:p w14:paraId="7B20CB5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p>
        </w:tc>
        <w:tc>
          <w:tcPr>
            <w:tcW w:w="501" w:type="pct"/>
            <w:tcBorders>
              <w:tl2br w:val="nil"/>
              <w:tr2bl w:val="nil"/>
            </w:tcBorders>
            <w:vAlign w:val="center"/>
          </w:tcPr>
          <w:p w14:paraId="509643E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变  化</w:t>
            </w:r>
          </w:p>
        </w:tc>
        <w:tc>
          <w:tcPr>
            <w:tcW w:w="259" w:type="pct"/>
            <w:tcBorders>
              <w:tl2br w:val="nil"/>
              <w:tr2bl w:val="nil"/>
            </w:tcBorders>
            <w:vAlign w:val="center"/>
          </w:tcPr>
          <w:p w14:paraId="0222F4E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平均</w:t>
            </w:r>
          </w:p>
        </w:tc>
        <w:tc>
          <w:tcPr>
            <w:tcW w:w="884" w:type="pct"/>
            <w:vMerge w:val="continue"/>
            <w:tcBorders>
              <w:tl2br w:val="nil"/>
              <w:tr2bl w:val="nil"/>
            </w:tcBorders>
            <w:vAlign w:val="center"/>
          </w:tcPr>
          <w:p w14:paraId="4A0F8D4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vMerge w:val="continue"/>
            <w:tcBorders>
              <w:tl2br w:val="nil"/>
              <w:tr2bl w:val="nil"/>
            </w:tcBorders>
            <w:vAlign w:val="center"/>
          </w:tcPr>
          <w:p w14:paraId="362662B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69" w:type="pct"/>
            <w:vMerge w:val="continue"/>
            <w:tcBorders>
              <w:tl2br w:val="nil"/>
              <w:tr2bl w:val="nil"/>
            </w:tcBorders>
            <w:vAlign w:val="center"/>
          </w:tcPr>
          <w:p w14:paraId="54C75C1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32" w:type="pct"/>
            <w:vMerge w:val="continue"/>
            <w:tcBorders>
              <w:tl2br w:val="nil"/>
              <w:tr2bl w:val="nil"/>
            </w:tcBorders>
            <w:vAlign w:val="center"/>
          </w:tcPr>
          <w:p w14:paraId="4A6DEFC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0" w:type="pct"/>
            <w:vMerge w:val="continue"/>
            <w:tcBorders>
              <w:tl2br w:val="nil"/>
              <w:tr2bl w:val="nil"/>
            </w:tcBorders>
            <w:vAlign w:val="center"/>
          </w:tcPr>
          <w:p w14:paraId="77D1EDF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3262D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92" w:type="pct"/>
            <w:tcBorders>
              <w:tl2br w:val="nil"/>
              <w:tr2bl w:val="nil"/>
            </w:tcBorders>
            <w:vAlign w:val="center"/>
          </w:tcPr>
          <w:p w14:paraId="28735CC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Ⅰ</w:t>
            </w:r>
          </w:p>
        </w:tc>
        <w:tc>
          <w:tcPr>
            <w:tcW w:w="282" w:type="pct"/>
            <w:gridSpan w:val="2"/>
            <w:tcBorders>
              <w:tl2br w:val="nil"/>
              <w:tr2bl w:val="nil"/>
            </w:tcBorders>
            <w:vAlign w:val="center"/>
          </w:tcPr>
          <w:p w14:paraId="064CAF8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Ⅰ</w:t>
            </w:r>
          </w:p>
        </w:tc>
        <w:tc>
          <w:tcPr>
            <w:tcW w:w="356" w:type="pct"/>
            <w:tcBorders>
              <w:tl2br w:val="nil"/>
              <w:tr2bl w:val="nil"/>
            </w:tcBorders>
            <w:vAlign w:val="center"/>
          </w:tcPr>
          <w:p w14:paraId="00B9B34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97~102</w:t>
            </w:r>
          </w:p>
        </w:tc>
        <w:tc>
          <w:tcPr>
            <w:tcW w:w="413" w:type="pct"/>
            <w:tcBorders>
              <w:tl2br w:val="nil"/>
              <w:tr2bl w:val="nil"/>
            </w:tcBorders>
            <w:vAlign w:val="center"/>
          </w:tcPr>
          <w:p w14:paraId="00F97DB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2045~1808</w:t>
            </w:r>
          </w:p>
        </w:tc>
        <w:tc>
          <w:tcPr>
            <w:tcW w:w="304" w:type="pct"/>
            <w:tcBorders>
              <w:tl2br w:val="nil"/>
              <w:tr2bl w:val="nil"/>
            </w:tcBorders>
            <w:vAlign w:val="center"/>
          </w:tcPr>
          <w:p w14:paraId="5C26BDF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0A3C36C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158</w:t>
            </w:r>
          </w:p>
        </w:tc>
        <w:tc>
          <w:tcPr>
            <w:tcW w:w="220" w:type="pct"/>
            <w:tcBorders>
              <w:tl2br w:val="nil"/>
              <w:tr2bl w:val="nil"/>
            </w:tcBorders>
            <w:vAlign w:val="center"/>
          </w:tcPr>
          <w:p w14:paraId="70C6A59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226</w:t>
            </w:r>
          </w:p>
        </w:tc>
        <w:tc>
          <w:tcPr>
            <w:tcW w:w="501" w:type="pct"/>
            <w:tcBorders>
              <w:tl2br w:val="nil"/>
              <w:tr2bl w:val="nil"/>
            </w:tcBorders>
            <w:vAlign w:val="center"/>
          </w:tcPr>
          <w:p w14:paraId="1DCF984E">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1.41~3.38</w:t>
            </w:r>
          </w:p>
        </w:tc>
        <w:tc>
          <w:tcPr>
            <w:tcW w:w="259" w:type="pct"/>
            <w:tcBorders>
              <w:tl2br w:val="nil"/>
              <w:tr2bl w:val="nil"/>
            </w:tcBorders>
            <w:vAlign w:val="center"/>
          </w:tcPr>
          <w:p w14:paraId="5036823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2.67</w:t>
            </w:r>
          </w:p>
        </w:tc>
        <w:tc>
          <w:tcPr>
            <w:tcW w:w="884" w:type="pct"/>
            <w:tcBorders>
              <w:tl2br w:val="nil"/>
              <w:tr2bl w:val="nil"/>
            </w:tcBorders>
            <w:vAlign w:val="center"/>
          </w:tcPr>
          <w:p w14:paraId="17F393A2">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348°~351°∠87°~89°</w:t>
            </w:r>
          </w:p>
        </w:tc>
        <w:tc>
          <w:tcPr>
            <w:tcW w:w="483" w:type="pct"/>
            <w:tcBorders>
              <w:tl2br w:val="nil"/>
              <w:tr2bl w:val="nil"/>
            </w:tcBorders>
            <w:vAlign w:val="center"/>
          </w:tcPr>
          <w:p w14:paraId="6DBF0762">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0.59~0.80</w:t>
            </w:r>
          </w:p>
        </w:tc>
        <w:tc>
          <w:tcPr>
            <w:tcW w:w="269" w:type="pct"/>
            <w:tcBorders>
              <w:tl2br w:val="nil"/>
              <w:tr2bl w:val="nil"/>
            </w:tcBorders>
            <w:vAlign w:val="center"/>
          </w:tcPr>
          <w:p w14:paraId="0108AC2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0.66</w:t>
            </w:r>
          </w:p>
        </w:tc>
        <w:tc>
          <w:tcPr>
            <w:tcW w:w="232" w:type="pct"/>
            <w:tcBorders>
              <w:tl2br w:val="nil"/>
              <w:tr2bl w:val="nil"/>
            </w:tcBorders>
            <w:vAlign w:val="center"/>
          </w:tcPr>
          <w:p w14:paraId="53B2F00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6713F13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5CDBC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48BC9C2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Ⅱ</w:t>
            </w:r>
          </w:p>
        </w:tc>
        <w:tc>
          <w:tcPr>
            <w:tcW w:w="282" w:type="pct"/>
            <w:gridSpan w:val="2"/>
            <w:tcBorders>
              <w:tl2br w:val="nil"/>
              <w:tr2bl w:val="nil"/>
            </w:tcBorders>
            <w:vAlign w:val="center"/>
          </w:tcPr>
          <w:p w14:paraId="14835CE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Ⅱ</w:t>
            </w:r>
          </w:p>
        </w:tc>
        <w:tc>
          <w:tcPr>
            <w:tcW w:w="356" w:type="pct"/>
            <w:tcBorders>
              <w:tl2br w:val="nil"/>
              <w:tr2bl w:val="nil"/>
            </w:tcBorders>
            <w:vAlign w:val="center"/>
          </w:tcPr>
          <w:p w14:paraId="5E5EA89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97~106</w:t>
            </w:r>
          </w:p>
        </w:tc>
        <w:tc>
          <w:tcPr>
            <w:tcW w:w="413" w:type="pct"/>
            <w:tcBorders>
              <w:tl2br w:val="nil"/>
              <w:tr2bl w:val="nil"/>
            </w:tcBorders>
            <w:vAlign w:val="center"/>
          </w:tcPr>
          <w:p w14:paraId="4BED3F5A">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2052~1702</w:t>
            </w:r>
          </w:p>
        </w:tc>
        <w:tc>
          <w:tcPr>
            <w:tcW w:w="304" w:type="pct"/>
            <w:tcBorders>
              <w:tl2br w:val="nil"/>
              <w:tr2bl w:val="nil"/>
            </w:tcBorders>
            <w:vAlign w:val="center"/>
          </w:tcPr>
          <w:p w14:paraId="6C960E6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00AD816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210</w:t>
            </w:r>
          </w:p>
        </w:tc>
        <w:tc>
          <w:tcPr>
            <w:tcW w:w="220" w:type="pct"/>
            <w:tcBorders>
              <w:tl2br w:val="nil"/>
              <w:tr2bl w:val="nil"/>
            </w:tcBorders>
            <w:vAlign w:val="center"/>
          </w:tcPr>
          <w:p w14:paraId="43D539B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332</w:t>
            </w:r>
          </w:p>
        </w:tc>
        <w:tc>
          <w:tcPr>
            <w:tcW w:w="501" w:type="pct"/>
            <w:tcBorders>
              <w:tl2br w:val="nil"/>
              <w:tr2bl w:val="nil"/>
            </w:tcBorders>
            <w:vAlign w:val="center"/>
          </w:tcPr>
          <w:p w14:paraId="0FED207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1.25~7.09</w:t>
            </w:r>
          </w:p>
        </w:tc>
        <w:tc>
          <w:tcPr>
            <w:tcW w:w="259" w:type="pct"/>
            <w:tcBorders>
              <w:tl2br w:val="nil"/>
              <w:tr2bl w:val="nil"/>
            </w:tcBorders>
            <w:vAlign w:val="center"/>
          </w:tcPr>
          <w:p w14:paraId="7C5FCE7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3.62</w:t>
            </w:r>
          </w:p>
        </w:tc>
        <w:tc>
          <w:tcPr>
            <w:tcW w:w="884" w:type="pct"/>
            <w:tcBorders>
              <w:tl2br w:val="nil"/>
              <w:tr2bl w:val="nil"/>
            </w:tcBorders>
            <w:vAlign w:val="center"/>
          </w:tcPr>
          <w:p w14:paraId="657C04E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318°~321°∠77°~85°</w:t>
            </w:r>
          </w:p>
        </w:tc>
        <w:tc>
          <w:tcPr>
            <w:tcW w:w="483" w:type="pct"/>
            <w:tcBorders>
              <w:tl2br w:val="nil"/>
              <w:tr2bl w:val="nil"/>
            </w:tcBorders>
            <w:vAlign w:val="center"/>
          </w:tcPr>
          <w:p w14:paraId="55D241D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0.50~0.90</w:t>
            </w:r>
          </w:p>
        </w:tc>
        <w:tc>
          <w:tcPr>
            <w:tcW w:w="269" w:type="pct"/>
            <w:tcBorders>
              <w:tl2br w:val="nil"/>
              <w:tr2bl w:val="nil"/>
            </w:tcBorders>
            <w:vAlign w:val="center"/>
          </w:tcPr>
          <w:p w14:paraId="0AEA69B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0.59</w:t>
            </w:r>
          </w:p>
        </w:tc>
        <w:tc>
          <w:tcPr>
            <w:tcW w:w="232" w:type="pct"/>
            <w:tcBorders>
              <w:tl2br w:val="nil"/>
              <w:tr2bl w:val="nil"/>
            </w:tcBorders>
            <w:vAlign w:val="center"/>
          </w:tcPr>
          <w:p w14:paraId="492B741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21E234C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0D226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vMerge w:val="restart"/>
            <w:tcBorders>
              <w:tl2br w:val="nil"/>
              <w:tr2bl w:val="nil"/>
            </w:tcBorders>
            <w:vAlign w:val="center"/>
          </w:tcPr>
          <w:p w14:paraId="6B2EB69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Ⅲ</w:t>
            </w:r>
          </w:p>
        </w:tc>
        <w:tc>
          <w:tcPr>
            <w:tcW w:w="282" w:type="pct"/>
            <w:gridSpan w:val="2"/>
            <w:tcBorders>
              <w:tl2br w:val="nil"/>
              <w:tr2bl w:val="nil"/>
            </w:tcBorders>
            <w:vAlign w:val="center"/>
          </w:tcPr>
          <w:p w14:paraId="2A45818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Ⅲ</w:t>
            </w:r>
          </w:p>
        </w:tc>
        <w:tc>
          <w:tcPr>
            <w:tcW w:w="356" w:type="pct"/>
            <w:tcBorders>
              <w:tl2br w:val="nil"/>
              <w:tr2bl w:val="nil"/>
            </w:tcBorders>
            <w:vAlign w:val="center"/>
          </w:tcPr>
          <w:p w14:paraId="261A56B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11~16</w:t>
            </w:r>
          </w:p>
        </w:tc>
        <w:tc>
          <w:tcPr>
            <w:tcW w:w="413" w:type="pct"/>
            <w:tcBorders>
              <w:tl2br w:val="nil"/>
              <w:tr2bl w:val="nil"/>
            </w:tcBorders>
            <w:vAlign w:val="center"/>
          </w:tcPr>
          <w:p w14:paraId="236118B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2052~1803</w:t>
            </w:r>
          </w:p>
        </w:tc>
        <w:tc>
          <w:tcPr>
            <w:tcW w:w="304" w:type="pct"/>
            <w:tcBorders>
              <w:tl2br w:val="nil"/>
              <w:tr2bl w:val="nil"/>
            </w:tcBorders>
            <w:vAlign w:val="center"/>
          </w:tcPr>
          <w:p w14:paraId="21E794E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4A74A82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226</w:t>
            </w:r>
          </w:p>
        </w:tc>
        <w:tc>
          <w:tcPr>
            <w:tcW w:w="220" w:type="pct"/>
            <w:tcBorders>
              <w:tl2br w:val="nil"/>
              <w:tr2bl w:val="nil"/>
            </w:tcBorders>
            <w:vAlign w:val="center"/>
          </w:tcPr>
          <w:p w14:paraId="2D85205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286</w:t>
            </w:r>
          </w:p>
        </w:tc>
        <w:tc>
          <w:tcPr>
            <w:tcW w:w="501" w:type="pct"/>
            <w:tcBorders>
              <w:tl2br w:val="nil"/>
              <w:tr2bl w:val="nil"/>
            </w:tcBorders>
            <w:vAlign w:val="center"/>
          </w:tcPr>
          <w:p w14:paraId="60803FE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0.56~12.14</w:t>
            </w:r>
          </w:p>
        </w:tc>
        <w:tc>
          <w:tcPr>
            <w:tcW w:w="259" w:type="pct"/>
            <w:tcBorders>
              <w:tl2br w:val="nil"/>
              <w:tr2bl w:val="nil"/>
            </w:tcBorders>
            <w:vAlign w:val="center"/>
          </w:tcPr>
          <w:p w14:paraId="19488E1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3.64</w:t>
            </w:r>
          </w:p>
        </w:tc>
        <w:tc>
          <w:tcPr>
            <w:tcW w:w="884" w:type="pct"/>
            <w:tcBorders>
              <w:tl2br w:val="nil"/>
              <w:tr2bl w:val="nil"/>
            </w:tcBorders>
            <w:vAlign w:val="center"/>
          </w:tcPr>
          <w:p w14:paraId="0120D7F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285°~295°∠45°~69°</w:t>
            </w:r>
          </w:p>
        </w:tc>
        <w:tc>
          <w:tcPr>
            <w:tcW w:w="483" w:type="pct"/>
            <w:tcBorders>
              <w:tl2br w:val="nil"/>
              <w:tr2bl w:val="nil"/>
            </w:tcBorders>
            <w:vAlign w:val="center"/>
          </w:tcPr>
          <w:p w14:paraId="0A3D724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0.41~0.71</w:t>
            </w:r>
          </w:p>
        </w:tc>
        <w:tc>
          <w:tcPr>
            <w:tcW w:w="269" w:type="pct"/>
            <w:tcBorders>
              <w:tl2br w:val="nil"/>
              <w:tr2bl w:val="nil"/>
            </w:tcBorders>
            <w:vAlign w:val="center"/>
          </w:tcPr>
          <w:p w14:paraId="2169A63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0.53</w:t>
            </w:r>
          </w:p>
        </w:tc>
        <w:tc>
          <w:tcPr>
            <w:tcW w:w="232" w:type="pct"/>
            <w:tcBorders>
              <w:tl2br w:val="nil"/>
              <w:tr2bl w:val="nil"/>
            </w:tcBorders>
            <w:vAlign w:val="center"/>
          </w:tcPr>
          <w:p w14:paraId="694F02A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28993BB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0CE03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vMerge w:val="continue"/>
            <w:tcBorders>
              <w:tl2br w:val="nil"/>
              <w:tr2bl w:val="nil"/>
            </w:tcBorders>
            <w:vAlign w:val="center"/>
          </w:tcPr>
          <w:p w14:paraId="311D225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2" w:type="pct"/>
            <w:gridSpan w:val="2"/>
            <w:tcBorders>
              <w:tl2br w:val="nil"/>
              <w:tr2bl w:val="nil"/>
            </w:tcBorders>
            <w:vAlign w:val="center"/>
          </w:tcPr>
          <w:p w14:paraId="571A14A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Ⅲ-1</w:t>
            </w:r>
          </w:p>
        </w:tc>
        <w:tc>
          <w:tcPr>
            <w:tcW w:w="356" w:type="pct"/>
            <w:tcBorders>
              <w:tl2br w:val="nil"/>
              <w:tr2bl w:val="nil"/>
            </w:tcBorders>
            <w:vAlign w:val="center"/>
          </w:tcPr>
          <w:p w14:paraId="126FBE2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12~24</w:t>
            </w:r>
          </w:p>
        </w:tc>
        <w:tc>
          <w:tcPr>
            <w:tcW w:w="413" w:type="pct"/>
            <w:tcBorders>
              <w:tl2br w:val="nil"/>
              <w:tr2bl w:val="nil"/>
            </w:tcBorders>
            <w:vAlign w:val="center"/>
          </w:tcPr>
          <w:p w14:paraId="1FC4805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2027~1992</w:t>
            </w:r>
          </w:p>
        </w:tc>
        <w:tc>
          <w:tcPr>
            <w:tcW w:w="304" w:type="pct"/>
            <w:tcBorders>
              <w:tl2br w:val="nil"/>
              <w:tr2bl w:val="nil"/>
            </w:tcBorders>
            <w:vAlign w:val="center"/>
          </w:tcPr>
          <w:p w14:paraId="4B9E0D4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6C5D8E5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58</w:t>
            </w:r>
          </w:p>
        </w:tc>
        <w:tc>
          <w:tcPr>
            <w:tcW w:w="220" w:type="pct"/>
            <w:tcBorders>
              <w:tl2br w:val="nil"/>
              <w:tr2bl w:val="nil"/>
            </w:tcBorders>
            <w:vAlign w:val="center"/>
          </w:tcPr>
          <w:p w14:paraId="4C7CB9D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30</w:t>
            </w:r>
          </w:p>
        </w:tc>
        <w:tc>
          <w:tcPr>
            <w:tcW w:w="501" w:type="pct"/>
            <w:tcBorders>
              <w:tl2br w:val="nil"/>
              <w:tr2bl w:val="nil"/>
            </w:tcBorders>
            <w:vAlign w:val="center"/>
          </w:tcPr>
          <w:p w14:paraId="7410938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3.33~3.98</w:t>
            </w:r>
          </w:p>
        </w:tc>
        <w:tc>
          <w:tcPr>
            <w:tcW w:w="259" w:type="pct"/>
            <w:tcBorders>
              <w:tl2br w:val="nil"/>
              <w:tr2bl w:val="nil"/>
            </w:tcBorders>
            <w:vAlign w:val="center"/>
          </w:tcPr>
          <w:p w14:paraId="093EBB9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3.66</w:t>
            </w:r>
          </w:p>
        </w:tc>
        <w:tc>
          <w:tcPr>
            <w:tcW w:w="884" w:type="pct"/>
            <w:tcBorders>
              <w:tl2br w:val="nil"/>
              <w:tr2bl w:val="nil"/>
            </w:tcBorders>
            <w:vAlign w:val="center"/>
          </w:tcPr>
          <w:p w14:paraId="4765A2F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285°~295°∠45°~69°</w:t>
            </w:r>
          </w:p>
        </w:tc>
        <w:tc>
          <w:tcPr>
            <w:tcW w:w="483" w:type="pct"/>
            <w:tcBorders>
              <w:tl2br w:val="nil"/>
              <w:tr2bl w:val="nil"/>
            </w:tcBorders>
            <w:vAlign w:val="center"/>
          </w:tcPr>
          <w:p w14:paraId="07DC350A">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0.54~0.56</w:t>
            </w:r>
          </w:p>
        </w:tc>
        <w:tc>
          <w:tcPr>
            <w:tcW w:w="269" w:type="pct"/>
            <w:tcBorders>
              <w:tl2br w:val="nil"/>
              <w:tr2bl w:val="nil"/>
            </w:tcBorders>
            <w:vAlign w:val="center"/>
          </w:tcPr>
          <w:p w14:paraId="05575FB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0.55</w:t>
            </w:r>
          </w:p>
        </w:tc>
        <w:tc>
          <w:tcPr>
            <w:tcW w:w="232" w:type="pct"/>
            <w:tcBorders>
              <w:tl2br w:val="nil"/>
              <w:tr2bl w:val="nil"/>
            </w:tcBorders>
            <w:vAlign w:val="center"/>
          </w:tcPr>
          <w:p w14:paraId="3BE57E1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690472E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3AECF6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429CFF1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w:t>
            </w:r>
          </w:p>
        </w:tc>
        <w:tc>
          <w:tcPr>
            <w:tcW w:w="282" w:type="pct"/>
            <w:gridSpan w:val="2"/>
            <w:tcBorders>
              <w:tl2br w:val="nil"/>
              <w:tr2bl w:val="nil"/>
            </w:tcBorders>
            <w:vAlign w:val="center"/>
          </w:tcPr>
          <w:p w14:paraId="0A51C2E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w:t>
            </w:r>
          </w:p>
        </w:tc>
        <w:tc>
          <w:tcPr>
            <w:tcW w:w="356" w:type="pct"/>
            <w:tcBorders>
              <w:tl2br w:val="nil"/>
              <w:tr2bl w:val="nil"/>
            </w:tcBorders>
            <w:vAlign w:val="center"/>
          </w:tcPr>
          <w:p w14:paraId="4BF9B45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81~78</w:t>
            </w:r>
          </w:p>
        </w:tc>
        <w:tc>
          <w:tcPr>
            <w:tcW w:w="413" w:type="pct"/>
            <w:tcBorders>
              <w:tl2br w:val="nil"/>
              <w:tr2bl w:val="nil"/>
            </w:tcBorders>
            <w:vAlign w:val="center"/>
          </w:tcPr>
          <w:p w14:paraId="60AA51A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2025~1939</w:t>
            </w:r>
          </w:p>
        </w:tc>
        <w:tc>
          <w:tcPr>
            <w:tcW w:w="304" w:type="pct"/>
            <w:tcBorders>
              <w:tl2br w:val="nil"/>
              <w:tr2bl w:val="nil"/>
            </w:tcBorders>
            <w:vAlign w:val="center"/>
          </w:tcPr>
          <w:p w14:paraId="2804A6F2">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4EA0F36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134</w:t>
            </w:r>
          </w:p>
        </w:tc>
        <w:tc>
          <w:tcPr>
            <w:tcW w:w="220" w:type="pct"/>
            <w:tcBorders>
              <w:tl2br w:val="nil"/>
              <w:tr2bl w:val="nil"/>
            </w:tcBorders>
            <w:vAlign w:val="center"/>
          </w:tcPr>
          <w:p w14:paraId="0DB675C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127</w:t>
            </w:r>
          </w:p>
        </w:tc>
        <w:tc>
          <w:tcPr>
            <w:tcW w:w="501" w:type="pct"/>
            <w:tcBorders>
              <w:tl2br w:val="nil"/>
              <w:tr2bl w:val="nil"/>
            </w:tcBorders>
            <w:vAlign w:val="center"/>
          </w:tcPr>
          <w:p w14:paraId="18F6B66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1.15~2.64</w:t>
            </w:r>
          </w:p>
        </w:tc>
        <w:tc>
          <w:tcPr>
            <w:tcW w:w="259" w:type="pct"/>
            <w:tcBorders>
              <w:tl2br w:val="nil"/>
              <w:tr2bl w:val="nil"/>
            </w:tcBorders>
            <w:vAlign w:val="center"/>
          </w:tcPr>
          <w:p w14:paraId="02958FD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w:t>
            </w:r>
          </w:p>
        </w:tc>
        <w:tc>
          <w:tcPr>
            <w:tcW w:w="884" w:type="pct"/>
            <w:tcBorders>
              <w:tl2br w:val="nil"/>
              <w:tr2bl w:val="nil"/>
            </w:tcBorders>
            <w:vAlign w:val="center"/>
          </w:tcPr>
          <w:p w14:paraId="0A155B2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305°~320°∠45°~56°</w:t>
            </w:r>
          </w:p>
        </w:tc>
        <w:tc>
          <w:tcPr>
            <w:tcW w:w="483" w:type="pct"/>
            <w:tcBorders>
              <w:tl2br w:val="nil"/>
              <w:tr2bl w:val="nil"/>
            </w:tcBorders>
            <w:vAlign w:val="center"/>
          </w:tcPr>
          <w:p w14:paraId="2862A39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0.40~0.66</w:t>
            </w:r>
          </w:p>
        </w:tc>
        <w:tc>
          <w:tcPr>
            <w:tcW w:w="269" w:type="pct"/>
            <w:tcBorders>
              <w:tl2br w:val="nil"/>
              <w:tr2bl w:val="nil"/>
            </w:tcBorders>
            <w:vAlign w:val="center"/>
          </w:tcPr>
          <w:p w14:paraId="587886B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0.54</w:t>
            </w:r>
          </w:p>
        </w:tc>
        <w:tc>
          <w:tcPr>
            <w:tcW w:w="232" w:type="pct"/>
            <w:tcBorders>
              <w:tl2br w:val="nil"/>
              <w:tr2bl w:val="nil"/>
            </w:tcBorders>
            <w:vAlign w:val="center"/>
          </w:tcPr>
          <w:p w14:paraId="3E63A40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33113B3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72E84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5DC7CF9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Ⅴ</w:t>
            </w:r>
          </w:p>
        </w:tc>
        <w:tc>
          <w:tcPr>
            <w:tcW w:w="282" w:type="pct"/>
            <w:gridSpan w:val="2"/>
            <w:tcBorders>
              <w:tl2br w:val="nil"/>
              <w:tr2bl w:val="nil"/>
            </w:tcBorders>
            <w:vAlign w:val="center"/>
          </w:tcPr>
          <w:p w14:paraId="3E32320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Ⅴ</w:t>
            </w:r>
          </w:p>
        </w:tc>
        <w:tc>
          <w:tcPr>
            <w:tcW w:w="356" w:type="pct"/>
            <w:tcBorders>
              <w:tl2br w:val="nil"/>
              <w:tr2bl w:val="nil"/>
            </w:tcBorders>
            <w:vAlign w:val="center"/>
          </w:tcPr>
          <w:p w14:paraId="4B32607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57~58</w:t>
            </w:r>
          </w:p>
        </w:tc>
        <w:tc>
          <w:tcPr>
            <w:tcW w:w="413" w:type="pct"/>
            <w:tcBorders>
              <w:tl2br w:val="nil"/>
              <w:tr2bl w:val="nil"/>
            </w:tcBorders>
            <w:vAlign w:val="center"/>
          </w:tcPr>
          <w:p w14:paraId="2FC8C49E">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2038~1959</w:t>
            </w:r>
          </w:p>
        </w:tc>
        <w:tc>
          <w:tcPr>
            <w:tcW w:w="304" w:type="pct"/>
            <w:tcBorders>
              <w:tl2br w:val="nil"/>
              <w:tr2bl w:val="nil"/>
            </w:tcBorders>
            <w:vAlign w:val="center"/>
          </w:tcPr>
          <w:p w14:paraId="6D48ACC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356A1CC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107</w:t>
            </w:r>
          </w:p>
        </w:tc>
        <w:tc>
          <w:tcPr>
            <w:tcW w:w="220" w:type="pct"/>
            <w:tcBorders>
              <w:tl2br w:val="nil"/>
              <w:tr2bl w:val="nil"/>
            </w:tcBorders>
            <w:vAlign w:val="center"/>
          </w:tcPr>
          <w:p w14:paraId="72DA681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54</w:t>
            </w:r>
          </w:p>
        </w:tc>
        <w:tc>
          <w:tcPr>
            <w:tcW w:w="501" w:type="pct"/>
            <w:tcBorders>
              <w:tl2br w:val="nil"/>
              <w:tr2bl w:val="nil"/>
            </w:tcBorders>
            <w:vAlign w:val="center"/>
          </w:tcPr>
          <w:p w14:paraId="5AAD80B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1.00~3.53</w:t>
            </w:r>
          </w:p>
        </w:tc>
        <w:tc>
          <w:tcPr>
            <w:tcW w:w="259" w:type="pct"/>
            <w:tcBorders>
              <w:tl2br w:val="nil"/>
              <w:tr2bl w:val="nil"/>
            </w:tcBorders>
            <w:vAlign w:val="center"/>
          </w:tcPr>
          <w:p w14:paraId="6EF172C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w:t>
            </w:r>
          </w:p>
        </w:tc>
        <w:tc>
          <w:tcPr>
            <w:tcW w:w="884" w:type="pct"/>
            <w:tcBorders>
              <w:tl2br w:val="nil"/>
              <w:tr2bl w:val="nil"/>
            </w:tcBorders>
            <w:vAlign w:val="center"/>
          </w:tcPr>
          <w:p w14:paraId="6A4B348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310°~330°∠27°~45°</w:t>
            </w:r>
          </w:p>
        </w:tc>
        <w:tc>
          <w:tcPr>
            <w:tcW w:w="483" w:type="pct"/>
            <w:tcBorders>
              <w:tl2br w:val="nil"/>
              <w:tr2bl w:val="nil"/>
            </w:tcBorders>
            <w:vAlign w:val="center"/>
          </w:tcPr>
          <w:p w14:paraId="439177F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0.40~0.53</w:t>
            </w:r>
          </w:p>
        </w:tc>
        <w:tc>
          <w:tcPr>
            <w:tcW w:w="269" w:type="pct"/>
            <w:tcBorders>
              <w:tl2br w:val="nil"/>
              <w:tr2bl w:val="nil"/>
            </w:tcBorders>
            <w:vAlign w:val="center"/>
          </w:tcPr>
          <w:p w14:paraId="72CCD53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0.48</w:t>
            </w:r>
          </w:p>
        </w:tc>
        <w:tc>
          <w:tcPr>
            <w:tcW w:w="232" w:type="pct"/>
            <w:tcBorders>
              <w:tl2br w:val="nil"/>
              <w:tr2bl w:val="nil"/>
            </w:tcBorders>
            <w:vAlign w:val="center"/>
          </w:tcPr>
          <w:p w14:paraId="72A9AAD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6DD31D5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7F9181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1110BA7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Ⅵ</w:t>
            </w:r>
          </w:p>
        </w:tc>
        <w:tc>
          <w:tcPr>
            <w:tcW w:w="282" w:type="pct"/>
            <w:gridSpan w:val="2"/>
            <w:tcBorders>
              <w:tl2br w:val="nil"/>
              <w:tr2bl w:val="nil"/>
            </w:tcBorders>
            <w:vAlign w:val="center"/>
          </w:tcPr>
          <w:p w14:paraId="14A473A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Ⅵ</w:t>
            </w:r>
          </w:p>
        </w:tc>
        <w:tc>
          <w:tcPr>
            <w:tcW w:w="356" w:type="pct"/>
            <w:tcBorders>
              <w:tl2br w:val="nil"/>
              <w:tr2bl w:val="nil"/>
            </w:tcBorders>
            <w:vAlign w:val="center"/>
          </w:tcPr>
          <w:p w14:paraId="6A09FE9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125~122</w:t>
            </w:r>
          </w:p>
        </w:tc>
        <w:tc>
          <w:tcPr>
            <w:tcW w:w="413" w:type="pct"/>
            <w:tcBorders>
              <w:tl2br w:val="nil"/>
              <w:tr2bl w:val="nil"/>
            </w:tcBorders>
            <w:vAlign w:val="center"/>
          </w:tcPr>
          <w:p w14:paraId="5141E45A">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2015~1858</w:t>
            </w:r>
          </w:p>
        </w:tc>
        <w:tc>
          <w:tcPr>
            <w:tcW w:w="304" w:type="pct"/>
            <w:tcBorders>
              <w:tl2br w:val="nil"/>
              <w:tr2bl w:val="nil"/>
            </w:tcBorders>
            <w:vAlign w:val="center"/>
          </w:tcPr>
          <w:p w14:paraId="27757B9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层状</w:t>
            </w:r>
          </w:p>
        </w:tc>
        <w:tc>
          <w:tcPr>
            <w:tcW w:w="220" w:type="pct"/>
            <w:tcBorders>
              <w:tl2br w:val="nil"/>
              <w:tr2bl w:val="nil"/>
            </w:tcBorders>
            <w:vAlign w:val="center"/>
          </w:tcPr>
          <w:p w14:paraId="72635D0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200</w:t>
            </w:r>
          </w:p>
        </w:tc>
        <w:tc>
          <w:tcPr>
            <w:tcW w:w="220" w:type="pct"/>
            <w:tcBorders>
              <w:tl2br w:val="nil"/>
              <w:tr2bl w:val="nil"/>
            </w:tcBorders>
            <w:vAlign w:val="center"/>
          </w:tcPr>
          <w:p w14:paraId="329D709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182</w:t>
            </w:r>
          </w:p>
        </w:tc>
        <w:tc>
          <w:tcPr>
            <w:tcW w:w="501" w:type="pct"/>
            <w:tcBorders>
              <w:tl2br w:val="nil"/>
              <w:tr2bl w:val="nil"/>
            </w:tcBorders>
            <w:vAlign w:val="center"/>
          </w:tcPr>
          <w:p w14:paraId="2722EC8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1.06~3.46</w:t>
            </w:r>
          </w:p>
        </w:tc>
        <w:tc>
          <w:tcPr>
            <w:tcW w:w="259" w:type="pct"/>
            <w:tcBorders>
              <w:tl2br w:val="nil"/>
              <w:tr2bl w:val="nil"/>
            </w:tcBorders>
            <w:vAlign w:val="center"/>
          </w:tcPr>
          <w:p w14:paraId="20EBE232">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2.41</w:t>
            </w:r>
          </w:p>
        </w:tc>
        <w:tc>
          <w:tcPr>
            <w:tcW w:w="884" w:type="pct"/>
            <w:tcBorders>
              <w:tl2br w:val="nil"/>
              <w:tr2bl w:val="nil"/>
            </w:tcBorders>
            <w:vAlign w:val="center"/>
          </w:tcPr>
          <w:p w14:paraId="6F9C8CA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285°~320°∠64°~68°</w:t>
            </w:r>
          </w:p>
        </w:tc>
        <w:tc>
          <w:tcPr>
            <w:tcW w:w="483" w:type="pct"/>
            <w:tcBorders>
              <w:tl2br w:val="nil"/>
              <w:tr2bl w:val="nil"/>
            </w:tcBorders>
            <w:vAlign w:val="center"/>
          </w:tcPr>
          <w:p w14:paraId="11798D8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0.52~0.70</w:t>
            </w:r>
          </w:p>
        </w:tc>
        <w:tc>
          <w:tcPr>
            <w:tcW w:w="269" w:type="pct"/>
            <w:tcBorders>
              <w:tl2br w:val="nil"/>
              <w:tr2bl w:val="nil"/>
            </w:tcBorders>
            <w:vAlign w:val="center"/>
          </w:tcPr>
          <w:p w14:paraId="4B5A77E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0.62</w:t>
            </w:r>
          </w:p>
        </w:tc>
        <w:tc>
          <w:tcPr>
            <w:tcW w:w="232" w:type="pct"/>
            <w:tcBorders>
              <w:tl2br w:val="nil"/>
              <w:tr2bl w:val="nil"/>
            </w:tcBorders>
            <w:vAlign w:val="center"/>
          </w:tcPr>
          <w:p w14:paraId="6982BE8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出露</w:t>
            </w:r>
          </w:p>
        </w:tc>
        <w:tc>
          <w:tcPr>
            <w:tcW w:w="280" w:type="pct"/>
            <w:tcBorders>
              <w:tl2br w:val="nil"/>
              <w:tr2bl w:val="nil"/>
            </w:tcBorders>
            <w:vAlign w:val="center"/>
          </w:tcPr>
          <w:p w14:paraId="15451A1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11350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601328F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2" w:type="pct"/>
            <w:gridSpan w:val="2"/>
            <w:tcBorders>
              <w:tl2br w:val="nil"/>
              <w:tr2bl w:val="nil"/>
            </w:tcBorders>
            <w:vAlign w:val="center"/>
          </w:tcPr>
          <w:p w14:paraId="2CAD839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w:t>
            </w:r>
          </w:p>
        </w:tc>
        <w:tc>
          <w:tcPr>
            <w:tcW w:w="356" w:type="pct"/>
            <w:tcBorders>
              <w:tl2br w:val="nil"/>
              <w:tr2bl w:val="nil"/>
            </w:tcBorders>
            <w:vAlign w:val="center"/>
          </w:tcPr>
          <w:p w14:paraId="057C920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211~216</w:t>
            </w:r>
          </w:p>
        </w:tc>
        <w:tc>
          <w:tcPr>
            <w:tcW w:w="413" w:type="pct"/>
            <w:tcBorders>
              <w:tl2br w:val="nil"/>
              <w:tr2bl w:val="nil"/>
            </w:tcBorders>
            <w:vAlign w:val="center"/>
          </w:tcPr>
          <w:p w14:paraId="2FDB7D4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2007~1937</w:t>
            </w:r>
          </w:p>
        </w:tc>
        <w:tc>
          <w:tcPr>
            <w:tcW w:w="304" w:type="pct"/>
            <w:tcBorders>
              <w:tl2br w:val="nil"/>
              <w:tr2bl w:val="nil"/>
            </w:tcBorders>
            <w:vAlign w:val="center"/>
          </w:tcPr>
          <w:p w14:paraId="131A9E9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36D33D8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540</w:t>
            </w:r>
          </w:p>
        </w:tc>
        <w:tc>
          <w:tcPr>
            <w:tcW w:w="220" w:type="pct"/>
            <w:tcBorders>
              <w:tl2br w:val="nil"/>
              <w:tr2bl w:val="nil"/>
            </w:tcBorders>
            <w:vAlign w:val="center"/>
          </w:tcPr>
          <w:p w14:paraId="532437F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170</w:t>
            </w:r>
          </w:p>
        </w:tc>
        <w:tc>
          <w:tcPr>
            <w:tcW w:w="501" w:type="pct"/>
            <w:tcBorders>
              <w:tl2br w:val="nil"/>
              <w:tr2bl w:val="nil"/>
            </w:tcBorders>
            <w:vAlign w:val="center"/>
          </w:tcPr>
          <w:p w14:paraId="036653A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0.80~25.62</w:t>
            </w:r>
          </w:p>
        </w:tc>
        <w:tc>
          <w:tcPr>
            <w:tcW w:w="259" w:type="pct"/>
            <w:tcBorders>
              <w:tl2br w:val="nil"/>
              <w:tr2bl w:val="nil"/>
            </w:tcBorders>
            <w:vAlign w:val="center"/>
          </w:tcPr>
          <w:p w14:paraId="515B34A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6.97</w:t>
            </w:r>
          </w:p>
        </w:tc>
        <w:tc>
          <w:tcPr>
            <w:tcW w:w="884" w:type="pct"/>
            <w:vMerge w:val="restart"/>
            <w:tcBorders>
              <w:tl2br w:val="nil"/>
              <w:tr2bl w:val="nil"/>
            </w:tcBorders>
            <w:vAlign w:val="center"/>
          </w:tcPr>
          <w:p w14:paraId="0072026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32°~44°∠10°~45°</w:t>
            </w:r>
          </w:p>
        </w:tc>
        <w:tc>
          <w:tcPr>
            <w:tcW w:w="483" w:type="pct"/>
            <w:tcBorders>
              <w:tl2br w:val="nil"/>
              <w:tr2bl w:val="nil"/>
            </w:tcBorders>
            <w:vAlign w:val="center"/>
          </w:tcPr>
          <w:p w14:paraId="02E6414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0.48~1.27</w:t>
            </w:r>
          </w:p>
        </w:tc>
        <w:tc>
          <w:tcPr>
            <w:tcW w:w="269" w:type="pct"/>
            <w:tcBorders>
              <w:tl2br w:val="nil"/>
              <w:tr2bl w:val="nil"/>
            </w:tcBorders>
            <w:vAlign w:val="center"/>
          </w:tcPr>
          <w:p w14:paraId="75B589D1">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0.74</w:t>
            </w:r>
          </w:p>
        </w:tc>
        <w:tc>
          <w:tcPr>
            <w:tcW w:w="232" w:type="pct"/>
            <w:tcBorders>
              <w:tl2br w:val="nil"/>
              <w:tr2bl w:val="nil"/>
            </w:tcBorders>
            <w:vAlign w:val="center"/>
          </w:tcPr>
          <w:p w14:paraId="0272482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590F603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7B12E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039A64A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2" w:type="pct"/>
            <w:gridSpan w:val="2"/>
            <w:tcBorders>
              <w:tl2br w:val="nil"/>
              <w:tr2bl w:val="nil"/>
            </w:tcBorders>
            <w:vAlign w:val="center"/>
          </w:tcPr>
          <w:p w14:paraId="115B4EE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Ⅳ-1-1</w:t>
            </w:r>
          </w:p>
        </w:tc>
        <w:tc>
          <w:tcPr>
            <w:tcW w:w="356" w:type="pct"/>
            <w:tcBorders>
              <w:tl2br w:val="nil"/>
              <w:tr2bl w:val="nil"/>
            </w:tcBorders>
            <w:vAlign w:val="center"/>
          </w:tcPr>
          <w:p w14:paraId="55EB472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203~204</w:t>
            </w:r>
          </w:p>
        </w:tc>
        <w:tc>
          <w:tcPr>
            <w:tcW w:w="413" w:type="pct"/>
            <w:tcBorders>
              <w:tl2br w:val="nil"/>
              <w:tr2bl w:val="nil"/>
            </w:tcBorders>
            <w:vAlign w:val="center"/>
          </w:tcPr>
          <w:p w14:paraId="361A016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1986~1960</w:t>
            </w:r>
          </w:p>
        </w:tc>
        <w:tc>
          <w:tcPr>
            <w:tcW w:w="304" w:type="pct"/>
            <w:tcBorders>
              <w:tl2br w:val="nil"/>
              <w:tr2bl w:val="nil"/>
            </w:tcBorders>
            <w:vAlign w:val="center"/>
          </w:tcPr>
          <w:p w14:paraId="59C2108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4A92BB7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40</w:t>
            </w:r>
          </w:p>
        </w:tc>
        <w:tc>
          <w:tcPr>
            <w:tcW w:w="220" w:type="pct"/>
            <w:tcBorders>
              <w:tl2br w:val="nil"/>
              <w:tr2bl w:val="nil"/>
            </w:tcBorders>
            <w:vAlign w:val="center"/>
          </w:tcPr>
          <w:p w14:paraId="3966C8C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50</w:t>
            </w:r>
          </w:p>
        </w:tc>
        <w:tc>
          <w:tcPr>
            <w:tcW w:w="501" w:type="pct"/>
            <w:tcBorders>
              <w:tl2br w:val="nil"/>
              <w:tr2bl w:val="nil"/>
            </w:tcBorders>
            <w:vAlign w:val="center"/>
          </w:tcPr>
          <w:p w14:paraId="3FC4FDF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3.90~6.99</w:t>
            </w:r>
          </w:p>
        </w:tc>
        <w:tc>
          <w:tcPr>
            <w:tcW w:w="259" w:type="pct"/>
            <w:tcBorders>
              <w:tl2br w:val="nil"/>
              <w:tr2bl w:val="nil"/>
            </w:tcBorders>
            <w:vAlign w:val="center"/>
          </w:tcPr>
          <w:p w14:paraId="67090A7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5.45</w:t>
            </w:r>
          </w:p>
        </w:tc>
        <w:tc>
          <w:tcPr>
            <w:tcW w:w="884" w:type="pct"/>
            <w:vMerge w:val="continue"/>
            <w:tcBorders>
              <w:tl2br w:val="nil"/>
              <w:tr2bl w:val="nil"/>
            </w:tcBorders>
            <w:vAlign w:val="center"/>
          </w:tcPr>
          <w:p w14:paraId="2079D7F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6F94489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0.46~0.60</w:t>
            </w:r>
          </w:p>
        </w:tc>
        <w:tc>
          <w:tcPr>
            <w:tcW w:w="269" w:type="pct"/>
            <w:tcBorders>
              <w:tl2br w:val="nil"/>
              <w:tr2bl w:val="nil"/>
            </w:tcBorders>
            <w:vAlign w:val="center"/>
          </w:tcPr>
          <w:p w14:paraId="0C8451B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0.53</w:t>
            </w:r>
          </w:p>
        </w:tc>
        <w:tc>
          <w:tcPr>
            <w:tcW w:w="232" w:type="pct"/>
            <w:tcBorders>
              <w:tl2br w:val="nil"/>
              <w:tr2bl w:val="nil"/>
            </w:tcBorders>
            <w:vAlign w:val="center"/>
          </w:tcPr>
          <w:p w14:paraId="02FBB33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0BEF3A2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39E357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vAlign w:val="center"/>
          </w:tcPr>
          <w:p w14:paraId="2770357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2" w:type="pct"/>
            <w:gridSpan w:val="2"/>
            <w:tcBorders>
              <w:tl2br w:val="nil"/>
              <w:tr2bl w:val="nil"/>
            </w:tcBorders>
            <w:vAlign w:val="center"/>
          </w:tcPr>
          <w:p w14:paraId="7DCD76E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Ⅳ-1-2</w:t>
            </w:r>
          </w:p>
        </w:tc>
        <w:tc>
          <w:tcPr>
            <w:tcW w:w="356" w:type="pct"/>
            <w:tcBorders>
              <w:tl2br w:val="nil"/>
              <w:tr2bl w:val="nil"/>
            </w:tcBorders>
            <w:vAlign w:val="center"/>
          </w:tcPr>
          <w:p w14:paraId="4235EE0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203~204</w:t>
            </w:r>
          </w:p>
        </w:tc>
        <w:tc>
          <w:tcPr>
            <w:tcW w:w="413" w:type="pct"/>
            <w:tcBorders>
              <w:tl2br w:val="nil"/>
              <w:tr2bl w:val="nil"/>
            </w:tcBorders>
            <w:vAlign w:val="center"/>
          </w:tcPr>
          <w:p w14:paraId="2150EDB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1974~1936</w:t>
            </w:r>
          </w:p>
        </w:tc>
        <w:tc>
          <w:tcPr>
            <w:tcW w:w="304" w:type="pct"/>
            <w:tcBorders>
              <w:tl2br w:val="nil"/>
              <w:tr2bl w:val="nil"/>
            </w:tcBorders>
            <w:vAlign w:val="center"/>
          </w:tcPr>
          <w:p w14:paraId="66C1167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1EBA6F1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40</w:t>
            </w:r>
          </w:p>
        </w:tc>
        <w:tc>
          <w:tcPr>
            <w:tcW w:w="220" w:type="pct"/>
            <w:tcBorders>
              <w:tl2br w:val="nil"/>
              <w:tr2bl w:val="nil"/>
            </w:tcBorders>
            <w:vAlign w:val="center"/>
          </w:tcPr>
          <w:p w14:paraId="1EB4F55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60</w:t>
            </w:r>
          </w:p>
        </w:tc>
        <w:tc>
          <w:tcPr>
            <w:tcW w:w="501" w:type="pct"/>
            <w:tcBorders>
              <w:tl2br w:val="nil"/>
              <w:tr2bl w:val="nil"/>
            </w:tcBorders>
            <w:vAlign w:val="center"/>
          </w:tcPr>
          <w:p w14:paraId="522E215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1.99~3.21</w:t>
            </w:r>
          </w:p>
        </w:tc>
        <w:tc>
          <w:tcPr>
            <w:tcW w:w="259" w:type="pct"/>
            <w:tcBorders>
              <w:tl2br w:val="nil"/>
              <w:tr2bl w:val="nil"/>
            </w:tcBorders>
            <w:vAlign w:val="center"/>
          </w:tcPr>
          <w:p w14:paraId="12445A4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2.60</w:t>
            </w:r>
          </w:p>
        </w:tc>
        <w:tc>
          <w:tcPr>
            <w:tcW w:w="884" w:type="pct"/>
            <w:vMerge w:val="continue"/>
            <w:tcBorders>
              <w:tl2br w:val="nil"/>
              <w:tr2bl w:val="nil"/>
            </w:tcBorders>
            <w:vAlign w:val="center"/>
          </w:tcPr>
          <w:p w14:paraId="392F0CF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06CC88E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0.48~0.51</w:t>
            </w:r>
          </w:p>
        </w:tc>
        <w:tc>
          <w:tcPr>
            <w:tcW w:w="269" w:type="pct"/>
            <w:tcBorders>
              <w:tl2br w:val="nil"/>
              <w:tr2bl w:val="nil"/>
            </w:tcBorders>
            <w:vAlign w:val="center"/>
          </w:tcPr>
          <w:p w14:paraId="097E733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0.50</w:t>
            </w:r>
          </w:p>
        </w:tc>
        <w:tc>
          <w:tcPr>
            <w:tcW w:w="232" w:type="pct"/>
            <w:tcBorders>
              <w:tl2br w:val="nil"/>
              <w:tr2bl w:val="nil"/>
            </w:tcBorders>
            <w:vAlign w:val="center"/>
          </w:tcPr>
          <w:p w14:paraId="45645DA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4931FFF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59CF04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92" w:type="pct"/>
            <w:tcBorders>
              <w:tl2br w:val="nil"/>
              <w:tr2bl w:val="nil"/>
            </w:tcBorders>
            <w:vAlign w:val="center"/>
          </w:tcPr>
          <w:p w14:paraId="446365D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2" w:type="pct"/>
            <w:gridSpan w:val="2"/>
            <w:tcBorders>
              <w:tl2br w:val="nil"/>
              <w:tr2bl w:val="nil"/>
            </w:tcBorders>
            <w:vAlign w:val="center"/>
          </w:tcPr>
          <w:p w14:paraId="05BEC7F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Ⅳ-1-3</w:t>
            </w:r>
          </w:p>
        </w:tc>
        <w:tc>
          <w:tcPr>
            <w:tcW w:w="356" w:type="pct"/>
            <w:tcBorders>
              <w:tl2br w:val="nil"/>
              <w:tr2bl w:val="nil"/>
            </w:tcBorders>
            <w:vAlign w:val="center"/>
          </w:tcPr>
          <w:p w14:paraId="795E251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211~216</w:t>
            </w:r>
          </w:p>
        </w:tc>
        <w:tc>
          <w:tcPr>
            <w:tcW w:w="413" w:type="pct"/>
            <w:tcBorders>
              <w:tl2br w:val="nil"/>
              <w:tr2bl w:val="nil"/>
            </w:tcBorders>
            <w:vAlign w:val="center"/>
          </w:tcPr>
          <w:p w14:paraId="4F0D91F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1954~1912</w:t>
            </w:r>
          </w:p>
        </w:tc>
        <w:tc>
          <w:tcPr>
            <w:tcW w:w="304" w:type="pct"/>
            <w:tcBorders>
              <w:tl2br w:val="nil"/>
              <w:tr2bl w:val="nil"/>
            </w:tcBorders>
            <w:vAlign w:val="center"/>
          </w:tcPr>
          <w:p w14:paraId="6E05477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4A71038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432</w:t>
            </w:r>
          </w:p>
        </w:tc>
        <w:tc>
          <w:tcPr>
            <w:tcW w:w="220" w:type="pct"/>
            <w:tcBorders>
              <w:tl2br w:val="nil"/>
              <w:tr2bl w:val="nil"/>
            </w:tcBorders>
            <w:vAlign w:val="center"/>
          </w:tcPr>
          <w:p w14:paraId="0FB6731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112</w:t>
            </w:r>
          </w:p>
        </w:tc>
        <w:tc>
          <w:tcPr>
            <w:tcW w:w="501" w:type="pct"/>
            <w:tcBorders>
              <w:tl2br w:val="nil"/>
              <w:tr2bl w:val="nil"/>
            </w:tcBorders>
            <w:vAlign w:val="center"/>
          </w:tcPr>
          <w:p w14:paraId="2221806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1.00~4.45</w:t>
            </w:r>
          </w:p>
        </w:tc>
        <w:tc>
          <w:tcPr>
            <w:tcW w:w="259" w:type="pct"/>
            <w:tcBorders>
              <w:tl2br w:val="nil"/>
              <w:tr2bl w:val="nil"/>
            </w:tcBorders>
            <w:vAlign w:val="center"/>
          </w:tcPr>
          <w:p w14:paraId="0C00259E">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2.35</w:t>
            </w:r>
          </w:p>
        </w:tc>
        <w:tc>
          <w:tcPr>
            <w:tcW w:w="884" w:type="pct"/>
            <w:vMerge w:val="continue"/>
            <w:tcBorders>
              <w:tl2br w:val="nil"/>
              <w:tr2bl w:val="nil"/>
            </w:tcBorders>
            <w:vAlign w:val="center"/>
          </w:tcPr>
          <w:p w14:paraId="6C100D8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3E1C10C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0.44~1.15</w:t>
            </w:r>
          </w:p>
        </w:tc>
        <w:tc>
          <w:tcPr>
            <w:tcW w:w="269" w:type="pct"/>
            <w:tcBorders>
              <w:tl2br w:val="nil"/>
              <w:tr2bl w:val="nil"/>
            </w:tcBorders>
            <w:vAlign w:val="center"/>
          </w:tcPr>
          <w:p w14:paraId="19BD27C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0.73</w:t>
            </w:r>
          </w:p>
        </w:tc>
        <w:tc>
          <w:tcPr>
            <w:tcW w:w="232" w:type="pct"/>
            <w:tcBorders>
              <w:tl2br w:val="nil"/>
              <w:tr2bl w:val="nil"/>
            </w:tcBorders>
            <w:vAlign w:val="center"/>
          </w:tcPr>
          <w:p w14:paraId="574F003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7D589E2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0BD9B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4" w:type="pct"/>
            <w:gridSpan w:val="3"/>
            <w:tcBorders>
              <w:tl2br w:val="nil"/>
              <w:tr2bl w:val="nil"/>
            </w:tcBorders>
            <w:vAlign w:val="center"/>
          </w:tcPr>
          <w:p w14:paraId="1C4CC29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矿床</w:t>
            </w:r>
          </w:p>
        </w:tc>
        <w:tc>
          <w:tcPr>
            <w:tcW w:w="356" w:type="pct"/>
            <w:tcBorders>
              <w:tl2br w:val="nil"/>
              <w:tr2bl w:val="nil"/>
            </w:tcBorders>
            <w:vAlign w:val="center"/>
          </w:tcPr>
          <w:p w14:paraId="01424DA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13" w:type="pct"/>
            <w:tcBorders>
              <w:tl2br w:val="nil"/>
              <w:tr2bl w:val="nil"/>
            </w:tcBorders>
            <w:vAlign w:val="center"/>
          </w:tcPr>
          <w:p w14:paraId="7A0153C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2052~1702</w:t>
            </w:r>
          </w:p>
        </w:tc>
        <w:tc>
          <w:tcPr>
            <w:tcW w:w="304" w:type="pct"/>
            <w:tcBorders>
              <w:tl2br w:val="nil"/>
              <w:tr2bl w:val="nil"/>
            </w:tcBorders>
            <w:vAlign w:val="center"/>
          </w:tcPr>
          <w:p w14:paraId="7B278A1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20" w:type="pct"/>
            <w:tcBorders>
              <w:tl2br w:val="nil"/>
              <w:tr2bl w:val="nil"/>
            </w:tcBorders>
            <w:vAlign w:val="center"/>
          </w:tcPr>
          <w:p w14:paraId="7A500DC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20" w:type="pct"/>
            <w:tcBorders>
              <w:tl2br w:val="nil"/>
              <w:tr2bl w:val="nil"/>
            </w:tcBorders>
            <w:vAlign w:val="center"/>
          </w:tcPr>
          <w:p w14:paraId="2D2EEE5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501" w:type="pct"/>
            <w:tcBorders>
              <w:tl2br w:val="nil"/>
              <w:tr2bl w:val="nil"/>
            </w:tcBorders>
            <w:vAlign w:val="center"/>
          </w:tcPr>
          <w:p w14:paraId="0BF2DD5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0.80~25.62</w:t>
            </w:r>
          </w:p>
        </w:tc>
        <w:tc>
          <w:tcPr>
            <w:tcW w:w="259" w:type="pct"/>
            <w:tcBorders>
              <w:tl2br w:val="nil"/>
              <w:tr2bl w:val="nil"/>
            </w:tcBorders>
            <w:vAlign w:val="center"/>
          </w:tcPr>
          <w:p w14:paraId="60C80D7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3.39</w:t>
            </w:r>
          </w:p>
        </w:tc>
        <w:tc>
          <w:tcPr>
            <w:tcW w:w="884" w:type="pct"/>
            <w:tcBorders>
              <w:tl2br w:val="nil"/>
              <w:tr2bl w:val="nil"/>
            </w:tcBorders>
            <w:vAlign w:val="center"/>
          </w:tcPr>
          <w:p w14:paraId="11A7273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7C43195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0.40~1.27</w:t>
            </w:r>
          </w:p>
        </w:tc>
        <w:tc>
          <w:tcPr>
            <w:tcW w:w="269" w:type="pct"/>
            <w:tcBorders>
              <w:tl2br w:val="nil"/>
              <w:tr2bl w:val="nil"/>
            </w:tcBorders>
            <w:vAlign w:val="center"/>
          </w:tcPr>
          <w:p w14:paraId="6987E68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0.65</w:t>
            </w:r>
          </w:p>
        </w:tc>
        <w:tc>
          <w:tcPr>
            <w:tcW w:w="232" w:type="pct"/>
            <w:tcBorders>
              <w:tl2br w:val="nil"/>
              <w:tr2bl w:val="nil"/>
            </w:tcBorders>
            <w:vAlign w:val="center"/>
          </w:tcPr>
          <w:p w14:paraId="300387E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0" w:type="pct"/>
            <w:tcBorders>
              <w:tl2br w:val="nil"/>
              <w:tr2bl w:val="nil"/>
            </w:tcBorders>
            <w:vAlign w:val="center"/>
          </w:tcPr>
          <w:p w14:paraId="7ABBAD7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4D5CF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4" w:type="pct"/>
            <w:gridSpan w:val="3"/>
            <w:tcBorders>
              <w:tl2br w:val="nil"/>
              <w:tr2bl w:val="nil"/>
            </w:tcBorders>
            <w:vAlign w:val="center"/>
          </w:tcPr>
          <w:p w14:paraId="0FA5042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矿 体 编 号</w:t>
            </w:r>
          </w:p>
        </w:tc>
        <w:tc>
          <w:tcPr>
            <w:tcW w:w="769" w:type="pct"/>
            <w:gridSpan w:val="2"/>
            <w:tcBorders>
              <w:tl2br w:val="nil"/>
              <w:tr2bl w:val="nil"/>
            </w:tcBorders>
            <w:vAlign w:val="center"/>
          </w:tcPr>
          <w:p w14:paraId="076EC4F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分 布 位 置</w:t>
            </w:r>
          </w:p>
        </w:tc>
        <w:tc>
          <w:tcPr>
            <w:tcW w:w="304" w:type="pct"/>
            <w:vMerge w:val="restart"/>
            <w:tcBorders>
              <w:tl2br w:val="nil"/>
              <w:tr2bl w:val="nil"/>
            </w:tcBorders>
            <w:vAlign w:val="center"/>
          </w:tcPr>
          <w:p w14:paraId="31AC18E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形态</w:t>
            </w:r>
          </w:p>
        </w:tc>
        <w:tc>
          <w:tcPr>
            <w:tcW w:w="1201" w:type="pct"/>
            <w:gridSpan w:val="4"/>
            <w:tcBorders>
              <w:tl2br w:val="nil"/>
              <w:tr2bl w:val="nil"/>
            </w:tcBorders>
            <w:vAlign w:val="center"/>
          </w:tcPr>
          <w:p w14:paraId="4730ECF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规    模（m）</w:t>
            </w:r>
          </w:p>
        </w:tc>
        <w:tc>
          <w:tcPr>
            <w:tcW w:w="884" w:type="pct"/>
            <w:vMerge w:val="restart"/>
            <w:tcBorders>
              <w:tl2br w:val="nil"/>
              <w:tr2bl w:val="nil"/>
            </w:tcBorders>
            <w:vAlign w:val="center"/>
          </w:tcPr>
          <w:p w14:paraId="1560274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产     状</w:t>
            </w:r>
          </w:p>
        </w:tc>
        <w:tc>
          <w:tcPr>
            <w:tcW w:w="752" w:type="pct"/>
            <w:gridSpan w:val="2"/>
            <w:tcBorders>
              <w:tl2br w:val="nil"/>
              <w:tr2bl w:val="nil"/>
            </w:tcBorders>
            <w:vAlign w:val="center"/>
          </w:tcPr>
          <w:p w14:paraId="0D777A0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伴生Au品位（g/t）</w:t>
            </w:r>
          </w:p>
        </w:tc>
        <w:tc>
          <w:tcPr>
            <w:tcW w:w="232" w:type="pct"/>
            <w:vMerge w:val="restart"/>
            <w:tcBorders>
              <w:tl2br w:val="nil"/>
              <w:tr2bl w:val="nil"/>
            </w:tcBorders>
            <w:vAlign w:val="center"/>
          </w:tcPr>
          <w:p w14:paraId="640BE14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出露</w:t>
            </w:r>
          </w:p>
          <w:p w14:paraId="53F424F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状况</w:t>
            </w:r>
          </w:p>
        </w:tc>
        <w:tc>
          <w:tcPr>
            <w:tcW w:w="280" w:type="pct"/>
            <w:vMerge w:val="restart"/>
            <w:tcBorders>
              <w:tl2br w:val="nil"/>
              <w:tr2bl w:val="nil"/>
            </w:tcBorders>
            <w:vAlign w:val="center"/>
          </w:tcPr>
          <w:p w14:paraId="24DAB46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备 注</w:t>
            </w:r>
          </w:p>
        </w:tc>
      </w:tr>
      <w:tr w14:paraId="47335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0" w:type="pct"/>
            <w:gridSpan w:val="2"/>
            <w:tcBorders>
              <w:tl2br w:val="nil"/>
              <w:tr2bl w:val="nil"/>
            </w:tcBorders>
            <w:vAlign w:val="center"/>
          </w:tcPr>
          <w:p w14:paraId="13604E2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原编号</w:t>
            </w:r>
          </w:p>
        </w:tc>
        <w:tc>
          <w:tcPr>
            <w:tcW w:w="274" w:type="pct"/>
            <w:tcBorders>
              <w:tl2br w:val="nil"/>
              <w:tr2bl w:val="nil"/>
            </w:tcBorders>
            <w:vAlign w:val="center"/>
          </w:tcPr>
          <w:p w14:paraId="38F6C5F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现编号</w:t>
            </w:r>
          </w:p>
        </w:tc>
        <w:tc>
          <w:tcPr>
            <w:tcW w:w="356" w:type="pct"/>
            <w:tcBorders>
              <w:tl2br w:val="nil"/>
              <w:tr2bl w:val="nil"/>
            </w:tcBorders>
            <w:vAlign w:val="center"/>
          </w:tcPr>
          <w:p w14:paraId="47933CD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勘查线</w:t>
            </w:r>
          </w:p>
        </w:tc>
        <w:tc>
          <w:tcPr>
            <w:tcW w:w="413" w:type="pct"/>
            <w:tcBorders>
              <w:tl2br w:val="nil"/>
              <w:tr2bl w:val="nil"/>
            </w:tcBorders>
            <w:vAlign w:val="center"/>
          </w:tcPr>
          <w:p w14:paraId="5BD4221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赋存标高</w:t>
            </w:r>
          </w:p>
          <w:p w14:paraId="248052D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（m）</w:t>
            </w:r>
          </w:p>
        </w:tc>
        <w:tc>
          <w:tcPr>
            <w:tcW w:w="304" w:type="pct"/>
            <w:vMerge w:val="continue"/>
            <w:tcBorders>
              <w:tl2br w:val="nil"/>
              <w:tr2bl w:val="nil"/>
            </w:tcBorders>
            <w:vAlign w:val="center"/>
          </w:tcPr>
          <w:p w14:paraId="674E0C5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20" w:type="pct"/>
            <w:tcBorders>
              <w:tl2br w:val="nil"/>
              <w:tr2bl w:val="nil"/>
            </w:tcBorders>
            <w:vAlign w:val="center"/>
          </w:tcPr>
          <w:p w14:paraId="73ADF65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长度</w:t>
            </w:r>
          </w:p>
        </w:tc>
        <w:tc>
          <w:tcPr>
            <w:tcW w:w="220" w:type="pct"/>
            <w:tcBorders>
              <w:tl2br w:val="nil"/>
              <w:tr2bl w:val="nil"/>
            </w:tcBorders>
            <w:vAlign w:val="center"/>
          </w:tcPr>
          <w:p w14:paraId="0C5D5C6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最大</w:t>
            </w:r>
          </w:p>
          <w:p w14:paraId="27F1572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斜深</w:t>
            </w:r>
          </w:p>
        </w:tc>
        <w:tc>
          <w:tcPr>
            <w:tcW w:w="501" w:type="pct"/>
            <w:tcBorders>
              <w:tl2br w:val="nil"/>
              <w:tr2bl w:val="nil"/>
            </w:tcBorders>
            <w:vAlign w:val="center"/>
          </w:tcPr>
          <w:p w14:paraId="29BAC21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厚度变化</w:t>
            </w:r>
          </w:p>
        </w:tc>
        <w:tc>
          <w:tcPr>
            <w:tcW w:w="259" w:type="pct"/>
            <w:tcBorders>
              <w:tl2br w:val="nil"/>
              <w:tr2bl w:val="nil"/>
            </w:tcBorders>
            <w:vAlign w:val="center"/>
          </w:tcPr>
          <w:p w14:paraId="687C2E1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b/>
                <w:color w:val="auto"/>
                <w:sz w:val="18"/>
                <w:szCs w:val="18"/>
              </w:rPr>
              <w:t>平均</w:t>
            </w:r>
          </w:p>
        </w:tc>
        <w:tc>
          <w:tcPr>
            <w:tcW w:w="884" w:type="pct"/>
            <w:vMerge w:val="continue"/>
            <w:tcBorders>
              <w:tl2br w:val="nil"/>
              <w:tr2bl w:val="nil"/>
            </w:tcBorders>
            <w:vAlign w:val="center"/>
          </w:tcPr>
          <w:p w14:paraId="4838939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632B552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品位变化</w:t>
            </w:r>
          </w:p>
        </w:tc>
        <w:tc>
          <w:tcPr>
            <w:tcW w:w="269" w:type="pct"/>
            <w:tcBorders>
              <w:tl2br w:val="nil"/>
              <w:tr2bl w:val="nil"/>
            </w:tcBorders>
            <w:vAlign w:val="center"/>
          </w:tcPr>
          <w:p w14:paraId="34ED5B9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color w:val="auto"/>
                <w:sz w:val="18"/>
                <w:szCs w:val="18"/>
              </w:rPr>
            </w:pPr>
            <w:r>
              <w:rPr>
                <w:rFonts w:hint="default" w:ascii="Times New Roman" w:hAnsi="Times New Roman" w:cs="Times New Roman" w:eastAsiaTheme="minorEastAsia"/>
                <w:b/>
                <w:color w:val="auto"/>
                <w:sz w:val="18"/>
                <w:szCs w:val="18"/>
              </w:rPr>
              <w:t>平 均</w:t>
            </w:r>
          </w:p>
        </w:tc>
        <w:tc>
          <w:tcPr>
            <w:tcW w:w="232" w:type="pct"/>
            <w:vMerge w:val="continue"/>
            <w:tcBorders>
              <w:tl2br w:val="nil"/>
              <w:tr2bl w:val="nil"/>
            </w:tcBorders>
            <w:vAlign w:val="center"/>
          </w:tcPr>
          <w:p w14:paraId="5FB669A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0" w:type="pct"/>
            <w:vMerge w:val="continue"/>
            <w:tcBorders>
              <w:tl2br w:val="nil"/>
              <w:tr2bl w:val="nil"/>
            </w:tcBorders>
            <w:vAlign w:val="center"/>
          </w:tcPr>
          <w:p w14:paraId="5FC3971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tr w14:paraId="504483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0" w:type="pct"/>
            <w:gridSpan w:val="2"/>
            <w:tcBorders>
              <w:tl2br w:val="nil"/>
              <w:tr2bl w:val="nil"/>
            </w:tcBorders>
            <w:vAlign w:val="center"/>
          </w:tcPr>
          <w:p w14:paraId="0E5994F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74" w:type="pct"/>
            <w:tcBorders>
              <w:tl2br w:val="nil"/>
              <w:tr2bl w:val="nil"/>
            </w:tcBorders>
            <w:vAlign w:val="center"/>
          </w:tcPr>
          <w:p w14:paraId="41127D2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w:t>
            </w:r>
          </w:p>
        </w:tc>
        <w:tc>
          <w:tcPr>
            <w:tcW w:w="356" w:type="pct"/>
            <w:tcBorders>
              <w:tl2br w:val="nil"/>
              <w:tr2bl w:val="nil"/>
            </w:tcBorders>
            <w:vAlign w:val="center"/>
          </w:tcPr>
          <w:p w14:paraId="00DC19C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211~216</w:t>
            </w:r>
          </w:p>
        </w:tc>
        <w:tc>
          <w:tcPr>
            <w:tcW w:w="413" w:type="pct"/>
            <w:tcBorders>
              <w:tl2br w:val="nil"/>
              <w:tr2bl w:val="nil"/>
            </w:tcBorders>
            <w:vAlign w:val="center"/>
          </w:tcPr>
          <w:p w14:paraId="0756952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2007~1937</w:t>
            </w:r>
          </w:p>
        </w:tc>
        <w:tc>
          <w:tcPr>
            <w:tcW w:w="304" w:type="pct"/>
            <w:tcBorders>
              <w:tl2br w:val="nil"/>
              <w:tr2bl w:val="nil"/>
            </w:tcBorders>
            <w:vAlign w:val="center"/>
          </w:tcPr>
          <w:p w14:paraId="11A4AA5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00F8B6D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540</w:t>
            </w:r>
          </w:p>
        </w:tc>
        <w:tc>
          <w:tcPr>
            <w:tcW w:w="220" w:type="pct"/>
            <w:tcBorders>
              <w:tl2br w:val="nil"/>
              <w:tr2bl w:val="nil"/>
            </w:tcBorders>
            <w:vAlign w:val="center"/>
          </w:tcPr>
          <w:p w14:paraId="78D200B0">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170</w:t>
            </w:r>
          </w:p>
        </w:tc>
        <w:tc>
          <w:tcPr>
            <w:tcW w:w="501" w:type="pct"/>
            <w:tcBorders>
              <w:tl2br w:val="nil"/>
              <w:tr2bl w:val="nil"/>
            </w:tcBorders>
            <w:vAlign w:val="center"/>
          </w:tcPr>
          <w:p w14:paraId="3C4659A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0.80~25.62</w:t>
            </w:r>
          </w:p>
        </w:tc>
        <w:tc>
          <w:tcPr>
            <w:tcW w:w="259" w:type="pct"/>
            <w:tcBorders>
              <w:tl2br w:val="nil"/>
              <w:tr2bl w:val="nil"/>
            </w:tcBorders>
            <w:vAlign w:val="center"/>
          </w:tcPr>
          <w:p w14:paraId="6765A15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6.97</w:t>
            </w:r>
          </w:p>
        </w:tc>
        <w:tc>
          <w:tcPr>
            <w:tcW w:w="884" w:type="pct"/>
            <w:vMerge w:val="restart"/>
            <w:tcBorders>
              <w:tl2br w:val="nil"/>
              <w:tr2bl w:val="nil"/>
            </w:tcBorders>
            <w:vAlign w:val="center"/>
          </w:tcPr>
          <w:p w14:paraId="3146634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32°~44°∠10°~45°</w:t>
            </w:r>
          </w:p>
        </w:tc>
        <w:tc>
          <w:tcPr>
            <w:tcW w:w="483" w:type="pct"/>
            <w:tcBorders>
              <w:tl2br w:val="nil"/>
              <w:tr2bl w:val="nil"/>
            </w:tcBorders>
            <w:vAlign w:val="center"/>
          </w:tcPr>
          <w:p w14:paraId="4781EBB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0.08~0.66</w:t>
            </w:r>
          </w:p>
        </w:tc>
        <w:tc>
          <w:tcPr>
            <w:tcW w:w="269" w:type="pct"/>
            <w:tcBorders>
              <w:tl2br w:val="nil"/>
              <w:tr2bl w:val="nil"/>
            </w:tcBorders>
            <w:vAlign w:val="center"/>
          </w:tcPr>
          <w:p w14:paraId="42A5C29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0.39</w:t>
            </w:r>
          </w:p>
        </w:tc>
        <w:tc>
          <w:tcPr>
            <w:tcW w:w="232" w:type="pct"/>
            <w:tcBorders>
              <w:tl2br w:val="nil"/>
              <w:tr2bl w:val="nil"/>
            </w:tcBorders>
            <w:vAlign w:val="center"/>
          </w:tcPr>
          <w:p w14:paraId="1EAF5F9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1E2EA4F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35007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0" w:type="pct"/>
            <w:gridSpan w:val="2"/>
            <w:tcBorders>
              <w:tl2br w:val="nil"/>
              <w:tr2bl w:val="nil"/>
            </w:tcBorders>
            <w:vAlign w:val="center"/>
          </w:tcPr>
          <w:p w14:paraId="288F9E9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74" w:type="pct"/>
            <w:tcBorders>
              <w:tl2br w:val="nil"/>
              <w:tr2bl w:val="nil"/>
            </w:tcBorders>
            <w:vAlign w:val="center"/>
          </w:tcPr>
          <w:p w14:paraId="6EF9F52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Ⅳ-1-1</w:t>
            </w:r>
          </w:p>
        </w:tc>
        <w:tc>
          <w:tcPr>
            <w:tcW w:w="356" w:type="pct"/>
            <w:tcBorders>
              <w:tl2br w:val="nil"/>
              <w:tr2bl w:val="nil"/>
            </w:tcBorders>
            <w:vAlign w:val="center"/>
          </w:tcPr>
          <w:p w14:paraId="51E16FC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203~204</w:t>
            </w:r>
          </w:p>
        </w:tc>
        <w:tc>
          <w:tcPr>
            <w:tcW w:w="413" w:type="pct"/>
            <w:tcBorders>
              <w:tl2br w:val="nil"/>
              <w:tr2bl w:val="nil"/>
            </w:tcBorders>
            <w:vAlign w:val="center"/>
          </w:tcPr>
          <w:p w14:paraId="7B2696C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1986~1960</w:t>
            </w:r>
          </w:p>
        </w:tc>
        <w:tc>
          <w:tcPr>
            <w:tcW w:w="304" w:type="pct"/>
            <w:tcBorders>
              <w:tl2br w:val="nil"/>
              <w:tr2bl w:val="nil"/>
            </w:tcBorders>
            <w:vAlign w:val="center"/>
          </w:tcPr>
          <w:p w14:paraId="7D7CACD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7CC1677A">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40</w:t>
            </w:r>
          </w:p>
        </w:tc>
        <w:tc>
          <w:tcPr>
            <w:tcW w:w="220" w:type="pct"/>
            <w:tcBorders>
              <w:tl2br w:val="nil"/>
              <w:tr2bl w:val="nil"/>
            </w:tcBorders>
            <w:vAlign w:val="center"/>
          </w:tcPr>
          <w:p w14:paraId="099457B3">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50</w:t>
            </w:r>
          </w:p>
        </w:tc>
        <w:tc>
          <w:tcPr>
            <w:tcW w:w="501" w:type="pct"/>
            <w:tcBorders>
              <w:tl2br w:val="nil"/>
              <w:tr2bl w:val="nil"/>
            </w:tcBorders>
            <w:vAlign w:val="center"/>
          </w:tcPr>
          <w:p w14:paraId="29945E8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3.90~6.99</w:t>
            </w:r>
          </w:p>
        </w:tc>
        <w:tc>
          <w:tcPr>
            <w:tcW w:w="259" w:type="pct"/>
            <w:tcBorders>
              <w:tl2br w:val="nil"/>
              <w:tr2bl w:val="nil"/>
            </w:tcBorders>
            <w:vAlign w:val="center"/>
          </w:tcPr>
          <w:p w14:paraId="0090216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5.45</w:t>
            </w:r>
          </w:p>
        </w:tc>
        <w:tc>
          <w:tcPr>
            <w:tcW w:w="884" w:type="pct"/>
            <w:vMerge w:val="continue"/>
            <w:tcBorders>
              <w:tl2br w:val="nil"/>
              <w:tr2bl w:val="nil"/>
            </w:tcBorders>
            <w:vAlign w:val="center"/>
          </w:tcPr>
          <w:p w14:paraId="2EAA99EF">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3350909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0.08~0.15</w:t>
            </w:r>
          </w:p>
        </w:tc>
        <w:tc>
          <w:tcPr>
            <w:tcW w:w="269" w:type="pct"/>
            <w:tcBorders>
              <w:tl2br w:val="nil"/>
              <w:tr2bl w:val="nil"/>
            </w:tcBorders>
            <w:vAlign w:val="center"/>
          </w:tcPr>
          <w:p w14:paraId="171395B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0.12</w:t>
            </w:r>
          </w:p>
        </w:tc>
        <w:tc>
          <w:tcPr>
            <w:tcW w:w="232" w:type="pct"/>
            <w:tcBorders>
              <w:tl2br w:val="nil"/>
              <w:tr2bl w:val="nil"/>
            </w:tcBorders>
            <w:vAlign w:val="center"/>
          </w:tcPr>
          <w:p w14:paraId="260C52A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3F7155C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71C7A7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0" w:type="pct"/>
            <w:gridSpan w:val="2"/>
            <w:tcBorders>
              <w:tl2br w:val="nil"/>
              <w:tr2bl w:val="nil"/>
            </w:tcBorders>
            <w:vAlign w:val="center"/>
          </w:tcPr>
          <w:p w14:paraId="0590816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74" w:type="pct"/>
            <w:tcBorders>
              <w:tl2br w:val="nil"/>
              <w:tr2bl w:val="nil"/>
            </w:tcBorders>
            <w:vAlign w:val="center"/>
          </w:tcPr>
          <w:p w14:paraId="0BDAF82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Ⅳ-1-2</w:t>
            </w:r>
          </w:p>
        </w:tc>
        <w:tc>
          <w:tcPr>
            <w:tcW w:w="356" w:type="pct"/>
            <w:tcBorders>
              <w:tl2br w:val="nil"/>
              <w:tr2bl w:val="nil"/>
            </w:tcBorders>
            <w:vAlign w:val="center"/>
          </w:tcPr>
          <w:p w14:paraId="0DBD2FF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203~204</w:t>
            </w:r>
          </w:p>
        </w:tc>
        <w:tc>
          <w:tcPr>
            <w:tcW w:w="413" w:type="pct"/>
            <w:tcBorders>
              <w:tl2br w:val="nil"/>
              <w:tr2bl w:val="nil"/>
            </w:tcBorders>
            <w:vAlign w:val="center"/>
          </w:tcPr>
          <w:p w14:paraId="7E176F4C">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1974~1936</w:t>
            </w:r>
          </w:p>
        </w:tc>
        <w:tc>
          <w:tcPr>
            <w:tcW w:w="304" w:type="pct"/>
            <w:tcBorders>
              <w:tl2br w:val="nil"/>
              <w:tr2bl w:val="nil"/>
            </w:tcBorders>
            <w:vAlign w:val="center"/>
          </w:tcPr>
          <w:p w14:paraId="3678B85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7A5EC3D4">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40</w:t>
            </w:r>
          </w:p>
        </w:tc>
        <w:tc>
          <w:tcPr>
            <w:tcW w:w="220" w:type="pct"/>
            <w:tcBorders>
              <w:tl2br w:val="nil"/>
              <w:tr2bl w:val="nil"/>
            </w:tcBorders>
            <w:vAlign w:val="center"/>
          </w:tcPr>
          <w:p w14:paraId="67761757">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60</w:t>
            </w:r>
          </w:p>
        </w:tc>
        <w:tc>
          <w:tcPr>
            <w:tcW w:w="501" w:type="pct"/>
            <w:tcBorders>
              <w:tl2br w:val="nil"/>
              <w:tr2bl w:val="nil"/>
            </w:tcBorders>
            <w:vAlign w:val="center"/>
          </w:tcPr>
          <w:p w14:paraId="421978D9">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1.99~3.21</w:t>
            </w:r>
          </w:p>
        </w:tc>
        <w:tc>
          <w:tcPr>
            <w:tcW w:w="259" w:type="pct"/>
            <w:tcBorders>
              <w:tl2br w:val="nil"/>
              <w:tr2bl w:val="nil"/>
            </w:tcBorders>
            <w:vAlign w:val="center"/>
          </w:tcPr>
          <w:p w14:paraId="3C4BAFA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2.60</w:t>
            </w:r>
          </w:p>
        </w:tc>
        <w:tc>
          <w:tcPr>
            <w:tcW w:w="884" w:type="pct"/>
            <w:vMerge w:val="continue"/>
            <w:tcBorders>
              <w:tl2br w:val="nil"/>
              <w:tr2bl w:val="nil"/>
            </w:tcBorders>
            <w:vAlign w:val="center"/>
          </w:tcPr>
          <w:p w14:paraId="07FD7F5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7B0EF26B">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0.13~0.14</w:t>
            </w:r>
          </w:p>
        </w:tc>
        <w:tc>
          <w:tcPr>
            <w:tcW w:w="269" w:type="pct"/>
            <w:tcBorders>
              <w:tl2br w:val="nil"/>
              <w:tr2bl w:val="nil"/>
            </w:tcBorders>
            <w:vAlign w:val="center"/>
          </w:tcPr>
          <w:p w14:paraId="66AEB87D">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0.14</w:t>
            </w:r>
          </w:p>
        </w:tc>
        <w:tc>
          <w:tcPr>
            <w:tcW w:w="232" w:type="pct"/>
            <w:tcBorders>
              <w:tl2br w:val="nil"/>
              <w:tr2bl w:val="nil"/>
            </w:tcBorders>
            <w:vAlign w:val="center"/>
          </w:tcPr>
          <w:p w14:paraId="33D3C0C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28D7021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4CE75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00" w:type="pct"/>
            <w:gridSpan w:val="2"/>
            <w:tcBorders>
              <w:tl2br w:val="nil"/>
              <w:tr2bl w:val="nil"/>
            </w:tcBorders>
            <w:vAlign w:val="center"/>
          </w:tcPr>
          <w:p w14:paraId="38FB3AA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74" w:type="pct"/>
            <w:tcBorders>
              <w:tl2br w:val="nil"/>
              <w:tr2bl w:val="nil"/>
            </w:tcBorders>
            <w:vAlign w:val="center"/>
          </w:tcPr>
          <w:p w14:paraId="3118F6D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Ⅳ-1-3</w:t>
            </w:r>
          </w:p>
        </w:tc>
        <w:tc>
          <w:tcPr>
            <w:tcW w:w="356" w:type="pct"/>
            <w:tcBorders>
              <w:tl2br w:val="nil"/>
              <w:tr2bl w:val="nil"/>
            </w:tcBorders>
            <w:vAlign w:val="center"/>
          </w:tcPr>
          <w:p w14:paraId="7EF7C0C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211~216</w:t>
            </w:r>
          </w:p>
        </w:tc>
        <w:tc>
          <w:tcPr>
            <w:tcW w:w="413" w:type="pct"/>
            <w:tcBorders>
              <w:tl2br w:val="nil"/>
              <w:tr2bl w:val="nil"/>
            </w:tcBorders>
            <w:vAlign w:val="center"/>
          </w:tcPr>
          <w:p w14:paraId="555D8108">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1954~1912</w:t>
            </w:r>
          </w:p>
        </w:tc>
        <w:tc>
          <w:tcPr>
            <w:tcW w:w="304" w:type="pct"/>
            <w:tcBorders>
              <w:tl2br w:val="nil"/>
              <w:tr2bl w:val="nil"/>
            </w:tcBorders>
            <w:vAlign w:val="center"/>
          </w:tcPr>
          <w:p w14:paraId="76A64D1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透镜状</w:t>
            </w:r>
          </w:p>
        </w:tc>
        <w:tc>
          <w:tcPr>
            <w:tcW w:w="220" w:type="pct"/>
            <w:tcBorders>
              <w:tl2br w:val="nil"/>
              <w:tr2bl w:val="nil"/>
            </w:tcBorders>
            <w:vAlign w:val="center"/>
          </w:tcPr>
          <w:p w14:paraId="48CBC4F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432</w:t>
            </w:r>
          </w:p>
        </w:tc>
        <w:tc>
          <w:tcPr>
            <w:tcW w:w="220" w:type="pct"/>
            <w:tcBorders>
              <w:tl2br w:val="nil"/>
              <w:tr2bl w:val="nil"/>
            </w:tcBorders>
            <w:vAlign w:val="center"/>
          </w:tcPr>
          <w:p w14:paraId="2A23D56F">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112</w:t>
            </w:r>
          </w:p>
        </w:tc>
        <w:tc>
          <w:tcPr>
            <w:tcW w:w="501" w:type="pct"/>
            <w:tcBorders>
              <w:tl2br w:val="nil"/>
              <w:tr2bl w:val="nil"/>
            </w:tcBorders>
            <w:vAlign w:val="center"/>
          </w:tcPr>
          <w:p w14:paraId="37DFF935">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1.00~4.45</w:t>
            </w:r>
          </w:p>
        </w:tc>
        <w:tc>
          <w:tcPr>
            <w:tcW w:w="259" w:type="pct"/>
            <w:tcBorders>
              <w:tl2br w:val="nil"/>
              <w:tr2bl w:val="nil"/>
            </w:tcBorders>
            <w:vAlign w:val="center"/>
          </w:tcPr>
          <w:p w14:paraId="18A8096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2.35</w:t>
            </w:r>
          </w:p>
        </w:tc>
        <w:tc>
          <w:tcPr>
            <w:tcW w:w="884" w:type="pct"/>
            <w:vMerge w:val="continue"/>
            <w:tcBorders>
              <w:tl2br w:val="nil"/>
              <w:tr2bl w:val="nil"/>
            </w:tcBorders>
            <w:vAlign w:val="center"/>
          </w:tcPr>
          <w:p w14:paraId="25BEC1F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178FE462">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0.10~0.82</w:t>
            </w:r>
          </w:p>
        </w:tc>
        <w:tc>
          <w:tcPr>
            <w:tcW w:w="269" w:type="pct"/>
            <w:tcBorders>
              <w:tl2br w:val="nil"/>
              <w:tr2bl w:val="nil"/>
            </w:tcBorders>
            <w:vAlign w:val="center"/>
          </w:tcPr>
          <w:p w14:paraId="7F804B96">
            <w:pPr>
              <w:pStyle w:val="9"/>
              <w:keepNext w:val="0"/>
              <w:keepLines w:val="0"/>
              <w:pageBreakBefore w:val="0"/>
              <w:kinsoku/>
              <w:wordWrap/>
              <w:overflowPunct/>
              <w:topLinePunct w:val="0"/>
              <w:autoSpaceDE/>
              <w:autoSpaceDN/>
              <w:bidi w:val="0"/>
              <w:adjustRightInd/>
              <w:snapToGrid/>
              <w:spacing w:after="0"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0.40</w:t>
            </w:r>
          </w:p>
        </w:tc>
        <w:tc>
          <w:tcPr>
            <w:tcW w:w="232" w:type="pct"/>
            <w:tcBorders>
              <w:tl2br w:val="nil"/>
              <w:tr2bl w:val="nil"/>
            </w:tcBorders>
            <w:vAlign w:val="center"/>
          </w:tcPr>
          <w:p w14:paraId="5C527FD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隐伏</w:t>
            </w:r>
          </w:p>
        </w:tc>
        <w:tc>
          <w:tcPr>
            <w:tcW w:w="280" w:type="pct"/>
            <w:tcBorders>
              <w:tl2br w:val="nil"/>
              <w:tr2bl w:val="nil"/>
            </w:tcBorders>
            <w:vAlign w:val="center"/>
          </w:tcPr>
          <w:p w14:paraId="21FA630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新发现</w:t>
            </w:r>
          </w:p>
        </w:tc>
      </w:tr>
      <w:tr w14:paraId="75C48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4" w:type="pct"/>
            <w:gridSpan w:val="3"/>
            <w:tcBorders>
              <w:tl2br w:val="nil"/>
              <w:tr2bl w:val="nil"/>
            </w:tcBorders>
            <w:vAlign w:val="center"/>
          </w:tcPr>
          <w:p w14:paraId="41362B0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矿床</w:t>
            </w:r>
          </w:p>
        </w:tc>
        <w:tc>
          <w:tcPr>
            <w:tcW w:w="356" w:type="pct"/>
            <w:tcBorders>
              <w:tl2br w:val="nil"/>
              <w:tr2bl w:val="nil"/>
            </w:tcBorders>
            <w:vAlign w:val="center"/>
          </w:tcPr>
          <w:p w14:paraId="1B2AD72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13" w:type="pct"/>
            <w:tcBorders>
              <w:tl2br w:val="nil"/>
              <w:tr2bl w:val="nil"/>
            </w:tcBorders>
            <w:vAlign w:val="center"/>
          </w:tcPr>
          <w:p w14:paraId="196EB6C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2052~1702</w:t>
            </w:r>
          </w:p>
        </w:tc>
        <w:tc>
          <w:tcPr>
            <w:tcW w:w="304" w:type="pct"/>
            <w:tcBorders>
              <w:tl2br w:val="nil"/>
              <w:tr2bl w:val="nil"/>
            </w:tcBorders>
            <w:vAlign w:val="center"/>
          </w:tcPr>
          <w:p w14:paraId="22D3473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20" w:type="pct"/>
            <w:tcBorders>
              <w:tl2br w:val="nil"/>
              <w:tr2bl w:val="nil"/>
            </w:tcBorders>
            <w:vAlign w:val="center"/>
          </w:tcPr>
          <w:p w14:paraId="5950521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20" w:type="pct"/>
            <w:tcBorders>
              <w:tl2br w:val="nil"/>
              <w:tr2bl w:val="nil"/>
            </w:tcBorders>
            <w:vAlign w:val="center"/>
          </w:tcPr>
          <w:p w14:paraId="44FEC06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501" w:type="pct"/>
            <w:tcBorders>
              <w:tl2br w:val="nil"/>
              <w:tr2bl w:val="nil"/>
            </w:tcBorders>
            <w:vAlign w:val="center"/>
          </w:tcPr>
          <w:p w14:paraId="31B6FF2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0.80~25.62</w:t>
            </w:r>
          </w:p>
        </w:tc>
        <w:tc>
          <w:tcPr>
            <w:tcW w:w="259" w:type="pct"/>
            <w:tcBorders>
              <w:tl2br w:val="nil"/>
              <w:tr2bl w:val="nil"/>
            </w:tcBorders>
            <w:vAlign w:val="center"/>
          </w:tcPr>
          <w:p w14:paraId="06E528C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3.39</w:t>
            </w:r>
          </w:p>
        </w:tc>
        <w:tc>
          <w:tcPr>
            <w:tcW w:w="884" w:type="pct"/>
            <w:tcBorders>
              <w:tl2br w:val="nil"/>
              <w:tr2bl w:val="nil"/>
            </w:tcBorders>
            <w:vAlign w:val="center"/>
          </w:tcPr>
          <w:p w14:paraId="4EB173E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483" w:type="pct"/>
            <w:tcBorders>
              <w:tl2br w:val="nil"/>
              <w:tr2bl w:val="nil"/>
            </w:tcBorders>
            <w:vAlign w:val="center"/>
          </w:tcPr>
          <w:p w14:paraId="7BBD7A0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0.08~0.82</w:t>
            </w:r>
          </w:p>
        </w:tc>
        <w:tc>
          <w:tcPr>
            <w:tcW w:w="269" w:type="pct"/>
            <w:tcBorders>
              <w:tl2br w:val="nil"/>
              <w:tr2bl w:val="nil"/>
            </w:tcBorders>
            <w:vAlign w:val="center"/>
          </w:tcPr>
          <w:p w14:paraId="0C56149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0.38</w:t>
            </w:r>
          </w:p>
        </w:tc>
        <w:tc>
          <w:tcPr>
            <w:tcW w:w="232" w:type="pct"/>
            <w:tcBorders>
              <w:tl2br w:val="nil"/>
              <w:tr2bl w:val="nil"/>
            </w:tcBorders>
            <w:vAlign w:val="center"/>
          </w:tcPr>
          <w:p w14:paraId="5981AF3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c>
          <w:tcPr>
            <w:tcW w:w="280" w:type="pct"/>
            <w:tcBorders>
              <w:tl2br w:val="nil"/>
              <w:tr2bl w:val="nil"/>
            </w:tcBorders>
            <w:vAlign w:val="center"/>
          </w:tcPr>
          <w:p w14:paraId="4DEA7A5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18"/>
                <w:szCs w:val="18"/>
              </w:rPr>
            </w:pPr>
          </w:p>
        </w:tc>
      </w:tr>
      <w:bookmarkEnd w:id="281"/>
    </w:tbl>
    <w:p w14:paraId="517B9BEB">
      <w:pPr>
        <w:pStyle w:val="29"/>
        <w:spacing w:line="240" w:lineRule="auto"/>
        <w:ind w:firstLine="0"/>
        <w:jc w:val="center"/>
        <w:rPr>
          <w:rFonts w:hint="default" w:ascii="Times New Roman" w:hAnsi="Times New Roman" w:cs="Times New Roman" w:eastAsiaTheme="minorEastAsia"/>
          <w:b/>
          <w:bCs/>
          <w:color w:val="auto"/>
          <w:sz w:val="24"/>
          <w:szCs w:val="24"/>
        </w:rPr>
        <w:sectPr>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291" w:charSpace="0"/>
        </w:sectPr>
      </w:pPr>
    </w:p>
    <w:p w14:paraId="07D68DD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矿石质量特征</w:t>
      </w:r>
    </w:p>
    <w:p w14:paraId="157F2732">
      <w:pPr>
        <w:pStyle w:val="5"/>
        <w:bidi w:val="0"/>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"3.1.4.1"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3.1.4.1</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矿石矿物成</w:t>
      </w:r>
      <w:r>
        <w:rPr>
          <w:rFonts w:hint="default" w:ascii="Times New Roman" w:hAnsi="Times New Roman" w:cs="Times New Roman"/>
          <w:b/>
          <w:bCs/>
          <w:color w:val="auto"/>
          <w:spacing w:val="0"/>
          <w:w w:val="100"/>
          <w:position w:val="0"/>
          <w:highlight w:val="none"/>
          <w:lang w:eastAsia="zh-CN"/>
        </w:rPr>
        <w:t>分</w:t>
      </w:r>
    </w:p>
    <w:p w14:paraId="7884F052">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矿石矿物：以黄铜矿为主，次要矿物为斑铜矿，微量的辉铜矿、含铜赤铁矿、铜蓝，极少量孔雀石，同时含少量的自然金、银金矿。</w:t>
      </w:r>
    </w:p>
    <w:p w14:paraId="71063E0A">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脉石矿物：主要为石榴子石、次为透辉石、方解石及少量钙铁辉石、长石、绿泥石及微量硅灰石、磷灰石、石英、黄铁矿、磁黄铁矿、方铅矿、闪锌矿、辉铋矿等。</w:t>
      </w:r>
    </w:p>
    <w:p w14:paraId="21501B2C">
      <w:pPr>
        <w:pStyle w:val="5"/>
        <w:bidi w:val="0"/>
        <w:rPr>
          <w:rFonts w:hint="default" w:ascii="Times New Roman" w:hAnsi="Times New Roman" w:eastAsia="宋体" w:cs="Times New Roman"/>
          <w:b/>
          <w:bCs/>
          <w:color w:val="auto"/>
          <w:spacing w:val="0"/>
          <w:w w:val="100"/>
          <w:position w:val="0"/>
          <w:highlight w:val="none"/>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"3.1.4.2" </w:instrText>
      </w:r>
      <w:r>
        <w:rPr>
          <w:rFonts w:hint="default" w:ascii="Times New Roman" w:hAnsi="Times New Roman" w:cs="Times New Roman"/>
          <w:color w:val="auto"/>
        </w:rPr>
        <w:fldChar w:fldCharType="separate"/>
      </w:r>
      <w:r>
        <w:rPr>
          <w:rFonts w:hint="default" w:ascii="Times New Roman" w:hAnsi="Times New Roman" w:cs="Times New Roman"/>
          <w:color w:val="auto"/>
        </w:rPr>
        <w:t>3.1.4.2</w:t>
      </w:r>
      <w:r>
        <w:rPr>
          <w:rFonts w:hint="default" w:ascii="Times New Roman" w:hAnsi="Times New Roman" w:cs="Times New Roman"/>
          <w:color w:val="auto"/>
        </w:rPr>
        <w:fldChar w:fldCharType="end"/>
      </w:r>
      <w:r>
        <w:rPr>
          <w:rFonts w:hint="default" w:ascii="Times New Roman" w:hAnsi="Times New Roman" w:cs="Times New Roman"/>
          <w:color w:val="auto"/>
        </w:rPr>
        <w:t>矿石化学成分</w:t>
      </w:r>
    </w:p>
    <w:p w14:paraId="5C29CD02">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原矿矿石化学成分见表3.1-</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w:t>
      </w:r>
    </w:p>
    <w:p w14:paraId="51948ECA">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表3.1-</w:t>
      </w:r>
      <w:r>
        <w:rPr>
          <w:rFonts w:hint="default" w:ascii="Times New Roman" w:hAnsi="Times New Roman" w:eastAsia="宋体" w:cs="Times New Roman"/>
          <w:b/>
          <w:bCs/>
          <w:color w:val="auto"/>
          <w:spacing w:val="0"/>
          <w:w w:val="100"/>
          <w:position w:val="0"/>
          <w:sz w:val="21"/>
          <w:szCs w:val="21"/>
          <w:lang w:val="en-US" w:eastAsia="zh-CN"/>
        </w:rPr>
        <w:t xml:space="preserve">3    </w:t>
      </w:r>
      <w:r>
        <w:rPr>
          <w:rFonts w:hint="default" w:ascii="Times New Roman" w:hAnsi="Times New Roman" w:eastAsia="宋体" w:cs="Times New Roman"/>
          <w:b/>
          <w:bCs/>
          <w:color w:val="auto"/>
          <w:spacing w:val="0"/>
          <w:w w:val="100"/>
          <w:position w:val="0"/>
          <w:sz w:val="21"/>
          <w:szCs w:val="21"/>
          <w:lang w:val="zh-CN" w:eastAsia="zh-CN"/>
        </w:rPr>
        <w:t>原矿多元素分析</w:t>
      </w:r>
    </w:p>
    <w:tbl>
      <w:tblPr>
        <w:tblStyle w:val="21"/>
        <w:tblW w:w="5000" w:type="pct"/>
        <w:tblInd w:w="0"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autofit"/>
        <w:tblCellMar>
          <w:top w:w="15" w:type="dxa"/>
          <w:left w:w="15" w:type="dxa"/>
          <w:bottom w:w="15" w:type="dxa"/>
          <w:right w:w="15" w:type="dxa"/>
        </w:tblCellMar>
      </w:tblPr>
      <w:tblGrid>
        <w:gridCol w:w="441"/>
        <w:gridCol w:w="808"/>
        <w:gridCol w:w="808"/>
        <w:gridCol w:w="808"/>
        <w:gridCol w:w="808"/>
        <w:gridCol w:w="808"/>
        <w:gridCol w:w="808"/>
        <w:gridCol w:w="808"/>
        <w:gridCol w:w="808"/>
        <w:gridCol w:w="832"/>
        <w:gridCol w:w="809"/>
      </w:tblGrid>
      <w:tr w14:paraId="22F284D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blHeader/>
        </w:trPr>
        <w:tc>
          <w:tcPr>
            <w:tcW w:w="486" w:type="pct"/>
            <w:tcBorders>
              <w:tl2br w:val="nil"/>
              <w:tr2bl w:val="nil"/>
            </w:tcBorders>
            <w:shd w:val="clear" w:color="auto" w:fill="auto"/>
            <w:tcMar>
              <w:top w:w="120" w:type="dxa"/>
              <w:left w:w="120" w:type="dxa"/>
              <w:bottom w:w="120" w:type="dxa"/>
              <w:right w:w="120" w:type="dxa"/>
            </w:tcMar>
            <w:vAlign w:val="center"/>
          </w:tcPr>
          <w:p w14:paraId="238FDFE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类别</w:t>
            </w:r>
          </w:p>
        </w:tc>
        <w:tc>
          <w:tcPr>
            <w:tcW w:w="475" w:type="pct"/>
            <w:tcBorders>
              <w:tl2br w:val="nil"/>
              <w:tr2bl w:val="nil"/>
            </w:tcBorders>
            <w:shd w:val="clear" w:color="auto" w:fill="auto"/>
            <w:tcMar>
              <w:top w:w="120" w:type="dxa"/>
              <w:left w:w="120" w:type="dxa"/>
              <w:bottom w:w="120" w:type="dxa"/>
              <w:right w:w="120" w:type="dxa"/>
            </w:tcMar>
            <w:vAlign w:val="center"/>
          </w:tcPr>
          <w:p w14:paraId="5E6849C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val="en-US" w:eastAsia="zh-CN" w:bidi="ar"/>
              </w:rPr>
              <w:t>Cu</w:t>
            </w:r>
            <w:r>
              <w:rPr>
                <w:rFonts w:hint="eastAsia" w:ascii="Times New Roman" w:hAnsi="Times New Roman" w:eastAsia="宋体" w:cs="Times New Roman"/>
                <w:b w:val="0"/>
                <w:bCs w:val="0"/>
                <w:color w:val="auto"/>
                <w:kern w:val="0"/>
                <w:sz w:val="21"/>
                <w:szCs w:val="21"/>
                <w:lang w:val="en-US" w:eastAsia="zh-CN" w:bidi="ar"/>
              </w:rPr>
              <w:t>（%）</w:t>
            </w:r>
          </w:p>
        </w:tc>
        <w:tc>
          <w:tcPr>
            <w:tcW w:w="415" w:type="pct"/>
            <w:tcBorders>
              <w:tl2br w:val="nil"/>
              <w:tr2bl w:val="nil"/>
            </w:tcBorders>
            <w:shd w:val="clear" w:color="auto" w:fill="auto"/>
            <w:tcMar>
              <w:top w:w="120" w:type="dxa"/>
              <w:left w:w="120" w:type="dxa"/>
              <w:bottom w:w="120" w:type="dxa"/>
              <w:right w:w="120" w:type="dxa"/>
            </w:tcMar>
            <w:vAlign w:val="center"/>
          </w:tcPr>
          <w:p w14:paraId="6898AA6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Pb</w:t>
            </w:r>
            <w:r>
              <w:rPr>
                <w:rFonts w:hint="eastAsia" w:ascii="Times New Roman" w:hAnsi="Times New Roman" w:eastAsia="宋体" w:cs="Times New Roman"/>
                <w:b w:val="0"/>
                <w:bCs w:val="0"/>
                <w:color w:val="auto"/>
                <w:kern w:val="0"/>
                <w:sz w:val="21"/>
                <w:szCs w:val="21"/>
                <w:lang w:val="en-US" w:eastAsia="zh-CN" w:bidi="ar"/>
              </w:rPr>
              <w:t>（%）</w:t>
            </w:r>
          </w:p>
        </w:tc>
        <w:tc>
          <w:tcPr>
            <w:tcW w:w="470" w:type="pct"/>
            <w:tcBorders>
              <w:tl2br w:val="nil"/>
              <w:tr2bl w:val="nil"/>
            </w:tcBorders>
            <w:shd w:val="clear" w:color="auto" w:fill="auto"/>
            <w:tcMar>
              <w:top w:w="120" w:type="dxa"/>
              <w:left w:w="120" w:type="dxa"/>
              <w:bottom w:w="120" w:type="dxa"/>
              <w:right w:w="120" w:type="dxa"/>
            </w:tcMar>
            <w:vAlign w:val="center"/>
          </w:tcPr>
          <w:p w14:paraId="740099F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Zn</w:t>
            </w:r>
            <w:r>
              <w:rPr>
                <w:rFonts w:hint="eastAsia" w:ascii="Times New Roman" w:hAnsi="Times New Roman" w:eastAsia="宋体" w:cs="Times New Roman"/>
                <w:b w:val="0"/>
                <w:bCs w:val="0"/>
                <w:color w:val="auto"/>
                <w:kern w:val="0"/>
                <w:sz w:val="21"/>
                <w:szCs w:val="21"/>
                <w:lang w:val="en-US" w:eastAsia="zh-CN" w:bidi="ar"/>
              </w:rPr>
              <w:t>（%）</w:t>
            </w:r>
          </w:p>
        </w:tc>
        <w:tc>
          <w:tcPr>
            <w:tcW w:w="443" w:type="pct"/>
            <w:tcBorders>
              <w:tl2br w:val="nil"/>
              <w:tr2bl w:val="nil"/>
            </w:tcBorders>
            <w:shd w:val="clear" w:color="auto" w:fill="auto"/>
            <w:tcMar>
              <w:top w:w="120" w:type="dxa"/>
              <w:left w:w="120" w:type="dxa"/>
              <w:bottom w:w="120" w:type="dxa"/>
              <w:right w:w="120" w:type="dxa"/>
            </w:tcMar>
            <w:vAlign w:val="center"/>
          </w:tcPr>
          <w:p w14:paraId="003FFEF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Mo</w:t>
            </w:r>
            <w:r>
              <w:rPr>
                <w:rFonts w:hint="eastAsia" w:ascii="Times New Roman" w:hAnsi="Times New Roman" w:eastAsia="宋体" w:cs="Times New Roman"/>
                <w:b w:val="0"/>
                <w:bCs w:val="0"/>
                <w:color w:val="auto"/>
                <w:kern w:val="0"/>
                <w:sz w:val="21"/>
                <w:szCs w:val="21"/>
                <w:lang w:val="en-US" w:eastAsia="zh-CN" w:bidi="ar"/>
              </w:rPr>
              <w:t>（%）</w:t>
            </w:r>
          </w:p>
        </w:tc>
        <w:tc>
          <w:tcPr>
            <w:tcW w:w="452" w:type="pct"/>
            <w:tcBorders>
              <w:tl2br w:val="nil"/>
              <w:tr2bl w:val="nil"/>
            </w:tcBorders>
            <w:shd w:val="clear" w:color="auto" w:fill="auto"/>
            <w:tcMar>
              <w:top w:w="120" w:type="dxa"/>
              <w:left w:w="120" w:type="dxa"/>
              <w:bottom w:w="120" w:type="dxa"/>
              <w:right w:w="120" w:type="dxa"/>
            </w:tcMar>
            <w:vAlign w:val="center"/>
          </w:tcPr>
          <w:p w14:paraId="3833BD4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Co</w:t>
            </w:r>
            <w:r>
              <w:rPr>
                <w:rFonts w:hint="eastAsia" w:ascii="Times New Roman" w:hAnsi="Times New Roman" w:eastAsia="宋体" w:cs="Times New Roman"/>
                <w:b w:val="0"/>
                <w:bCs w:val="0"/>
                <w:color w:val="auto"/>
                <w:kern w:val="0"/>
                <w:sz w:val="21"/>
                <w:szCs w:val="21"/>
                <w:lang w:val="en-US" w:eastAsia="zh-CN" w:bidi="ar"/>
              </w:rPr>
              <w:t>（%）</w:t>
            </w:r>
          </w:p>
        </w:tc>
        <w:tc>
          <w:tcPr>
            <w:tcW w:w="434" w:type="pct"/>
            <w:tcBorders>
              <w:tl2br w:val="nil"/>
              <w:tr2bl w:val="nil"/>
            </w:tcBorders>
            <w:shd w:val="clear" w:color="auto" w:fill="auto"/>
            <w:tcMar>
              <w:top w:w="120" w:type="dxa"/>
              <w:left w:w="120" w:type="dxa"/>
              <w:bottom w:w="120" w:type="dxa"/>
              <w:right w:w="120" w:type="dxa"/>
            </w:tcMar>
            <w:vAlign w:val="center"/>
          </w:tcPr>
          <w:p w14:paraId="64F355E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WO₃</w:t>
            </w:r>
            <w:r>
              <w:rPr>
                <w:rFonts w:hint="eastAsia" w:ascii="Times New Roman" w:hAnsi="Times New Roman" w:eastAsia="宋体" w:cs="Times New Roman"/>
                <w:b w:val="0"/>
                <w:bCs w:val="0"/>
                <w:color w:val="auto"/>
                <w:kern w:val="0"/>
                <w:sz w:val="21"/>
                <w:szCs w:val="21"/>
                <w:lang w:val="en-US" w:eastAsia="zh-CN" w:bidi="ar"/>
              </w:rPr>
              <w:t>（%）</w:t>
            </w:r>
          </w:p>
        </w:tc>
        <w:tc>
          <w:tcPr>
            <w:tcW w:w="448" w:type="pct"/>
            <w:tcBorders>
              <w:tl2br w:val="nil"/>
              <w:tr2bl w:val="nil"/>
            </w:tcBorders>
            <w:shd w:val="clear" w:color="auto" w:fill="auto"/>
            <w:tcMar>
              <w:top w:w="120" w:type="dxa"/>
              <w:left w:w="120" w:type="dxa"/>
              <w:bottom w:w="120" w:type="dxa"/>
              <w:right w:w="120" w:type="dxa"/>
            </w:tcMar>
            <w:vAlign w:val="center"/>
          </w:tcPr>
          <w:p w14:paraId="431B3C6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Sn</w:t>
            </w:r>
            <w:r>
              <w:rPr>
                <w:rFonts w:hint="eastAsia" w:ascii="Times New Roman" w:hAnsi="Times New Roman" w:eastAsia="宋体" w:cs="Times New Roman"/>
                <w:b w:val="0"/>
                <w:bCs w:val="0"/>
                <w:color w:val="auto"/>
                <w:kern w:val="0"/>
                <w:sz w:val="21"/>
                <w:szCs w:val="21"/>
                <w:lang w:val="en-US" w:eastAsia="zh-CN" w:bidi="ar"/>
              </w:rPr>
              <w:t>（%）</w:t>
            </w:r>
          </w:p>
        </w:tc>
        <w:tc>
          <w:tcPr>
            <w:tcW w:w="447" w:type="pct"/>
            <w:tcBorders>
              <w:tl2br w:val="nil"/>
              <w:tr2bl w:val="nil"/>
            </w:tcBorders>
            <w:shd w:val="clear" w:color="auto" w:fill="auto"/>
            <w:tcMar>
              <w:top w:w="120" w:type="dxa"/>
              <w:left w:w="120" w:type="dxa"/>
              <w:bottom w:w="120" w:type="dxa"/>
              <w:right w:w="120" w:type="dxa"/>
            </w:tcMar>
            <w:vAlign w:val="center"/>
          </w:tcPr>
          <w:p w14:paraId="444D526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Ni</w:t>
            </w:r>
            <w:r>
              <w:rPr>
                <w:rFonts w:hint="eastAsia" w:ascii="Times New Roman" w:hAnsi="Times New Roman" w:eastAsia="宋体" w:cs="Times New Roman"/>
                <w:b w:val="0"/>
                <w:bCs w:val="0"/>
                <w:color w:val="auto"/>
                <w:kern w:val="0"/>
                <w:sz w:val="21"/>
                <w:szCs w:val="21"/>
                <w:lang w:val="en-US" w:eastAsia="zh-CN" w:bidi="ar"/>
              </w:rPr>
              <w:t>（%）</w:t>
            </w:r>
          </w:p>
        </w:tc>
        <w:tc>
          <w:tcPr>
            <w:tcW w:w="531" w:type="pct"/>
            <w:tcBorders>
              <w:tl2br w:val="nil"/>
              <w:tr2bl w:val="nil"/>
            </w:tcBorders>
            <w:shd w:val="clear" w:color="auto" w:fill="auto"/>
            <w:tcMar>
              <w:top w:w="120" w:type="dxa"/>
              <w:left w:w="120" w:type="dxa"/>
              <w:bottom w:w="120" w:type="dxa"/>
              <w:right w:w="120" w:type="dxa"/>
            </w:tcMar>
            <w:vAlign w:val="center"/>
          </w:tcPr>
          <w:p w14:paraId="3F89C6C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S</w:t>
            </w:r>
            <w:r>
              <w:rPr>
                <w:rFonts w:hint="eastAsia" w:ascii="Times New Roman" w:hAnsi="Times New Roman" w:eastAsia="宋体" w:cs="Times New Roman"/>
                <w:b w:val="0"/>
                <w:bCs w:val="0"/>
                <w:color w:val="auto"/>
                <w:kern w:val="0"/>
                <w:sz w:val="21"/>
                <w:szCs w:val="21"/>
                <w:lang w:val="en-US" w:eastAsia="zh-CN" w:bidi="ar"/>
              </w:rPr>
              <w:t>（%）</w:t>
            </w:r>
          </w:p>
        </w:tc>
        <w:tc>
          <w:tcPr>
            <w:tcW w:w="393" w:type="pct"/>
            <w:tcBorders>
              <w:tl2br w:val="nil"/>
              <w:tr2bl w:val="nil"/>
            </w:tcBorders>
            <w:shd w:val="clear" w:color="auto" w:fill="auto"/>
            <w:tcMar>
              <w:top w:w="120" w:type="dxa"/>
              <w:left w:w="120" w:type="dxa"/>
              <w:bottom w:w="120" w:type="dxa"/>
              <w:right w:w="120" w:type="dxa"/>
            </w:tcMar>
            <w:vAlign w:val="center"/>
          </w:tcPr>
          <w:p w14:paraId="05B3100D">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eastAsia="宋体" w:cs="Times New Roman"/>
                <w:b w:val="0"/>
                <w:bCs w:val="0"/>
                <w:color w:val="auto"/>
                <w:kern w:val="0"/>
                <w:sz w:val="21"/>
                <w:szCs w:val="21"/>
                <w:lang w:val="en-US" w:eastAsia="zh-CN" w:bidi="ar"/>
              </w:rPr>
              <w:t>Bi</w:t>
            </w:r>
            <w:r>
              <w:rPr>
                <w:rFonts w:hint="eastAsia" w:ascii="Times New Roman" w:hAnsi="Times New Roman" w:eastAsia="宋体" w:cs="Times New Roman"/>
                <w:b w:val="0"/>
                <w:bCs w:val="0"/>
                <w:color w:val="auto"/>
                <w:kern w:val="0"/>
                <w:sz w:val="21"/>
                <w:szCs w:val="21"/>
                <w:lang w:val="en-US" w:eastAsia="zh-CN" w:bidi="ar"/>
              </w:rPr>
              <w:t>（%）</w:t>
            </w:r>
          </w:p>
        </w:tc>
      </w:tr>
      <w:tr w14:paraId="220948C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c>
          <w:tcPr>
            <w:tcW w:w="486" w:type="pct"/>
            <w:tcBorders>
              <w:tl2br w:val="nil"/>
              <w:tr2bl w:val="nil"/>
            </w:tcBorders>
            <w:shd w:val="clear" w:color="auto" w:fill="auto"/>
            <w:tcMar>
              <w:top w:w="120" w:type="dxa"/>
              <w:left w:w="120" w:type="dxa"/>
              <w:bottom w:w="120" w:type="dxa"/>
              <w:right w:w="120" w:type="dxa"/>
            </w:tcMar>
            <w:vAlign w:val="center"/>
          </w:tcPr>
          <w:p w14:paraId="7ABEC84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平均值</w:t>
            </w:r>
          </w:p>
        </w:tc>
        <w:tc>
          <w:tcPr>
            <w:tcW w:w="475" w:type="pct"/>
            <w:tcBorders>
              <w:tl2br w:val="nil"/>
              <w:tr2bl w:val="nil"/>
            </w:tcBorders>
            <w:shd w:val="clear" w:color="auto" w:fill="auto"/>
            <w:tcMar>
              <w:top w:w="120" w:type="dxa"/>
              <w:left w:w="120" w:type="dxa"/>
              <w:bottom w:w="120" w:type="dxa"/>
              <w:right w:w="120" w:type="dxa"/>
            </w:tcMar>
            <w:vAlign w:val="center"/>
          </w:tcPr>
          <w:p w14:paraId="32857F6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Style w:val="24"/>
                <w:rFonts w:hint="default" w:ascii="Times New Roman" w:hAnsi="Times New Roman" w:eastAsia="宋体" w:cs="Times New Roman"/>
                <w:b w:val="0"/>
                <w:bCs w:val="0"/>
                <w:color w:val="auto"/>
                <w:kern w:val="0"/>
                <w:sz w:val="21"/>
                <w:szCs w:val="21"/>
                <w:lang w:val="en-US" w:eastAsia="zh-CN" w:bidi="ar"/>
              </w:rPr>
            </w:pPr>
            <w:r>
              <w:rPr>
                <w:rStyle w:val="24"/>
                <w:rFonts w:hint="default" w:ascii="Times New Roman" w:hAnsi="Times New Roman" w:eastAsia="宋体" w:cs="Times New Roman"/>
                <w:b w:val="0"/>
                <w:bCs w:val="0"/>
                <w:color w:val="auto"/>
                <w:kern w:val="0"/>
                <w:sz w:val="21"/>
                <w:szCs w:val="21"/>
                <w:lang w:val="en-US" w:eastAsia="zh-CN" w:bidi="ar"/>
              </w:rPr>
              <w:t>0.51</w:t>
            </w:r>
          </w:p>
        </w:tc>
        <w:tc>
          <w:tcPr>
            <w:tcW w:w="415" w:type="pct"/>
            <w:tcBorders>
              <w:tl2br w:val="nil"/>
              <w:tr2bl w:val="nil"/>
            </w:tcBorders>
            <w:shd w:val="clear" w:color="auto" w:fill="auto"/>
            <w:tcMar>
              <w:top w:w="120" w:type="dxa"/>
              <w:left w:w="120" w:type="dxa"/>
              <w:bottom w:w="120" w:type="dxa"/>
              <w:right w:w="120" w:type="dxa"/>
            </w:tcMar>
            <w:vAlign w:val="center"/>
          </w:tcPr>
          <w:p w14:paraId="5F45BB2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0.14</w:t>
            </w:r>
          </w:p>
        </w:tc>
        <w:tc>
          <w:tcPr>
            <w:tcW w:w="470" w:type="pct"/>
            <w:tcBorders>
              <w:tl2br w:val="nil"/>
              <w:tr2bl w:val="nil"/>
            </w:tcBorders>
            <w:shd w:val="clear" w:color="auto" w:fill="auto"/>
            <w:tcMar>
              <w:top w:w="120" w:type="dxa"/>
              <w:left w:w="120" w:type="dxa"/>
              <w:bottom w:w="120" w:type="dxa"/>
              <w:right w:w="120" w:type="dxa"/>
            </w:tcMar>
            <w:vAlign w:val="center"/>
          </w:tcPr>
          <w:p w14:paraId="7AC9982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0.08</w:t>
            </w:r>
          </w:p>
        </w:tc>
        <w:tc>
          <w:tcPr>
            <w:tcW w:w="443" w:type="pct"/>
            <w:tcBorders>
              <w:tl2br w:val="nil"/>
              <w:tr2bl w:val="nil"/>
            </w:tcBorders>
            <w:shd w:val="clear" w:color="auto" w:fill="auto"/>
            <w:tcMar>
              <w:top w:w="120" w:type="dxa"/>
              <w:left w:w="120" w:type="dxa"/>
              <w:bottom w:w="120" w:type="dxa"/>
              <w:right w:w="120" w:type="dxa"/>
            </w:tcMar>
            <w:vAlign w:val="center"/>
          </w:tcPr>
          <w:p w14:paraId="1F7638A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0.004</w:t>
            </w:r>
          </w:p>
        </w:tc>
        <w:tc>
          <w:tcPr>
            <w:tcW w:w="452" w:type="pct"/>
            <w:tcBorders>
              <w:tl2br w:val="nil"/>
              <w:tr2bl w:val="nil"/>
            </w:tcBorders>
            <w:shd w:val="clear" w:color="auto" w:fill="auto"/>
            <w:tcMar>
              <w:top w:w="120" w:type="dxa"/>
              <w:left w:w="120" w:type="dxa"/>
              <w:bottom w:w="120" w:type="dxa"/>
              <w:right w:w="120" w:type="dxa"/>
            </w:tcMar>
            <w:vAlign w:val="center"/>
          </w:tcPr>
          <w:p w14:paraId="39E0B25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0.008</w:t>
            </w:r>
          </w:p>
        </w:tc>
        <w:tc>
          <w:tcPr>
            <w:tcW w:w="434" w:type="pct"/>
            <w:tcBorders>
              <w:tl2br w:val="nil"/>
              <w:tr2bl w:val="nil"/>
            </w:tcBorders>
            <w:shd w:val="clear" w:color="auto" w:fill="auto"/>
            <w:tcMar>
              <w:top w:w="120" w:type="dxa"/>
              <w:left w:w="120" w:type="dxa"/>
              <w:bottom w:w="120" w:type="dxa"/>
              <w:right w:w="120" w:type="dxa"/>
            </w:tcMar>
            <w:vAlign w:val="center"/>
          </w:tcPr>
          <w:p w14:paraId="1D88E982">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0.011</w:t>
            </w:r>
          </w:p>
        </w:tc>
        <w:tc>
          <w:tcPr>
            <w:tcW w:w="448" w:type="pct"/>
            <w:tcBorders>
              <w:tl2br w:val="nil"/>
              <w:tr2bl w:val="nil"/>
            </w:tcBorders>
            <w:shd w:val="clear" w:color="auto" w:fill="auto"/>
            <w:tcMar>
              <w:top w:w="120" w:type="dxa"/>
              <w:left w:w="120" w:type="dxa"/>
              <w:bottom w:w="120" w:type="dxa"/>
              <w:right w:w="120" w:type="dxa"/>
            </w:tcMar>
            <w:vAlign w:val="center"/>
          </w:tcPr>
          <w:p w14:paraId="7A6B291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0.030</w:t>
            </w:r>
          </w:p>
        </w:tc>
        <w:tc>
          <w:tcPr>
            <w:tcW w:w="447" w:type="pct"/>
            <w:tcBorders>
              <w:tl2br w:val="nil"/>
              <w:tr2bl w:val="nil"/>
            </w:tcBorders>
            <w:shd w:val="clear" w:color="auto" w:fill="auto"/>
            <w:tcMar>
              <w:top w:w="120" w:type="dxa"/>
              <w:left w:w="120" w:type="dxa"/>
              <w:bottom w:w="120" w:type="dxa"/>
              <w:right w:w="120" w:type="dxa"/>
            </w:tcMar>
            <w:vAlign w:val="center"/>
          </w:tcPr>
          <w:p w14:paraId="0E7329D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0.005</w:t>
            </w:r>
          </w:p>
        </w:tc>
        <w:tc>
          <w:tcPr>
            <w:tcW w:w="531" w:type="pct"/>
            <w:tcBorders>
              <w:tl2br w:val="nil"/>
              <w:tr2bl w:val="nil"/>
            </w:tcBorders>
            <w:shd w:val="clear" w:color="auto" w:fill="auto"/>
            <w:tcMar>
              <w:top w:w="120" w:type="dxa"/>
              <w:left w:w="120" w:type="dxa"/>
              <w:bottom w:w="120" w:type="dxa"/>
              <w:right w:w="120" w:type="dxa"/>
            </w:tcMar>
            <w:vAlign w:val="center"/>
          </w:tcPr>
          <w:p w14:paraId="20CEF97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0.41</w:t>
            </w:r>
          </w:p>
        </w:tc>
        <w:tc>
          <w:tcPr>
            <w:tcW w:w="393" w:type="pct"/>
            <w:tcBorders>
              <w:tl2br w:val="nil"/>
              <w:tr2bl w:val="nil"/>
            </w:tcBorders>
            <w:shd w:val="clear" w:color="auto" w:fill="auto"/>
            <w:tcMar>
              <w:top w:w="120" w:type="dxa"/>
              <w:left w:w="120" w:type="dxa"/>
              <w:bottom w:w="120" w:type="dxa"/>
              <w:right w:w="120" w:type="dxa"/>
            </w:tcMar>
            <w:vAlign w:val="center"/>
          </w:tcPr>
          <w:p w14:paraId="305FB7E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val="0"/>
                <w:bCs w:val="0"/>
                <w:color w:val="auto"/>
                <w:sz w:val="21"/>
                <w:szCs w:val="21"/>
              </w:rPr>
            </w:pPr>
            <w:r>
              <w:rPr>
                <w:rStyle w:val="24"/>
                <w:rFonts w:hint="default" w:ascii="Times New Roman" w:hAnsi="Times New Roman" w:eastAsia="宋体" w:cs="Times New Roman"/>
                <w:b w:val="0"/>
                <w:bCs w:val="0"/>
                <w:color w:val="auto"/>
                <w:kern w:val="0"/>
                <w:sz w:val="21"/>
                <w:szCs w:val="21"/>
                <w:lang w:val="en-US" w:eastAsia="zh-CN" w:bidi="ar"/>
              </w:rPr>
              <w:t>0.003</w:t>
            </w:r>
          </w:p>
        </w:tc>
      </w:tr>
      <w:tr w14:paraId="0439C82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c>
          <w:tcPr>
            <w:tcW w:w="486" w:type="pct"/>
            <w:tcBorders>
              <w:tl2br w:val="nil"/>
              <w:tr2bl w:val="nil"/>
            </w:tcBorders>
            <w:shd w:val="clear" w:color="auto" w:fill="auto"/>
            <w:tcMar>
              <w:top w:w="120" w:type="dxa"/>
              <w:left w:w="120" w:type="dxa"/>
              <w:bottom w:w="120" w:type="dxa"/>
              <w:right w:w="120" w:type="dxa"/>
            </w:tcMar>
            <w:vAlign w:val="center"/>
          </w:tcPr>
          <w:p w14:paraId="6FF895E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cs="Times New Roman"/>
                <w:b w:val="0"/>
                <w:bCs w:val="0"/>
                <w:color w:val="auto"/>
                <w:sz w:val="21"/>
                <w:szCs w:val="21"/>
                <w:lang w:val="en-US" w:eastAsia="zh-CN"/>
              </w:rPr>
              <w:t>类别</w:t>
            </w:r>
          </w:p>
        </w:tc>
        <w:tc>
          <w:tcPr>
            <w:tcW w:w="475" w:type="pct"/>
            <w:tcBorders>
              <w:tl2br w:val="nil"/>
              <w:tr2bl w:val="nil"/>
            </w:tcBorders>
            <w:shd w:val="clear" w:color="auto" w:fill="auto"/>
            <w:tcMar>
              <w:top w:w="120" w:type="dxa"/>
              <w:left w:w="120" w:type="dxa"/>
              <w:bottom w:w="120" w:type="dxa"/>
              <w:right w:w="120" w:type="dxa"/>
            </w:tcMar>
            <w:vAlign w:val="center"/>
          </w:tcPr>
          <w:p w14:paraId="24E5E18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Cd</w:t>
            </w:r>
            <w:r>
              <w:rPr>
                <w:rFonts w:hint="eastAsia" w:ascii="Times New Roman" w:hAnsi="Times New Roman" w:eastAsia="宋体" w:cs="Times New Roman"/>
                <w:b w:val="0"/>
                <w:bCs w:val="0"/>
                <w:color w:val="auto"/>
                <w:kern w:val="0"/>
                <w:sz w:val="21"/>
                <w:szCs w:val="21"/>
                <w:lang w:val="en-US" w:eastAsia="zh-CN" w:bidi="ar"/>
              </w:rPr>
              <w:t>（%）</w:t>
            </w:r>
          </w:p>
        </w:tc>
        <w:tc>
          <w:tcPr>
            <w:tcW w:w="415" w:type="pct"/>
            <w:tcBorders>
              <w:tl2br w:val="nil"/>
              <w:tr2bl w:val="nil"/>
            </w:tcBorders>
            <w:shd w:val="clear" w:color="auto" w:fill="auto"/>
            <w:tcMar>
              <w:top w:w="120" w:type="dxa"/>
              <w:left w:w="120" w:type="dxa"/>
              <w:bottom w:w="120" w:type="dxa"/>
              <w:right w:w="120" w:type="dxa"/>
            </w:tcMar>
            <w:vAlign w:val="center"/>
          </w:tcPr>
          <w:p w14:paraId="252A3BB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Se</w:t>
            </w:r>
            <w:r>
              <w:rPr>
                <w:rFonts w:hint="eastAsia" w:ascii="Times New Roman" w:hAnsi="Times New Roman" w:eastAsia="宋体" w:cs="Times New Roman"/>
                <w:b w:val="0"/>
                <w:bCs w:val="0"/>
                <w:color w:val="auto"/>
                <w:kern w:val="0"/>
                <w:sz w:val="21"/>
                <w:szCs w:val="21"/>
                <w:lang w:val="en-US" w:eastAsia="zh-CN" w:bidi="ar"/>
              </w:rPr>
              <w:t>（%）</w:t>
            </w:r>
          </w:p>
        </w:tc>
        <w:tc>
          <w:tcPr>
            <w:tcW w:w="470" w:type="pct"/>
            <w:tcBorders>
              <w:tl2br w:val="nil"/>
              <w:tr2bl w:val="nil"/>
            </w:tcBorders>
            <w:shd w:val="clear" w:color="auto" w:fill="auto"/>
            <w:tcMar>
              <w:top w:w="120" w:type="dxa"/>
              <w:left w:w="120" w:type="dxa"/>
              <w:bottom w:w="120" w:type="dxa"/>
              <w:right w:w="120" w:type="dxa"/>
            </w:tcMar>
            <w:vAlign w:val="center"/>
          </w:tcPr>
          <w:p w14:paraId="561A8D4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Te</w:t>
            </w:r>
            <w:r>
              <w:rPr>
                <w:rFonts w:hint="eastAsia" w:ascii="Times New Roman" w:hAnsi="Times New Roman" w:eastAsia="宋体" w:cs="Times New Roman"/>
                <w:b w:val="0"/>
                <w:bCs w:val="0"/>
                <w:color w:val="auto"/>
                <w:kern w:val="0"/>
                <w:sz w:val="21"/>
                <w:szCs w:val="21"/>
                <w:lang w:val="en-US" w:eastAsia="zh-CN" w:bidi="ar"/>
              </w:rPr>
              <w:t>（%）</w:t>
            </w:r>
          </w:p>
        </w:tc>
        <w:tc>
          <w:tcPr>
            <w:tcW w:w="443" w:type="pct"/>
            <w:tcBorders>
              <w:tl2br w:val="nil"/>
              <w:tr2bl w:val="nil"/>
            </w:tcBorders>
            <w:shd w:val="clear" w:color="auto" w:fill="auto"/>
            <w:tcMar>
              <w:top w:w="120" w:type="dxa"/>
              <w:left w:w="120" w:type="dxa"/>
              <w:bottom w:w="120" w:type="dxa"/>
              <w:right w:w="120" w:type="dxa"/>
            </w:tcMar>
            <w:vAlign w:val="center"/>
          </w:tcPr>
          <w:p w14:paraId="6C72FDA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Ga</w:t>
            </w:r>
            <w:r>
              <w:rPr>
                <w:rFonts w:hint="eastAsia" w:ascii="Times New Roman" w:hAnsi="Times New Roman" w:eastAsia="宋体" w:cs="Times New Roman"/>
                <w:b w:val="0"/>
                <w:bCs w:val="0"/>
                <w:color w:val="auto"/>
                <w:kern w:val="0"/>
                <w:sz w:val="21"/>
                <w:szCs w:val="21"/>
                <w:lang w:val="en-US" w:eastAsia="zh-CN" w:bidi="ar"/>
              </w:rPr>
              <w:t>（%）</w:t>
            </w:r>
          </w:p>
        </w:tc>
        <w:tc>
          <w:tcPr>
            <w:tcW w:w="452" w:type="pct"/>
            <w:tcBorders>
              <w:tl2br w:val="nil"/>
              <w:tr2bl w:val="nil"/>
            </w:tcBorders>
            <w:shd w:val="clear" w:color="auto" w:fill="auto"/>
            <w:tcMar>
              <w:top w:w="120" w:type="dxa"/>
              <w:left w:w="120" w:type="dxa"/>
              <w:bottom w:w="120" w:type="dxa"/>
              <w:right w:w="120" w:type="dxa"/>
            </w:tcMar>
            <w:vAlign w:val="center"/>
          </w:tcPr>
          <w:p w14:paraId="07766F83">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Ge</w:t>
            </w:r>
            <w:r>
              <w:rPr>
                <w:rFonts w:hint="eastAsia" w:ascii="Times New Roman" w:hAnsi="Times New Roman" w:eastAsia="宋体" w:cs="Times New Roman"/>
                <w:b w:val="0"/>
                <w:bCs w:val="0"/>
                <w:color w:val="auto"/>
                <w:kern w:val="0"/>
                <w:sz w:val="21"/>
                <w:szCs w:val="21"/>
                <w:lang w:val="en-US" w:eastAsia="zh-CN" w:bidi="ar"/>
              </w:rPr>
              <w:t>（%）</w:t>
            </w:r>
          </w:p>
        </w:tc>
        <w:tc>
          <w:tcPr>
            <w:tcW w:w="434" w:type="pct"/>
            <w:tcBorders>
              <w:tl2br w:val="nil"/>
              <w:tr2bl w:val="nil"/>
            </w:tcBorders>
            <w:shd w:val="clear" w:color="auto" w:fill="auto"/>
            <w:tcMar>
              <w:top w:w="120" w:type="dxa"/>
              <w:left w:w="120" w:type="dxa"/>
              <w:bottom w:w="120" w:type="dxa"/>
              <w:right w:w="120" w:type="dxa"/>
            </w:tcMar>
            <w:vAlign w:val="center"/>
          </w:tcPr>
          <w:p w14:paraId="7C4F9440">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Re</w:t>
            </w:r>
            <w:r>
              <w:rPr>
                <w:rFonts w:hint="eastAsia" w:ascii="Times New Roman" w:hAnsi="Times New Roman" w:eastAsia="宋体" w:cs="Times New Roman"/>
                <w:b w:val="0"/>
                <w:bCs w:val="0"/>
                <w:color w:val="auto"/>
                <w:kern w:val="0"/>
                <w:sz w:val="21"/>
                <w:szCs w:val="21"/>
                <w:lang w:val="en-US" w:eastAsia="zh-CN" w:bidi="ar"/>
              </w:rPr>
              <w:t>（%）</w:t>
            </w:r>
          </w:p>
        </w:tc>
        <w:tc>
          <w:tcPr>
            <w:tcW w:w="448" w:type="pct"/>
            <w:tcBorders>
              <w:tl2br w:val="nil"/>
              <w:tr2bl w:val="nil"/>
            </w:tcBorders>
            <w:shd w:val="clear" w:color="auto" w:fill="auto"/>
            <w:tcMar>
              <w:top w:w="120" w:type="dxa"/>
              <w:left w:w="120" w:type="dxa"/>
              <w:bottom w:w="120" w:type="dxa"/>
              <w:right w:w="120" w:type="dxa"/>
            </w:tcMar>
            <w:vAlign w:val="center"/>
          </w:tcPr>
          <w:p w14:paraId="4688B07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In</w:t>
            </w:r>
            <w:r>
              <w:rPr>
                <w:rFonts w:hint="eastAsia" w:ascii="Times New Roman" w:hAnsi="Times New Roman" w:eastAsia="宋体" w:cs="Times New Roman"/>
                <w:b w:val="0"/>
                <w:bCs w:val="0"/>
                <w:color w:val="auto"/>
                <w:kern w:val="0"/>
                <w:sz w:val="21"/>
                <w:szCs w:val="21"/>
                <w:lang w:val="en-US" w:eastAsia="zh-CN" w:bidi="ar"/>
              </w:rPr>
              <w:t>（%）</w:t>
            </w:r>
          </w:p>
        </w:tc>
        <w:tc>
          <w:tcPr>
            <w:tcW w:w="447" w:type="pct"/>
            <w:tcBorders>
              <w:tl2br w:val="nil"/>
              <w:tr2bl w:val="nil"/>
            </w:tcBorders>
            <w:shd w:val="clear" w:color="auto" w:fill="auto"/>
            <w:tcMar>
              <w:top w:w="120" w:type="dxa"/>
              <w:left w:w="120" w:type="dxa"/>
              <w:bottom w:w="120" w:type="dxa"/>
              <w:right w:w="120" w:type="dxa"/>
            </w:tcMar>
            <w:vAlign w:val="center"/>
          </w:tcPr>
          <w:p w14:paraId="455EE7BA">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Tl</w:t>
            </w:r>
            <w:r>
              <w:rPr>
                <w:rFonts w:hint="eastAsia" w:ascii="Times New Roman" w:hAnsi="Times New Roman" w:eastAsia="宋体" w:cs="Times New Roman"/>
                <w:b w:val="0"/>
                <w:bCs w:val="0"/>
                <w:color w:val="auto"/>
                <w:kern w:val="0"/>
                <w:sz w:val="21"/>
                <w:szCs w:val="21"/>
                <w:lang w:val="en-US" w:eastAsia="zh-CN" w:bidi="ar"/>
              </w:rPr>
              <w:t>（%）</w:t>
            </w:r>
          </w:p>
        </w:tc>
        <w:tc>
          <w:tcPr>
            <w:tcW w:w="531" w:type="pct"/>
            <w:tcBorders>
              <w:tl2br w:val="nil"/>
              <w:tr2bl w:val="nil"/>
            </w:tcBorders>
            <w:shd w:val="clear" w:color="auto" w:fill="auto"/>
            <w:tcMar>
              <w:top w:w="120" w:type="dxa"/>
              <w:left w:w="120" w:type="dxa"/>
              <w:bottom w:w="120" w:type="dxa"/>
              <w:right w:w="120" w:type="dxa"/>
            </w:tcMar>
            <w:vAlign w:val="center"/>
          </w:tcPr>
          <w:p w14:paraId="2088389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bidi="ar"/>
              </w:rPr>
              <w:t>Ag(g/t)</w:t>
            </w:r>
            <w:r>
              <w:rPr>
                <w:rFonts w:hint="eastAsia" w:ascii="Times New Roman" w:hAnsi="Times New Roman" w:eastAsia="宋体" w:cs="Times New Roman"/>
                <w:b w:val="0"/>
                <w:bCs w:val="0"/>
                <w:color w:val="auto"/>
                <w:kern w:val="0"/>
                <w:sz w:val="21"/>
                <w:szCs w:val="21"/>
                <w:lang w:val="en-US" w:eastAsia="zh-CN" w:bidi="ar"/>
              </w:rPr>
              <w:t>（%）</w:t>
            </w:r>
          </w:p>
        </w:tc>
        <w:tc>
          <w:tcPr>
            <w:tcW w:w="393" w:type="pct"/>
            <w:tcBorders>
              <w:tl2br w:val="nil"/>
              <w:tr2bl w:val="nil"/>
            </w:tcBorders>
            <w:shd w:val="clear" w:color="auto" w:fill="auto"/>
            <w:tcMar>
              <w:top w:w="120" w:type="dxa"/>
              <w:left w:w="120" w:type="dxa"/>
              <w:bottom w:w="120" w:type="dxa"/>
              <w:right w:w="120" w:type="dxa"/>
            </w:tcMar>
            <w:vAlign w:val="center"/>
          </w:tcPr>
          <w:p w14:paraId="32CE37DE">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p>
        </w:tc>
      </w:tr>
      <w:tr w14:paraId="29D0E40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c>
          <w:tcPr>
            <w:tcW w:w="486" w:type="pct"/>
            <w:tcBorders>
              <w:tl2br w:val="nil"/>
              <w:tr2bl w:val="nil"/>
            </w:tcBorders>
            <w:shd w:val="clear" w:color="auto" w:fill="auto"/>
            <w:vAlign w:val="center"/>
          </w:tcPr>
          <w:p w14:paraId="518D6B2F">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平均值</w:t>
            </w:r>
          </w:p>
        </w:tc>
        <w:tc>
          <w:tcPr>
            <w:tcW w:w="475" w:type="pct"/>
            <w:tcBorders>
              <w:tl2br w:val="nil"/>
              <w:tr2bl w:val="nil"/>
            </w:tcBorders>
            <w:shd w:val="clear" w:color="auto" w:fill="auto"/>
            <w:vAlign w:val="center"/>
          </w:tcPr>
          <w:p w14:paraId="1119E47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0.0003</w:t>
            </w:r>
          </w:p>
        </w:tc>
        <w:tc>
          <w:tcPr>
            <w:tcW w:w="415" w:type="pct"/>
            <w:tcBorders>
              <w:tl2br w:val="nil"/>
              <w:tr2bl w:val="nil"/>
            </w:tcBorders>
            <w:shd w:val="clear" w:color="auto" w:fill="auto"/>
            <w:vAlign w:val="center"/>
          </w:tcPr>
          <w:p w14:paraId="57EFCE16">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0.0006</w:t>
            </w:r>
          </w:p>
        </w:tc>
        <w:tc>
          <w:tcPr>
            <w:tcW w:w="470" w:type="pct"/>
            <w:tcBorders>
              <w:tl2br w:val="nil"/>
              <w:tr2bl w:val="nil"/>
            </w:tcBorders>
            <w:shd w:val="clear" w:color="auto" w:fill="auto"/>
            <w:vAlign w:val="center"/>
          </w:tcPr>
          <w:p w14:paraId="0F212288">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0.0002</w:t>
            </w:r>
          </w:p>
        </w:tc>
        <w:tc>
          <w:tcPr>
            <w:tcW w:w="443" w:type="pct"/>
            <w:tcBorders>
              <w:tl2br w:val="nil"/>
              <w:tr2bl w:val="nil"/>
            </w:tcBorders>
            <w:shd w:val="clear" w:color="auto" w:fill="auto"/>
            <w:vAlign w:val="center"/>
          </w:tcPr>
          <w:p w14:paraId="61F247EC">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0.0017</w:t>
            </w:r>
          </w:p>
        </w:tc>
        <w:tc>
          <w:tcPr>
            <w:tcW w:w="452" w:type="pct"/>
            <w:tcBorders>
              <w:tl2br w:val="nil"/>
              <w:tr2bl w:val="nil"/>
            </w:tcBorders>
            <w:shd w:val="clear" w:color="auto" w:fill="auto"/>
            <w:vAlign w:val="center"/>
          </w:tcPr>
          <w:p w14:paraId="3F32C835">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0.0005</w:t>
            </w:r>
          </w:p>
        </w:tc>
        <w:tc>
          <w:tcPr>
            <w:tcW w:w="434" w:type="pct"/>
            <w:tcBorders>
              <w:tl2br w:val="nil"/>
              <w:tr2bl w:val="nil"/>
            </w:tcBorders>
            <w:shd w:val="clear" w:color="auto" w:fill="auto"/>
            <w:vAlign w:val="center"/>
          </w:tcPr>
          <w:p w14:paraId="4BAF509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0.0001</w:t>
            </w:r>
          </w:p>
        </w:tc>
        <w:tc>
          <w:tcPr>
            <w:tcW w:w="448" w:type="pct"/>
            <w:tcBorders>
              <w:tl2br w:val="nil"/>
              <w:tr2bl w:val="nil"/>
            </w:tcBorders>
            <w:shd w:val="clear" w:color="auto" w:fill="auto"/>
            <w:vAlign w:val="center"/>
          </w:tcPr>
          <w:p w14:paraId="6536932B">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0.0001</w:t>
            </w:r>
          </w:p>
        </w:tc>
        <w:tc>
          <w:tcPr>
            <w:tcW w:w="447" w:type="pct"/>
            <w:tcBorders>
              <w:tl2br w:val="nil"/>
              <w:tr2bl w:val="nil"/>
            </w:tcBorders>
            <w:shd w:val="clear" w:color="auto" w:fill="auto"/>
            <w:vAlign w:val="center"/>
          </w:tcPr>
          <w:p w14:paraId="5CC47767">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0.0002</w:t>
            </w:r>
          </w:p>
        </w:tc>
        <w:tc>
          <w:tcPr>
            <w:tcW w:w="531" w:type="pct"/>
            <w:tcBorders>
              <w:tl2br w:val="nil"/>
              <w:tr2bl w:val="nil"/>
            </w:tcBorders>
            <w:shd w:val="clear" w:color="auto" w:fill="auto"/>
            <w:vAlign w:val="center"/>
          </w:tcPr>
          <w:p w14:paraId="1A3C2211">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Style w:val="24"/>
                <w:rFonts w:hint="default" w:ascii="Times New Roman" w:hAnsi="Times New Roman" w:eastAsia="宋体" w:cs="Times New Roman"/>
                <w:b w:val="0"/>
                <w:bCs w:val="0"/>
                <w:color w:val="auto"/>
                <w:kern w:val="0"/>
                <w:sz w:val="21"/>
                <w:szCs w:val="21"/>
                <w:lang w:val="en-US" w:eastAsia="zh-CN" w:bidi="ar"/>
              </w:rPr>
              <w:t>4.12</w:t>
            </w:r>
          </w:p>
        </w:tc>
        <w:tc>
          <w:tcPr>
            <w:tcW w:w="393" w:type="pct"/>
            <w:tcBorders>
              <w:tl2br w:val="nil"/>
              <w:tr2bl w:val="nil"/>
            </w:tcBorders>
            <w:shd w:val="clear" w:color="auto" w:fill="auto"/>
            <w:vAlign w:val="center"/>
          </w:tcPr>
          <w:p w14:paraId="31367559">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p>
        </w:tc>
      </w:tr>
    </w:tbl>
    <w:p w14:paraId="651CE88D">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矿床内铜矿石属高硅、低硫、低磷的铜矿石。其中硫局部富集。</w:t>
      </w:r>
    </w:p>
    <w:p w14:paraId="2F725A5C">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"3.1.4.3"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3.1.4.3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矿石结构、构造</w:t>
      </w:r>
    </w:p>
    <w:p w14:paraId="679BB131">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1、矿石结构</w:t>
      </w:r>
    </w:p>
    <w:p w14:paraId="2474B63E">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主要以自形、半自形、它形粒状变晶结构为主，其次为包含结构、交代残余结构。</w:t>
      </w:r>
    </w:p>
    <w:p w14:paraId="2C2338C4">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val="en-US" w:eastAsia="zh-CN"/>
        </w:rPr>
        <w:t>它形粒状结构：黄铜矿、黄铁矿、斑铜矿、部分辉铜矿多为它形粒状，常形成不规则的集合体充填分布于矿石的裂隙和孔隙中。</w:t>
      </w:r>
    </w:p>
    <w:p w14:paraId="25101E71">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val="en-US" w:eastAsia="zh-CN"/>
        </w:rPr>
        <w:t>包含结构：斑铜矿、部分赤铁矿颗粒中可见黄铜矿、辉铜矿集合体或残留体包裹其中。</w:t>
      </w:r>
    </w:p>
    <w:p w14:paraId="6FB93B9C">
      <w:pPr>
        <w:keepNext w:val="0"/>
        <w:keepLines w:val="0"/>
        <w:pageBreakBefore w:val="0"/>
        <w:widowControl w:val="0"/>
        <w:kinsoku/>
        <w:wordWrap/>
        <w:overflowPunct/>
        <w:topLinePunct w:val="0"/>
        <w:autoSpaceDE/>
        <w:autoSpaceDN/>
        <w:bidi w:val="0"/>
        <w:adjustRightInd/>
        <w:snapToGrid/>
        <w:spacing w:line="480" w:lineRule="exact"/>
        <w:ind w:right="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lang w:val="en-US" w:eastAsia="zh-CN"/>
        </w:rPr>
        <w:t>交代参与结构：含铜赤铁矿沿黄铜矿集合体边缘和裂隙浸蚀交代，并可见黄铜矿或辉铜矿的残留体包裹。</w:t>
      </w:r>
    </w:p>
    <w:p w14:paraId="5553EEC5">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2、矿石构造</w:t>
      </w:r>
    </w:p>
    <w:p w14:paraId="5E2C0E68">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矿石构造主要为细脉状构造，其次为浸染状构造和块状构造。</w:t>
      </w:r>
    </w:p>
    <w:p w14:paraId="5B738CE3">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细脉状构造：其特征为黄铜矿、斑铜矿、黄铁矿等金属硫化物呈脉状穿插于矿石裂隙中。</w:t>
      </w:r>
    </w:p>
    <w:p w14:paraId="76BCBF63">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浸染状构造：少量的粒状黄铜矿、斑铜矿呈星散浸染状分布，其含量较低。</w:t>
      </w:r>
    </w:p>
    <w:p w14:paraId="25E5B2D5">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块状构造：黄铜矿、斑铜矿、黄铁矿等金属硫化物集合体相对密集分布。</w:t>
      </w:r>
    </w:p>
    <w:p w14:paraId="4C75347F">
      <w:pPr>
        <w:pStyle w:val="5"/>
        <w:bidi w:val="0"/>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"3.1.4.4"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3.1.4.4</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矿石类型</w:t>
      </w:r>
    </w:p>
    <w:p w14:paraId="606F74ED">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矿石自然类型</w:t>
      </w:r>
    </w:p>
    <w:p w14:paraId="019C013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val="en-US" w:eastAsia="zh-CN"/>
        </w:rPr>
        <w:t>根据矿石中主要铜矿物划分：各铜矿体铜矿石中铜以原生硫化铜为主，其次为氧化铜、次生硫化铜，</w:t>
      </w:r>
      <w:r>
        <w:rPr>
          <w:rFonts w:hint="default" w:ascii="Times New Roman" w:hAnsi="Times New Roman" w:cs="Times New Roman"/>
          <w:color w:val="auto"/>
          <w:spacing w:val="0"/>
          <w:w w:val="100"/>
          <w:position w:val="0"/>
          <w:sz w:val="24"/>
          <w:szCs w:val="24"/>
          <w:lang w:val="en-US" w:eastAsia="zh-CN"/>
        </w:rPr>
        <w:t>其他</w:t>
      </w:r>
      <w:r>
        <w:rPr>
          <w:rFonts w:hint="default" w:ascii="Times New Roman" w:hAnsi="Times New Roman" w:eastAsia="宋体" w:cs="Times New Roman"/>
          <w:color w:val="auto"/>
          <w:spacing w:val="0"/>
          <w:w w:val="100"/>
          <w:position w:val="0"/>
          <w:sz w:val="24"/>
          <w:szCs w:val="24"/>
          <w:lang w:val="en-US" w:eastAsia="zh-CN"/>
        </w:rPr>
        <w:t>铜矿物含量较低。因此矿石的自然类型初步确定为以原生硫化物为主的少量混合铜矿石。</w:t>
      </w:r>
    </w:p>
    <w:p w14:paraId="5F1C6F03">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val="en-US" w:eastAsia="zh-CN"/>
        </w:rPr>
        <w:t>根据矿石结构构造划分：细脉状、浸染状和块状矿石。</w:t>
      </w:r>
    </w:p>
    <w:p w14:paraId="721BA1E1">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2、矿石工业类型</w:t>
      </w:r>
    </w:p>
    <w:p w14:paraId="32D44BB2">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铜矿体位于闪长岩、花岗闪长岩、二长花岗岩等中酸性岩体与灰黑色灰岩、条带状大理岩化灰岩外接触带矽卡岩中，矿石矿物以黄铜矿为主，次要矿物为斑铜矿，微量的辉铜矿、含铜赤铁矿、铜蓝，极少量孔雀石，同时含少量的自然金、银金矿；脉石矿物主要为石榴子石、次为透辉石、方解石及少量钙铁辉石、长石、绿泥石及微量硅灰石、磷灰石、石英、黄铁矿、磁黄铁矿、方铅矿、闪锌矿、辉铋矿等。矿石矿物多呈自形晶、半自形晶、</w:t>
      </w:r>
      <w:r>
        <w:rPr>
          <w:rFonts w:hint="default" w:ascii="Times New Roman" w:hAnsi="Times New Roman" w:cs="Times New Roman"/>
          <w:color w:val="auto"/>
          <w:spacing w:val="0"/>
          <w:w w:val="100"/>
          <w:position w:val="0"/>
          <w:sz w:val="24"/>
          <w:szCs w:val="24"/>
          <w:lang w:val="en-US" w:eastAsia="zh-CN"/>
        </w:rPr>
        <w:t>他形晶集合体</w:t>
      </w:r>
      <w:r>
        <w:rPr>
          <w:rFonts w:hint="default" w:ascii="Times New Roman" w:hAnsi="Times New Roman" w:eastAsia="宋体" w:cs="Times New Roman"/>
          <w:color w:val="auto"/>
          <w:spacing w:val="0"/>
          <w:w w:val="100"/>
          <w:position w:val="0"/>
          <w:sz w:val="24"/>
          <w:szCs w:val="24"/>
          <w:lang w:val="en-US" w:eastAsia="zh-CN"/>
        </w:rPr>
        <w:t>状分布，显示了中温热液交代的矿物特征等。围岩蚀变主要为硅化、矽卡岩化、角岩化等；成矿物质主要来源于岩浆热液，岩浆活动既为铜的成矿提供了热液条件，同时又提供了成矿物质（矿液），区内的华力西期闪长岩、花岗闪长岩、二长花岗岩体是成矿母岩。故该矿床成因属中温热液交代的矽卡岩型铜矿床，矿石工业类型为矽卡岩型矿石。</w:t>
      </w:r>
    </w:p>
    <w:p w14:paraId="4F711317">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"3.1.4.5"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3.1.4.</w:t>
      </w:r>
      <w:r>
        <w:rPr>
          <w:rFonts w:hint="default" w:ascii="Times New Roman" w:hAnsi="Times New Roman" w:eastAsia="宋体" w:cs="Times New Roman"/>
          <w:b/>
          <w:bCs/>
          <w:color w:val="auto"/>
          <w:spacing w:val="0"/>
          <w:w w:val="100"/>
          <w:position w:val="0"/>
          <w:highlight w:val="none"/>
          <w:lang w:val="en-US" w:eastAsia="zh-CN"/>
        </w:rPr>
        <w:t>5</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放射性含量</w:t>
      </w:r>
    </w:p>
    <w:p w14:paraId="51991AFC">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lang w:val="en-US" w:eastAsia="zh-CN"/>
        </w:rPr>
        <w:t>根据储量核实报告，在ZK200-5钻孔的10.40-10.60m处、45.00-45.30m处、56.00-56.39m处、99.00-99.30m处，采集了顶板岩石灰岩、矿体（层）岩石矽卡岩、顶底板岩石花岗岩、底板岩石闪长岩等4件放射性样品，编号分别为FSH-1、FSH-2、FSH-3、FSH-4；在ZK707-2钻孔浅部的6.80-7.10m处，采集了顶板岩石</w:t>
      </w:r>
      <w:r>
        <w:rPr>
          <w:rFonts w:hint="default" w:ascii="Times New Roman" w:hAnsi="Times New Roman" w:eastAsia="宋体" w:cs="Times New Roman"/>
          <w:color w:val="auto"/>
          <w:spacing w:val="0"/>
          <w:w w:val="100"/>
          <w:position w:val="0"/>
          <w:sz w:val="24"/>
          <w:szCs w:val="24"/>
          <w:highlight w:val="none"/>
          <w:lang w:val="en-US" w:eastAsia="zh-CN"/>
        </w:rPr>
        <w:t>灰黑色灰岩中1件放射性样品，编号为FSH-5，在ZK57-1钻孔浅部的22.80-23.10m处，采集了顶板岩石结晶灰岩中1件放射性样品，编号为FSH-6，共采集放射性样品6件。测试项目为，大红山北铜矿体（层）及围岩中的天然放射性核素铀-238、镭－226、钍－232、钾－40放射性比活度，采用GMX-45高纯锗γ谱仪对矿区样品进行检测（美国ORTEC制造）。</w:t>
      </w:r>
    </w:p>
    <w:p w14:paraId="2FD54C5C">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大红山北铜矿体（层）及围岩中放射性检测成果，测试单位为核工业二一六大队检测研究院。矿体（层）及围岩中放射性测量成果见表</w:t>
      </w:r>
      <w:r>
        <w:rPr>
          <w:rFonts w:hint="default" w:ascii="Times New Roman" w:hAnsi="Times New Roman" w:cs="Times New Roman"/>
          <w:color w:val="auto"/>
          <w:spacing w:val="0"/>
          <w:w w:val="100"/>
          <w:position w:val="0"/>
          <w:sz w:val="24"/>
          <w:szCs w:val="24"/>
          <w:highlight w:val="none"/>
          <w:lang w:val="en-US" w:eastAsia="zh-CN"/>
        </w:rPr>
        <w:t>3.1-4</w:t>
      </w:r>
      <w:r>
        <w:rPr>
          <w:rFonts w:hint="default" w:ascii="Times New Roman" w:hAnsi="Times New Roman" w:eastAsia="宋体" w:cs="Times New Roman"/>
          <w:color w:val="auto"/>
          <w:spacing w:val="0"/>
          <w:w w:val="100"/>
          <w:position w:val="0"/>
          <w:sz w:val="24"/>
          <w:szCs w:val="24"/>
          <w:highlight w:val="none"/>
          <w:lang w:val="en-US" w:eastAsia="zh-CN"/>
        </w:rPr>
        <w:t>。</w:t>
      </w:r>
    </w:p>
    <w:p w14:paraId="2F519B62">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 xml:space="preserve">3.1-4    </w:t>
      </w:r>
      <w:r>
        <w:rPr>
          <w:rFonts w:hint="default" w:ascii="Times New Roman" w:hAnsi="Times New Roman" w:eastAsia="宋体" w:cs="Times New Roman"/>
          <w:b/>
          <w:bCs/>
          <w:color w:val="auto"/>
          <w:spacing w:val="0"/>
          <w:w w:val="100"/>
          <w:position w:val="0"/>
          <w:sz w:val="21"/>
          <w:szCs w:val="21"/>
          <w:lang w:val="zh-CN" w:eastAsia="zh-CN"/>
        </w:rPr>
        <w:t>放射性核素Ra226、Th232、K40成果登记表</w:t>
      </w:r>
    </w:p>
    <w:p w14:paraId="42078D64">
      <w:pPr>
        <w:spacing w:line="18" w:lineRule="exact"/>
        <w:rPr>
          <w:rFonts w:hint="default" w:ascii="Times New Roman" w:hAnsi="Times New Roman" w:cs="Times New Roman"/>
          <w:color w:val="auto"/>
        </w:rPr>
      </w:pP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85"/>
        <w:gridCol w:w="833"/>
        <w:gridCol w:w="933"/>
        <w:gridCol w:w="938"/>
        <w:gridCol w:w="882"/>
        <w:gridCol w:w="1215"/>
        <w:gridCol w:w="1123"/>
        <w:gridCol w:w="1524"/>
      </w:tblGrid>
      <w:tr w14:paraId="76535B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31" w:type="pct"/>
            <w:vMerge w:val="restart"/>
            <w:tcBorders>
              <w:tl2br w:val="nil"/>
              <w:tr2bl w:val="nil"/>
            </w:tcBorders>
            <w:vAlign w:val="center"/>
          </w:tcPr>
          <w:p w14:paraId="01A738E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采样工程</w:t>
            </w:r>
            <w:r>
              <w:rPr>
                <w:rFonts w:hint="default" w:ascii="Times New Roman" w:hAnsi="Times New Roman" w:eastAsia="宋体" w:cs="Times New Roman"/>
                <w:color w:val="auto"/>
                <w:spacing w:val="-4"/>
                <w:sz w:val="21"/>
                <w:szCs w:val="21"/>
              </w:rPr>
              <w:t>位置</w:t>
            </w:r>
          </w:p>
        </w:tc>
        <w:tc>
          <w:tcPr>
            <w:tcW w:w="499" w:type="pct"/>
            <w:vMerge w:val="restart"/>
            <w:tcBorders>
              <w:tl2br w:val="nil"/>
              <w:tr2bl w:val="nil"/>
            </w:tcBorders>
            <w:vAlign w:val="center"/>
          </w:tcPr>
          <w:p w14:paraId="49E118B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样品</w:t>
            </w:r>
            <w:r>
              <w:rPr>
                <w:rFonts w:hint="default" w:ascii="Times New Roman" w:hAnsi="Times New Roman" w:eastAsia="宋体" w:cs="Times New Roman"/>
                <w:color w:val="auto"/>
                <w:spacing w:val="-5"/>
                <w:sz w:val="21"/>
                <w:szCs w:val="21"/>
              </w:rPr>
              <w:t>编号</w:t>
            </w:r>
          </w:p>
        </w:tc>
        <w:tc>
          <w:tcPr>
            <w:tcW w:w="1652" w:type="pct"/>
            <w:gridSpan w:val="3"/>
            <w:tcBorders>
              <w:tl2br w:val="nil"/>
              <w:tr2bl w:val="nil"/>
            </w:tcBorders>
            <w:vAlign w:val="center"/>
          </w:tcPr>
          <w:p w14:paraId="60AE019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测试项目</w:t>
            </w:r>
          </w:p>
        </w:tc>
        <w:tc>
          <w:tcPr>
            <w:tcW w:w="729" w:type="pct"/>
            <w:vMerge w:val="restart"/>
            <w:tcBorders>
              <w:tl2br w:val="nil"/>
              <w:tr2bl w:val="nil"/>
            </w:tcBorders>
            <w:vAlign w:val="center"/>
          </w:tcPr>
          <w:p w14:paraId="06AADDE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内照射指数</w:t>
            </w:r>
            <w:r>
              <w:rPr>
                <w:rFonts w:hint="default" w:ascii="Times New Roman" w:hAnsi="Times New Roman" w:eastAsia="宋体" w:cs="Times New Roman"/>
                <w:color w:val="auto"/>
                <w:spacing w:val="-4"/>
                <w:sz w:val="21"/>
                <w:szCs w:val="21"/>
              </w:rPr>
              <w:t>（IRa）</w:t>
            </w:r>
          </w:p>
        </w:tc>
        <w:tc>
          <w:tcPr>
            <w:tcW w:w="674" w:type="pct"/>
            <w:vMerge w:val="restart"/>
            <w:tcBorders>
              <w:tl2br w:val="nil"/>
              <w:tr2bl w:val="nil"/>
            </w:tcBorders>
            <w:vAlign w:val="center"/>
          </w:tcPr>
          <w:p w14:paraId="6E3AC08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外照射指数</w:t>
            </w:r>
          </w:p>
          <w:p w14:paraId="3258867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（Ir）</w:t>
            </w:r>
          </w:p>
        </w:tc>
        <w:tc>
          <w:tcPr>
            <w:tcW w:w="911" w:type="pct"/>
            <w:vMerge w:val="restart"/>
            <w:tcBorders>
              <w:tl2br w:val="nil"/>
              <w:tr2bl w:val="nil"/>
            </w:tcBorders>
            <w:vAlign w:val="center"/>
          </w:tcPr>
          <w:p w14:paraId="07E621D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A类装饰材料技术</w:t>
            </w:r>
            <w:r>
              <w:rPr>
                <w:rFonts w:hint="default" w:ascii="Times New Roman" w:hAnsi="Times New Roman" w:eastAsia="宋体" w:cs="Times New Roman"/>
                <w:color w:val="auto"/>
                <w:spacing w:val="-4"/>
                <w:sz w:val="21"/>
                <w:szCs w:val="21"/>
              </w:rPr>
              <w:t>要求</w:t>
            </w:r>
          </w:p>
        </w:tc>
      </w:tr>
      <w:tr w14:paraId="7D6F06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531" w:type="pct"/>
            <w:vMerge w:val="continue"/>
            <w:tcBorders>
              <w:tl2br w:val="nil"/>
              <w:tr2bl w:val="nil"/>
            </w:tcBorders>
            <w:vAlign w:val="center"/>
          </w:tcPr>
          <w:p w14:paraId="0EAD705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99" w:type="pct"/>
            <w:vMerge w:val="continue"/>
            <w:tcBorders>
              <w:tl2br w:val="nil"/>
              <w:tr2bl w:val="nil"/>
            </w:tcBorders>
            <w:vAlign w:val="center"/>
          </w:tcPr>
          <w:p w14:paraId="5EBAF67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560" w:type="pct"/>
            <w:tcBorders>
              <w:tl2br w:val="nil"/>
              <w:tr2bl w:val="nil"/>
            </w:tcBorders>
            <w:vAlign w:val="center"/>
          </w:tcPr>
          <w:p w14:paraId="115983E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Th232</w:t>
            </w:r>
          </w:p>
        </w:tc>
        <w:tc>
          <w:tcPr>
            <w:tcW w:w="563" w:type="pct"/>
            <w:tcBorders>
              <w:tl2br w:val="nil"/>
              <w:tr2bl w:val="nil"/>
            </w:tcBorders>
            <w:vAlign w:val="center"/>
          </w:tcPr>
          <w:p w14:paraId="47F69C1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Ra226</w:t>
            </w:r>
          </w:p>
        </w:tc>
        <w:tc>
          <w:tcPr>
            <w:tcW w:w="528" w:type="pct"/>
            <w:tcBorders>
              <w:tl2br w:val="nil"/>
              <w:tr2bl w:val="nil"/>
            </w:tcBorders>
            <w:vAlign w:val="center"/>
          </w:tcPr>
          <w:p w14:paraId="160D284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K40</w:t>
            </w:r>
          </w:p>
        </w:tc>
        <w:tc>
          <w:tcPr>
            <w:tcW w:w="729" w:type="pct"/>
            <w:vMerge w:val="continue"/>
            <w:tcBorders>
              <w:tl2br w:val="nil"/>
              <w:tr2bl w:val="nil"/>
            </w:tcBorders>
            <w:vAlign w:val="center"/>
          </w:tcPr>
          <w:p w14:paraId="17CBCE4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674" w:type="pct"/>
            <w:vMerge w:val="continue"/>
            <w:tcBorders>
              <w:tl2br w:val="nil"/>
              <w:tr2bl w:val="nil"/>
            </w:tcBorders>
            <w:vAlign w:val="center"/>
          </w:tcPr>
          <w:p w14:paraId="4862AEB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911" w:type="pct"/>
            <w:vMerge w:val="continue"/>
            <w:tcBorders>
              <w:tl2br w:val="nil"/>
              <w:tr2bl w:val="nil"/>
            </w:tcBorders>
            <w:vAlign w:val="center"/>
          </w:tcPr>
          <w:p w14:paraId="6C70F31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47395F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31" w:type="pct"/>
            <w:tcBorders>
              <w:tl2br w:val="nil"/>
              <w:tr2bl w:val="nil"/>
            </w:tcBorders>
            <w:vAlign w:val="center"/>
          </w:tcPr>
          <w:p w14:paraId="11DADE7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ZK200-5</w:t>
            </w:r>
          </w:p>
        </w:tc>
        <w:tc>
          <w:tcPr>
            <w:tcW w:w="499" w:type="pct"/>
            <w:tcBorders>
              <w:tl2br w:val="nil"/>
              <w:tr2bl w:val="nil"/>
            </w:tcBorders>
            <w:vAlign w:val="center"/>
          </w:tcPr>
          <w:p w14:paraId="48FC06F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FSH-1</w:t>
            </w:r>
          </w:p>
        </w:tc>
        <w:tc>
          <w:tcPr>
            <w:tcW w:w="560" w:type="pct"/>
            <w:tcBorders>
              <w:tl2br w:val="nil"/>
              <w:tr2bl w:val="nil"/>
            </w:tcBorders>
            <w:vAlign w:val="center"/>
          </w:tcPr>
          <w:p w14:paraId="2D77620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4.6</w:t>
            </w:r>
          </w:p>
        </w:tc>
        <w:tc>
          <w:tcPr>
            <w:tcW w:w="563" w:type="pct"/>
            <w:tcBorders>
              <w:tl2br w:val="nil"/>
              <w:tr2bl w:val="nil"/>
            </w:tcBorders>
            <w:vAlign w:val="center"/>
          </w:tcPr>
          <w:p w14:paraId="71B97FD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6.4</w:t>
            </w:r>
          </w:p>
        </w:tc>
        <w:tc>
          <w:tcPr>
            <w:tcW w:w="528" w:type="pct"/>
            <w:tcBorders>
              <w:tl2br w:val="nil"/>
              <w:tr2bl w:val="nil"/>
            </w:tcBorders>
            <w:vAlign w:val="center"/>
          </w:tcPr>
          <w:p w14:paraId="355E455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40.9</w:t>
            </w:r>
          </w:p>
        </w:tc>
        <w:tc>
          <w:tcPr>
            <w:tcW w:w="729" w:type="pct"/>
            <w:tcBorders>
              <w:tl2br w:val="nil"/>
              <w:tr2bl w:val="nil"/>
            </w:tcBorders>
            <w:vAlign w:val="center"/>
          </w:tcPr>
          <w:p w14:paraId="7ECC875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0.0320</w:t>
            </w:r>
          </w:p>
        </w:tc>
        <w:tc>
          <w:tcPr>
            <w:tcW w:w="674" w:type="pct"/>
            <w:tcBorders>
              <w:tl2br w:val="nil"/>
              <w:tr2bl w:val="nil"/>
            </w:tcBorders>
            <w:vAlign w:val="center"/>
          </w:tcPr>
          <w:p w14:paraId="1F5347E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0.0447</w:t>
            </w:r>
          </w:p>
        </w:tc>
        <w:tc>
          <w:tcPr>
            <w:tcW w:w="911" w:type="pct"/>
            <w:vMerge w:val="restart"/>
            <w:tcBorders>
              <w:tl2br w:val="nil"/>
              <w:tr2bl w:val="nil"/>
            </w:tcBorders>
            <w:vAlign w:val="center"/>
          </w:tcPr>
          <w:p w14:paraId="742E915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满足A类装饰材料</w:t>
            </w:r>
            <w:r>
              <w:rPr>
                <w:rFonts w:hint="default" w:ascii="Times New Roman" w:hAnsi="Times New Roman" w:eastAsia="宋体" w:cs="Times New Roman"/>
                <w:color w:val="auto"/>
                <w:sz w:val="21"/>
                <w:szCs w:val="21"/>
              </w:rPr>
              <w:t>IRa≤1.0、Ir≤</w:t>
            </w:r>
          </w:p>
          <w:p w14:paraId="1801CA6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1.3</w:t>
            </w:r>
          </w:p>
        </w:tc>
      </w:tr>
      <w:tr w14:paraId="5B1248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31" w:type="pct"/>
            <w:tcBorders>
              <w:tl2br w:val="nil"/>
              <w:tr2bl w:val="nil"/>
            </w:tcBorders>
            <w:vAlign w:val="center"/>
          </w:tcPr>
          <w:p w14:paraId="7A824F4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ZK200-5</w:t>
            </w:r>
          </w:p>
        </w:tc>
        <w:tc>
          <w:tcPr>
            <w:tcW w:w="499" w:type="pct"/>
            <w:tcBorders>
              <w:tl2br w:val="nil"/>
              <w:tr2bl w:val="nil"/>
            </w:tcBorders>
            <w:vAlign w:val="center"/>
          </w:tcPr>
          <w:p w14:paraId="59D2CF0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FSH-2</w:t>
            </w:r>
          </w:p>
        </w:tc>
        <w:tc>
          <w:tcPr>
            <w:tcW w:w="560" w:type="pct"/>
            <w:tcBorders>
              <w:tl2br w:val="nil"/>
              <w:tr2bl w:val="nil"/>
            </w:tcBorders>
            <w:vAlign w:val="center"/>
          </w:tcPr>
          <w:p w14:paraId="128F748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5.9</w:t>
            </w:r>
          </w:p>
        </w:tc>
        <w:tc>
          <w:tcPr>
            <w:tcW w:w="563" w:type="pct"/>
            <w:tcBorders>
              <w:tl2br w:val="nil"/>
              <w:tr2bl w:val="nil"/>
            </w:tcBorders>
            <w:vAlign w:val="center"/>
          </w:tcPr>
          <w:p w14:paraId="63B450B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109.1</w:t>
            </w:r>
          </w:p>
        </w:tc>
        <w:tc>
          <w:tcPr>
            <w:tcW w:w="528" w:type="pct"/>
            <w:tcBorders>
              <w:tl2br w:val="nil"/>
              <w:tr2bl w:val="nil"/>
            </w:tcBorders>
            <w:vAlign w:val="center"/>
          </w:tcPr>
          <w:p w14:paraId="5B308FA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10.8</w:t>
            </w:r>
          </w:p>
        </w:tc>
        <w:tc>
          <w:tcPr>
            <w:tcW w:w="729" w:type="pct"/>
            <w:tcBorders>
              <w:tl2br w:val="nil"/>
              <w:tr2bl w:val="nil"/>
            </w:tcBorders>
            <w:vAlign w:val="center"/>
          </w:tcPr>
          <w:p w14:paraId="6DDE7E1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0.5455</w:t>
            </w:r>
          </w:p>
        </w:tc>
        <w:tc>
          <w:tcPr>
            <w:tcW w:w="674" w:type="pct"/>
            <w:tcBorders>
              <w:tl2br w:val="nil"/>
              <w:tr2bl w:val="nil"/>
            </w:tcBorders>
            <w:vAlign w:val="center"/>
          </w:tcPr>
          <w:p w14:paraId="6B8F026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0.3201</w:t>
            </w:r>
          </w:p>
        </w:tc>
        <w:tc>
          <w:tcPr>
            <w:tcW w:w="911" w:type="pct"/>
            <w:vMerge w:val="continue"/>
            <w:tcBorders>
              <w:tl2br w:val="nil"/>
              <w:tr2bl w:val="nil"/>
            </w:tcBorders>
            <w:vAlign w:val="center"/>
          </w:tcPr>
          <w:p w14:paraId="1B9375A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357EAC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31" w:type="pct"/>
            <w:tcBorders>
              <w:tl2br w:val="nil"/>
              <w:tr2bl w:val="nil"/>
            </w:tcBorders>
            <w:vAlign w:val="center"/>
          </w:tcPr>
          <w:p w14:paraId="229210C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ZK200-5</w:t>
            </w:r>
          </w:p>
        </w:tc>
        <w:tc>
          <w:tcPr>
            <w:tcW w:w="499" w:type="pct"/>
            <w:tcBorders>
              <w:tl2br w:val="nil"/>
              <w:tr2bl w:val="nil"/>
            </w:tcBorders>
            <w:vAlign w:val="center"/>
          </w:tcPr>
          <w:p w14:paraId="73B2622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FSH-3</w:t>
            </w:r>
          </w:p>
        </w:tc>
        <w:tc>
          <w:tcPr>
            <w:tcW w:w="560" w:type="pct"/>
            <w:tcBorders>
              <w:tl2br w:val="nil"/>
              <w:tr2bl w:val="nil"/>
            </w:tcBorders>
            <w:vAlign w:val="center"/>
          </w:tcPr>
          <w:p w14:paraId="1D55506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101.1</w:t>
            </w:r>
          </w:p>
        </w:tc>
        <w:tc>
          <w:tcPr>
            <w:tcW w:w="563" w:type="pct"/>
            <w:tcBorders>
              <w:tl2br w:val="nil"/>
              <w:tr2bl w:val="nil"/>
            </w:tcBorders>
            <w:vAlign w:val="center"/>
          </w:tcPr>
          <w:p w14:paraId="7CE5878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4"/>
                <w:sz w:val="21"/>
                <w:szCs w:val="21"/>
              </w:rPr>
              <w:t>116.5</w:t>
            </w:r>
          </w:p>
        </w:tc>
        <w:tc>
          <w:tcPr>
            <w:tcW w:w="528" w:type="pct"/>
            <w:tcBorders>
              <w:tl2br w:val="nil"/>
              <w:tr2bl w:val="nil"/>
            </w:tcBorders>
            <w:vAlign w:val="center"/>
          </w:tcPr>
          <w:p w14:paraId="4314576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894.6</w:t>
            </w:r>
          </w:p>
        </w:tc>
        <w:tc>
          <w:tcPr>
            <w:tcW w:w="729" w:type="pct"/>
            <w:tcBorders>
              <w:tl2br w:val="nil"/>
              <w:tr2bl w:val="nil"/>
            </w:tcBorders>
            <w:vAlign w:val="center"/>
          </w:tcPr>
          <w:p w14:paraId="4B33B70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0.5825</w:t>
            </w:r>
          </w:p>
        </w:tc>
        <w:tc>
          <w:tcPr>
            <w:tcW w:w="674" w:type="pct"/>
            <w:tcBorders>
              <w:tl2br w:val="nil"/>
              <w:tr2bl w:val="nil"/>
            </w:tcBorders>
            <w:vAlign w:val="center"/>
          </w:tcPr>
          <w:p w14:paraId="771D4B8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0.9167</w:t>
            </w:r>
          </w:p>
        </w:tc>
        <w:tc>
          <w:tcPr>
            <w:tcW w:w="911" w:type="pct"/>
            <w:vMerge w:val="continue"/>
            <w:tcBorders>
              <w:tl2br w:val="nil"/>
              <w:tr2bl w:val="nil"/>
            </w:tcBorders>
            <w:vAlign w:val="center"/>
          </w:tcPr>
          <w:p w14:paraId="2F714EB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586227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31" w:type="pct"/>
            <w:tcBorders>
              <w:tl2br w:val="nil"/>
              <w:tr2bl w:val="nil"/>
            </w:tcBorders>
            <w:vAlign w:val="center"/>
          </w:tcPr>
          <w:p w14:paraId="1B708C9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ZK200-5</w:t>
            </w:r>
          </w:p>
        </w:tc>
        <w:tc>
          <w:tcPr>
            <w:tcW w:w="499" w:type="pct"/>
            <w:tcBorders>
              <w:tl2br w:val="nil"/>
              <w:tr2bl w:val="nil"/>
            </w:tcBorders>
            <w:vAlign w:val="center"/>
          </w:tcPr>
          <w:p w14:paraId="12A4B16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FSH-4</w:t>
            </w:r>
          </w:p>
        </w:tc>
        <w:tc>
          <w:tcPr>
            <w:tcW w:w="560" w:type="pct"/>
            <w:tcBorders>
              <w:tl2br w:val="nil"/>
              <w:tr2bl w:val="nil"/>
            </w:tcBorders>
            <w:vAlign w:val="center"/>
          </w:tcPr>
          <w:p w14:paraId="7319041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55.7</w:t>
            </w:r>
          </w:p>
        </w:tc>
        <w:tc>
          <w:tcPr>
            <w:tcW w:w="563" w:type="pct"/>
            <w:tcBorders>
              <w:tl2br w:val="nil"/>
              <w:tr2bl w:val="nil"/>
            </w:tcBorders>
            <w:vAlign w:val="center"/>
          </w:tcPr>
          <w:p w14:paraId="51B9C76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57.1</w:t>
            </w:r>
          </w:p>
        </w:tc>
        <w:tc>
          <w:tcPr>
            <w:tcW w:w="528" w:type="pct"/>
            <w:tcBorders>
              <w:tl2br w:val="nil"/>
              <w:tr2bl w:val="nil"/>
            </w:tcBorders>
            <w:vAlign w:val="center"/>
          </w:tcPr>
          <w:p w14:paraId="7D84AE0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890.4</w:t>
            </w:r>
          </w:p>
        </w:tc>
        <w:tc>
          <w:tcPr>
            <w:tcW w:w="729" w:type="pct"/>
            <w:tcBorders>
              <w:tl2br w:val="nil"/>
              <w:tr2bl w:val="nil"/>
            </w:tcBorders>
            <w:vAlign w:val="center"/>
          </w:tcPr>
          <w:p w14:paraId="5013DD7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0.2855</w:t>
            </w:r>
          </w:p>
        </w:tc>
        <w:tc>
          <w:tcPr>
            <w:tcW w:w="674" w:type="pct"/>
            <w:tcBorders>
              <w:tl2br w:val="nil"/>
              <w:tr2bl w:val="nil"/>
            </w:tcBorders>
            <w:vAlign w:val="center"/>
          </w:tcPr>
          <w:p w14:paraId="64BF9B6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0.5806</w:t>
            </w:r>
          </w:p>
        </w:tc>
        <w:tc>
          <w:tcPr>
            <w:tcW w:w="911" w:type="pct"/>
            <w:vMerge w:val="continue"/>
            <w:tcBorders>
              <w:tl2br w:val="nil"/>
              <w:tr2bl w:val="nil"/>
            </w:tcBorders>
            <w:vAlign w:val="center"/>
          </w:tcPr>
          <w:p w14:paraId="3391319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026E46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31" w:type="pct"/>
            <w:tcBorders>
              <w:tl2br w:val="nil"/>
              <w:tr2bl w:val="nil"/>
            </w:tcBorders>
            <w:vAlign w:val="center"/>
          </w:tcPr>
          <w:p w14:paraId="2609A30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ZK707-2</w:t>
            </w:r>
          </w:p>
        </w:tc>
        <w:tc>
          <w:tcPr>
            <w:tcW w:w="499" w:type="pct"/>
            <w:tcBorders>
              <w:tl2br w:val="nil"/>
              <w:tr2bl w:val="nil"/>
            </w:tcBorders>
            <w:vAlign w:val="center"/>
          </w:tcPr>
          <w:p w14:paraId="0DEDBDD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FSH-5</w:t>
            </w:r>
          </w:p>
        </w:tc>
        <w:tc>
          <w:tcPr>
            <w:tcW w:w="560" w:type="pct"/>
            <w:tcBorders>
              <w:tl2br w:val="nil"/>
              <w:tr2bl w:val="nil"/>
            </w:tcBorders>
            <w:vAlign w:val="center"/>
          </w:tcPr>
          <w:p w14:paraId="6574F02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4.3</w:t>
            </w:r>
          </w:p>
        </w:tc>
        <w:tc>
          <w:tcPr>
            <w:tcW w:w="563" w:type="pct"/>
            <w:tcBorders>
              <w:tl2br w:val="nil"/>
              <w:tr2bl w:val="nil"/>
            </w:tcBorders>
            <w:vAlign w:val="center"/>
          </w:tcPr>
          <w:p w14:paraId="6D8D3B5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13.5</w:t>
            </w:r>
          </w:p>
        </w:tc>
        <w:tc>
          <w:tcPr>
            <w:tcW w:w="528" w:type="pct"/>
            <w:tcBorders>
              <w:tl2br w:val="nil"/>
              <w:tr2bl w:val="nil"/>
            </w:tcBorders>
            <w:vAlign w:val="center"/>
          </w:tcPr>
          <w:p w14:paraId="315A1B2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86.4</w:t>
            </w:r>
          </w:p>
        </w:tc>
        <w:tc>
          <w:tcPr>
            <w:tcW w:w="729" w:type="pct"/>
            <w:tcBorders>
              <w:tl2br w:val="nil"/>
              <w:tr2bl w:val="nil"/>
            </w:tcBorders>
            <w:vAlign w:val="center"/>
          </w:tcPr>
          <w:p w14:paraId="3177D96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0.0675</w:t>
            </w:r>
          </w:p>
        </w:tc>
        <w:tc>
          <w:tcPr>
            <w:tcW w:w="674" w:type="pct"/>
            <w:tcBorders>
              <w:tl2br w:val="nil"/>
              <w:tr2bl w:val="nil"/>
            </w:tcBorders>
            <w:vAlign w:val="center"/>
          </w:tcPr>
          <w:p w14:paraId="604581F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0.0736</w:t>
            </w:r>
          </w:p>
        </w:tc>
        <w:tc>
          <w:tcPr>
            <w:tcW w:w="911" w:type="pct"/>
            <w:vMerge w:val="continue"/>
            <w:tcBorders>
              <w:tl2br w:val="nil"/>
              <w:tr2bl w:val="nil"/>
            </w:tcBorders>
            <w:vAlign w:val="center"/>
          </w:tcPr>
          <w:p w14:paraId="6170733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774F95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31" w:type="pct"/>
            <w:tcBorders>
              <w:tl2br w:val="nil"/>
              <w:tr2bl w:val="nil"/>
            </w:tcBorders>
            <w:vAlign w:val="center"/>
          </w:tcPr>
          <w:p w14:paraId="2931D94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ZK57-1</w:t>
            </w:r>
          </w:p>
        </w:tc>
        <w:tc>
          <w:tcPr>
            <w:tcW w:w="499" w:type="pct"/>
            <w:tcBorders>
              <w:tl2br w:val="nil"/>
              <w:tr2bl w:val="nil"/>
            </w:tcBorders>
            <w:vAlign w:val="center"/>
          </w:tcPr>
          <w:p w14:paraId="08436FC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FSH-6</w:t>
            </w:r>
          </w:p>
        </w:tc>
        <w:tc>
          <w:tcPr>
            <w:tcW w:w="560" w:type="pct"/>
            <w:tcBorders>
              <w:tl2br w:val="nil"/>
              <w:tr2bl w:val="nil"/>
            </w:tcBorders>
            <w:vAlign w:val="center"/>
          </w:tcPr>
          <w:p w14:paraId="0DF42B1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1.8</w:t>
            </w:r>
          </w:p>
        </w:tc>
        <w:tc>
          <w:tcPr>
            <w:tcW w:w="563" w:type="pct"/>
            <w:tcBorders>
              <w:tl2br w:val="nil"/>
              <w:tr2bl w:val="nil"/>
            </w:tcBorders>
            <w:vAlign w:val="center"/>
          </w:tcPr>
          <w:p w14:paraId="0EF0783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6.7</w:t>
            </w:r>
          </w:p>
        </w:tc>
        <w:tc>
          <w:tcPr>
            <w:tcW w:w="528" w:type="pct"/>
            <w:tcBorders>
              <w:tl2br w:val="nil"/>
              <w:tr2bl w:val="nil"/>
            </w:tcBorders>
            <w:vAlign w:val="center"/>
          </w:tcPr>
          <w:p w14:paraId="15CD73B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32.7</w:t>
            </w:r>
          </w:p>
        </w:tc>
        <w:tc>
          <w:tcPr>
            <w:tcW w:w="729" w:type="pct"/>
            <w:tcBorders>
              <w:tl2br w:val="nil"/>
              <w:tr2bl w:val="nil"/>
            </w:tcBorders>
            <w:vAlign w:val="center"/>
          </w:tcPr>
          <w:p w14:paraId="04568C2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0.0335</w:t>
            </w:r>
          </w:p>
        </w:tc>
        <w:tc>
          <w:tcPr>
            <w:tcW w:w="674" w:type="pct"/>
            <w:tcBorders>
              <w:tl2br w:val="nil"/>
              <w:tr2bl w:val="nil"/>
            </w:tcBorders>
            <w:vAlign w:val="center"/>
          </w:tcPr>
          <w:p w14:paraId="3ACDB4A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0.0328</w:t>
            </w:r>
          </w:p>
        </w:tc>
        <w:tc>
          <w:tcPr>
            <w:tcW w:w="911" w:type="pct"/>
            <w:vMerge w:val="continue"/>
            <w:tcBorders>
              <w:tl2br w:val="nil"/>
              <w:tr2bl w:val="nil"/>
            </w:tcBorders>
            <w:vAlign w:val="center"/>
          </w:tcPr>
          <w:p w14:paraId="273E34E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7C154B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031" w:type="pct"/>
            <w:gridSpan w:val="2"/>
            <w:tcBorders>
              <w:tl2br w:val="nil"/>
              <w:tr2bl w:val="nil"/>
            </w:tcBorders>
            <w:vAlign w:val="center"/>
          </w:tcPr>
          <w:p w14:paraId="04900FD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平均值</w:t>
            </w:r>
          </w:p>
        </w:tc>
        <w:tc>
          <w:tcPr>
            <w:tcW w:w="560" w:type="pct"/>
            <w:tcBorders>
              <w:tl2br w:val="nil"/>
              <w:tr2bl w:val="nil"/>
            </w:tcBorders>
            <w:vAlign w:val="center"/>
          </w:tcPr>
          <w:p w14:paraId="3AFEA1D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28.9</w:t>
            </w:r>
          </w:p>
        </w:tc>
        <w:tc>
          <w:tcPr>
            <w:tcW w:w="563" w:type="pct"/>
            <w:tcBorders>
              <w:tl2br w:val="nil"/>
              <w:tr2bl w:val="nil"/>
            </w:tcBorders>
            <w:vAlign w:val="center"/>
          </w:tcPr>
          <w:p w14:paraId="59CCCDD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51.55</w:t>
            </w:r>
          </w:p>
        </w:tc>
        <w:tc>
          <w:tcPr>
            <w:tcW w:w="528" w:type="pct"/>
            <w:tcBorders>
              <w:tl2br w:val="nil"/>
              <w:tr2bl w:val="nil"/>
            </w:tcBorders>
            <w:vAlign w:val="center"/>
          </w:tcPr>
          <w:p w14:paraId="0F95BFC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325.97</w:t>
            </w:r>
          </w:p>
        </w:tc>
        <w:tc>
          <w:tcPr>
            <w:tcW w:w="729" w:type="pct"/>
            <w:tcBorders>
              <w:tl2br w:val="nil"/>
              <w:tr2bl w:val="nil"/>
            </w:tcBorders>
            <w:vAlign w:val="center"/>
          </w:tcPr>
          <w:p w14:paraId="17AB714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0.2578</w:t>
            </w:r>
          </w:p>
        </w:tc>
        <w:tc>
          <w:tcPr>
            <w:tcW w:w="674" w:type="pct"/>
            <w:tcBorders>
              <w:tl2br w:val="nil"/>
              <w:tr2bl w:val="nil"/>
            </w:tcBorders>
            <w:vAlign w:val="center"/>
          </w:tcPr>
          <w:p w14:paraId="4DC9147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0.3281</w:t>
            </w:r>
          </w:p>
        </w:tc>
        <w:tc>
          <w:tcPr>
            <w:tcW w:w="911" w:type="pct"/>
            <w:vMerge w:val="continue"/>
            <w:tcBorders>
              <w:tl2br w:val="nil"/>
              <w:tr2bl w:val="nil"/>
            </w:tcBorders>
            <w:vAlign w:val="center"/>
          </w:tcPr>
          <w:p w14:paraId="5BA2C1B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p>
        </w:tc>
      </w:tr>
      <w:tr w14:paraId="772C76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5000" w:type="pct"/>
            <w:gridSpan w:val="8"/>
            <w:tcBorders>
              <w:tl2br w:val="nil"/>
              <w:tr2bl w:val="nil"/>
            </w:tcBorders>
            <w:vAlign w:val="center"/>
          </w:tcPr>
          <w:p w14:paraId="7CD82AB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IRa=CRa/200；Ir=CRa/37</w:t>
            </w:r>
            <w:r>
              <w:rPr>
                <w:rFonts w:hint="default" w:ascii="Times New Roman" w:hAnsi="Times New Roman" w:eastAsia="宋体" w:cs="Times New Roman"/>
                <w:color w:val="auto"/>
                <w:spacing w:val="-1"/>
                <w:sz w:val="21"/>
                <w:szCs w:val="21"/>
              </w:rPr>
              <w:t>0+CTh/260+CK/4200</w:t>
            </w:r>
          </w:p>
        </w:tc>
      </w:tr>
    </w:tbl>
    <w:p w14:paraId="618448C7">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测试单位</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核工业二一六大队检测研究院</w:t>
      </w:r>
    </w:p>
    <w:p w14:paraId="5538D0AA">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矿区矿体（层）及顶（底）板岩性主要为灰岩、花岗岩、闪长岩，铜矿体（层）含矿岩性为矽卡岩，岩性成分复杂。根据放射性检测及测量成果，对核实勘查区矿体（层）及围岩中放射性核素铀－238、钍－232、镭－226、钾－40进行放射性评价。样品成果差别不大，说明</w:t>
      </w:r>
      <w:r>
        <w:rPr>
          <w:rFonts w:hint="default" w:ascii="Times New Roman" w:hAnsi="Times New Roman" w:cs="Times New Roman"/>
          <w:color w:val="auto"/>
          <w:spacing w:val="0"/>
          <w:w w:val="100"/>
          <w:position w:val="0"/>
          <w:sz w:val="24"/>
          <w:szCs w:val="24"/>
          <w:lang w:val="en-US" w:eastAsia="zh-CN"/>
        </w:rPr>
        <w:t>具有</w:t>
      </w:r>
      <w:r>
        <w:rPr>
          <w:rFonts w:hint="default" w:ascii="Times New Roman" w:hAnsi="Times New Roman" w:eastAsia="宋体" w:cs="Times New Roman"/>
          <w:color w:val="auto"/>
          <w:spacing w:val="0"/>
          <w:w w:val="100"/>
          <w:position w:val="0"/>
          <w:sz w:val="24"/>
          <w:szCs w:val="24"/>
          <w:lang w:val="en-US" w:eastAsia="zh-CN"/>
        </w:rPr>
        <w:t>同源性，矿石的放射性均不高，经检测Ira、Ir的测量成果内照射指数0.0335-0.5825，平均值为0.2578，外照射指数0.0328-0.9167，平均值为0.3281。矿区及周边区域放射性强度较低，未发现放射性异常，无放射性污染，对人体健康没有影响。</w:t>
      </w:r>
    </w:p>
    <w:p w14:paraId="4F413DE8">
      <w:pPr>
        <w:keepNext w:val="0"/>
        <w:keepLines w:val="0"/>
        <w:pageBreakBefore w:val="0"/>
        <w:widowControl w:val="0"/>
        <w:kinsoku/>
        <w:wordWrap/>
        <w:overflowPunct/>
        <w:topLinePunct w:val="0"/>
        <w:autoSpaceDE/>
        <w:autoSpaceDN/>
        <w:bidi w:val="0"/>
        <w:adjustRightInd/>
        <w:snapToGrid/>
        <w:spacing w:line="480" w:lineRule="exact"/>
        <w:ind w:left="0" w:leftChars="0" w:right="0" w:firstLine="480" w:firstLineChars="200"/>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因此，矿床在开采、加工、使用过程中，不易释放有毒有害物质而污染大气和地下水，也不会产生超标的放射性污染。</w:t>
      </w:r>
    </w:p>
    <w:p w14:paraId="5EA4C136">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资源/储量</w:t>
      </w:r>
    </w:p>
    <w:p w14:paraId="6B38C397">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pacing w:val="0"/>
          <w:sz w:val="24"/>
          <w:szCs w:val="24"/>
          <w:lang w:bidi="ar"/>
        </w:rPr>
      </w:pPr>
      <w:r>
        <w:rPr>
          <w:rFonts w:hint="default" w:ascii="Times New Roman" w:hAnsi="Times New Roman" w:cs="Times New Roman" w:eastAsiaTheme="minorEastAsia"/>
          <w:color w:val="auto"/>
          <w:spacing w:val="0"/>
          <w:sz w:val="24"/>
          <w:szCs w:val="24"/>
          <w:lang w:bidi="ar"/>
        </w:rPr>
        <w:t>经评审备案的矿产资源储量报告的名称为《新疆哈密市大红山北铜矿资源储量核实报告》；该矿产资源储量报告编制单位为中国冶金地质总局西北地质勘查；评审单位为新疆维吾尔自治区地质成果中心；评审意见书文号为新矿评储字</w:t>
      </w:r>
      <w:r>
        <w:rPr>
          <w:rFonts w:hint="default" w:ascii="Times New Roman" w:hAnsi="Times New Roman" w:eastAsia="宋体" w:cs="Times New Roman"/>
          <w:color w:val="auto"/>
          <w:spacing w:val="0"/>
          <w:sz w:val="24"/>
          <w:szCs w:val="24"/>
          <w:lang w:bidi="ar"/>
        </w:rPr>
        <w:t>〔</w:t>
      </w:r>
      <w:r>
        <w:rPr>
          <w:rFonts w:hint="default" w:ascii="Times New Roman" w:hAnsi="Times New Roman" w:eastAsia="宋体" w:cs="Times New Roman"/>
          <w:color w:val="auto"/>
          <w:spacing w:val="0"/>
          <w:sz w:val="24"/>
          <w:szCs w:val="24"/>
          <w:lang w:val="en-US" w:eastAsia="zh-CN" w:bidi="ar"/>
        </w:rPr>
        <w:t>2025</w:t>
      </w:r>
      <w:r>
        <w:rPr>
          <w:rFonts w:hint="default" w:ascii="Times New Roman" w:hAnsi="Times New Roman" w:eastAsia="宋体" w:cs="Times New Roman"/>
          <w:color w:val="auto"/>
          <w:spacing w:val="0"/>
          <w:sz w:val="24"/>
          <w:szCs w:val="24"/>
          <w:lang w:bidi="ar"/>
        </w:rPr>
        <w:t>〕</w:t>
      </w:r>
      <w:r>
        <w:rPr>
          <w:rFonts w:hint="default" w:ascii="Times New Roman" w:hAnsi="Times New Roman" w:cs="Times New Roman" w:eastAsiaTheme="minorEastAsia"/>
          <w:color w:val="auto"/>
          <w:spacing w:val="0"/>
          <w:sz w:val="24"/>
          <w:szCs w:val="24"/>
          <w:lang w:bidi="ar"/>
        </w:rPr>
        <w:t>50号；评审时间为2025年6月26日；评估基准日为2024年12月31日；备案单位为新疆维吾尔自治区自然资源厅；备案文号为新自然资储备字</w:t>
      </w:r>
      <w:r>
        <w:rPr>
          <w:rFonts w:hint="default" w:ascii="Times New Roman" w:hAnsi="Times New Roman" w:eastAsia="宋体" w:cs="Times New Roman"/>
          <w:color w:val="auto"/>
          <w:spacing w:val="0"/>
          <w:sz w:val="24"/>
          <w:szCs w:val="24"/>
          <w:lang w:bidi="ar"/>
        </w:rPr>
        <w:t>〔</w:t>
      </w:r>
      <w:r>
        <w:rPr>
          <w:rFonts w:hint="default" w:ascii="Times New Roman" w:hAnsi="Times New Roman" w:eastAsia="宋体" w:cs="Times New Roman"/>
          <w:color w:val="auto"/>
          <w:spacing w:val="0"/>
          <w:sz w:val="24"/>
          <w:szCs w:val="24"/>
          <w:lang w:val="en-US" w:eastAsia="zh-CN" w:bidi="ar"/>
        </w:rPr>
        <w:t>2025</w:t>
      </w:r>
      <w:r>
        <w:rPr>
          <w:rFonts w:hint="default" w:ascii="Times New Roman" w:hAnsi="Times New Roman" w:eastAsia="宋体" w:cs="Times New Roman"/>
          <w:color w:val="auto"/>
          <w:spacing w:val="0"/>
          <w:sz w:val="24"/>
          <w:szCs w:val="24"/>
          <w:lang w:bidi="ar"/>
        </w:rPr>
        <w:t>〕</w:t>
      </w:r>
      <w:r>
        <w:rPr>
          <w:rFonts w:hint="default" w:ascii="Times New Roman" w:hAnsi="Times New Roman" w:cs="Times New Roman" w:eastAsiaTheme="minorEastAsia"/>
          <w:color w:val="auto"/>
          <w:spacing w:val="0"/>
          <w:sz w:val="24"/>
          <w:szCs w:val="24"/>
          <w:lang w:bidi="ar"/>
        </w:rPr>
        <w:t>50号；备案时间为2025年9月30日。</w:t>
      </w:r>
    </w:p>
    <w:p w14:paraId="6CD32F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pacing w:val="0"/>
          <w:sz w:val="24"/>
          <w:szCs w:val="24"/>
        </w:rPr>
      </w:pPr>
      <w:r>
        <w:rPr>
          <w:rFonts w:hint="default" w:ascii="Times New Roman" w:hAnsi="Times New Roman" w:cs="Times New Roman" w:eastAsiaTheme="minorEastAsia"/>
          <w:color w:val="auto"/>
          <w:spacing w:val="0"/>
          <w:sz w:val="24"/>
          <w:szCs w:val="24"/>
          <w:lang w:bidi="ar"/>
        </w:rPr>
        <w:t>根据《〈新疆哈密市大红山北铜矿资源储量核实报告〉（2024年12月31日）矿产资源储量评审意见书》（新矿评储字</w:t>
      </w:r>
      <w:r>
        <w:rPr>
          <w:rFonts w:hint="default" w:ascii="Times New Roman" w:hAnsi="Times New Roman" w:eastAsia="宋体" w:cs="Times New Roman"/>
          <w:color w:val="auto"/>
          <w:spacing w:val="0"/>
          <w:sz w:val="24"/>
          <w:szCs w:val="24"/>
          <w:lang w:bidi="ar"/>
        </w:rPr>
        <w:t>〔</w:t>
      </w:r>
      <w:r>
        <w:rPr>
          <w:rFonts w:hint="default" w:ascii="Times New Roman" w:hAnsi="Times New Roman" w:eastAsia="宋体" w:cs="Times New Roman"/>
          <w:color w:val="auto"/>
          <w:spacing w:val="0"/>
          <w:sz w:val="24"/>
          <w:szCs w:val="24"/>
          <w:lang w:val="en-US" w:eastAsia="zh-CN" w:bidi="ar"/>
        </w:rPr>
        <w:t>2025</w:t>
      </w:r>
      <w:r>
        <w:rPr>
          <w:rFonts w:hint="default" w:ascii="Times New Roman" w:hAnsi="Times New Roman" w:eastAsia="宋体" w:cs="Times New Roman"/>
          <w:color w:val="auto"/>
          <w:spacing w:val="0"/>
          <w:sz w:val="24"/>
          <w:szCs w:val="24"/>
          <w:lang w:bidi="ar"/>
        </w:rPr>
        <w:t>〕</w:t>
      </w:r>
      <w:r>
        <w:rPr>
          <w:rFonts w:hint="default" w:ascii="Times New Roman" w:hAnsi="Times New Roman" w:cs="Times New Roman" w:eastAsiaTheme="minorEastAsia"/>
          <w:color w:val="auto"/>
          <w:spacing w:val="0"/>
          <w:sz w:val="24"/>
          <w:szCs w:val="24"/>
          <w:lang w:bidi="ar"/>
        </w:rPr>
        <w:t>50号），《新疆哈密市大红山北铜矿资源储量核实报告（估算基准日2024年12月31日）》详细查明了矿区水、工、环开采技术条件，达到勘探阶段要求。查明主要矿种为铜矿，伴生矿种为金、银。</w:t>
      </w:r>
      <w:r>
        <w:rPr>
          <w:rFonts w:hint="default" w:ascii="Times New Roman" w:hAnsi="Times New Roman" w:eastAsia="宋体" w:cs="Times New Roman"/>
          <w:color w:val="auto"/>
          <w:spacing w:val="0"/>
          <w:sz w:val="24"/>
          <w:szCs w:val="24"/>
        </w:rPr>
        <w:t>通过</w:t>
      </w:r>
      <w:r>
        <w:rPr>
          <w:rFonts w:hint="default" w:ascii="Times New Roman" w:hAnsi="Times New Roman" w:cs="Times New Roman"/>
          <w:color w:val="auto"/>
          <w:spacing w:val="0"/>
          <w:sz w:val="24"/>
          <w:szCs w:val="24"/>
          <w:lang w:eastAsia="zh-CN"/>
        </w:rPr>
        <w:t>资源量</w:t>
      </w:r>
      <w:r>
        <w:rPr>
          <w:rFonts w:hint="default" w:ascii="Times New Roman" w:hAnsi="Times New Roman" w:eastAsia="宋体" w:cs="Times New Roman"/>
          <w:color w:val="auto"/>
          <w:spacing w:val="0"/>
          <w:sz w:val="24"/>
          <w:szCs w:val="24"/>
        </w:rPr>
        <w:t>核实工作，</w:t>
      </w:r>
      <w:r>
        <w:rPr>
          <w:rFonts w:hint="default" w:ascii="Times New Roman" w:hAnsi="Times New Roman" w:cs="Times New Roman"/>
          <w:color w:val="auto"/>
          <w:spacing w:val="0"/>
          <w:sz w:val="24"/>
          <w:szCs w:val="24"/>
          <w:lang w:eastAsia="zh-CN"/>
        </w:rPr>
        <w:t>截至</w:t>
      </w:r>
      <w:r>
        <w:rPr>
          <w:rFonts w:hint="default" w:ascii="Times New Roman" w:hAnsi="Times New Roman" w:cs="Times New Roman"/>
          <w:color w:val="auto"/>
          <w:spacing w:val="0"/>
          <w:sz w:val="24"/>
          <w:szCs w:val="24"/>
        </w:rPr>
        <w:t>20</w:t>
      </w:r>
      <w:r>
        <w:rPr>
          <w:rFonts w:hint="default" w:ascii="Times New Roman" w:hAnsi="Times New Roman" w:cs="Times New Roman"/>
          <w:color w:val="auto"/>
          <w:spacing w:val="0"/>
          <w:sz w:val="24"/>
          <w:szCs w:val="24"/>
          <w:lang w:val="en-US" w:eastAsia="zh-CN"/>
        </w:rPr>
        <w:t>24</w:t>
      </w:r>
      <w:r>
        <w:rPr>
          <w:rFonts w:hint="default" w:ascii="Times New Roman" w:hAnsi="Times New Roman" w:cs="Times New Roman"/>
          <w:color w:val="auto"/>
          <w:spacing w:val="0"/>
          <w:sz w:val="24"/>
          <w:szCs w:val="24"/>
        </w:rPr>
        <w:t>年</w:t>
      </w:r>
      <w:r>
        <w:rPr>
          <w:rFonts w:hint="default" w:ascii="Times New Roman" w:hAnsi="Times New Roman" w:cs="Times New Roman"/>
          <w:color w:val="auto"/>
          <w:spacing w:val="0"/>
          <w:sz w:val="24"/>
          <w:szCs w:val="24"/>
          <w:lang w:val="en-US" w:eastAsia="zh-CN"/>
        </w:rPr>
        <w:t>12</w:t>
      </w:r>
      <w:r>
        <w:rPr>
          <w:rFonts w:hint="default" w:ascii="Times New Roman" w:hAnsi="Times New Roman" w:cs="Times New Roman"/>
          <w:color w:val="auto"/>
          <w:spacing w:val="0"/>
          <w:sz w:val="24"/>
          <w:szCs w:val="24"/>
        </w:rPr>
        <w:t>月3</w:t>
      </w:r>
      <w:r>
        <w:rPr>
          <w:rFonts w:hint="default" w:ascii="Times New Roman" w:hAnsi="Times New Roman" w:cs="Times New Roman"/>
          <w:color w:val="auto"/>
          <w:spacing w:val="0"/>
          <w:sz w:val="24"/>
          <w:szCs w:val="24"/>
          <w:lang w:val="en-US" w:eastAsia="zh-CN"/>
        </w:rPr>
        <w:t>1</w:t>
      </w:r>
      <w:r>
        <w:rPr>
          <w:rFonts w:hint="default" w:ascii="Times New Roman" w:hAnsi="Times New Roman" w:cs="Times New Roman"/>
          <w:color w:val="auto"/>
          <w:spacing w:val="0"/>
          <w:sz w:val="24"/>
          <w:szCs w:val="24"/>
        </w:rPr>
        <w:t>日，</w:t>
      </w:r>
      <w:r>
        <w:rPr>
          <w:rFonts w:hint="default" w:ascii="Times New Roman" w:hAnsi="Times New Roman" w:cs="Times New Roman"/>
          <w:color w:val="auto"/>
          <w:spacing w:val="0"/>
          <w:sz w:val="24"/>
          <w:szCs w:val="24"/>
          <w:lang w:val="en-US" w:eastAsia="zh-CN"/>
        </w:rPr>
        <w:t>采矿权区范围</w:t>
      </w:r>
      <w:r>
        <w:rPr>
          <w:rFonts w:hint="default" w:ascii="Times New Roman" w:hAnsi="Times New Roman" w:cs="Times New Roman"/>
          <w:color w:val="auto"/>
          <w:spacing w:val="0"/>
          <w:sz w:val="24"/>
          <w:szCs w:val="24"/>
        </w:rPr>
        <w:t>内</w:t>
      </w:r>
      <w:r>
        <w:rPr>
          <w:rFonts w:hint="default" w:ascii="Times New Roman" w:hAnsi="Times New Roman" w:cs="Times New Roman"/>
          <w:color w:val="auto"/>
          <w:spacing w:val="0"/>
          <w:sz w:val="24"/>
          <w:szCs w:val="24"/>
          <w:lang w:val="en-US" w:eastAsia="zh-CN"/>
        </w:rPr>
        <w:t>累计查明铜</w:t>
      </w:r>
      <w:r>
        <w:rPr>
          <w:rFonts w:hint="default" w:ascii="Times New Roman" w:hAnsi="Times New Roman" w:cs="Times New Roman"/>
          <w:color w:val="auto"/>
          <w:spacing w:val="0"/>
          <w:sz w:val="24"/>
          <w:szCs w:val="24"/>
        </w:rPr>
        <w:t>矿石量（KZ+TD）为</w:t>
      </w:r>
      <w:r>
        <w:rPr>
          <w:rFonts w:hint="default" w:ascii="Times New Roman" w:hAnsi="Times New Roman" w:cs="Times New Roman"/>
          <w:color w:val="auto"/>
          <w:spacing w:val="0"/>
          <w:sz w:val="24"/>
          <w:szCs w:val="24"/>
          <w:lang w:val="en-US" w:eastAsia="zh-CN"/>
        </w:rPr>
        <w:t>339.5</w:t>
      </w:r>
      <w:r>
        <w:rPr>
          <w:rFonts w:hint="default" w:ascii="Times New Roman" w:hAnsi="Times New Roman" w:cs="Times New Roman"/>
          <w:color w:val="auto"/>
          <w:spacing w:val="0"/>
          <w:sz w:val="24"/>
          <w:szCs w:val="24"/>
        </w:rPr>
        <w:t>万吨</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铜金属量22038吨，矿床Cu</w:t>
      </w:r>
      <w:r>
        <w:rPr>
          <w:rFonts w:hint="default" w:ascii="Times New Roman" w:hAnsi="Times New Roman" w:cs="Times New Roman"/>
          <w:color w:val="auto"/>
          <w:spacing w:val="0"/>
          <w:sz w:val="24"/>
          <w:szCs w:val="24"/>
        </w:rPr>
        <w:t>平均品位</w:t>
      </w:r>
      <w:r>
        <w:rPr>
          <w:rFonts w:hint="default" w:ascii="Times New Roman" w:hAnsi="Times New Roman" w:cs="Times New Roman"/>
          <w:color w:val="auto"/>
          <w:spacing w:val="0"/>
          <w:sz w:val="24"/>
          <w:szCs w:val="24"/>
          <w:lang w:val="en-US" w:eastAsia="zh-CN"/>
        </w:rPr>
        <w:t>0.65</w:t>
      </w:r>
      <w:r>
        <w:rPr>
          <w:rFonts w:hint="default" w:ascii="Times New Roman" w:hAnsi="Times New Roman" w:cs="Times New Roman"/>
          <w:color w:val="auto"/>
          <w:spacing w:val="0"/>
          <w:sz w:val="24"/>
          <w:szCs w:val="24"/>
        </w:rPr>
        <w:t>%。其中控制资源量（KZ）</w:t>
      </w:r>
      <w:r>
        <w:rPr>
          <w:rFonts w:hint="default" w:ascii="Times New Roman" w:hAnsi="Times New Roman" w:cs="Times New Roman"/>
          <w:color w:val="auto"/>
          <w:spacing w:val="0"/>
          <w:sz w:val="24"/>
          <w:szCs w:val="24"/>
          <w:lang w:val="en-US" w:eastAsia="zh-CN"/>
        </w:rPr>
        <w:t>矿石量174.6</w:t>
      </w:r>
      <w:r>
        <w:rPr>
          <w:rFonts w:hint="default" w:ascii="Times New Roman" w:hAnsi="Times New Roman" w:cs="Times New Roman"/>
          <w:color w:val="auto"/>
          <w:spacing w:val="0"/>
          <w:sz w:val="24"/>
          <w:szCs w:val="24"/>
        </w:rPr>
        <w:t>万吨</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金属量12067吨，Cu</w:t>
      </w:r>
      <w:r>
        <w:rPr>
          <w:rFonts w:hint="default" w:ascii="Times New Roman" w:hAnsi="Times New Roman" w:cs="Times New Roman"/>
          <w:color w:val="auto"/>
          <w:spacing w:val="0"/>
          <w:sz w:val="24"/>
          <w:szCs w:val="24"/>
        </w:rPr>
        <w:t>平均品位</w:t>
      </w:r>
      <w:r>
        <w:rPr>
          <w:rFonts w:hint="default" w:ascii="Times New Roman" w:hAnsi="Times New Roman" w:cs="Times New Roman"/>
          <w:color w:val="auto"/>
          <w:spacing w:val="0"/>
          <w:sz w:val="24"/>
          <w:szCs w:val="24"/>
          <w:highlight w:val="none"/>
          <w:lang w:val="en-US" w:eastAsia="zh-CN"/>
        </w:rPr>
        <w:t>0.69</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rPr>
        <w:t>占全区总资源量的</w:t>
      </w:r>
      <w:r>
        <w:rPr>
          <w:rFonts w:hint="default" w:ascii="Times New Roman" w:hAnsi="Times New Roman" w:cs="Times New Roman"/>
          <w:color w:val="auto"/>
          <w:spacing w:val="0"/>
          <w:sz w:val="24"/>
          <w:szCs w:val="24"/>
          <w:lang w:val="en-US" w:eastAsia="zh-CN"/>
        </w:rPr>
        <w:t>51.43</w:t>
      </w:r>
      <w:r>
        <w:rPr>
          <w:rFonts w:hint="default" w:ascii="Times New Roman" w:hAnsi="Times New Roman" w:cs="Times New Roman"/>
          <w:color w:val="auto"/>
          <w:spacing w:val="0"/>
          <w:sz w:val="24"/>
          <w:szCs w:val="24"/>
        </w:rPr>
        <w:t>%；推断资源量（TD）</w:t>
      </w:r>
      <w:r>
        <w:rPr>
          <w:rFonts w:hint="default" w:ascii="Times New Roman" w:hAnsi="Times New Roman" w:cs="Times New Roman"/>
          <w:color w:val="auto"/>
          <w:spacing w:val="0"/>
          <w:sz w:val="24"/>
          <w:szCs w:val="24"/>
          <w:lang w:val="en-US" w:eastAsia="zh-CN"/>
        </w:rPr>
        <w:t>矿石量164.9</w:t>
      </w:r>
      <w:r>
        <w:rPr>
          <w:rFonts w:hint="default" w:ascii="Times New Roman" w:hAnsi="Times New Roman" w:cs="Times New Roman"/>
          <w:color w:val="auto"/>
          <w:spacing w:val="0"/>
          <w:sz w:val="24"/>
          <w:szCs w:val="24"/>
        </w:rPr>
        <w:t>万吨</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金属量9971吨</w:t>
      </w:r>
      <w:r>
        <w:rPr>
          <w:rFonts w:hint="default" w:ascii="Times New Roman" w:hAnsi="Times New Roman" w:cs="Times New Roman"/>
          <w:color w:val="auto"/>
          <w:spacing w:val="0"/>
          <w:sz w:val="24"/>
          <w:szCs w:val="24"/>
        </w:rPr>
        <w:t>，</w:t>
      </w:r>
      <w:r>
        <w:rPr>
          <w:rFonts w:hint="default" w:ascii="Times New Roman" w:hAnsi="Times New Roman" w:cs="Times New Roman"/>
          <w:color w:val="auto"/>
          <w:spacing w:val="0"/>
          <w:sz w:val="24"/>
          <w:szCs w:val="24"/>
          <w:lang w:val="en-US" w:eastAsia="zh-CN"/>
        </w:rPr>
        <w:t>Cu</w:t>
      </w:r>
      <w:r>
        <w:rPr>
          <w:rFonts w:hint="default" w:ascii="Times New Roman" w:hAnsi="Times New Roman" w:cs="Times New Roman"/>
          <w:color w:val="auto"/>
          <w:spacing w:val="0"/>
          <w:sz w:val="24"/>
          <w:szCs w:val="24"/>
        </w:rPr>
        <w:t>平均品位</w:t>
      </w:r>
      <w:r>
        <w:rPr>
          <w:rFonts w:hint="default" w:ascii="Times New Roman" w:hAnsi="Times New Roman" w:cs="Times New Roman"/>
          <w:color w:val="auto"/>
          <w:spacing w:val="0"/>
          <w:sz w:val="24"/>
          <w:szCs w:val="24"/>
          <w:highlight w:val="none"/>
          <w:lang w:val="en-US" w:eastAsia="zh-CN"/>
        </w:rPr>
        <w:t>0.60</w:t>
      </w:r>
      <w:r>
        <w:rPr>
          <w:rFonts w:hint="default" w:ascii="Times New Roman" w:hAnsi="Times New Roman" w:cs="Times New Roman"/>
          <w:color w:val="auto"/>
          <w:spacing w:val="0"/>
          <w:sz w:val="24"/>
          <w:szCs w:val="24"/>
          <w:highlight w:val="none"/>
        </w:rPr>
        <w:t>%</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rPr>
        <w:t>占全区</w:t>
      </w:r>
      <w:r>
        <w:rPr>
          <w:rFonts w:hint="default" w:ascii="Times New Roman" w:hAnsi="Times New Roman" w:cs="Times New Roman"/>
          <w:color w:val="auto"/>
          <w:spacing w:val="0"/>
          <w:sz w:val="24"/>
          <w:szCs w:val="24"/>
          <w:lang w:val="en-US" w:eastAsia="zh-CN"/>
        </w:rPr>
        <w:t>总资源量</w:t>
      </w:r>
      <w:r>
        <w:rPr>
          <w:rFonts w:hint="default" w:ascii="Times New Roman" w:hAnsi="Times New Roman" w:cs="Times New Roman"/>
          <w:color w:val="auto"/>
          <w:spacing w:val="0"/>
          <w:sz w:val="24"/>
          <w:szCs w:val="24"/>
        </w:rPr>
        <w:t>的</w:t>
      </w:r>
      <w:r>
        <w:rPr>
          <w:rFonts w:hint="default" w:ascii="Times New Roman" w:hAnsi="Times New Roman" w:cs="Times New Roman"/>
          <w:color w:val="auto"/>
          <w:spacing w:val="0"/>
          <w:sz w:val="24"/>
          <w:szCs w:val="24"/>
          <w:lang w:val="en-US" w:eastAsia="zh-CN"/>
        </w:rPr>
        <w:t>48.57</w:t>
      </w:r>
      <w:r>
        <w:rPr>
          <w:rFonts w:hint="default" w:ascii="Times New Roman" w:hAnsi="Times New Roman" w:cs="Times New Roman"/>
          <w:color w:val="auto"/>
          <w:spacing w:val="0"/>
          <w:sz w:val="24"/>
          <w:szCs w:val="24"/>
        </w:rPr>
        <w:t>%</w:t>
      </w:r>
      <w:r>
        <w:rPr>
          <w:rFonts w:hint="default" w:ascii="Times New Roman" w:hAnsi="Times New Roman" w:cs="Times New Roman"/>
          <w:color w:val="auto"/>
          <w:spacing w:val="0"/>
          <w:sz w:val="24"/>
          <w:szCs w:val="24"/>
          <w:lang w:eastAsia="zh-CN"/>
        </w:rPr>
        <w:t>；</w:t>
      </w:r>
      <w:r>
        <w:rPr>
          <w:rFonts w:hint="default" w:ascii="Times New Roman" w:hAnsi="Times New Roman" w:eastAsia="宋体" w:cs="Times New Roman"/>
          <w:color w:val="auto"/>
          <w:spacing w:val="0"/>
          <w:sz w:val="24"/>
          <w:szCs w:val="24"/>
        </w:rPr>
        <w:t>伴生A</w:t>
      </w:r>
      <w:r>
        <w:rPr>
          <w:rFonts w:hint="default" w:ascii="Times New Roman" w:hAnsi="Times New Roman" w:cs="Times New Roman"/>
          <w:color w:val="auto"/>
          <w:spacing w:val="0"/>
          <w:sz w:val="24"/>
          <w:szCs w:val="24"/>
          <w:lang w:val="en-US" w:eastAsia="zh-CN"/>
        </w:rPr>
        <w:t>u</w:t>
      </w:r>
      <w:r>
        <w:rPr>
          <w:rFonts w:hint="default" w:ascii="Times New Roman" w:hAnsi="Times New Roman" w:eastAsia="宋体" w:cs="Times New Roman"/>
          <w:color w:val="auto"/>
          <w:spacing w:val="0"/>
          <w:sz w:val="24"/>
          <w:szCs w:val="24"/>
        </w:rPr>
        <w:t>金属量</w:t>
      </w:r>
      <w:r>
        <w:rPr>
          <w:rFonts w:hint="default" w:ascii="Times New Roman" w:hAnsi="Times New Roman" w:cs="Times New Roman"/>
          <w:color w:val="auto"/>
          <w:spacing w:val="0"/>
          <w:sz w:val="24"/>
          <w:szCs w:val="24"/>
          <w:lang w:val="en-US" w:eastAsia="zh-CN"/>
        </w:rPr>
        <w:t>612kg</w:t>
      </w:r>
      <w:r>
        <w:rPr>
          <w:rFonts w:hint="default" w:ascii="Times New Roman" w:hAnsi="Times New Roman" w:eastAsia="宋体" w:cs="Times New Roman"/>
          <w:color w:val="auto"/>
          <w:spacing w:val="0"/>
          <w:sz w:val="24"/>
          <w:szCs w:val="24"/>
        </w:rPr>
        <w:t>，平均品位</w:t>
      </w:r>
      <w:r>
        <w:rPr>
          <w:rFonts w:hint="default" w:ascii="Times New Roman" w:hAnsi="Times New Roman" w:cs="Times New Roman"/>
          <w:color w:val="auto"/>
          <w:spacing w:val="0"/>
          <w:sz w:val="24"/>
          <w:szCs w:val="24"/>
          <w:lang w:val="en-US" w:eastAsia="zh-CN"/>
        </w:rPr>
        <w:t>0.38</w:t>
      </w:r>
      <w:r>
        <w:rPr>
          <w:rFonts w:hint="default" w:ascii="Times New Roman" w:hAnsi="Times New Roman" w:eastAsia="宋体" w:cs="Times New Roman"/>
          <w:color w:val="auto"/>
          <w:spacing w:val="0"/>
          <w:sz w:val="24"/>
          <w:szCs w:val="24"/>
        </w:rPr>
        <w:t>g/t</w:t>
      </w:r>
      <w:r>
        <w:rPr>
          <w:rFonts w:hint="default" w:ascii="Times New Roman" w:hAnsi="Times New Roman" w:cs="Times New Roman"/>
          <w:color w:val="auto"/>
          <w:spacing w:val="0"/>
          <w:sz w:val="24"/>
          <w:szCs w:val="24"/>
          <w:lang w:eastAsia="zh-CN"/>
        </w:rPr>
        <w:t>；</w:t>
      </w:r>
      <w:r>
        <w:rPr>
          <w:rFonts w:hint="default" w:ascii="Times New Roman" w:hAnsi="Times New Roman" w:eastAsia="宋体" w:cs="Times New Roman"/>
          <w:color w:val="auto"/>
          <w:spacing w:val="0"/>
          <w:sz w:val="24"/>
          <w:szCs w:val="24"/>
          <w:lang w:val="en-US" w:eastAsia="zh-CN"/>
        </w:rPr>
        <w:t>伴生银金属量</w:t>
      </w:r>
      <w:r>
        <w:rPr>
          <w:rFonts w:hint="default" w:ascii="Times New Roman" w:hAnsi="Times New Roman" w:cs="Times New Roman"/>
          <w:color w:val="auto"/>
          <w:spacing w:val="0"/>
          <w:sz w:val="24"/>
          <w:szCs w:val="24"/>
          <w:lang w:val="en-US" w:eastAsia="zh-CN"/>
        </w:rPr>
        <w:t>10</w:t>
      </w:r>
      <w:r>
        <w:rPr>
          <w:rFonts w:hint="default" w:ascii="Times New Roman" w:hAnsi="Times New Roman" w:eastAsia="宋体" w:cs="Times New Roman"/>
          <w:color w:val="auto"/>
          <w:spacing w:val="0"/>
          <w:sz w:val="24"/>
          <w:szCs w:val="24"/>
          <w:lang w:val="en-US" w:eastAsia="zh-CN"/>
        </w:rPr>
        <w:t>吨</w:t>
      </w:r>
      <w:r>
        <w:rPr>
          <w:rFonts w:hint="default" w:ascii="Times New Roman" w:hAnsi="Times New Roman" w:cs="Times New Roman"/>
          <w:color w:val="auto"/>
          <w:spacing w:val="0"/>
          <w:sz w:val="24"/>
          <w:szCs w:val="24"/>
          <w:lang w:val="en-US" w:eastAsia="zh-CN"/>
        </w:rPr>
        <w:t>，</w:t>
      </w:r>
      <w:r>
        <w:rPr>
          <w:rFonts w:hint="default" w:ascii="Times New Roman" w:hAnsi="Times New Roman" w:cs="Times New Roman"/>
          <w:color w:val="auto"/>
          <w:spacing w:val="0"/>
          <w:sz w:val="24"/>
          <w:szCs w:val="24"/>
        </w:rPr>
        <w:t>平均品位</w:t>
      </w:r>
      <w:r>
        <w:rPr>
          <w:rFonts w:hint="default" w:ascii="Times New Roman" w:hAnsi="Times New Roman" w:cs="Times New Roman"/>
          <w:color w:val="auto"/>
          <w:spacing w:val="0"/>
          <w:sz w:val="24"/>
          <w:szCs w:val="24"/>
          <w:lang w:val="en-US" w:eastAsia="zh-CN"/>
        </w:rPr>
        <w:t>2.90g/t</w:t>
      </w:r>
      <w:r>
        <w:rPr>
          <w:rFonts w:hint="default" w:ascii="Times New Roman" w:hAnsi="Times New Roman" w:cs="Times New Roman"/>
          <w:color w:val="auto"/>
          <w:spacing w:val="0"/>
          <w:sz w:val="24"/>
          <w:szCs w:val="24"/>
        </w:rPr>
        <w:t>。</w:t>
      </w:r>
    </w:p>
    <w:p w14:paraId="70AE270F">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审查通过的资源储量如下：</w:t>
      </w:r>
    </w:p>
    <w:p w14:paraId="641D5AFD">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eastAsia="zh-CN"/>
        </w:rPr>
      </w:pPr>
      <w:r>
        <w:rPr>
          <w:rFonts w:hint="default" w:ascii="Times New Roman" w:hAnsi="Times New Roman" w:eastAsia="宋体" w:cs="Times New Roman"/>
          <w:b/>
          <w:bCs/>
          <w:color w:val="auto"/>
          <w:spacing w:val="0"/>
          <w:w w:val="100"/>
          <w:position w:val="0"/>
          <w:sz w:val="21"/>
          <w:szCs w:val="21"/>
          <w:lang w:val="zh-CN" w:eastAsia="zh-CN"/>
        </w:rPr>
        <w:t>表</w:t>
      </w:r>
      <w:r>
        <w:rPr>
          <w:rFonts w:hint="default" w:ascii="Times New Roman" w:hAnsi="Times New Roman" w:eastAsia="宋体" w:cs="Times New Roman"/>
          <w:b/>
          <w:bCs/>
          <w:color w:val="auto"/>
          <w:spacing w:val="0"/>
          <w:w w:val="100"/>
          <w:position w:val="0"/>
          <w:sz w:val="21"/>
          <w:szCs w:val="21"/>
          <w:lang w:val="en-US" w:eastAsia="zh-CN"/>
        </w:rPr>
        <w:t>3.1-5</w:t>
      </w:r>
      <w:r>
        <w:rPr>
          <w:rFonts w:hint="default" w:ascii="Times New Roman" w:hAnsi="Times New Roman" w:eastAsia="宋体" w:cs="Times New Roman"/>
          <w:b/>
          <w:bCs/>
          <w:color w:val="auto"/>
          <w:spacing w:val="0"/>
          <w:w w:val="100"/>
          <w:position w:val="0"/>
          <w:sz w:val="21"/>
          <w:szCs w:val="21"/>
          <w:lang w:val="zh-CN" w:eastAsia="zh-CN"/>
        </w:rPr>
        <w:t xml:space="preserve">    评审通过的资源储量一览表</w:t>
      </w:r>
    </w:p>
    <w:tbl>
      <w:tblPr>
        <w:tblStyle w:val="21"/>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82"/>
        <w:gridCol w:w="1389"/>
        <w:gridCol w:w="954"/>
        <w:gridCol w:w="1701"/>
        <w:gridCol w:w="752"/>
        <w:gridCol w:w="1856"/>
        <w:gridCol w:w="802"/>
      </w:tblGrid>
      <w:tr w14:paraId="593F31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tblHeader/>
          <w:jc w:val="center"/>
        </w:trPr>
        <w:tc>
          <w:tcPr>
            <w:tcW w:w="529" w:type="pct"/>
            <w:vMerge w:val="restart"/>
            <w:tcBorders>
              <w:tl2br w:val="nil"/>
              <w:tr2bl w:val="nil"/>
            </w:tcBorders>
            <w:vAlign w:val="center"/>
          </w:tcPr>
          <w:p w14:paraId="553895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资源量</w:t>
            </w:r>
          </w:p>
          <w:p w14:paraId="76CCE1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类别</w:t>
            </w:r>
          </w:p>
        </w:tc>
        <w:tc>
          <w:tcPr>
            <w:tcW w:w="1405" w:type="pct"/>
            <w:gridSpan w:val="2"/>
            <w:tcBorders>
              <w:tl2br w:val="nil"/>
              <w:tr2bl w:val="nil"/>
            </w:tcBorders>
            <w:vAlign w:val="center"/>
          </w:tcPr>
          <w:p w14:paraId="2CF7224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主矿产（Cu）</w:t>
            </w:r>
          </w:p>
        </w:tc>
        <w:tc>
          <w:tcPr>
            <w:tcW w:w="1471" w:type="pct"/>
            <w:gridSpan w:val="2"/>
            <w:tcBorders>
              <w:tl2br w:val="nil"/>
              <w:tr2bl w:val="nil"/>
            </w:tcBorders>
            <w:vAlign w:val="center"/>
          </w:tcPr>
          <w:p w14:paraId="1FEA5E6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伴生矿产（Au）</w:t>
            </w:r>
          </w:p>
        </w:tc>
        <w:tc>
          <w:tcPr>
            <w:tcW w:w="1593" w:type="pct"/>
            <w:gridSpan w:val="2"/>
            <w:tcBorders>
              <w:tl2br w:val="nil"/>
              <w:tr2bl w:val="nil"/>
            </w:tcBorders>
            <w:vAlign w:val="center"/>
          </w:tcPr>
          <w:p w14:paraId="7D3444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伴生矿产（Ag）</w:t>
            </w:r>
          </w:p>
        </w:tc>
      </w:tr>
      <w:tr w14:paraId="3975CB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tblHeader/>
          <w:jc w:val="center"/>
        </w:trPr>
        <w:tc>
          <w:tcPr>
            <w:tcW w:w="529" w:type="pct"/>
            <w:vMerge w:val="continue"/>
            <w:tcBorders>
              <w:tl2br w:val="nil"/>
              <w:tr2bl w:val="nil"/>
            </w:tcBorders>
            <w:vAlign w:val="center"/>
          </w:tcPr>
          <w:p w14:paraId="686D19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eastAsiaTheme="minorEastAsia"/>
                <w:color w:val="auto"/>
                <w:sz w:val="21"/>
                <w:szCs w:val="21"/>
              </w:rPr>
            </w:pPr>
          </w:p>
        </w:tc>
        <w:tc>
          <w:tcPr>
            <w:tcW w:w="833" w:type="pct"/>
            <w:tcBorders>
              <w:tl2br w:val="nil"/>
              <w:tr2bl w:val="nil"/>
            </w:tcBorders>
            <w:vAlign w:val="center"/>
          </w:tcPr>
          <w:p w14:paraId="3C8234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dash"/>
              </w:rPr>
            </w:pPr>
            <w:r>
              <w:rPr>
                <w:rFonts w:hint="default" w:ascii="Times New Roman" w:hAnsi="Times New Roman" w:cs="Times New Roman" w:eastAsiaTheme="minorEastAsia"/>
                <w:color w:val="auto"/>
                <w:sz w:val="21"/>
                <w:szCs w:val="21"/>
                <w:u w:val="single"/>
              </w:rPr>
              <w:t>矿石量</w:t>
            </w:r>
            <w:r>
              <w:rPr>
                <w:rFonts w:hint="default" w:ascii="Times New Roman" w:hAnsi="Times New Roman" w:cs="Times New Roman" w:eastAsiaTheme="minorEastAsia"/>
                <w:color w:val="auto"/>
                <w:sz w:val="21"/>
                <w:szCs w:val="21"/>
                <w:u w:val="single"/>
                <w:lang w:eastAsia="zh-CN"/>
              </w:rPr>
              <w:t>（</w:t>
            </w:r>
            <w:r>
              <w:rPr>
                <w:rFonts w:hint="default" w:ascii="Times New Roman" w:hAnsi="Times New Roman" w:cs="Times New Roman" w:eastAsiaTheme="minorEastAsia"/>
                <w:color w:val="auto"/>
                <w:sz w:val="21"/>
                <w:szCs w:val="21"/>
                <w:u w:val="single"/>
              </w:rPr>
              <w:t>万吨</w:t>
            </w:r>
            <w:r>
              <w:rPr>
                <w:rFonts w:hint="default" w:ascii="Times New Roman" w:hAnsi="Times New Roman" w:cs="Times New Roman" w:eastAsiaTheme="minorEastAsia"/>
                <w:color w:val="auto"/>
                <w:sz w:val="21"/>
                <w:szCs w:val="21"/>
                <w:u w:val="single"/>
                <w:lang w:eastAsia="zh-CN"/>
              </w:rPr>
              <w:t>）</w:t>
            </w:r>
          </w:p>
          <w:p w14:paraId="6A30194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金属量（吨）</w:t>
            </w:r>
          </w:p>
        </w:tc>
        <w:tc>
          <w:tcPr>
            <w:tcW w:w="572" w:type="pct"/>
            <w:tcBorders>
              <w:tl2br w:val="nil"/>
              <w:tr2bl w:val="nil"/>
            </w:tcBorders>
            <w:vAlign w:val="center"/>
          </w:tcPr>
          <w:p w14:paraId="52458D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平均品位</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rPr>
              <w:t>%</w:t>
            </w:r>
            <w:r>
              <w:rPr>
                <w:rFonts w:hint="default" w:ascii="Times New Roman" w:hAnsi="Times New Roman" w:cs="Times New Roman" w:eastAsiaTheme="minorEastAsia"/>
                <w:color w:val="auto"/>
                <w:sz w:val="21"/>
                <w:szCs w:val="21"/>
                <w:lang w:eastAsia="zh-CN"/>
              </w:rPr>
              <w:t>）</w:t>
            </w:r>
          </w:p>
        </w:tc>
        <w:tc>
          <w:tcPr>
            <w:tcW w:w="1020" w:type="pct"/>
            <w:tcBorders>
              <w:tl2br w:val="nil"/>
              <w:tr2bl w:val="nil"/>
            </w:tcBorders>
            <w:vAlign w:val="center"/>
          </w:tcPr>
          <w:p w14:paraId="514CC57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矿石量</w:t>
            </w:r>
            <w:r>
              <w:rPr>
                <w:rFonts w:hint="default" w:ascii="Times New Roman" w:hAnsi="Times New Roman" w:cs="Times New Roman" w:eastAsiaTheme="minorEastAsia"/>
                <w:color w:val="auto"/>
                <w:sz w:val="21"/>
                <w:szCs w:val="21"/>
                <w:u w:val="single"/>
                <w:lang w:eastAsia="zh-CN"/>
              </w:rPr>
              <w:t>（</w:t>
            </w:r>
            <w:r>
              <w:rPr>
                <w:rFonts w:hint="default" w:ascii="Times New Roman" w:hAnsi="Times New Roman" w:cs="Times New Roman" w:eastAsiaTheme="minorEastAsia"/>
                <w:color w:val="auto"/>
                <w:sz w:val="21"/>
                <w:szCs w:val="21"/>
                <w:u w:val="single"/>
              </w:rPr>
              <w:t>万吨</w:t>
            </w:r>
            <w:r>
              <w:rPr>
                <w:rFonts w:hint="default" w:ascii="Times New Roman" w:hAnsi="Times New Roman" w:cs="Times New Roman" w:eastAsiaTheme="minorEastAsia"/>
                <w:color w:val="auto"/>
                <w:sz w:val="21"/>
                <w:szCs w:val="21"/>
                <w:u w:val="single"/>
                <w:lang w:eastAsia="zh-CN"/>
              </w:rPr>
              <w:t>）</w:t>
            </w:r>
          </w:p>
          <w:p w14:paraId="0940EF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金属量（千克）</w:t>
            </w:r>
          </w:p>
        </w:tc>
        <w:tc>
          <w:tcPr>
            <w:tcW w:w="450" w:type="pct"/>
            <w:tcBorders>
              <w:tl2br w:val="nil"/>
              <w:tr2bl w:val="nil"/>
            </w:tcBorders>
            <w:vAlign w:val="center"/>
          </w:tcPr>
          <w:p w14:paraId="1B2A35B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平均品位</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rPr>
              <w:t>g/t</w:t>
            </w:r>
            <w:r>
              <w:rPr>
                <w:rFonts w:hint="default" w:ascii="Times New Roman" w:hAnsi="Times New Roman" w:cs="Times New Roman" w:eastAsiaTheme="minorEastAsia"/>
                <w:color w:val="auto"/>
                <w:sz w:val="21"/>
                <w:szCs w:val="21"/>
                <w:lang w:eastAsia="zh-CN"/>
              </w:rPr>
              <w:t>）</w:t>
            </w:r>
          </w:p>
        </w:tc>
        <w:tc>
          <w:tcPr>
            <w:tcW w:w="1113" w:type="pct"/>
            <w:tcBorders>
              <w:tl2br w:val="nil"/>
              <w:tr2bl w:val="nil"/>
            </w:tcBorders>
            <w:vAlign w:val="center"/>
          </w:tcPr>
          <w:p w14:paraId="3D5BA34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矿石量</w:t>
            </w:r>
            <w:r>
              <w:rPr>
                <w:rFonts w:hint="default" w:ascii="Times New Roman" w:hAnsi="Times New Roman" w:cs="Times New Roman" w:eastAsiaTheme="minorEastAsia"/>
                <w:color w:val="auto"/>
                <w:sz w:val="21"/>
                <w:szCs w:val="21"/>
                <w:u w:val="single"/>
                <w:lang w:eastAsia="zh-CN"/>
              </w:rPr>
              <w:t>（</w:t>
            </w:r>
            <w:r>
              <w:rPr>
                <w:rFonts w:hint="default" w:ascii="Times New Roman" w:hAnsi="Times New Roman" w:cs="Times New Roman" w:eastAsiaTheme="minorEastAsia"/>
                <w:color w:val="auto"/>
                <w:sz w:val="21"/>
                <w:szCs w:val="21"/>
                <w:u w:val="single"/>
              </w:rPr>
              <w:t>万吨</w:t>
            </w:r>
            <w:r>
              <w:rPr>
                <w:rFonts w:hint="default" w:ascii="Times New Roman" w:hAnsi="Times New Roman" w:cs="Times New Roman" w:eastAsiaTheme="minorEastAsia"/>
                <w:color w:val="auto"/>
                <w:sz w:val="21"/>
                <w:szCs w:val="21"/>
                <w:u w:val="single"/>
                <w:lang w:eastAsia="zh-CN"/>
              </w:rPr>
              <w:t>）</w:t>
            </w:r>
          </w:p>
          <w:p w14:paraId="7F93563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金属量（吨）</w:t>
            </w:r>
          </w:p>
        </w:tc>
        <w:tc>
          <w:tcPr>
            <w:tcW w:w="479" w:type="pct"/>
            <w:tcBorders>
              <w:tl2br w:val="nil"/>
              <w:tr2bl w:val="nil"/>
            </w:tcBorders>
            <w:vAlign w:val="center"/>
          </w:tcPr>
          <w:p w14:paraId="525F9F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平均品位</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rPr>
              <w:t>g/t</w:t>
            </w:r>
            <w:r>
              <w:rPr>
                <w:rFonts w:hint="default" w:ascii="Times New Roman" w:hAnsi="Times New Roman" w:cs="Times New Roman" w:eastAsiaTheme="minorEastAsia"/>
                <w:color w:val="auto"/>
                <w:sz w:val="21"/>
                <w:szCs w:val="21"/>
                <w:lang w:eastAsia="zh-CN"/>
              </w:rPr>
              <w:t>）</w:t>
            </w:r>
          </w:p>
        </w:tc>
      </w:tr>
      <w:tr w14:paraId="0D870E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529" w:type="pct"/>
            <w:tcBorders>
              <w:tl2br w:val="nil"/>
              <w:tr2bl w:val="nil"/>
            </w:tcBorders>
            <w:vAlign w:val="center"/>
          </w:tcPr>
          <w:p w14:paraId="771F530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控制</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rPr>
              <w:t>KZ</w:t>
            </w:r>
            <w:r>
              <w:rPr>
                <w:rFonts w:hint="default" w:ascii="Times New Roman" w:hAnsi="Times New Roman" w:cs="Times New Roman" w:eastAsiaTheme="minorEastAsia"/>
                <w:color w:val="auto"/>
                <w:sz w:val="21"/>
                <w:szCs w:val="21"/>
                <w:lang w:eastAsia="zh-CN"/>
              </w:rPr>
              <w:t>）</w:t>
            </w:r>
          </w:p>
        </w:tc>
        <w:tc>
          <w:tcPr>
            <w:tcW w:w="833" w:type="pct"/>
            <w:tcBorders>
              <w:tl2br w:val="nil"/>
              <w:tr2bl w:val="nil"/>
            </w:tcBorders>
            <w:noWrap/>
            <w:vAlign w:val="center"/>
          </w:tcPr>
          <w:p w14:paraId="07C0C3C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174.6</w:t>
            </w:r>
          </w:p>
          <w:p w14:paraId="0924795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12067</w:t>
            </w:r>
          </w:p>
        </w:tc>
        <w:tc>
          <w:tcPr>
            <w:tcW w:w="572" w:type="pct"/>
            <w:tcBorders>
              <w:tl2br w:val="nil"/>
              <w:tr2bl w:val="nil"/>
            </w:tcBorders>
            <w:vAlign w:val="center"/>
          </w:tcPr>
          <w:p w14:paraId="5750180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0.69</w:t>
            </w:r>
          </w:p>
        </w:tc>
        <w:tc>
          <w:tcPr>
            <w:tcW w:w="1020" w:type="pct"/>
            <w:tcBorders>
              <w:tl2br w:val="nil"/>
              <w:tr2bl w:val="nil"/>
            </w:tcBorders>
            <w:vAlign w:val="center"/>
          </w:tcPr>
          <w:p w14:paraId="36B7D1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118.2</w:t>
            </w:r>
          </w:p>
          <w:p w14:paraId="44E4D58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481</w:t>
            </w:r>
          </w:p>
        </w:tc>
        <w:tc>
          <w:tcPr>
            <w:tcW w:w="450" w:type="pct"/>
            <w:tcBorders>
              <w:tl2br w:val="nil"/>
              <w:tr2bl w:val="nil"/>
            </w:tcBorders>
            <w:vAlign w:val="center"/>
          </w:tcPr>
          <w:p w14:paraId="19E181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0.41</w:t>
            </w:r>
          </w:p>
        </w:tc>
        <w:tc>
          <w:tcPr>
            <w:tcW w:w="1113" w:type="pct"/>
            <w:tcBorders>
              <w:tl2br w:val="nil"/>
              <w:tr2bl w:val="nil"/>
            </w:tcBorders>
            <w:vAlign w:val="center"/>
          </w:tcPr>
          <w:p w14:paraId="7B44220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479" w:type="pct"/>
            <w:tcBorders>
              <w:tl2br w:val="nil"/>
              <w:tr2bl w:val="nil"/>
            </w:tcBorders>
            <w:vAlign w:val="center"/>
          </w:tcPr>
          <w:p w14:paraId="7FDAF2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r>
      <w:tr w14:paraId="3719A0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529" w:type="pct"/>
            <w:tcBorders>
              <w:tl2br w:val="nil"/>
              <w:tr2bl w:val="nil"/>
            </w:tcBorders>
            <w:vAlign w:val="center"/>
          </w:tcPr>
          <w:p w14:paraId="114778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推断</w:t>
            </w:r>
            <w:r>
              <w:rPr>
                <w:rFonts w:hint="default" w:ascii="Times New Roman" w:hAnsi="Times New Roman" w:cs="Times New Roman" w:eastAsiaTheme="minorEastAsia"/>
                <w:color w:val="auto"/>
                <w:sz w:val="21"/>
                <w:szCs w:val="21"/>
                <w:lang w:eastAsia="zh-CN"/>
              </w:rPr>
              <w:t>（</w:t>
            </w:r>
            <w:r>
              <w:rPr>
                <w:rFonts w:hint="default" w:ascii="Times New Roman" w:hAnsi="Times New Roman" w:cs="Times New Roman" w:eastAsiaTheme="minorEastAsia"/>
                <w:color w:val="auto"/>
                <w:sz w:val="21"/>
                <w:szCs w:val="21"/>
              </w:rPr>
              <w:t>TD</w:t>
            </w:r>
            <w:r>
              <w:rPr>
                <w:rFonts w:hint="default" w:ascii="Times New Roman" w:hAnsi="Times New Roman" w:cs="Times New Roman" w:eastAsiaTheme="minorEastAsia"/>
                <w:color w:val="auto"/>
                <w:sz w:val="21"/>
                <w:szCs w:val="21"/>
                <w:lang w:eastAsia="zh-CN"/>
              </w:rPr>
              <w:t>）</w:t>
            </w:r>
          </w:p>
        </w:tc>
        <w:tc>
          <w:tcPr>
            <w:tcW w:w="833" w:type="pct"/>
            <w:tcBorders>
              <w:tl2br w:val="nil"/>
              <w:tr2bl w:val="nil"/>
            </w:tcBorders>
            <w:noWrap/>
            <w:vAlign w:val="center"/>
          </w:tcPr>
          <w:p w14:paraId="7DE378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164.9</w:t>
            </w:r>
          </w:p>
          <w:p w14:paraId="1A888E0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9971</w:t>
            </w:r>
          </w:p>
        </w:tc>
        <w:tc>
          <w:tcPr>
            <w:tcW w:w="572" w:type="pct"/>
            <w:tcBorders>
              <w:tl2br w:val="nil"/>
              <w:tr2bl w:val="nil"/>
            </w:tcBorders>
            <w:vAlign w:val="center"/>
          </w:tcPr>
          <w:p w14:paraId="03BE9D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0.60</w:t>
            </w:r>
          </w:p>
        </w:tc>
        <w:tc>
          <w:tcPr>
            <w:tcW w:w="1020" w:type="pct"/>
            <w:tcBorders>
              <w:tl2br w:val="nil"/>
              <w:tr2bl w:val="nil"/>
            </w:tcBorders>
            <w:vAlign w:val="center"/>
          </w:tcPr>
          <w:p w14:paraId="42AB5A5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dash"/>
              </w:rPr>
            </w:pPr>
            <w:r>
              <w:rPr>
                <w:rFonts w:hint="default" w:ascii="Times New Roman" w:hAnsi="Times New Roman" w:cs="Times New Roman" w:eastAsiaTheme="minorEastAsia"/>
                <w:color w:val="auto"/>
                <w:sz w:val="21"/>
                <w:szCs w:val="21"/>
                <w:u w:val="single"/>
              </w:rPr>
              <w:t>41.7</w:t>
            </w:r>
          </w:p>
          <w:p w14:paraId="42B55D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131</w:t>
            </w:r>
          </w:p>
        </w:tc>
        <w:tc>
          <w:tcPr>
            <w:tcW w:w="450" w:type="pct"/>
            <w:tcBorders>
              <w:tl2br w:val="nil"/>
              <w:tr2bl w:val="nil"/>
            </w:tcBorders>
            <w:vAlign w:val="center"/>
          </w:tcPr>
          <w:p w14:paraId="42E3E7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0.32</w:t>
            </w:r>
          </w:p>
        </w:tc>
        <w:tc>
          <w:tcPr>
            <w:tcW w:w="1113" w:type="pct"/>
            <w:tcBorders>
              <w:tl2br w:val="nil"/>
              <w:tr2bl w:val="nil"/>
            </w:tcBorders>
            <w:vAlign w:val="center"/>
          </w:tcPr>
          <w:p w14:paraId="3C3FF6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339.5</w:t>
            </w:r>
          </w:p>
          <w:p w14:paraId="7CD860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479" w:type="pct"/>
            <w:tcBorders>
              <w:tl2br w:val="nil"/>
              <w:tr2bl w:val="nil"/>
            </w:tcBorders>
            <w:vAlign w:val="center"/>
          </w:tcPr>
          <w:p w14:paraId="1405A1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2.90</w:t>
            </w:r>
          </w:p>
        </w:tc>
      </w:tr>
      <w:tr w14:paraId="78BDCC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96" w:hRule="atLeast"/>
          <w:jc w:val="center"/>
        </w:trPr>
        <w:tc>
          <w:tcPr>
            <w:tcW w:w="529" w:type="pct"/>
            <w:tcBorders>
              <w:tl2br w:val="nil"/>
              <w:tr2bl w:val="nil"/>
            </w:tcBorders>
            <w:vAlign w:val="center"/>
          </w:tcPr>
          <w:p w14:paraId="6D3CADF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合计</w:t>
            </w:r>
          </w:p>
        </w:tc>
        <w:tc>
          <w:tcPr>
            <w:tcW w:w="833" w:type="pct"/>
            <w:tcBorders>
              <w:tl2br w:val="nil"/>
              <w:tr2bl w:val="nil"/>
            </w:tcBorders>
            <w:noWrap/>
            <w:vAlign w:val="center"/>
          </w:tcPr>
          <w:p w14:paraId="4BEA2C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339.5</w:t>
            </w:r>
          </w:p>
          <w:p w14:paraId="71BBFF0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22038</w:t>
            </w:r>
          </w:p>
        </w:tc>
        <w:tc>
          <w:tcPr>
            <w:tcW w:w="572" w:type="pct"/>
            <w:tcBorders>
              <w:tl2br w:val="nil"/>
              <w:tr2bl w:val="nil"/>
            </w:tcBorders>
            <w:vAlign w:val="center"/>
          </w:tcPr>
          <w:p w14:paraId="5432A4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0.65</w:t>
            </w:r>
          </w:p>
        </w:tc>
        <w:tc>
          <w:tcPr>
            <w:tcW w:w="1020" w:type="pct"/>
            <w:tcBorders>
              <w:tl2br w:val="nil"/>
              <w:tr2bl w:val="nil"/>
            </w:tcBorders>
            <w:vAlign w:val="center"/>
          </w:tcPr>
          <w:p w14:paraId="35E830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159.9</w:t>
            </w:r>
          </w:p>
          <w:p w14:paraId="27A6C46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612</w:t>
            </w:r>
          </w:p>
        </w:tc>
        <w:tc>
          <w:tcPr>
            <w:tcW w:w="450" w:type="pct"/>
            <w:tcBorders>
              <w:tl2br w:val="nil"/>
              <w:tr2bl w:val="nil"/>
            </w:tcBorders>
            <w:vAlign w:val="center"/>
          </w:tcPr>
          <w:p w14:paraId="43C99FE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0.38</w:t>
            </w:r>
          </w:p>
        </w:tc>
        <w:tc>
          <w:tcPr>
            <w:tcW w:w="1113" w:type="pct"/>
            <w:tcBorders>
              <w:tl2br w:val="nil"/>
              <w:tr2bl w:val="nil"/>
            </w:tcBorders>
            <w:vAlign w:val="center"/>
          </w:tcPr>
          <w:p w14:paraId="290722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u w:val="single"/>
              </w:rPr>
            </w:pPr>
            <w:r>
              <w:rPr>
                <w:rFonts w:hint="default" w:ascii="Times New Roman" w:hAnsi="Times New Roman" w:cs="Times New Roman" w:eastAsiaTheme="minorEastAsia"/>
                <w:color w:val="auto"/>
                <w:sz w:val="21"/>
                <w:szCs w:val="21"/>
                <w:u w:val="single"/>
              </w:rPr>
              <w:t>339.5</w:t>
            </w:r>
          </w:p>
          <w:p w14:paraId="11D2B9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479" w:type="pct"/>
            <w:tcBorders>
              <w:tl2br w:val="nil"/>
              <w:tr2bl w:val="nil"/>
            </w:tcBorders>
            <w:vAlign w:val="center"/>
          </w:tcPr>
          <w:p w14:paraId="5C16FB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2.90</w:t>
            </w:r>
          </w:p>
        </w:tc>
      </w:tr>
    </w:tbl>
    <w:p w14:paraId="5709314C">
      <w:pPr>
        <w:tabs>
          <w:tab w:val="left" w:pos="3255"/>
        </w:tabs>
        <w:spacing w:before="120" w:beforeLines="50" w:line="240" w:lineRule="atLeast"/>
        <w:ind w:firstLine="422" w:firstLineChars="200"/>
        <w:jc w:val="center"/>
        <w:rPr>
          <w:rFonts w:hint="default" w:ascii="Times New Roman" w:hAnsi="Times New Roman" w:cs="Times New Roman"/>
          <w:b/>
          <w:bCs/>
          <w:color w:val="auto"/>
          <w:szCs w:val="21"/>
        </w:rPr>
        <w:sectPr>
          <w:headerReference r:id="rId14" w:type="default"/>
          <w:footerReference r:id="rId15"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62B06AC3">
      <w:pPr>
        <w:tabs>
          <w:tab w:val="left" w:pos="3255"/>
        </w:tabs>
        <w:spacing w:before="120" w:beforeLines="50" w:line="240" w:lineRule="atLeast"/>
        <w:ind w:firstLine="422" w:firstLineChars="200"/>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表</w:t>
      </w:r>
      <w:r>
        <w:rPr>
          <w:rFonts w:hint="default" w:ascii="Times New Roman" w:hAnsi="Times New Roman" w:cs="Times New Roman"/>
          <w:b/>
          <w:bCs/>
          <w:color w:val="auto"/>
          <w:szCs w:val="21"/>
          <w:lang w:val="en-US" w:eastAsia="zh-CN"/>
        </w:rPr>
        <w:t>3.1-6</w:t>
      </w:r>
      <w:r>
        <w:rPr>
          <w:rFonts w:hint="default" w:ascii="Times New Roman" w:hAnsi="Times New Roman" w:cs="Times New Roman"/>
          <w:b/>
          <w:bCs/>
          <w:color w:val="auto"/>
          <w:szCs w:val="21"/>
        </w:rPr>
        <w:t xml:space="preserve"> </w:t>
      </w:r>
      <w:r>
        <w:rPr>
          <w:rFonts w:hint="default" w:ascii="Times New Roman" w:hAnsi="Times New Roman" w:cs="Times New Roman"/>
          <w:b/>
          <w:bCs/>
          <w:color w:val="auto"/>
          <w:szCs w:val="21"/>
          <w:lang w:val="en-US" w:eastAsia="zh-CN"/>
        </w:rPr>
        <w:t xml:space="preserve">  </w:t>
      </w:r>
      <w:r>
        <w:rPr>
          <w:rFonts w:hint="default" w:ascii="Times New Roman" w:hAnsi="Times New Roman" w:cs="Times New Roman"/>
          <w:b/>
          <w:bCs/>
          <w:color w:val="auto"/>
          <w:szCs w:val="21"/>
        </w:rPr>
        <w:t xml:space="preserve">  矿床资源量汇总表</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258"/>
        <w:gridCol w:w="1160"/>
        <w:gridCol w:w="1049"/>
        <w:gridCol w:w="1097"/>
        <w:gridCol w:w="1097"/>
        <w:gridCol w:w="1101"/>
        <w:gridCol w:w="996"/>
        <w:gridCol w:w="1020"/>
        <w:gridCol w:w="996"/>
        <w:gridCol w:w="1136"/>
        <w:gridCol w:w="1217"/>
        <w:gridCol w:w="1322"/>
      </w:tblGrid>
      <w:tr w14:paraId="093B64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58CD68C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矿体编号</w:t>
            </w:r>
          </w:p>
        </w:tc>
        <w:tc>
          <w:tcPr>
            <w:tcW w:w="425" w:type="pct"/>
            <w:vMerge w:val="restart"/>
            <w:tcBorders>
              <w:tl2br w:val="nil"/>
              <w:tr2bl w:val="nil"/>
            </w:tcBorders>
            <w:vAlign w:val="center"/>
          </w:tcPr>
          <w:p w14:paraId="757D418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资源量</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级别</w:t>
            </w:r>
          </w:p>
        </w:tc>
        <w:tc>
          <w:tcPr>
            <w:tcW w:w="391" w:type="pct"/>
            <w:vMerge w:val="restart"/>
            <w:tcBorders>
              <w:tl2br w:val="nil"/>
              <w:tr2bl w:val="nil"/>
            </w:tcBorders>
            <w:vAlign w:val="center"/>
          </w:tcPr>
          <w:p w14:paraId="07E2EDB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矿石量</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（万t）</w:t>
            </w:r>
          </w:p>
        </w:tc>
        <w:tc>
          <w:tcPr>
            <w:tcW w:w="1228" w:type="pct"/>
            <w:gridSpan w:val="3"/>
            <w:tcBorders>
              <w:tl2br w:val="nil"/>
              <w:tr2bl w:val="nil"/>
            </w:tcBorders>
            <w:noWrap/>
            <w:vAlign w:val="center"/>
          </w:tcPr>
          <w:p w14:paraId="228D2F1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平均品位</w:t>
            </w:r>
          </w:p>
        </w:tc>
        <w:tc>
          <w:tcPr>
            <w:tcW w:w="371" w:type="pct"/>
            <w:vMerge w:val="restart"/>
            <w:tcBorders>
              <w:tl2br w:val="nil"/>
              <w:tr2bl w:val="nil"/>
            </w:tcBorders>
            <w:vAlign w:val="center"/>
          </w:tcPr>
          <w:p w14:paraId="4B6A257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铜金属量</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（t）</w:t>
            </w:r>
          </w:p>
        </w:tc>
        <w:tc>
          <w:tcPr>
            <w:tcW w:w="380" w:type="pct"/>
            <w:vMerge w:val="restart"/>
            <w:tcBorders>
              <w:tl2br w:val="nil"/>
              <w:tr2bl w:val="nil"/>
            </w:tcBorders>
            <w:vAlign w:val="center"/>
          </w:tcPr>
          <w:p w14:paraId="761BE4C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金金属量</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（kg）</w:t>
            </w:r>
          </w:p>
        </w:tc>
        <w:tc>
          <w:tcPr>
            <w:tcW w:w="371" w:type="pct"/>
            <w:vMerge w:val="restart"/>
            <w:tcBorders>
              <w:tl2br w:val="nil"/>
              <w:tr2bl w:val="nil"/>
            </w:tcBorders>
            <w:vAlign w:val="center"/>
          </w:tcPr>
          <w:p w14:paraId="2F4FBAC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银金属量</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（t）</w:t>
            </w:r>
          </w:p>
        </w:tc>
        <w:tc>
          <w:tcPr>
            <w:tcW w:w="876" w:type="pct"/>
            <w:gridSpan w:val="2"/>
            <w:tcBorders>
              <w:tl2br w:val="nil"/>
              <w:tr2bl w:val="nil"/>
            </w:tcBorders>
            <w:noWrap/>
            <w:vAlign w:val="center"/>
          </w:tcPr>
          <w:p w14:paraId="7BD750C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矿床平均品位</w:t>
            </w:r>
          </w:p>
        </w:tc>
        <w:tc>
          <w:tcPr>
            <w:tcW w:w="492" w:type="pct"/>
            <w:vMerge w:val="restart"/>
            <w:tcBorders>
              <w:tl2br w:val="nil"/>
              <w:tr2bl w:val="nil"/>
            </w:tcBorders>
            <w:noWrap/>
            <w:vAlign w:val="center"/>
          </w:tcPr>
          <w:p w14:paraId="17E5DF0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备注</w:t>
            </w:r>
          </w:p>
        </w:tc>
      </w:tr>
      <w:tr w14:paraId="557290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319E2C8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vMerge w:val="continue"/>
            <w:tcBorders>
              <w:tl2br w:val="nil"/>
              <w:tr2bl w:val="nil"/>
            </w:tcBorders>
            <w:vAlign w:val="center"/>
          </w:tcPr>
          <w:p w14:paraId="5DB2264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91" w:type="pct"/>
            <w:vMerge w:val="continue"/>
            <w:tcBorders>
              <w:tl2br w:val="nil"/>
              <w:tr2bl w:val="nil"/>
            </w:tcBorders>
            <w:vAlign w:val="center"/>
          </w:tcPr>
          <w:p w14:paraId="621D9A1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44FCCA4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Cu（10</w:t>
            </w:r>
            <w:r>
              <w:rPr>
                <w:rFonts w:hint="default" w:ascii="Times New Roman" w:hAnsi="Times New Roman" w:cs="Times New Roman"/>
                <w:color w:val="auto"/>
                <w:kern w:val="0"/>
                <w:sz w:val="18"/>
                <w:szCs w:val="18"/>
                <w:vertAlign w:val="superscript"/>
                <w:lang w:bidi="ar"/>
              </w:rPr>
              <w:t>-2</w:t>
            </w:r>
            <w:r>
              <w:rPr>
                <w:rFonts w:hint="default" w:ascii="Times New Roman" w:hAnsi="Times New Roman" w:cs="Times New Roman"/>
                <w:color w:val="auto"/>
                <w:kern w:val="0"/>
                <w:sz w:val="18"/>
                <w:szCs w:val="18"/>
                <w:lang w:bidi="ar"/>
              </w:rPr>
              <w:t>）</w:t>
            </w:r>
          </w:p>
        </w:tc>
        <w:tc>
          <w:tcPr>
            <w:tcW w:w="409" w:type="pct"/>
            <w:tcBorders>
              <w:tl2br w:val="nil"/>
              <w:tr2bl w:val="nil"/>
            </w:tcBorders>
            <w:noWrap/>
            <w:vAlign w:val="center"/>
          </w:tcPr>
          <w:p w14:paraId="31573C2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Au（10</w:t>
            </w:r>
            <w:r>
              <w:rPr>
                <w:rFonts w:hint="default" w:ascii="Times New Roman" w:hAnsi="Times New Roman" w:cs="Times New Roman"/>
                <w:color w:val="auto"/>
                <w:kern w:val="0"/>
                <w:sz w:val="18"/>
                <w:szCs w:val="18"/>
                <w:vertAlign w:val="superscript"/>
                <w:lang w:bidi="ar"/>
              </w:rPr>
              <w:t>-6</w:t>
            </w:r>
            <w:r>
              <w:rPr>
                <w:rFonts w:hint="default" w:ascii="Times New Roman" w:hAnsi="Times New Roman" w:cs="Times New Roman"/>
                <w:color w:val="auto"/>
                <w:kern w:val="0"/>
                <w:sz w:val="18"/>
                <w:szCs w:val="18"/>
                <w:lang w:bidi="ar"/>
              </w:rPr>
              <w:t>）</w:t>
            </w:r>
          </w:p>
        </w:tc>
        <w:tc>
          <w:tcPr>
            <w:tcW w:w="409" w:type="pct"/>
            <w:tcBorders>
              <w:tl2br w:val="nil"/>
              <w:tr2bl w:val="nil"/>
            </w:tcBorders>
            <w:noWrap/>
            <w:vAlign w:val="center"/>
          </w:tcPr>
          <w:p w14:paraId="586EB8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Ag（10</w:t>
            </w:r>
            <w:r>
              <w:rPr>
                <w:rFonts w:hint="default" w:ascii="Times New Roman" w:hAnsi="Times New Roman" w:cs="Times New Roman"/>
                <w:color w:val="auto"/>
                <w:kern w:val="0"/>
                <w:sz w:val="18"/>
                <w:szCs w:val="18"/>
                <w:vertAlign w:val="superscript"/>
                <w:lang w:bidi="ar"/>
              </w:rPr>
              <w:t>-6</w:t>
            </w: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vAlign w:val="center"/>
          </w:tcPr>
          <w:p w14:paraId="6C2FDC7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80" w:type="pct"/>
            <w:vMerge w:val="continue"/>
            <w:tcBorders>
              <w:tl2br w:val="nil"/>
              <w:tr2bl w:val="nil"/>
            </w:tcBorders>
            <w:vAlign w:val="center"/>
          </w:tcPr>
          <w:p w14:paraId="2FC63D9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vMerge w:val="continue"/>
            <w:tcBorders>
              <w:tl2br w:val="nil"/>
              <w:tr2bl w:val="nil"/>
            </w:tcBorders>
            <w:vAlign w:val="center"/>
          </w:tcPr>
          <w:p w14:paraId="44B83F5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tcBorders>
              <w:tl2br w:val="nil"/>
              <w:tr2bl w:val="nil"/>
            </w:tcBorders>
            <w:noWrap/>
            <w:vAlign w:val="center"/>
          </w:tcPr>
          <w:p w14:paraId="11C0CAF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Cu（10</w:t>
            </w:r>
            <w:r>
              <w:rPr>
                <w:rFonts w:hint="default" w:ascii="Times New Roman" w:hAnsi="Times New Roman" w:cs="Times New Roman"/>
                <w:color w:val="auto"/>
                <w:kern w:val="0"/>
                <w:sz w:val="18"/>
                <w:szCs w:val="18"/>
                <w:vertAlign w:val="superscript"/>
                <w:lang w:bidi="ar"/>
              </w:rPr>
              <w:t>-2</w:t>
            </w:r>
            <w:r>
              <w:rPr>
                <w:rFonts w:hint="default" w:ascii="Times New Roman" w:hAnsi="Times New Roman" w:cs="Times New Roman"/>
                <w:color w:val="auto"/>
                <w:kern w:val="0"/>
                <w:sz w:val="18"/>
                <w:szCs w:val="18"/>
                <w:lang w:bidi="ar"/>
              </w:rPr>
              <w:t>）</w:t>
            </w:r>
          </w:p>
        </w:tc>
        <w:tc>
          <w:tcPr>
            <w:tcW w:w="452" w:type="pct"/>
            <w:tcBorders>
              <w:tl2br w:val="nil"/>
              <w:tr2bl w:val="nil"/>
            </w:tcBorders>
            <w:noWrap/>
            <w:vAlign w:val="center"/>
          </w:tcPr>
          <w:p w14:paraId="66838FE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bottom"/>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Au（10</w:t>
            </w:r>
            <w:r>
              <w:rPr>
                <w:rFonts w:hint="default" w:ascii="Times New Roman" w:hAnsi="Times New Roman" w:cs="Times New Roman"/>
                <w:color w:val="auto"/>
                <w:kern w:val="0"/>
                <w:sz w:val="18"/>
                <w:szCs w:val="18"/>
                <w:vertAlign w:val="superscript"/>
                <w:lang w:bidi="ar"/>
              </w:rPr>
              <w:t>-6</w:t>
            </w:r>
            <w:r>
              <w:rPr>
                <w:rFonts w:hint="default" w:ascii="Times New Roman" w:hAnsi="Times New Roman" w:cs="Times New Roman"/>
                <w:color w:val="auto"/>
                <w:kern w:val="0"/>
                <w:sz w:val="18"/>
                <w:szCs w:val="18"/>
                <w:lang w:bidi="ar"/>
              </w:rPr>
              <w:t>）</w:t>
            </w:r>
          </w:p>
        </w:tc>
        <w:tc>
          <w:tcPr>
            <w:tcW w:w="492" w:type="pct"/>
            <w:vMerge w:val="continue"/>
            <w:tcBorders>
              <w:tl2br w:val="nil"/>
              <w:tr2bl w:val="nil"/>
            </w:tcBorders>
            <w:noWrap/>
            <w:vAlign w:val="center"/>
          </w:tcPr>
          <w:p w14:paraId="1D879C7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31767A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52EA668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Ⅰ</w:t>
            </w:r>
          </w:p>
        </w:tc>
        <w:tc>
          <w:tcPr>
            <w:tcW w:w="425" w:type="pct"/>
            <w:tcBorders>
              <w:tl2br w:val="nil"/>
              <w:tr2bl w:val="nil"/>
            </w:tcBorders>
            <w:noWrap/>
            <w:vAlign w:val="center"/>
          </w:tcPr>
          <w:p w14:paraId="49369B3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7CA756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13.2</w:t>
            </w:r>
          </w:p>
        </w:tc>
        <w:tc>
          <w:tcPr>
            <w:tcW w:w="409" w:type="pct"/>
            <w:tcBorders>
              <w:tl2br w:val="nil"/>
              <w:tr2bl w:val="nil"/>
            </w:tcBorders>
            <w:noWrap/>
            <w:vAlign w:val="center"/>
          </w:tcPr>
          <w:p w14:paraId="5B3A1D1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0.66</w:t>
            </w:r>
          </w:p>
        </w:tc>
        <w:tc>
          <w:tcPr>
            <w:tcW w:w="409" w:type="pct"/>
            <w:tcBorders>
              <w:tl2br w:val="nil"/>
              <w:tr2bl w:val="nil"/>
            </w:tcBorders>
            <w:noWrap/>
            <w:vAlign w:val="center"/>
          </w:tcPr>
          <w:p w14:paraId="10A6A0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restart"/>
            <w:tcBorders>
              <w:tl2br w:val="nil"/>
              <w:tr2bl w:val="nil"/>
            </w:tcBorders>
            <w:noWrap/>
            <w:vAlign w:val="center"/>
          </w:tcPr>
          <w:p w14:paraId="1045C07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3.81</w:t>
            </w:r>
          </w:p>
        </w:tc>
        <w:tc>
          <w:tcPr>
            <w:tcW w:w="371" w:type="pct"/>
            <w:tcBorders>
              <w:tl2br w:val="nil"/>
              <w:tr2bl w:val="nil"/>
            </w:tcBorders>
            <w:noWrap/>
            <w:vAlign w:val="center"/>
          </w:tcPr>
          <w:p w14:paraId="4DE81AE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866</w:t>
            </w:r>
          </w:p>
        </w:tc>
        <w:tc>
          <w:tcPr>
            <w:tcW w:w="380" w:type="pct"/>
            <w:tcBorders>
              <w:tl2br w:val="nil"/>
              <w:tr2bl w:val="nil"/>
            </w:tcBorders>
            <w:noWrap/>
            <w:vAlign w:val="center"/>
          </w:tcPr>
          <w:p w14:paraId="3AE0E1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restart"/>
            <w:tcBorders>
              <w:tl2br w:val="nil"/>
              <w:tr2bl w:val="nil"/>
            </w:tcBorders>
            <w:noWrap/>
            <w:vAlign w:val="center"/>
          </w:tcPr>
          <w:p w14:paraId="36101F2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7</w:t>
            </w:r>
          </w:p>
        </w:tc>
        <w:tc>
          <w:tcPr>
            <w:tcW w:w="423" w:type="pct"/>
            <w:vMerge w:val="restart"/>
            <w:tcBorders>
              <w:tl2br w:val="nil"/>
              <w:tr2bl w:val="nil"/>
            </w:tcBorders>
            <w:noWrap/>
            <w:vAlign w:val="center"/>
          </w:tcPr>
          <w:p w14:paraId="0ECA7A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0.65</w:t>
            </w:r>
          </w:p>
        </w:tc>
        <w:tc>
          <w:tcPr>
            <w:tcW w:w="452" w:type="pct"/>
            <w:vMerge w:val="restart"/>
            <w:tcBorders>
              <w:tl2br w:val="nil"/>
              <w:tr2bl w:val="nil"/>
            </w:tcBorders>
            <w:noWrap/>
            <w:vAlign w:val="center"/>
          </w:tcPr>
          <w:p w14:paraId="174B3D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92" w:type="pct"/>
            <w:vMerge w:val="restart"/>
            <w:tcBorders>
              <w:tl2br w:val="nil"/>
              <w:tr2bl w:val="nil"/>
            </w:tcBorders>
            <w:vAlign w:val="center"/>
          </w:tcPr>
          <w:p w14:paraId="73F5C3F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原详查</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报告矿体</w:t>
            </w:r>
          </w:p>
        </w:tc>
      </w:tr>
      <w:tr w14:paraId="06D15D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47ED0C6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Ⅱ</w:t>
            </w:r>
          </w:p>
        </w:tc>
        <w:tc>
          <w:tcPr>
            <w:tcW w:w="425" w:type="pct"/>
            <w:tcBorders>
              <w:tl2br w:val="nil"/>
              <w:tr2bl w:val="nil"/>
            </w:tcBorders>
            <w:noWrap/>
            <w:vAlign w:val="center"/>
          </w:tcPr>
          <w:p w14:paraId="4029661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w:t>
            </w:r>
          </w:p>
        </w:tc>
        <w:tc>
          <w:tcPr>
            <w:tcW w:w="391" w:type="pct"/>
            <w:tcBorders>
              <w:tl2br w:val="nil"/>
              <w:tr2bl w:val="nil"/>
            </w:tcBorders>
            <w:noWrap/>
            <w:vAlign w:val="center"/>
          </w:tcPr>
          <w:p w14:paraId="2621C83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9.0</w:t>
            </w:r>
          </w:p>
        </w:tc>
        <w:tc>
          <w:tcPr>
            <w:tcW w:w="409" w:type="pct"/>
            <w:tcBorders>
              <w:tl2br w:val="nil"/>
              <w:tr2bl w:val="nil"/>
            </w:tcBorders>
            <w:noWrap/>
            <w:vAlign w:val="center"/>
          </w:tcPr>
          <w:p w14:paraId="15115CF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0.58</w:t>
            </w:r>
          </w:p>
        </w:tc>
        <w:tc>
          <w:tcPr>
            <w:tcW w:w="409" w:type="pct"/>
            <w:tcBorders>
              <w:tl2br w:val="nil"/>
              <w:tr2bl w:val="nil"/>
            </w:tcBorders>
            <w:noWrap/>
            <w:vAlign w:val="center"/>
          </w:tcPr>
          <w:p w14:paraId="157026C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43222C6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4CB8456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522</w:t>
            </w:r>
          </w:p>
        </w:tc>
        <w:tc>
          <w:tcPr>
            <w:tcW w:w="380" w:type="pct"/>
            <w:tcBorders>
              <w:tl2br w:val="nil"/>
              <w:tr2bl w:val="nil"/>
            </w:tcBorders>
            <w:noWrap/>
            <w:vAlign w:val="center"/>
          </w:tcPr>
          <w:p w14:paraId="307AD8E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3724F54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1F7B6191">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270CAD1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4AC8838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2EA98C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4670969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tcBorders>
              <w:tl2br w:val="nil"/>
              <w:tr2bl w:val="nil"/>
            </w:tcBorders>
            <w:noWrap/>
            <w:vAlign w:val="center"/>
          </w:tcPr>
          <w:p w14:paraId="6609A3D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3CF3E2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71.0</w:t>
            </w:r>
          </w:p>
        </w:tc>
        <w:tc>
          <w:tcPr>
            <w:tcW w:w="409" w:type="pct"/>
            <w:tcBorders>
              <w:tl2br w:val="nil"/>
              <w:tr2bl w:val="nil"/>
            </w:tcBorders>
            <w:noWrap/>
            <w:vAlign w:val="center"/>
          </w:tcPr>
          <w:p w14:paraId="589EFDA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0.59</w:t>
            </w:r>
          </w:p>
        </w:tc>
        <w:tc>
          <w:tcPr>
            <w:tcW w:w="409" w:type="pct"/>
            <w:tcBorders>
              <w:tl2br w:val="nil"/>
              <w:tr2bl w:val="nil"/>
            </w:tcBorders>
            <w:noWrap/>
            <w:vAlign w:val="center"/>
          </w:tcPr>
          <w:p w14:paraId="0DD0157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2D3CFA61">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4874AD6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4203</w:t>
            </w:r>
          </w:p>
        </w:tc>
        <w:tc>
          <w:tcPr>
            <w:tcW w:w="380" w:type="pct"/>
            <w:tcBorders>
              <w:tl2br w:val="nil"/>
              <w:tr2bl w:val="nil"/>
            </w:tcBorders>
            <w:noWrap/>
            <w:vAlign w:val="center"/>
          </w:tcPr>
          <w:p w14:paraId="602555C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4D815CE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07766F2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00A6142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3B662B7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1BF0F2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2C348E2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矿体小计</w:t>
            </w:r>
          </w:p>
        </w:tc>
        <w:tc>
          <w:tcPr>
            <w:tcW w:w="425" w:type="pct"/>
            <w:tcBorders>
              <w:tl2br w:val="nil"/>
              <w:tr2bl w:val="nil"/>
            </w:tcBorders>
            <w:noWrap/>
            <w:vAlign w:val="center"/>
          </w:tcPr>
          <w:p w14:paraId="7EAEE21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KZ+TD</w:t>
            </w:r>
          </w:p>
        </w:tc>
        <w:tc>
          <w:tcPr>
            <w:tcW w:w="391" w:type="pct"/>
            <w:tcBorders>
              <w:tl2br w:val="nil"/>
              <w:tr2bl w:val="nil"/>
            </w:tcBorders>
            <w:noWrap/>
            <w:vAlign w:val="center"/>
          </w:tcPr>
          <w:p w14:paraId="6D5BF54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80.0</w:t>
            </w:r>
          </w:p>
        </w:tc>
        <w:tc>
          <w:tcPr>
            <w:tcW w:w="409" w:type="pct"/>
            <w:tcBorders>
              <w:tl2br w:val="nil"/>
              <w:tr2bl w:val="nil"/>
            </w:tcBorders>
            <w:noWrap/>
            <w:vAlign w:val="center"/>
          </w:tcPr>
          <w:p w14:paraId="002B8BE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0.59</w:t>
            </w:r>
          </w:p>
        </w:tc>
        <w:tc>
          <w:tcPr>
            <w:tcW w:w="409" w:type="pct"/>
            <w:tcBorders>
              <w:tl2br w:val="nil"/>
              <w:tr2bl w:val="nil"/>
            </w:tcBorders>
            <w:noWrap/>
            <w:vAlign w:val="center"/>
          </w:tcPr>
          <w:p w14:paraId="35D4125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6C3529A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0B1017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4725</w:t>
            </w:r>
          </w:p>
        </w:tc>
        <w:tc>
          <w:tcPr>
            <w:tcW w:w="380" w:type="pct"/>
            <w:tcBorders>
              <w:tl2br w:val="nil"/>
              <w:tr2bl w:val="nil"/>
            </w:tcBorders>
            <w:noWrap/>
            <w:vAlign w:val="center"/>
          </w:tcPr>
          <w:p w14:paraId="73BFC3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48A8933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6B4C86E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3CC3906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432194F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458E04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133B4C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Ⅲ</w:t>
            </w:r>
          </w:p>
        </w:tc>
        <w:tc>
          <w:tcPr>
            <w:tcW w:w="425" w:type="pct"/>
            <w:tcBorders>
              <w:tl2br w:val="nil"/>
              <w:tr2bl w:val="nil"/>
            </w:tcBorders>
            <w:noWrap/>
            <w:vAlign w:val="center"/>
          </w:tcPr>
          <w:p w14:paraId="1C0CED4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w:t>
            </w:r>
          </w:p>
        </w:tc>
        <w:tc>
          <w:tcPr>
            <w:tcW w:w="391" w:type="pct"/>
            <w:tcBorders>
              <w:tl2br w:val="nil"/>
              <w:tr2bl w:val="nil"/>
            </w:tcBorders>
            <w:noWrap/>
            <w:vAlign w:val="center"/>
          </w:tcPr>
          <w:p w14:paraId="50733AA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28.1</w:t>
            </w:r>
          </w:p>
        </w:tc>
        <w:tc>
          <w:tcPr>
            <w:tcW w:w="409" w:type="pct"/>
            <w:tcBorders>
              <w:tl2br w:val="nil"/>
              <w:tr2bl w:val="nil"/>
            </w:tcBorders>
            <w:noWrap/>
            <w:vAlign w:val="center"/>
          </w:tcPr>
          <w:p w14:paraId="08EBC0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0.54</w:t>
            </w:r>
          </w:p>
        </w:tc>
        <w:tc>
          <w:tcPr>
            <w:tcW w:w="409" w:type="pct"/>
            <w:tcBorders>
              <w:tl2br w:val="nil"/>
              <w:tr2bl w:val="nil"/>
            </w:tcBorders>
            <w:noWrap/>
            <w:vAlign w:val="center"/>
          </w:tcPr>
          <w:p w14:paraId="3CAD218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581EB41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17AD7E3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1519</w:t>
            </w:r>
          </w:p>
        </w:tc>
        <w:tc>
          <w:tcPr>
            <w:tcW w:w="380" w:type="pct"/>
            <w:tcBorders>
              <w:tl2br w:val="nil"/>
              <w:tr2bl w:val="nil"/>
            </w:tcBorders>
            <w:noWrap/>
            <w:vAlign w:val="center"/>
          </w:tcPr>
          <w:p w14:paraId="225799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635A69A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7A97EC4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0B3E80B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14B1229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3AF937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3035428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tcBorders>
              <w:tl2br w:val="nil"/>
              <w:tr2bl w:val="nil"/>
            </w:tcBorders>
            <w:noWrap/>
            <w:vAlign w:val="center"/>
          </w:tcPr>
          <w:p w14:paraId="5C81475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4FDB6EE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21.5</w:t>
            </w:r>
          </w:p>
        </w:tc>
        <w:tc>
          <w:tcPr>
            <w:tcW w:w="409" w:type="pct"/>
            <w:tcBorders>
              <w:tl2br w:val="nil"/>
              <w:tr2bl w:val="nil"/>
            </w:tcBorders>
            <w:noWrap/>
            <w:vAlign w:val="center"/>
          </w:tcPr>
          <w:p w14:paraId="01526FA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0.51</w:t>
            </w:r>
          </w:p>
        </w:tc>
        <w:tc>
          <w:tcPr>
            <w:tcW w:w="409" w:type="pct"/>
            <w:tcBorders>
              <w:tl2br w:val="nil"/>
              <w:tr2bl w:val="nil"/>
            </w:tcBorders>
            <w:noWrap/>
            <w:vAlign w:val="center"/>
          </w:tcPr>
          <w:p w14:paraId="2B2C1A1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2DD8B4E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38EEF47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1107</w:t>
            </w:r>
          </w:p>
        </w:tc>
        <w:tc>
          <w:tcPr>
            <w:tcW w:w="380" w:type="pct"/>
            <w:tcBorders>
              <w:tl2br w:val="nil"/>
              <w:tr2bl w:val="nil"/>
            </w:tcBorders>
            <w:noWrap/>
            <w:vAlign w:val="center"/>
          </w:tcPr>
          <w:p w14:paraId="070E9C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6D69A3C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2BF4256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393540E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1CDD23B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6BD891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0E1B28B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Ⅲ-1</w:t>
            </w:r>
          </w:p>
        </w:tc>
        <w:tc>
          <w:tcPr>
            <w:tcW w:w="425" w:type="pct"/>
            <w:tcBorders>
              <w:tl2br w:val="nil"/>
              <w:tr2bl w:val="nil"/>
            </w:tcBorders>
            <w:noWrap/>
            <w:vAlign w:val="center"/>
          </w:tcPr>
          <w:p w14:paraId="25CBC67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2B68AE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1.7</w:t>
            </w:r>
          </w:p>
        </w:tc>
        <w:tc>
          <w:tcPr>
            <w:tcW w:w="409" w:type="pct"/>
            <w:tcBorders>
              <w:tl2br w:val="nil"/>
              <w:tr2bl w:val="nil"/>
            </w:tcBorders>
            <w:noWrap/>
            <w:vAlign w:val="center"/>
          </w:tcPr>
          <w:p w14:paraId="49EB968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0.55</w:t>
            </w:r>
          </w:p>
        </w:tc>
        <w:tc>
          <w:tcPr>
            <w:tcW w:w="409" w:type="pct"/>
            <w:tcBorders>
              <w:tl2br w:val="nil"/>
              <w:tr2bl w:val="nil"/>
            </w:tcBorders>
            <w:noWrap/>
            <w:vAlign w:val="center"/>
          </w:tcPr>
          <w:p w14:paraId="307495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1C1B338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4B6A609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95</w:t>
            </w:r>
          </w:p>
        </w:tc>
        <w:tc>
          <w:tcPr>
            <w:tcW w:w="380" w:type="pct"/>
            <w:tcBorders>
              <w:tl2br w:val="nil"/>
              <w:tr2bl w:val="nil"/>
            </w:tcBorders>
            <w:noWrap/>
            <w:vAlign w:val="center"/>
          </w:tcPr>
          <w:p w14:paraId="61F4F7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6814D6E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0EF7FDC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68C58F6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66F0D2E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252EB7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63DB67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矿体小计</w:t>
            </w:r>
          </w:p>
        </w:tc>
        <w:tc>
          <w:tcPr>
            <w:tcW w:w="425" w:type="pct"/>
            <w:tcBorders>
              <w:tl2br w:val="nil"/>
              <w:tr2bl w:val="nil"/>
            </w:tcBorders>
            <w:noWrap/>
            <w:vAlign w:val="center"/>
          </w:tcPr>
          <w:p w14:paraId="228708D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KZ+TD</w:t>
            </w:r>
          </w:p>
        </w:tc>
        <w:tc>
          <w:tcPr>
            <w:tcW w:w="391" w:type="pct"/>
            <w:tcBorders>
              <w:tl2br w:val="nil"/>
              <w:tr2bl w:val="nil"/>
            </w:tcBorders>
            <w:noWrap/>
            <w:vAlign w:val="center"/>
          </w:tcPr>
          <w:p w14:paraId="500637E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51.3</w:t>
            </w:r>
          </w:p>
        </w:tc>
        <w:tc>
          <w:tcPr>
            <w:tcW w:w="409" w:type="pct"/>
            <w:tcBorders>
              <w:tl2br w:val="nil"/>
              <w:tr2bl w:val="nil"/>
            </w:tcBorders>
            <w:noWrap/>
            <w:vAlign w:val="center"/>
          </w:tcPr>
          <w:p w14:paraId="5DDA17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0.53</w:t>
            </w:r>
          </w:p>
        </w:tc>
        <w:tc>
          <w:tcPr>
            <w:tcW w:w="409" w:type="pct"/>
            <w:tcBorders>
              <w:tl2br w:val="nil"/>
              <w:tr2bl w:val="nil"/>
            </w:tcBorders>
            <w:noWrap/>
            <w:vAlign w:val="center"/>
          </w:tcPr>
          <w:p w14:paraId="045139F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4C25818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1A02C6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2721</w:t>
            </w:r>
          </w:p>
        </w:tc>
        <w:tc>
          <w:tcPr>
            <w:tcW w:w="380" w:type="pct"/>
            <w:tcBorders>
              <w:tl2br w:val="nil"/>
              <w:tr2bl w:val="nil"/>
            </w:tcBorders>
            <w:noWrap/>
            <w:vAlign w:val="center"/>
          </w:tcPr>
          <w:p w14:paraId="26E431B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5B9E0B8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78D9281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5E9A7ED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0DFDD4B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24D21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476CF8D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Ⅳ</w:t>
            </w:r>
          </w:p>
        </w:tc>
        <w:tc>
          <w:tcPr>
            <w:tcW w:w="425" w:type="pct"/>
            <w:tcBorders>
              <w:tl2br w:val="nil"/>
              <w:tr2bl w:val="nil"/>
            </w:tcBorders>
            <w:noWrap/>
            <w:vAlign w:val="center"/>
          </w:tcPr>
          <w:p w14:paraId="0FABBC3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10E85FD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5.3</w:t>
            </w:r>
          </w:p>
        </w:tc>
        <w:tc>
          <w:tcPr>
            <w:tcW w:w="409" w:type="pct"/>
            <w:tcBorders>
              <w:tl2br w:val="nil"/>
              <w:tr2bl w:val="nil"/>
            </w:tcBorders>
            <w:noWrap/>
            <w:vAlign w:val="center"/>
          </w:tcPr>
          <w:p w14:paraId="1FCDE7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0.54</w:t>
            </w:r>
          </w:p>
        </w:tc>
        <w:tc>
          <w:tcPr>
            <w:tcW w:w="409" w:type="pct"/>
            <w:tcBorders>
              <w:tl2br w:val="nil"/>
              <w:tr2bl w:val="nil"/>
            </w:tcBorders>
            <w:noWrap/>
            <w:vAlign w:val="center"/>
          </w:tcPr>
          <w:p w14:paraId="7E2AF2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0E3B680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1E7116E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285</w:t>
            </w:r>
          </w:p>
        </w:tc>
        <w:tc>
          <w:tcPr>
            <w:tcW w:w="380" w:type="pct"/>
            <w:tcBorders>
              <w:tl2br w:val="nil"/>
              <w:tr2bl w:val="nil"/>
            </w:tcBorders>
            <w:noWrap/>
            <w:vAlign w:val="center"/>
          </w:tcPr>
          <w:p w14:paraId="4BD94EA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0027AB3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108D612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5568746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1A8B39B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179269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380025C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Ⅴ</w:t>
            </w:r>
          </w:p>
        </w:tc>
        <w:tc>
          <w:tcPr>
            <w:tcW w:w="425" w:type="pct"/>
            <w:tcBorders>
              <w:tl2br w:val="nil"/>
              <w:tr2bl w:val="nil"/>
            </w:tcBorders>
            <w:noWrap/>
            <w:vAlign w:val="center"/>
          </w:tcPr>
          <w:p w14:paraId="215EE8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5DEFBD5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3.0</w:t>
            </w:r>
          </w:p>
        </w:tc>
        <w:tc>
          <w:tcPr>
            <w:tcW w:w="409" w:type="pct"/>
            <w:tcBorders>
              <w:tl2br w:val="nil"/>
              <w:tr2bl w:val="nil"/>
            </w:tcBorders>
            <w:noWrap/>
            <w:vAlign w:val="center"/>
          </w:tcPr>
          <w:p w14:paraId="69F266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0.48</w:t>
            </w:r>
          </w:p>
        </w:tc>
        <w:tc>
          <w:tcPr>
            <w:tcW w:w="409" w:type="pct"/>
            <w:tcBorders>
              <w:tl2br w:val="nil"/>
              <w:tr2bl w:val="nil"/>
            </w:tcBorders>
            <w:noWrap/>
            <w:vAlign w:val="center"/>
          </w:tcPr>
          <w:p w14:paraId="65678AF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4390139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5E3343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145</w:t>
            </w:r>
          </w:p>
        </w:tc>
        <w:tc>
          <w:tcPr>
            <w:tcW w:w="380" w:type="pct"/>
            <w:tcBorders>
              <w:tl2br w:val="nil"/>
              <w:tr2bl w:val="nil"/>
            </w:tcBorders>
            <w:noWrap/>
            <w:vAlign w:val="center"/>
          </w:tcPr>
          <w:p w14:paraId="2CF9650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553B498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36ABD22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037EE06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690FD0A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8027C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3C93111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Ⅵ</w:t>
            </w:r>
          </w:p>
        </w:tc>
        <w:tc>
          <w:tcPr>
            <w:tcW w:w="425" w:type="pct"/>
            <w:tcBorders>
              <w:tl2br w:val="nil"/>
              <w:tr2bl w:val="nil"/>
            </w:tcBorders>
            <w:noWrap/>
            <w:vAlign w:val="center"/>
          </w:tcPr>
          <w:p w14:paraId="67C448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w:t>
            </w:r>
          </w:p>
        </w:tc>
        <w:tc>
          <w:tcPr>
            <w:tcW w:w="391" w:type="pct"/>
            <w:tcBorders>
              <w:tl2br w:val="nil"/>
              <w:tr2bl w:val="nil"/>
            </w:tcBorders>
            <w:noWrap/>
            <w:vAlign w:val="center"/>
          </w:tcPr>
          <w:p w14:paraId="163FE46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19.3</w:t>
            </w:r>
          </w:p>
        </w:tc>
        <w:tc>
          <w:tcPr>
            <w:tcW w:w="409" w:type="pct"/>
            <w:tcBorders>
              <w:tl2br w:val="nil"/>
              <w:tr2bl w:val="nil"/>
            </w:tcBorders>
            <w:noWrap/>
            <w:vAlign w:val="center"/>
          </w:tcPr>
          <w:p w14:paraId="6CDA9F7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0.62</w:t>
            </w:r>
          </w:p>
        </w:tc>
        <w:tc>
          <w:tcPr>
            <w:tcW w:w="409" w:type="pct"/>
            <w:tcBorders>
              <w:tl2br w:val="nil"/>
              <w:tr2bl w:val="nil"/>
            </w:tcBorders>
            <w:noWrap/>
            <w:vAlign w:val="center"/>
          </w:tcPr>
          <w:p w14:paraId="092867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63284915">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788A057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1198</w:t>
            </w:r>
          </w:p>
        </w:tc>
        <w:tc>
          <w:tcPr>
            <w:tcW w:w="380" w:type="pct"/>
            <w:tcBorders>
              <w:tl2br w:val="nil"/>
              <w:tr2bl w:val="nil"/>
            </w:tcBorders>
            <w:noWrap/>
            <w:vAlign w:val="center"/>
          </w:tcPr>
          <w:p w14:paraId="47E98CC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3DE084A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5BAFEA3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0A9A967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37FF3D7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4D3457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09BCBFF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tcBorders>
              <w:tl2br w:val="nil"/>
              <w:tr2bl w:val="nil"/>
            </w:tcBorders>
            <w:noWrap/>
            <w:vAlign w:val="center"/>
          </w:tcPr>
          <w:p w14:paraId="02EF5FE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3F33723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7.5</w:t>
            </w:r>
          </w:p>
        </w:tc>
        <w:tc>
          <w:tcPr>
            <w:tcW w:w="409" w:type="pct"/>
            <w:tcBorders>
              <w:tl2br w:val="nil"/>
              <w:tr2bl w:val="nil"/>
            </w:tcBorders>
            <w:noWrap/>
            <w:vAlign w:val="center"/>
          </w:tcPr>
          <w:p w14:paraId="4C241EB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0.60</w:t>
            </w:r>
          </w:p>
        </w:tc>
        <w:tc>
          <w:tcPr>
            <w:tcW w:w="409" w:type="pct"/>
            <w:tcBorders>
              <w:tl2br w:val="nil"/>
              <w:tr2bl w:val="nil"/>
            </w:tcBorders>
            <w:noWrap/>
            <w:vAlign w:val="center"/>
          </w:tcPr>
          <w:p w14:paraId="20F82B5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0F03C61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25CAB31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453</w:t>
            </w:r>
          </w:p>
        </w:tc>
        <w:tc>
          <w:tcPr>
            <w:tcW w:w="380" w:type="pct"/>
            <w:tcBorders>
              <w:tl2br w:val="nil"/>
              <w:tr2bl w:val="nil"/>
            </w:tcBorders>
            <w:noWrap/>
            <w:vAlign w:val="center"/>
          </w:tcPr>
          <w:p w14:paraId="2040655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7E73994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02004F8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1F70FE0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7633475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7F427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5658518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矿体小计</w:t>
            </w:r>
          </w:p>
        </w:tc>
        <w:tc>
          <w:tcPr>
            <w:tcW w:w="425" w:type="pct"/>
            <w:tcBorders>
              <w:tl2br w:val="nil"/>
              <w:tr2bl w:val="nil"/>
            </w:tcBorders>
            <w:noWrap/>
            <w:vAlign w:val="center"/>
          </w:tcPr>
          <w:p w14:paraId="4D6ACBD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KZ+TD</w:t>
            </w:r>
          </w:p>
        </w:tc>
        <w:tc>
          <w:tcPr>
            <w:tcW w:w="391" w:type="pct"/>
            <w:tcBorders>
              <w:tl2br w:val="nil"/>
              <w:tr2bl w:val="nil"/>
            </w:tcBorders>
            <w:noWrap/>
            <w:vAlign w:val="center"/>
          </w:tcPr>
          <w:p w14:paraId="52817D1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26.8</w:t>
            </w:r>
          </w:p>
        </w:tc>
        <w:tc>
          <w:tcPr>
            <w:tcW w:w="409" w:type="pct"/>
            <w:tcBorders>
              <w:tl2br w:val="nil"/>
              <w:tr2bl w:val="nil"/>
            </w:tcBorders>
            <w:noWrap/>
            <w:vAlign w:val="center"/>
          </w:tcPr>
          <w:p w14:paraId="68E63CB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0.62</w:t>
            </w:r>
          </w:p>
        </w:tc>
        <w:tc>
          <w:tcPr>
            <w:tcW w:w="409" w:type="pct"/>
            <w:tcBorders>
              <w:tl2br w:val="nil"/>
              <w:tr2bl w:val="nil"/>
            </w:tcBorders>
            <w:noWrap/>
            <w:vAlign w:val="center"/>
          </w:tcPr>
          <w:p w14:paraId="09F428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409" w:type="pct"/>
            <w:vMerge w:val="continue"/>
            <w:tcBorders>
              <w:tl2br w:val="nil"/>
              <w:tr2bl w:val="nil"/>
            </w:tcBorders>
            <w:noWrap/>
            <w:vAlign w:val="center"/>
          </w:tcPr>
          <w:p w14:paraId="037AE37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3D21944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1651</w:t>
            </w:r>
          </w:p>
        </w:tc>
        <w:tc>
          <w:tcPr>
            <w:tcW w:w="380" w:type="pct"/>
            <w:tcBorders>
              <w:tl2br w:val="nil"/>
              <w:tr2bl w:val="nil"/>
            </w:tcBorders>
            <w:noWrap/>
            <w:vAlign w:val="center"/>
          </w:tcPr>
          <w:p w14:paraId="43A2632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w:t>
            </w:r>
          </w:p>
        </w:tc>
        <w:tc>
          <w:tcPr>
            <w:tcW w:w="371" w:type="pct"/>
            <w:vMerge w:val="continue"/>
            <w:tcBorders>
              <w:tl2br w:val="nil"/>
              <w:tr2bl w:val="nil"/>
            </w:tcBorders>
            <w:noWrap/>
            <w:vAlign w:val="center"/>
          </w:tcPr>
          <w:p w14:paraId="2D39977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42208CA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noWrap/>
            <w:vAlign w:val="center"/>
          </w:tcPr>
          <w:p w14:paraId="69C066F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2F5B695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36C48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7E56CBA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Ⅳ-1</w:t>
            </w:r>
          </w:p>
        </w:tc>
        <w:tc>
          <w:tcPr>
            <w:tcW w:w="425" w:type="pct"/>
            <w:tcBorders>
              <w:tl2br w:val="nil"/>
              <w:tr2bl w:val="nil"/>
            </w:tcBorders>
            <w:noWrap/>
            <w:vAlign w:val="center"/>
          </w:tcPr>
          <w:p w14:paraId="18F4288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w:t>
            </w:r>
          </w:p>
        </w:tc>
        <w:tc>
          <w:tcPr>
            <w:tcW w:w="391" w:type="pct"/>
            <w:tcBorders>
              <w:tl2br w:val="nil"/>
              <w:tr2bl w:val="nil"/>
            </w:tcBorders>
            <w:noWrap/>
            <w:vAlign w:val="center"/>
          </w:tcPr>
          <w:p w14:paraId="3C0250A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99.3</w:t>
            </w:r>
          </w:p>
        </w:tc>
        <w:tc>
          <w:tcPr>
            <w:tcW w:w="409" w:type="pct"/>
            <w:tcBorders>
              <w:tl2br w:val="nil"/>
              <w:tr2bl w:val="nil"/>
            </w:tcBorders>
            <w:noWrap/>
            <w:vAlign w:val="center"/>
          </w:tcPr>
          <w:p w14:paraId="1C76FB2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0.75</w:t>
            </w:r>
          </w:p>
        </w:tc>
        <w:tc>
          <w:tcPr>
            <w:tcW w:w="409" w:type="pct"/>
            <w:tcBorders>
              <w:tl2br w:val="nil"/>
              <w:tr2bl w:val="nil"/>
            </w:tcBorders>
            <w:noWrap/>
            <w:vAlign w:val="center"/>
          </w:tcPr>
          <w:p w14:paraId="73FFF47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0.41</w:t>
            </w:r>
          </w:p>
        </w:tc>
        <w:tc>
          <w:tcPr>
            <w:tcW w:w="409" w:type="pct"/>
            <w:vMerge w:val="restart"/>
            <w:tcBorders>
              <w:tl2br w:val="nil"/>
              <w:tr2bl w:val="nil"/>
            </w:tcBorders>
            <w:noWrap/>
            <w:vAlign w:val="center"/>
          </w:tcPr>
          <w:p w14:paraId="4B6B2CF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1.87</w:t>
            </w:r>
          </w:p>
        </w:tc>
        <w:tc>
          <w:tcPr>
            <w:tcW w:w="371" w:type="pct"/>
            <w:tcBorders>
              <w:tl2br w:val="nil"/>
              <w:tr2bl w:val="nil"/>
            </w:tcBorders>
            <w:noWrap/>
            <w:vAlign w:val="center"/>
          </w:tcPr>
          <w:p w14:paraId="1BD1B12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7443</w:t>
            </w:r>
          </w:p>
        </w:tc>
        <w:tc>
          <w:tcPr>
            <w:tcW w:w="380" w:type="pct"/>
            <w:tcBorders>
              <w:tl2br w:val="nil"/>
              <w:tr2bl w:val="nil"/>
            </w:tcBorders>
            <w:noWrap/>
            <w:vAlign w:val="center"/>
          </w:tcPr>
          <w:p w14:paraId="61A3020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405</w:t>
            </w:r>
          </w:p>
        </w:tc>
        <w:tc>
          <w:tcPr>
            <w:tcW w:w="371" w:type="pct"/>
            <w:vMerge w:val="restart"/>
            <w:tcBorders>
              <w:tl2br w:val="nil"/>
              <w:tr2bl w:val="nil"/>
            </w:tcBorders>
            <w:noWrap/>
            <w:vAlign w:val="center"/>
          </w:tcPr>
          <w:p w14:paraId="12C723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w:t>
            </w:r>
          </w:p>
        </w:tc>
        <w:tc>
          <w:tcPr>
            <w:tcW w:w="423" w:type="pct"/>
            <w:vMerge w:val="continue"/>
            <w:tcBorders>
              <w:tl2br w:val="nil"/>
              <w:tr2bl w:val="nil"/>
            </w:tcBorders>
            <w:noWrap/>
            <w:vAlign w:val="center"/>
          </w:tcPr>
          <w:p w14:paraId="1A4CA40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restart"/>
            <w:tcBorders>
              <w:tl2br w:val="nil"/>
              <w:tr2bl w:val="nil"/>
            </w:tcBorders>
            <w:vAlign w:val="center"/>
          </w:tcPr>
          <w:p w14:paraId="1D41FD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0.38</w:t>
            </w:r>
          </w:p>
        </w:tc>
        <w:tc>
          <w:tcPr>
            <w:tcW w:w="492" w:type="pct"/>
            <w:vMerge w:val="restart"/>
            <w:tcBorders>
              <w:tl2br w:val="nil"/>
              <w:tr2bl w:val="nil"/>
            </w:tcBorders>
            <w:vAlign w:val="center"/>
          </w:tcPr>
          <w:p w14:paraId="5B88DD6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储量核实</w:t>
            </w:r>
            <w:r>
              <w:rPr>
                <w:rFonts w:hint="default" w:ascii="Times New Roman" w:hAnsi="Times New Roman" w:cs="Times New Roman"/>
                <w:color w:val="auto"/>
                <w:kern w:val="0"/>
                <w:sz w:val="18"/>
                <w:szCs w:val="18"/>
                <w:lang w:bidi="ar"/>
              </w:rPr>
              <w:br w:type="textWrapping"/>
            </w:r>
            <w:r>
              <w:rPr>
                <w:rFonts w:hint="default" w:ascii="Times New Roman" w:hAnsi="Times New Roman" w:cs="Times New Roman"/>
                <w:color w:val="auto"/>
                <w:kern w:val="0"/>
                <w:sz w:val="18"/>
                <w:szCs w:val="18"/>
                <w:lang w:bidi="ar"/>
              </w:rPr>
              <w:t>新增矿体</w:t>
            </w:r>
          </w:p>
        </w:tc>
      </w:tr>
      <w:tr w14:paraId="40BD2C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2D7DF0C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tcBorders>
              <w:tl2br w:val="nil"/>
              <w:tr2bl w:val="nil"/>
            </w:tcBorders>
            <w:noWrap/>
            <w:vAlign w:val="center"/>
          </w:tcPr>
          <w:p w14:paraId="4FEB439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5ABF24D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27.6</w:t>
            </w:r>
          </w:p>
        </w:tc>
        <w:tc>
          <w:tcPr>
            <w:tcW w:w="409" w:type="pct"/>
            <w:tcBorders>
              <w:tl2br w:val="nil"/>
              <w:tr2bl w:val="nil"/>
            </w:tcBorders>
            <w:noWrap/>
            <w:vAlign w:val="center"/>
          </w:tcPr>
          <w:p w14:paraId="1BED77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0.69</w:t>
            </w:r>
          </w:p>
        </w:tc>
        <w:tc>
          <w:tcPr>
            <w:tcW w:w="409" w:type="pct"/>
            <w:tcBorders>
              <w:tl2br w:val="nil"/>
              <w:tr2bl w:val="nil"/>
            </w:tcBorders>
            <w:noWrap/>
            <w:vAlign w:val="center"/>
          </w:tcPr>
          <w:p w14:paraId="42DE954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0.33</w:t>
            </w:r>
          </w:p>
        </w:tc>
        <w:tc>
          <w:tcPr>
            <w:tcW w:w="409" w:type="pct"/>
            <w:vMerge w:val="continue"/>
            <w:tcBorders>
              <w:tl2br w:val="nil"/>
              <w:tr2bl w:val="nil"/>
            </w:tcBorders>
            <w:noWrap/>
            <w:vAlign w:val="center"/>
          </w:tcPr>
          <w:p w14:paraId="3086C0A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20FFE4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1902</w:t>
            </w:r>
          </w:p>
        </w:tc>
        <w:tc>
          <w:tcPr>
            <w:tcW w:w="380" w:type="pct"/>
            <w:tcBorders>
              <w:tl2br w:val="nil"/>
              <w:tr2bl w:val="nil"/>
            </w:tcBorders>
            <w:noWrap/>
            <w:vAlign w:val="center"/>
          </w:tcPr>
          <w:p w14:paraId="4793D0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88</w:t>
            </w:r>
          </w:p>
        </w:tc>
        <w:tc>
          <w:tcPr>
            <w:tcW w:w="371" w:type="pct"/>
            <w:vMerge w:val="continue"/>
            <w:tcBorders>
              <w:tl2br w:val="nil"/>
              <w:tr2bl w:val="nil"/>
            </w:tcBorders>
            <w:noWrap/>
            <w:vAlign w:val="center"/>
          </w:tcPr>
          <w:p w14:paraId="1C91D11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47F782A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71FDF94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3D0D401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451F27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3CE702E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矿体小计</w:t>
            </w:r>
          </w:p>
        </w:tc>
        <w:tc>
          <w:tcPr>
            <w:tcW w:w="425" w:type="pct"/>
            <w:tcBorders>
              <w:tl2br w:val="nil"/>
              <w:tr2bl w:val="nil"/>
            </w:tcBorders>
            <w:noWrap/>
            <w:vAlign w:val="center"/>
          </w:tcPr>
          <w:p w14:paraId="5270CCC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KZ+TD</w:t>
            </w:r>
          </w:p>
        </w:tc>
        <w:tc>
          <w:tcPr>
            <w:tcW w:w="391" w:type="pct"/>
            <w:tcBorders>
              <w:tl2br w:val="nil"/>
              <w:tr2bl w:val="nil"/>
            </w:tcBorders>
            <w:noWrap/>
            <w:vAlign w:val="center"/>
          </w:tcPr>
          <w:p w14:paraId="4D17BD5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126.9</w:t>
            </w:r>
          </w:p>
        </w:tc>
        <w:tc>
          <w:tcPr>
            <w:tcW w:w="409" w:type="pct"/>
            <w:tcBorders>
              <w:tl2br w:val="nil"/>
              <w:tr2bl w:val="nil"/>
            </w:tcBorders>
            <w:noWrap/>
            <w:vAlign w:val="center"/>
          </w:tcPr>
          <w:p w14:paraId="5B5C3B3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0.74</w:t>
            </w:r>
          </w:p>
        </w:tc>
        <w:tc>
          <w:tcPr>
            <w:tcW w:w="409" w:type="pct"/>
            <w:tcBorders>
              <w:tl2br w:val="nil"/>
              <w:tr2bl w:val="nil"/>
            </w:tcBorders>
            <w:noWrap/>
            <w:vAlign w:val="center"/>
          </w:tcPr>
          <w:p w14:paraId="7530D4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0.39</w:t>
            </w:r>
          </w:p>
        </w:tc>
        <w:tc>
          <w:tcPr>
            <w:tcW w:w="409" w:type="pct"/>
            <w:vMerge w:val="continue"/>
            <w:tcBorders>
              <w:tl2br w:val="nil"/>
              <w:tr2bl w:val="nil"/>
            </w:tcBorders>
            <w:noWrap/>
            <w:vAlign w:val="center"/>
          </w:tcPr>
          <w:p w14:paraId="6375A0B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17DAA8E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9345</w:t>
            </w:r>
          </w:p>
        </w:tc>
        <w:tc>
          <w:tcPr>
            <w:tcW w:w="380" w:type="pct"/>
            <w:tcBorders>
              <w:tl2br w:val="nil"/>
              <w:tr2bl w:val="nil"/>
            </w:tcBorders>
            <w:noWrap/>
            <w:vAlign w:val="center"/>
          </w:tcPr>
          <w:p w14:paraId="6D0B3E9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493</w:t>
            </w:r>
          </w:p>
        </w:tc>
        <w:tc>
          <w:tcPr>
            <w:tcW w:w="371" w:type="pct"/>
            <w:vMerge w:val="continue"/>
            <w:tcBorders>
              <w:tl2br w:val="nil"/>
              <w:tr2bl w:val="nil"/>
            </w:tcBorders>
            <w:noWrap/>
            <w:vAlign w:val="center"/>
          </w:tcPr>
          <w:p w14:paraId="0A32471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39C4408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1CD70F8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5FE4125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03DB42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6D5A841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Ⅳ-1-1</w:t>
            </w:r>
          </w:p>
        </w:tc>
        <w:tc>
          <w:tcPr>
            <w:tcW w:w="425" w:type="pct"/>
            <w:tcBorders>
              <w:tl2br w:val="nil"/>
              <w:tr2bl w:val="nil"/>
            </w:tcBorders>
            <w:noWrap/>
            <w:vAlign w:val="center"/>
          </w:tcPr>
          <w:p w14:paraId="0C5F5D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1F38B9B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3.1</w:t>
            </w:r>
          </w:p>
        </w:tc>
        <w:tc>
          <w:tcPr>
            <w:tcW w:w="409" w:type="pct"/>
            <w:tcBorders>
              <w:tl2br w:val="nil"/>
              <w:tr2bl w:val="nil"/>
            </w:tcBorders>
            <w:noWrap/>
            <w:vAlign w:val="center"/>
          </w:tcPr>
          <w:p w14:paraId="7F0AB8B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0.53</w:t>
            </w:r>
          </w:p>
        </w:tc>
        <w:tc>
          <w:tcPr>
            <w:tcW w:w="409" w:type="pct"/>
            <w:tcBorders>
              <w:tl2br w:val="nil"/>
              <w:tr2bl w:val="nil"/>
            </w:tcBorders>
            <w:noWrap/>
            <w:vAlign w:val="center"/>
          </w:tcPr>
          <w:p w14:paraId="1573A8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0.12</w:t>
            </w:r>
          </w:p>
        </w:tc>
        <w:tc>
          <w:tcPr>
            <w:tcW w:w="409" w:type="pct"/>
            <w:vMerge w:val="continue"/>
            <w:tcBorders>
              <w:tl2br w:val="nil"/>
              <w:tr2bl w:val="nil"/>
            </w:tcBorders>
            <w:noWrap/>
            <w:vAlign w:val="center"/>
          </w:tcPr>
          <w:p w14:paraId="672468E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35230AE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166</w:t>
            </w:r>
          </w:p>
        </w:tc>
        <w:tc>
          <w:tcPr>
            <w:tcW w:w="380" w:type="pct"/>
            <w:tcBorders>
              <w:tl2br w:val="nil"/>
              <w:tr2bl w:val="nil"/>
            </w:tcBorders>
            <w:noWrap/>
            <w:vAlign w:val="center"/>
          </w:tcPr>
          <w:p w14:paraId="15CC3BB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w:t>
            </w:r>
          </w:p>
        </w:tc>
        <w:tc>
          <w:tcPr>
            <w:tcW w:w="371" w:type="pct"/>
            <w:vMerge w:val="continue"/>
            <w:tcBorders>
              <w:tl2br w:val="nil"/>
              <w:tr2bl w:val="nil"/>
            </w:tcBorders>
            <w:noWrap/>
            <w:vAlign w:val="center"/>
          </w:tcPr>
          <w:p w14:paraId="226C44A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2C48DE2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6F710B0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241C5871">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DBC02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792568C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Ⅳ-1-2</w:t>
            </w:r>
          </w:p>
        </w:tc>
        <w:tc>
          <w:tcPr>
            <w:tcW w:w="425" w:type="pct"/>
            <w:tcBorders>
              <w:tl2br w:val="nil"/>
              <w:tr2bl w:val="nil"/>
            </w:tcBorders>
            <w:noWrap/>
            <w:vAlign w:val="center"/>
          </w:tcPr>
          <w:p w14:paraId="7B438E3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34FA3AE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1.8</w:t>
            </w:r>
          </w:p>
        </w:tc>
        <w:tc>
          <w:tcPr>
            <w:tcW w:w="409" w:type="pct"/>
            <w:tcBorders>
              <w:tl2br w:val="nil"/>
              <w:tr2bl w:val="nil"/>
            </w:tcBorders>
            <w:noWrap/>
            <w:vAlign w:val="center"/>
          </w:tcPr>
          <w:p w14:paraId="79F3FAF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0.50</w:t>
            </w:r>
          </w:p>
        </w:tc>
        <w:tc>
          <w:tcPr>
            <w:tcW w:w="409" w:type="pct"/>
            <w:tcBorders>
              <w:tl2br w:val="nil"/>
              <w:tr2bl w:val="nil"/>
            </w:tcBorders>
            <w:noWrap/>
            <w:vAlign w:val="center"/>
          </w:tcPr>
          <w:p w14:paraId="6D09E4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0.14</w:t>
            </w:r>
          </w:p>
        </w:tc>
        <w:tc>
          <w:tcPr>
            <w:tcW w:w="409" w:type="pct"/>
            <w:vMerge w:val="continue"/>
            <w:tcBorders>
              <w:tl2br w:val="nil"/>
              <w:tr2bl w:val="nil"/>
            </w:tcBorders>
            <w:noWrap/>
            <w:vAlign w:val="center"/>
          </w:tcPr>
          <w:p w14:paraId="0A4854C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6F71275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90</w:t>
            </w:r>
          </w:p>
        </w:tc>
        <w:tc>
          <w:tcPr>
            <w:tcW w:w="380" w:type="pct"/>
            <w:tcBorders>
              <w:tl2br w:val="nil"/>
              <w:tr2bl w:val="nil"/>
            </w:tcBorders>
            <w:noWrap/>
            <w:vAlign w:val="center"/>
          </w:tcPr>
          <w:p w14:paraId="55D149E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w:t>
            </w:r>
          </w:p>
        </w:tc>
        <w:tc>
          <w:tcPr>
            <w:tcW w:w="371" w:type="pct"/>
            <w:vMerge w:val="continue"/>
            <w:tcBorders>
              <w:tl2br w:val="nil"/>
              <w:tr2bl w:val="nil"/>
            </w:tcBorders>
            <w:noWrap/>
            <w:vAlign w:val="center"/>
          </w:tcPr>
          <w:p w14:paraId="3EF9382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7F91E1C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2B0C30E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34E3460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642A4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restart"/>
            <w:tcBorders>
              <w:tl2br w:val="nil"/>
              <w:tr2bl w:val="nil"/>
            </w:tcBorders>
            <w:noWrap/>
            <w:vAlign w:val="center"/>
          </w:tcPr>
          <w:p w14:paraId="05941D9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Ⅳ-1-3</w:t>
            </w:r>
          </w:p>
        </w:tc>
        <w:tc>
          <w:tcPr>
            <w:tcW w:w="425" w:type="pct"/>
            <w:tcBorders>
              <w:tl2br w:val="nil"/>
              <w:tr2bl w:val="nil"/>
            </w:tcBorders>
            <w:noWrap/>
            <w:vAlign w:val="center"/>
          </w:tcPr>
          <w:p w14:paraId="61905C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w:t>
            </w:r>
          </w:p>
        </w:tc>
        <w:tc>
          <w:tcPr>
            <w:tcW w:w="391" w:type="pct"/>
            <w:tcBorders>
              <w:tl2br w:val="nil"/>
              <w:tr2bl w:val="nil"/>
            </w:tcBorders>
            <w:noWrap/>
            <w:vAlign w:val="center"/>
          </w:tcPr>
          <w:p w14:paraId="18F3893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18.9</w:t>
            </w:r>
          </w:p>
        </w:tc>
        <w:tc>
          <w:tcPr>
            <w:tcW w:w="409" w:type="pct"/>
            <w:tcBorders>
              <w:tl2br w:val="nil"/>
              <w:tr2bl w:val="nil"/>
            </w:tcBorders>
            <w:noWrap/>
            <w:vAlign w:val="center"/>
          </w:tcPr>
          <w:p w14:paraId="4E2B5DB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0.73</w:t>
            </w:r>
          </w:p>
        </w:tc>
        <w:tc>
          <w:tcPr>
            <w:tcW w:w="409" w:type="pct"/>
            <w:tcBorders>
              <w:tl2br w:val="nil"/>
              <w:tr2bl w:val="nil"/>
            </w:tcBorders>
            <w:noWrap/>
            <w:vAlign w:val="center"/>
          </w:tcPr>
          <w:p w14:paraId="313AB0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0.40</w:t>
            </w:r>
          </w:p>
        </w:tc>
        <w:tc>
          <w:tcPr>
            <w:tcW w:w="409" w:type="pct"/>
            <w:vMerge w:val="continue"/>
            <w:tcBorders>
              <w:tl2br w:val="nil"/>
              <w:tr2bl w:val="nil"/>
            </w:tcBorders>
            <w:noWrap/>
            <w:vAlign w:val="center"/>
          </w:tcPr>
          <w:p w14:paraId="340C110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2B3FC97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1385</w:t>
            </w:r>
          </w:p>
        </w:tc>
        <w:tc>
          <w:tcPr>
            <w:tcW w:w="380" w:type="pct"/>
            <w:tcBorders>
              <w:tl2br w:val="nil"/>
              <w:tr2bl w:val="nil"/>
            </w:tcBorders>
            <w:noWrap/>
            <w:vAlign w:val="center"/>
          </w:tcPr>
          <w:p w14:paraId="10D076B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76</w:t>
            </w:r>
          </w:p>
        </w:tc>
        <w:tc>
          <w:tcPr>
            <w:tcW w:w="371" w:type="pct"/>
            <w:vMerge w:val="continue"/>
            <w:tcBorders>
              <w:tl2br w:val="nil"/>
              <w:tr2bl w:val="nil"/>
            </w:tcBorders>
            <w:noWrap/>
            <w:vAlign w:val="center"/>
          </w:tcPr>
          <w:p w14:paraId="1574C2E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69707DF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6962CEA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3EC17799">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51FB64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vMerge w:val="continue"/>
            <w:tcBorders>
              <w:tl2br w:val="nil"/>
              <w:tr2bl w:val="nil"/>
            </w:tcBorders>
            <w:noWrap/>
            <w:vAlign w:val="center"/>
          </w:tcPr>
          <w:p w14:paraId="284E370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5" w:type="pct"/>
            <w:tcBorders>
              <w:tl2br w:val="nil"/>
              <w:tr2bl w:val="nil"/>
            </w:tcBorders>
            <w:noWrap/>
            <w:vAlign w:val="center"/>
          </w:tcPr>
          <w:p w14:paraId="0D526F6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TD</w:t>
            </w:r>
          </w:p>
        </w:tc>
        <w:tc>
          <w:tcPr>
            <w:tcW w:w="391" w:type="pct"/>
            <w:tcBorders>
              <w:tl2br w:val="nil"/>
              <w:tr2bl w:val="nil"/>
            </w:tcBorders>
            <w:noWrap/>
            <w:vAlign w:val="center"/>
          </w:tcPr>
          <w:p w14:paraId="532F729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9.2</w:t>
            </w:r>
          </w:p>
        </w:tc>
        <w:tc>
          <w:tcPr>
            <w:tcW w:w="409" w:type="pct"/>
            <w:tcBorders>
              <w:tl2br w:val="nil"/>
              <w:tr2bl w:val="nil"/>
            </w:tcBorders>
            <w:noWrap/>
            <w:vAlign w:val="center"/>
          </w:tcPr>
          <w:p w14:paraId="1EABE0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0.72</w:t>
            </w:r>
          </w:p>
        </w:tc>
        <w:tc>
          <w:tcPr>
            <w:tcW w:w="409" w:type="pct"/>
            <w:tcBorders>
              <w:tl2br w:val="nil"/>
              <w:tr2bl w:val="nil"/>
            </w:tcBorders>
            <w:noWrap/>
            <w:vAlign w:val="center"/>
          </w:tcPr>
          <w:p w14:paraId="799A238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0.40</w:t>
            </w:r>
          </w:p>
        </w:tc>
        <w:tc>
          <w:tcPr>
            <w:tcW w:w="409" w:type="pct"/>
            <w:vMerge w:val="continue"/>
            <w:tcBorders>
              <w:tl2br w:val="nil"/>
              <w:tr2bl w:val="nil"/>
            </w:tcBorders>
            <w:noWrap/>
            <w:vAlign w:val="center"/>
          </w:tcPr>
          <w:p w14:paraId="31F12A66">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6AEF51C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659</w:t>
            </w:r>
          </w:p>
        </w:tc>
        <w:tc>
          <w:tcPr>
            <w:tcW w:w="380" w:type="pct"/>
            <w:tcBorders>
              <w:tl2br w:val="nil"/>
              <w:tr2bl w:val="nil"/>
            </w:tcBorders>
            <w:noWrap/>
            <w:vAlign w:val="center"/>
          </w:tcPr>
          <w:p w14:paraId="1360AF3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36</w:t>
            </w:r>
          </w:p>
        </w:tc>
        <w:tc>
          <w:tcPr>
            <w:tcW w:w="371" w:type="pct"/>
            <w:vMerge w:val="continue"/>
            <w:tcBorders>
              <w:tl2br w:val="nil"/>
              <w:tr2bl w:val="nil"/>
            </w:tcBorders>
            <w:noWrap/>
            <w:vAlign w:val="center"/>
          </w:tcPr>
          <w:p w14:paraId="741F100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2F2882D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2CF6236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5E671D1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B5725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61" w:type="pct"/>
            <w:tcBorders>
              <w:tl2br w:val="nil"/>
              <w:tr2bl w:val="nil"/>
            </w:tcBorders>
            <w:noWrap/>
            <w:vAlign w:val="center"/>
          </w:tcPr>
          <w:p w14:paraId="6555BC7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矿体小计</w:t>
            </w:r>
          </w:p>
        </w:tc>
        <w:tc>
          <w:tcPr>
            <w:tcW w:w="425" w:type="pct"/>
            <w:tcBorders>
              <w:tl2br w:val="nil"/>
              <w:tr2bl w:val="nil"/>
            </w:tcBorders>
            <w:noWrap/>
            <w:vAlign w:val="center"/>
          </w:tcPr>
          <w:p w14:paraId="71BA01B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KZ+TD</w:t>
            </w:r>
          </w:p>
        </w:tc>
        <w:tc>
          <w:tcPr>
            <w:tcW w:w="391" w:type="pct"/>
            <w:tcBorders>
              <w:tl2br w:val="nil"/>
              <w:tr2bl w:val="nil"/>
            </w:tcBorders>
            <w:noWrap/>
            <w:vAlign w:val="center"/>
          </w:tcPr>
          <w:p w14:paraId="5AA1326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28.1</w:t>
            </w:r>
          </w:p>
        </w:tc>
        <w:tc>
          <w:tcPr>
            <w:tcW w:w="409" w:type="pct"/>
            <w:tcBorders>
              <w:tl2br w:val="nil"/>
              <w:tr2bl w:val="nil"/>
            </w:tcBorders>
            <w:noWrap/>
            <w:vAlign w:val="center"/>
          </w:tcPr>
          <w:p w14:paraId="1E8ED67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0.73</w:t>
            </w:r>
          </w:p>
        </w:tc>
        <w:tc>
          <w:tcPr>
            <w:tcW w:w="409" w:type="pct"/>
            <w:tcBorders>
              <w:tl2br w:val="nil"/>
              <w:tr2bl w:val="nil"/>
            </w:tcBorders>
            <w:noWrap/>
            <w:vAlign w:val="center"/>
          </w:tcPr>
          <w:p w14:paraId="6F25EFB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0.40</w:t>
            </w:r>
          </w:p>
        </w:tc>
        <w:tc>
          <w:tcPr>
            <w:tcW w:w="409" w:type="pct"/>
            <w:vMerge w:val="continue"/>
            <w:tcBorders>
              <w:tl2br w:val="nil"/>
              <w:tr2bl w:val="nil"/>
            </w:tcBorders>
            <w:noWrap/>
            <w:vAlign w:val="center"/>
          </w:tcPr>
          <w:p w14:paraId="6C461D3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2FED5C0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2044</w:t>
            </w:r>
          </w:p>
        </w:tc>
        <w:tc>
          <w:tcPr>
            <w:tcW w:w="380" w:type="pct"/>
            <w:tcBorders>
              <w:tl2br w:val="nil"/>
              <w:tr2bl w:val="nil"/>
            </w:tcBorders>
            <w:noWrap/>
            <w:vAlign w:val="center"/>
          </w:tcPr>
          <w:p w14:paraId="3E48929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112</w:t>
            </w:r>
          </w:p>
        </w:tc>
        <w:tc>
          <w:tcPr>
            <w:tcW w:w="371" w:type="pct"/>
            <w:vMerge w:val="continue"/>
            <w:tcBorders>
              <w:tl2br w:val="nil"/>
              <w:tr2bl w:val="nil"/>
            </w:tcBorders>
            <w:noWrap/>
            <w:vAlign w:val="center"/>
          </w:tcPr>
          <w:p w14:paraId="5726115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vMerge w:val="continue"/>
            <w:tcBorders>
              <w:tl2br w:val="nil"/>
              <w:tr2bl w:val="nil"/>
            </w:tcBorders>
            <w:noWrap/>
            <w:vAlign w:val="center"/>
          </w:tcPr>
          <w:p w14:paraId="2E80D70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vMerge w:val="continue"/>
            <w:tcBorders>
              <w:tl2br w:val="nil"/>
              <w:tr2bl w:val="nil"/>
            </w:tcBorders>
            <w:vAlign w:val="center"/>
          </w:tcPr>
          <w:p w14:paraId="7E57D3A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vMerge w:val="continue"/>
            <w:tcBorders>
              <w:tl2br w:val="nil"/>
              <w:tr2bl w:val="nil"/>
            </w:tcBorders>
            <w:vAlign w:val="center"/>
          </w:tcPr>
          <w:p w14:paraId="6A507B9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751096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pct"/>
            <w:gridSpan w:val="2"/>
            <w:tcBorders>
              <w:tl2br w:val="nil"/>
              <w:tr2bl w:val="nil"/>
            </w:tcBorders>
            <w:noWrap/>
            <w:vAlign w:val="center"/>
          </w:tcPr>
          <w:p w14:paraId="4A6A53D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控制资源量（KZ）</w:t>
            </w:r>
          </w:p>
        </w:tc>
        <w:tc>
          <w:tcPr>
            <w:tcW w:w="391" w:type="pct"/>
            <w:tcBorders>
              <w:tl2br w:val="nil"/>
              <w:tr2bl w:val="nil"/>
            </w:tcBorders>
            <w:noWrap/>
            <w:vAlign w:val="center"/>
          </w:tcPr>
          <w:p w14:paraId="44E8E00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174.6</w:t>
            </w:r>
          </w:p>
        </w:tc>
        <w:tc>
          <w:tcPr>
            <w:tcW w:w="409" w:type="pct"/>
            <w:tcBorders>
              <w:tl2br w:val="nil"/>
              <w:tr2bl w:val="nil"/>
            </w:tcBorders>
            <w:noWrap/>
            <w:vAlign w:val="center"/>
          </w:tcPr>
          <w:p w14:paraId="5D6FE01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46FA5038">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26B34452">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7606DD0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12067</w:t>
            </w:r>
          </w:p>
        </w:tc>
        <w:tc>
          <w:tcPr>
            <w:tcW w:w="380" w:type="pct"/>
            <w:tcBorders>
              <w:tl2br w:val="nil"/>
              <w:tr2bl w:val="nil"/>
            </w:tcBorders>
            <w:noWrap/>
            <w:vAlign w:val="center"/>
          </w:tcPr>
          <w:p w14:paraId="3ED5702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481</w:t>
            </w:r>
          </w:p>
        </w:tc>
        <w:tc>
          <w:tcPr>
            <w:tcW w:w="371" w:type="pct"/>
            <w:tcBorders>
              <w:tl2br w:val="nil"/>
              <w:tr2bl w:val="nil"/>
            </w:tcBorders>
            <w:noWrap/>
            <w:vAlign w:val="center"/>
          </w:tcPr>
          <w:p w14:paraId="6CAF652B">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tcBorders>
              <w:tl2br w:val="nil"/>
              <w:tr2bl w:val="nil"/>
            </w:tcBorders>
            <w:noWrap/>
            <w:vAlign w:val="center"/>
          </w:tcPr>
          <w:p w14:paraId="2D16759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tcBorders>
              <w:tl2br w:val="nil"/>
              <w:tr2bl w:val="nil"/>
            </w:tcBorders>
            <w:noWrap/>
            <w:vAlign w:val="center"/>
          </w:tcPr>
          <w:p w14:paraId="53F5B9D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tcBorders>
              <w:tl2br w:val="nil"/>
              <w:tr2bl w:val="nil"/>
            </w:tcBorders>
            <w:noWrap/>
            <w:vAlign w:val="center"/>
          </w:tcPr>
          <w:p w14:paraId="5509818D">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31A762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pct"/>
            <w:gridSpan w:val="2"/>
            <w:tcBorders>
              <w:tl2br w:val="nil"/>
              <w:tr2bl w:val="nil"/>
            </w:tcBorders>
            <w:noWrap/>
            <w:vAlign w:val="center"/>
          </w:tcPr>
          <w:p w14:paraId="52FDDF9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推断资源量（TD）</w:t>
            </w:r>
          </w:p>
        </w:tc>
        <w:tc>
          <w:tcPr>
            <w:tcW w:w="391" w:type="pct"/>
            <w:tcBorders>
              <w:tl2br w:val="nil"/>
              <w:tr2bl w:val="nil"/>
            </w:tcBorders>
            <w:noWrap/>
            <w:vAlign w:val="center"/>
          </w:tcPr>
          <w:p w14:paraId="78B27BC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164.9</w:t>
            </w:r>
          </w:p>
        </w:tc>
        <w:tc>
          <w:tcPr>
            <w:tcW w:w="409" w:type="pct"/>
            <w:tcBorders>
              <w:tl2br w:val="nil"/>
              <w:tr2bl w:val="nil"/>
            </w:tcBorders>
            <w:noWrap/>
            <w:vAlign w:val="center"/>
          </w:tcPr>
          <w:p w14:paraId="7D48B91A">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76BD07F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50B2B6AC">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371" w:type="pct"/>
            <w:tcBorders>
              <w:tl2br w:val="nil"/>
              <w:tr2bl w:val="nil"/>
            </w:tcBorders>
            <w:noWrap/>
            <w:vAlign w:val="center"/>
          </w:tcPr>
          <w:p w14:paraId="1615DA3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9971</w:t>
            </w:r>
          </w:p>
        </w:tc>
        <w:tc>
          <w:tcPr>
            <w:tcW w:w="380" w:type="pct"/>
            <w:tcBorders>
              <w:tl2br w:val="nil"/>
              <w:tr2bl w:val="nil"/>
            </w:tcBorders>
            <w:noWrap/>
            <w:vAlign w:val="center"/>
          </w:tcPr>
          <w:p w14:paraId="6DF2BE6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131</w:t>
            </w:r>
          </w:p>
        </w:tc>
        <w:tc>
          <w:tcPr>
            <w:tcW w:w="371" w:type="pct"/>
            <w:tcBorders>
              <w:tl2br w:val="nil"/>
              <w:tr2bl w:val="nil"/>
            </w:tcBorders>
            <w:noWrap/>
            <w:vAlign w:val="center"/>
          </w:tcPr>
          <w:p w14:paraId="5687DB1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23" w:type="pct"/>
            <w:tcBorders>
              <w:tl2br w:val="nil"/>
              <w:tr2bl w:val="nil"/>
            </w:tcBorders>
            <w:noWrap/>
            <w:vAlign w:val="center"/>
          </w:tcPr>
          <w:p w14:paraId="1155C880">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tcBorders>
              <w:tl2br w:val="nil"/>
              <w:tr2bl w:val="nil"/>
            </w:tcBorders>
            <w:noWrap/>
            <w:vAlign w:val="center"/>
          </w:tcPr>
          <w:p w14:paraId="0D20011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tcBorders>
              <w:tl2br w:val="nil"/>
              <w:tr2bl w:val="nil"/>
            </w:tcBorders>
            <w:noWrap/>
            <w:vAlign w:val="center"/>
          </w:tcPr>
          <w:p w14:paraId="3295C31E">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r w14:paraId="547F36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6" w:type="pct"/>
            <w:gridSpan w:val="2"/>
            <w:tcBorders>
              <w:tl2br w:val="nil"/>
              <w:tr2bl w:val="nil"/>
            </w:tcBorders>
            <w:noWrap/>
            <w:vAlign w:val="center"/>
          </w:tcPr>
          <w:p w14:paraId="56C0117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累计查明资源量（KZ+TD）</w:t>
            </w:r>
          </w:p>
        </w:tc>
        <w:tc>
          <w:tcPr>
            <w:tcW w:w="391" w:type="pct"/>
            <w:tcBorders>
              <w:tl2br w:val="nil"/>
              <w:tr2bl w:val="nil"/>
            </w:tcBorders>
            <w:noWrap/>
            <w:vAlign w:val="center"/>
          </w:tcPr>
          <w:p w14:paraId="171E8A3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339.5</w:t>
            </w:r>
          </w:p>
        </w:tc>
        <w:tc>
          <w:tcPr>
            <w:tcW w:w="409" w:type="pct"/>
            <w:tcBorders>
              <w:tl2br w:val="nil"/>
              <w:tr2bl w:val="nil"/>
            </w:tcBorders>
            <w:noWrap/>
            <w:vAlign w:val="center"/>
          </w:tcPr>
          <w:p w14:paraId="31F13D4F">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44E32887">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09" w:type="pct"/>
            <w:tcBorders>
              <w:tl2br w:val="nil"/>
              <w:tr2bl w:val="nil"/>
            </w:tcBorders>
            <w:noWrap/>
            <w:vAlign w:val="center"/>
          </w:tcPr>
          <w:p w14:paraId="43D8BB6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2.90</w:t>
            </w:r>
          </w:p>
        </w:tc>
        <w:tc>
          <w:tcPr>
            <w:tcW w:w="371" w:type="pct"/>
            <w:tcBorders>
              <w:tl2br w:val="nil"/>
              <w:tr2bl w:val="nil"/>
            </w:tcBorders>
            <w:noWrap/>
            <w:vAlign w:val="center"/>
          </w:tcPr>
          <w:p w14:paraId="479CD6E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22038</w:t>
            </w:r>
          </w:p>
        </w:tc>
        <w:tc>
          <w:tcPr>
            <w:tcW w:w="380" w:type="pct"/>
            <w:tcBorders>
              <w:tl2br w:val="nil"/>
              <w:tr2bl w:val="nil"/>
            </w:tcBorders>
            <w:noWrap/>
            <w:vAlign w:val="center"/>
          </w:tcPr>
          <w:p w14:paraId="35EE7D5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612</w:t>
            </w:r>
          </w:p>
        </w:tc>
        <w:tc>
          <w:tcPr>
            <w:tcW w:w="371" w:type="pct"/>
            <w:tcBorders>
              <w:tl2br w:val="nil"/>
              <w:tr2bl w:val="nil"/>
            </w:tcBorders>
            <w:noWrap/>
            <w:vAlign w:val="center"/>
          </w:tcPr>
          <w:p w14:paraId="280EE76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10</w:t>
            </w:r>
          </w:p>
        </w:tc>
        <w:tc>
          <w:tcPr>
            <w:tcW w:w="423" w:type="pct"/>
            <w:tcBorders>
              <w:tl2br w:val="nil"/>
              <w:tr2bl w:val="nil"/>
            </w:tcBorders>
            <w:noWrap/>
            <w:vAlign w:val="center"/>
          </w:tcPr>
          <w:p w14:paraId="340182C1">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52" w:type="pct"/>
            <w:tcBorders>
              <w:tl2br w:val="nil"/>
              <w:tr2bl w:val="nil"/>
            </w:tcBorders>
            <w:noWrap/>
            <w:vAlign w:val="center"/>
          </w:tcPr>
          <w:p w14:paraId="2A8D5853">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c>
          <w:tcPr>
            <w:tcW w:w="492" w:type="pct"/>
            <w:tcBorders>
              <w:tl2br w:val="nil"/>
              <w:tr2bl w:val="nil"/>
            </w:tcBorders>
            <w:noWrap/>
            <w:vAlign w:val="center"/>
          </w:tcPr>
          <w:p w14:paraId="4D29DBB4">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cs="Times New Roman"/>
                <w:color w:val="auto"/>
                <w:sz w:val="18"/>
                <w:szCs w:val="18"/>
              </w:rPr>
            </w:pPr>
          </w:p>
        </w:tc>
      </w:tr>
    </w:tbl>
    <w:p w14:paraId="08123909">
      <w:pPr>
        <w:tabs>
          <w:tab w:val="left" w:pos="3255"/>
        </w:tabs>
        <w:spacing w:before="120" w:beforeLines="50" w:line="240" w:lineRule="atLeast"/>
        <w:ind w:firstLine="422" w:firstLineChars="200"/>
        <w:jc w:val="center"/>
        <w:rPr>
          <w:rFonts w:hint="default" w:ascii="Times New Roman" w:hAnsi="Times New Roman" w:cs="Times New Roman"/>
          <w:b/>
          <w:bCs/>
          <w:color w:val="auto"/>
          <w:szCs w:val="21"/>
        </w:rPr>
        <w:sectPr>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66A61963">
      <w:pPr>
        <w:pStyle w:val="3"/>
        <w:bidi w:val="0"/>
        <w:rPr>
          <w:rFonts w:hint="default" w:ascii="Times New Roman" w:hAnsi="Times New Roman" w:cs="Times New Roman"/>
          <w:color w:val="auto"/>
          <w:lang w:val="en-US" w:eastAsia="zh-CN"/>
        </w:rPr>
      </w:pPr>
      <w:bookmarkStart w:id="282" w:name="bookmark19"/>
      <w:bookmarkEnd w:id="282"/>
      <w:bookmarkStart w:id="283" w:name="_Toc4598"/>
      <w:bookmarkStart w:id="284" w:name="_Toc7189"/>
      <w:r>
        <w:rPr>
          <w:rFonts w:hint="default" w:ascii="Times New Roman" w:hAnsi="Times New Roman" w:cs="Times New Roman"/>
          <w:color w:val="auto"/>
          <w:lang w:val="en-US" w:eastAsia="zh-CN"/>
        </w:rPr>
        <w:t>工程概况</w:t>
      </w:r>
      <w:bookmarkEnd w:id="283"/>
      <w:bookmarkEnd w:id="284"/>
    </w:p>
    <w:p w14:paraId="1046F8E9">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项目基本情况</w:t>
      </w:r>
    </w:p>
    <w:p w14:paraId="4DDA766E">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项目名称：</w:t>
      </w:r>
      <w:r>
        <w:rPr>
          <w:rFonts w:hint="eastAsia" w:ascii="Times New Roman" w:hAnsi="Times New Roman" w:cs="Times New Roman"/>
          <w:color w:val="auto"/>
          <w:spacing w:val="0"/>
          <w:w w:val="100"/>
          <w:position w:val="0"/>
          <w:sz w:val="24"/>
          <w:szCs w:val="24"/>
          <w:lang w:eastAsia="zh-CN"/>
        </w:rPr>
        <w:t>哈密市金石矿业有限责任公司哈密市大红山北铜矿地下开采建设项目</w:t>
      </w:r>
      <w:r>
        <w:rPr>
          <w:rFonts w:hint="default" w:ascii="Times New Roman" w:hAnsi="Times New Roman" w:eastAsia="宋体" w:cs="Times New Roman"/>
          <w:color w:val="auto"/>
          <w:spacing w:val="0"/>
          <w:w w:val="100"/>
          <w:position w:val="0"/>
          <w:sz w:val="24"/>
          <w:szCs w:val="24"/>
        </w:rPr>
        <w:t>；</w:t>
      </w:r>
    </w:p>
    <w:p w14:paraId="779892BC">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建设单位：哈密市金石矿业有限责任公司；</w:t>
      </w:r>
    </w:p>
    <w:p w14:paraId="4FEF022C">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项目性质：新建；</w:t>
      </w:r>
    </w:p>
    <w:p w14:paraId="20B584D7">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项目类别：铜矿采选，B091</w:t>
      </w:r>
      <w:r>
        <w:rPr>
          <w:rFonts w:hint="eastAsia"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w:t>
      </w:r>
    </w:p>
    <w:p w14:paraId="5766E251">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建设地点：矿区位于哈密市东南直距180千米处，行政</w:t>
      </w:r>
      <w:r>
        <w:rPr>
          <w:rFonts w:hint="default" w:ascii="Times New Roman" w:hAnsi="Times New Roman" w:cs="Times New Roman"/>
          <w:color w:val="auto"/>
          <w:spacing w:val="0"/>
          <w:w w:val="100"/>
          <w:position w:val="0"/>
          <w:sz w:val="24"/>
          <w:szCs w:val="24"/>
          <w:lang w:val="en-US" w:eastAsia="zh-CN"/>
        </w:rPr>
        <w:t>区划隶</w:t>
      </w:r>
      <w:r>
        <w:rPr>
          <w:rFonts w:hint="default" w:ascii="Times New Roman" w:hAnsi="Times New Roman" w:eastAsia="宋体" w:cs="Times New Roman"/>
          <w:color w:val="auto"/>
          <w:spacing w:val="0"/>
          <w:w w:val="100"/>
          <w:position w:val="0"/>
          <w:sz w:val="24"/>
          <w:szCs w:val="24"/>
        </w:rPr>
        <w:t>属哈密市伊州区双井子乡</w:t>
      </w:r>
      <w:r>
        <w:rPr>
          <w:rFonts w:hint="default" w:ascii="Times New Roman" w:hAnsi="Times New Roman" w:cs="Times New Roman"/>
          <w:color w:val="auto"/>
          <w:spacing w:val="0"/>
          <w:w w:val="100"/>
          <w:position w:val="0"/>
          <w:sz w:val="24"/>
          <w:szCs w:val="24"/>
          <w:lang w:val="en-US" w:eastAsia="zh-CN"/>
        </w:rPr>
        <w:t>管辖</w:t>
      </w:r>
      <w:r>
        <w:rPr>
          <w:rFonts w:hint="default" w:ascii="Times New Roman" w:hAnsi="Times New Roman" w:eastAsia="宋体" w:cs="Times New Roman"/>
          <w:color w:val="auto"/>
          <w:spacing w:val="0"/>
          <w:w w:val="100"/>
          <w:position w:val="0"/>
          <w:sz w:val="24"/>
          <w:szCs w:val="24"/>
        </w:rPr>
        <w:t>，地理坐标为（CGCS2000坐标系）：东经95°17′34″～95°18′35″、北纬41°52′05″～41°53′20″，中心点坐标：东经95°18′05″、北纬41°52′42″。矿区面积2.7131平方千米</w:t>
      </w:r>
      <w:r>
        <w:rPr>
          <w:rFonts w:hint="default" w:ascii="Times New Roman" w:hAnsi="Times New Roman" w:cs="Times New Roman"/>
          <w:color w:val="auto"/>
          <w:spacing w:val="0"/>
          <w:w w:val="100"/>
          <w:position w:val="0"/>
          <w:sz w:val="24"/>
          <w:szCs w:val="24"/>
          <w:lang w:eastAsia="zh-CN"/>
        </w:rPr>
        <w:t>；</w:t>
      </w:r>
    </w:p>
    <w:p w14:paraId="18EA64E0">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开采</w:t>
      </w:r>
      <w:r>
        <w:rPr>
          <w:rFonts w:hint="default" w:ascii="Times New Roman" w:hAnsi="Times New Roman" w:eastAsia="宋体" w:cs="Times New Roman"/>
          <w:color w:val="auto"/>
          <w:spacing w:val="0"/>
          <w:w w:val="100"/>
          <w:position w:val="0"/>
          <w:sz w:val="24"/>
          <w:szCs w:val="24"/>
        </w:rPr>
        <w:t>规模</w:t>
      </w:r>
      <w:r>
        <w:rPr>
          <w:rFonts w:hint="default" w:ascii="Times New Roman" w:hAnsi="Times New Roman" w:cs="Times New Roman"/>
          <w:color w:val="auto"/>
          <w:spacing w:val="0"/>
          <w:w w:val="100"/>
          <w:position w:val="0"/>
          <w:sz w:val="24"/>
          <w:szCs w:val="24"/>
          <w:lang w:val="en-US" w:eastAsia="zh-CN"/>
        </w:rPr>
        <w:t>及服务年限</w:t>
      </w:r>
      <w:r>
        <w:rPr>
          <w:rFonts w:hint="default" w:ascii="Times New Roman" w:hAnsi="Times New Roman" w:eastAsia="宋体" w:cs="Times New Roman"/>
          <w:color w:val="auto"/>
          <w:spacing w:val="0"/>
          <w:w w:val="100"/>
          <w:position w:val="0"/>
          <w:sz w:val="24"/>
          <w:szCs w:val="24"/>
        </w:rPr>
        <w:t>：本次设计开采方式为地下开采，开采矿种为铜矿，伴生矿种为金、银，生产规模30万吨/年，</w:t>
      </w:r>
      <w:r>
        <w:rPr>
          <w:rFonts w:hint="default" w:ascii="Times New Roman" w:hAnsi="Times New Roman" w:cs="Times New Roman"/>
          <w:color w:val="auto"/>
          <w:spacing w:val="0"/>
          <w:w w:val="100"/>
          <w:position w:val="0"/>
          <w:sz w:val="24"/>
          <w:szCs w:val="24"/>
          <w:lang w:val="en-US" w:eastAsia="zh-CN"/>
        </w:rPr>
        <w:t>设计</w:t>
      </w:r>
      <w:r>
        <w:rPr>
          <w:rFonts w:hint="default" w:ascii="Times New Roman" w:hAnsi="Times New Roman" w:eastAsia="宋体" w:cs="Times New Roman"/>
          <w:color w:val="auto"/>
          <w:spacing w:val="0"/>
          <w:w w:val="100"/>
          <w:position w:val="0"/>
          <w:sz w:val="24"/>
          <w:szCs w:val="24"/>
        </w:rPr>
        <w:t>开采标高2</w:t>
      </w:r>
      <w:r>
        <w:rPr>
          <w:rFonts w:hint="default" w:ascii="Times New Roman" w:hAnsi="Times New Roman" w:cs="Times New Roman"/>
          <w:color w:val="auto"/>
          <w:spacing w:val="0"/>
          <w:w w:val="100"/>
          <w:position w:val="0"/>
          <w:sz w:val="24"/>
          <w:szCs w:val="24"/>
          <w:lang w:val="en-US" w:eastAsia="zh-CN"/>
        </w:rPr>
        <w:t>108</w:t>
      </w:r>
      <w:r>
        <w:rPr>
          <w:rFonts w:hint="default" w:ascii="Times New Roman" w:hAnsi="Times New Roman" w:eastAsia="宋体" w:cs="Times New Roman"/>
          <w:color w:val="auto"/>
          <w:spacing w:val="0"/>
          <w:w w:val="100"/>
          <w:position w:val="0"/>
          <w:sz w:val="24"/>
          <w:szCs w:val="24"/>
        </w:rPr>
        <w:t>m至1</w:t>
      </w:r>
      <w:r>
        <w:rPr>
          <w:rFonts w:hint="default" w:ascii="Times New Roman" w:hAnsi="Times New Roman" w:cs="Times New Roman"/>
          <w:color w:val="auto"/>
          <w:spacing w:val="0"/>
          <w:w w:val="100"/>
          <w:position w:val="0"/>
          <w:sz w:val="24"/>
          <w:szCs w:val="24"/>
          <w:lang w:val="en-US" w:eastAsia="zh-CN"/>
        </w:rPr>
        <w:t>702</w:t>
      </w:r>
      <w:r>
        <w:rPr>
          <w:rFonts w:hint="default" w:ascii="Times New Roman" w:hAnsi="Times New Roman" w:eastAsia="宋体" w:cs="Times New Roman"/>
          <w:color w:val="auto"/>
          <w:spacing w:val="0"/>
          <w:w w:val="100"/>
          <w:position w:val="0"/>
          <w:sz w:val="24"/>
          <w:szCs w:val="24"/>
        </w:rPr>
        <w:t>m，服务年限10.</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rPr>
        <w:t>年</w:t>
      </w:r>
      <w:r>
        <w:rPr>
          <w:rFonts w:hint="default" w:ascii="Times New Roman" w:hAnsi="Times New Roman" w:cs="Times New Roman"/>
          <w:color w:val="auto"/>
          <w:spacing w:val="0"/>
          <w:w w:val="100"/>
          <w:position w:val="0"/>
          <w:sz w:val="24"/>
          <w:szCs w:val="24"/>
          <w:lang w:eastAsia="zh-CN"/>
        </w:rPr>
        <w:t>；</w:t>
      </w:r>
      <w:r>
        <w:rPr>
          <w:rFonts w:hint="eastAsia" w:ascii="Times New Roman" w:hAnsi="Times New Roman" w:cs="Times New Roman"/>
          <w:color w:val="auto"/>
          <w:spacing w:val="0"/>
          <w:w w:val="100"/>
          <w:position w:val="0"/>
          <w:sz w:val="24"/>
          <w:szCs w:val="24"/>
          <w:lang w:val="en-US" w:eastAsia="zh-CN"/>
        </w:rPr>
        <w:t>开采出的铜矿直接外售。</w:t>
      </w:r>
    </w:p>
    <w:p w14:paraId="0E453B5F">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rPr>
        <w:t>投资总额：</w:t>
      </w:r>
      <w:r>
        <w:rPr>
          <w:rFonts w:hint="default" w:ascii="Times New Roman" w:hAnsi="Times New Roman" w:eastAsia="宋体" w:cs="Times New Roman"/>
          <w:color w:val="auto"/>
          <w:spacing w:val="0"/>
          <w:w w:val="100"/>
          <w:position w:val="0"/>
          <w:sz w:val="24"/>
          <w:szCs w:val="24"/>
          <w:lang w:val="en-US" w:eastAsia="zh-CN"/>
        </w:rPr>
        <w:t>本项目总投资9186.04万元，其中环保投资471万元，占项目总投资的5.12%；</w:t>
      </w:r>
    </w:p>
    <w:p w14:paraId="2E51CF26">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劳动定员：</w:t>
      </w:r>
      <w:r>
        <w:rPr>
          <w:rFonts w:hint="default" w:ascii="Times New Roman" w:hAnsi="Times New Roman" w:eastAsia="宋体" w:cs="Times New Roman"/>
          <w:color w:val="auto"/>
          <w:spacing w:val="0"/>
          <w:w w:val="100"/>
          <w:position w:val="0"/>
          <w:sz w:val="24"/>
          <w:szCs w:val="24"/>
          <w:lang w:val="en-US" w:eastAsia="zh-CN"/>
        </w:rPr>
        <w:t>地下开采期总劳动定员</w:t>
      </w:r>
      <w:r>
        <w:rPr>
          <w:rFonts w:hint="default" w:ascii="Times New Roman" w:hAnsi="Times New Roman" w:cs="Times New Roman"/>
          <w:color w:val="auto"/>
          <w:spacing w:val="0"/>
          <w:w w:val="100"/>
          <w:position w:val="0"/>
          <w:sz w:val="24"/>
          <w:szCs w:val="24"/>
          <w:lang w:val="en-US" w:eastAsia="zh-CN"/>
        </w:rPr>
        <w:t>196</w:t>
      </w:r>
      <w:r>
        <w:rPr>
          <w:rFonts w:hint="default" w:ascii="Times New Roman" w:hAnsi="Times New Roman" w:eastAsia="宋体" w:cs="Times New Roman"/>
          <w:color w:val="auto"/>
          <w:spacing w:val="0"/>
          <w:w w:val="100"/>
          <w:position w:val="0"/>
          <w:sz w:val="24"/>
          <w:szCs w:val="24"/>
        </w:rPr>
        <w:t>人</w:t>
      </w:r>
      <w:r>
        <w:rPr>
          <w:rFonts w:hint="default" w:ascii="Times New Roman" w:hAnsi="Times New Roman" w:eastAsia="宋体" w:cs="Times New Roman"/>
          <w:color w:val="auto"/>
          <w:spacing w:val="0"/>
          <w:w w:val="100"/>
          <w:position w:val="0"/>
          <w:sz w:val="24"/>
          <w:szCs w:val="24"/>
          <w:lang w:eastAsia="zh-CN"/>
        </w:rPr>
        <w:t>；</w:t>
      </w:r>
    </w:p>
    <w:p w14:paraId="6EFAA332">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工作制度：矿山生产采用连续工作制，采用</w:t>
      </w:r>
      <w:r>
        <w:rPr>
          <w:rFonts w:hint="default" w:ascii="Times New Roman" w:hAnsi="Times New Roman" w:cs="Times New Roman"/>
          <w:color w:val="auto"/>
          <w:spacing w:val="0"/>
          <w:w w:val="100"/>
          <w:position w:val="0"/>
          <w:sz w:val="24"/>
          <w:szCs w:val="24"/>
          <w:lang w:val="en-US" w:eastAsia="zh-CN"/>
        </w:rPr>
        <w:t>25</w:t>
      </w:r>
      <w:r>
        <w:rPr>
          <w:rFonts w:hint="default" w:ascii="Times New Roman" w:hAnsi="Times New Roman" w:eastAsia="宋体" w:cs="Times New Roman"/>
          <w:color w:val="auto"/>
          <w:spacing w:val="0"/>
          <w:w w:val="100"/>
          <w:position w:val="0"/>
          <w:sz w:val="24"/>
          <w:szCs w:val="24"/>
        </w:rPr>
        <w:t>0d/a，3班/d，8h/班。</w:t>
      </w:r>
    </w:p>
    <w:p w14:paraId="4D0740A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项目组成</w:t>
      </w:r>
    </w:p>
    <w:p w14:paraId="79A46C2F">
      <w:pPr>
        <w:keepNext w:val="0"/>
        <w:keepLines w:val="0"/>
        <w:pageBreakBefore w:val="0"/>
        <w:widowControl w:val="0"/>
        <w:kinsoku/>
        <w:wordWrap/>
        <w:overflowPunct/>
        <w:topLinePunct w:val="0"/>
        <w:autoSpaceDE/>
        <w:autoSpaceDN/>
        <w:bidi w:val="0"/>
        <w:adjustRightInd/>
        <w:snapToGrid/>
        <w:spacing w:line="480" w:lineRule="exact"/>
        <w:ind w:left="0" w:right="0" w:firstLine="48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本</w:t>
      </w:r>
      <w:r>
        <w:rPr>
          <w:rFonts w:hint="default" w:ascii="Times New Roman" w:hAnsi="Times New Roman" w:eastAsia="宋体" w:cs="Times New Roman"/>
          <w:color w:val="auto"/>
          <w:spacing w:val="0"/>
          <w:w w:val="100"/>
          <w:position w:val="0"/>
          <w:sz w:val="24"/>
          <w:szCs w:val="24"/>
        </w:rPr>
        <w:t>项目由主体工程、公辅工程、环保工程组成。主体工程包括地下采场、采矿工业场地、废石场等；公辅工程包括</w:t>
      </w:r>
      <w:r>
        <w:rPr>
          <w:rFonts w:hint="default" w:ascii="Times New Roman" w:hAnsi="Times New Roman" w:cs="Times New Roman"/>
          <w:color w:val="auto"/>
          <w:spacing w:val="0"/>
          <w:w w:val="100"/>
          <w:position w:val="0"/>
          <w:sz w:val="24"/>
          <w:szCs w:val="24"/>
          <w:lang w:val="en-US" w:eastAsia="zh-CN"/>
        </w:rPr>
        <w:t>运输</w:t>
      </w:r>
      <w:r>
        <w:rPr>
          <w:rFonts w:hint="default" w:ascii="Times New Roman" w:hAnsi="Times New Roman" w:eastAsia="宋体" w:cs="Times New Roman"/>
          <w:color w:val="auto"/>
          <w:spacing w:val="0"/>
          <w:w w:val="100"/>
          <w:position w:val="0"/>
          <w:sz w:val="24"/>
          <w:szCs w:val="24"/>
        </w:rPr>
        <w:t>道路、</w:t>
      </w:r>
      <w:r>
        <w:rPr>
          <w:rFonts w:hint="default" w:ascii="Times New Roman" w:hAnsi="Times New Roman" w:cs="Times New Roman"/>
          <w:color w:val="auto"/>
          <w:spacing w:val="0"/>
          <w:w w:val="100"/>
          <w:position w:val="0"/>
          <w:sz w:val="24"/>
          <w:szCs w:val="24"/>
          <w:lang w:val="en-US" w:eastAsia="zh-CN"/>
        </w:rPr>
        <w:t>生活区等</w:t>
      </w:r>
      <w:r>
        <w:rPr>
          <w:rFonts w:hint="default" w:ascii="Times New Roman" w:hAnsi="Times New Roman" w:eastAsia="宋体" w:cs="Times New Roman"/>
          <w:color w:val="auto"/>
          <w:spacing w:val="0"/>
          <w:w w:val="100"/>
          <w:position w:val="0"/>
          <w:sz w:val="24"/>
          <w:szCs w:val="24"/>
        </w:rPr>
        <w:t>；环保工程包括井下涌水抽排利用工程、生活污水处理利用工程等。详见表3.2-</w:t>
      </w: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w:t>
      </w:r>
    </w:p>
    <w:p w14:paraId="3370D7DF">
      <w:pPr>
        <w:keepNext w:val="0"/>
        <w:keepLines w:val="0"/>
        <w:pageBreakBefore w:val="0"/>
        <w:widowControl w:val="0"/>
        <w:kinsoku/>
        <w:wordWrap/>
        <w:overflowPunct/>
        <w:topLinePunct w:val="0"/>
        <w:autoSpaceDE/>
        <w:autoSpaceDN/>
        <w:bidi w:val="0"/>
        <w:adjustRightInd/>
        <w:snapToGrid/>
        <w:spacing w:line="240" w:lineRule="auto"/>
        <w:ind w:left="0" w:leftChars="0" w:right="283" w:firstLine="0" w:firstLineChars="0"/>
        <w:jc w:val="center"/>
        <w:textAlignment w:val="auto"/>
        <w:rPr>
          <w:rFonts w:hint="default" w:ascii="Times New Roman" w:hAnsi="Times New Roman" w:eastAsia="宋体" w:cs="Times New Roman"/>
          <w:b/>
          <w:bCs/>
          <w:color w:val="auto"/>
          <w:spacing w:val="0"/>
          <w:w w:val="100"/>
          <w:position w:val="0"/>
          <w:sz w:val="22"/>
          <w:szCs w:val="22"/>
          <w:lang w:val="zh-CN" w:eastAsia="zh-CN"/>
        </w:rPr>
      </w:pPr>
      <w:r>
        <w:rPr>
          <w:rFonts w:hint="default" w:ascii="Times New Roman" w:hAnsi="Times New Roman" w:eastAsia="宋体" w:cs="Times New Roman"/>
          <w:b/>
          <w:bCs/>
          <w:color w:val="auto"/>
          <w:spacing w:val="0"/>
          <w:w w:val="100"/>
          <w:position w:val="0"/>
          <w:sz w:val="22"/>
          <w:szCs w:val="22"/>
          <w:lang w:val="zh-CN" w:eastAsia="zh-CN"/>
        </w:rPr>
        <w:t>表3.2-</w:t>
      </w:r>
      <w:r>
        <w:rPr>
          <w:rFonts w:hint="default" w:ascii="Times New Roman" w:hAnsi="Times New Roman" w:cs="Times New Roman"/>
          <w:b/>
          <w:bCs/>
          <w:color w:val="auto"/>
          <w:spacing w:val="0"/>
          <w:w w:val="100"/>
          <w:position w:val="0"/>
          <w:sz w:val="22"/>
          <w:szCs w:val="22"/>
          <w:lang w:val="en-US" w:eastAsia="zh-CN"/>
        </w:rPr>
        <w:t>1</w:t>
      </w:r>
      <w:r>
        <w:rPr>
          <w:rFonts w:hint="default" w:ascii="Times New Roman" w:hAnsi="Times New Roman" w:eastAsia="宋体" w:cs="Times New Roman"/>
          <w:b/>
          <w:bCs/>
          <w:color w:val="auto"/>
          <w:spacing w:val="0"/>
          <w:w w:val="100"/>
          <w:position w:val="0"/>
          <w:sz w:val="22"/>
          <w:szCs w:val="22"/>
          <w:lang w:val="en-US" w:eastAsia="zh-CN"/>
        </w:rPr>
        <w:t xml:space="preserve">     </w:t>
      </w:r>
      <w:r>
        <w:rPr>
          <w:rFonts w:hint="default" w:ascii="Times New Roman" w:hAnsi="Times New Roman" w:eastAsia="宋体" w:cs="Times New Roman"/>
          <w:b/>
          <w:bCs/>
          <w:color w:val="auto"/>
          <w:spacing w:val="0"/>
          <w:w w:val="100"/>
          <w:position w:val="0"/>
          <w:sz w:val="22"/>
          <w:szCs w:val="22"/>
          <w:lang w:val="zh-CN" w:eastAsia="zh-CN"/>
        </w:rPr>
        <w:t>项目建设内容一览表</w:t>
      </w:r>
    </w:p>
    <w:tbl>
      <w:tblPr>
        <w:tblStyle w:val="31"/>
        <w:tblW w:w="503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33"/>
        <w:gridCol w:w="470"/>
        <w:gridCol w:w="922"/>
        <w:gridCol w:w="6468"/>
      </w:tblGrid>
      <w:tr w14:paraId="1C5950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318" w:type="pct"/>
            <w:tcBorders>
              <w:tl2br w:val="nil"/>
              <w:tr2bl w:val="nil"/>
            </w:tcBorders>
            <w:vAlign w:val="center"/>
          </w:tcPr>
          <w:p w14:paraId="4BD1994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类别</w:t>
            </w:r>
          </w:p>
        </w:tc>
        <w:tc>
          <w:tcPr>
            <w:tcW w:w="829" w:type="pct"/>
            <w:gridSpan w:val="2"/>
            <w:tcBorders>
              <w:tl2br w:val="nil"/>
              <w:tr2bl w:val="nil"/>
            </w:tcBorders>
            <w:vAlign w:val="center"/>
          </w:tcPr>
          <w:p w14:paraId="57FCABF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工程名称</w:t>
            </w:r>
          </w:p>
        </w:tc>
        <w:tc>
          <w:tcPr>
            <w:tcW w:w="3852" w:type="pct"/>
            <w:tcBorders>
              <w:tl2br w:val="nil"/>
              <w:tr2bl w:val="nil"/>
            </w:tcBorders>
            <w:vAlign w:val="center"/>
          </w:tcPr>
          <w:p w14:paraId="7661767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工程内容</w:t>
            </w:r>
          </w:p>
        </w:tc>
      </w:tr>
      <w:tr w14:paraId="1CDB61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restart"/>
            <w:tcBorders>
              <w:tl2br w:val="nil"/>
              <w:tr2bl w:val="nil"/>
            </w:tcBorders>
            <w:vAlign w:val="center"/>
          </w:tcPr>
          <w:p w14:paraId="01F4521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主体工程</w:t>
            </w:r>
          </w:p>
        </w:tc>
        <w:tc>
          <w:tcPr>
            <w:tcW w:w="280" w:type="pct"/>
            <w:vMerge w:val="restart"/>
            <w:tcBorders>
              <w:tl2br w:val="nil"/>
              <w:tr2bl w:val="nil"/>
            </w:tcBorders>
            <w:vAlign w:val="center"/>
          </w:tcPr>
          <w:p w14:paraId="5FADD9C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w:t>
            </w:r>
            <w:r>
              <w:rPr>
                <w:rFonts w:hint="default" w:ascii="Times New Roman" w:hAnsi="Times New Roman" w:eastAsia="宋体" w:cs="Times New Roman"/>
                <w:color w:val="auto"/>
                <w:spacing w:val="0"/>
                <w:w w:val="100"/>
                <w:position w:val="0"/>
                <w:sz w:val="21"/>
                <w:szCs w:val="21"/>
                <w:lang w:val="en-US" w:eastAsia="zh-CN"/>
              </w:rPr>
              <w:t>巷</w:t>
            </w:r>
            <w:r>
              <w:rPr>
                <w:rFonts w:hint="default" w:ascii="Times New Roman" w:hAnsi="Times New Roman" w:eastAsia="宋体" w:cs="Times New Roman"/>
                <w:color w:val="auto"/>
                <w:spacing w:val="0"/>
                <w:w w:val="100"/>
                <w:position w:val="0"/>
                <w:sz w:val="21"/>
                <w:szCs w:val="21"/>
              </w:rPr>
              <w:t>工程</w:t>
            </w:r>
          </w:p>
        </w:tc>
        <w:tc>
          <w:tcPr>
            <w:tcW w:w="548" w:type="pct"/>
            <w:tcBorders>
              <w:tl2br w:val="nil"/>
              <w:tr2bl w:val="nil"/>
            </w:tcBorders>
            <w:vAlign w:val="center"/>
          </w:tcPr>
          <w:p w14:paraId="0E8BB8C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主平硐</w:t>
            </w:r>
          </w:p>
        </w:tc>
        <w:tc>
          <w:tcPr>
            <w:tcW w:w="3852" w:type="pct"/>
            <w:tcBorders>
              <w:tl2br w:val="nil"/>
              <w:tr2bl w:val="nil"/>
            </w:tcBorders>
            <w:vAlign w:val="center"/>
          </w:tcPr>
          <w:p w14:paraId="05B55EE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硐口位于矿区南部，岩石移动范围20m外。平硐长76m，断面采用三心拱形，净断面规格为4.0m×3.8m。该平硐负责Ⅲ、Ⅳ、Ⅳ-1、Ⅳ-1-1、Ⅳ-1-2、Ⅳ-1-3、V、Ⅵ矿体开采时，矿石、废石、材料及人员运输任务，兼做安全出口。开采Ⅳ-1、Ⅳ-1-1、Ⅳ-1-2、Ⅳ-1-3、Ⅳ、V矿体时入新风</w:t>
            </w:r>
          </w:p>
        </w:tc>
      </w:tr>
      <w:tr w14:paraId="245A6D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A9D3AD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0D57F4F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5BE05C2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val="en-US" w:eastAsia="zh-CN"/>
              </w:rPr>
              <w:t>南斜坡道</w:t>
            </w:r>
          </w:p>
        </w:tc>
        <w:tc>
          <w:tcPr>
            <w:tcW w:w="3852" w:type="pct"/>
            <w:tcBorders>
              <w:tl2br w:val="nil"/>
              <w:tr2bl w:val="nil"/>
            </w:tcBorders>
            <w:vAlign w:val="center"/>
          </w:tcPr>
          <w:p w14:paraId="71E5577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斜坡道硐口位于主平硐内，岩石移动范围20m外。斜坡道底标高1800m，断面采用三心拱形，净断面规格为4.0m×3.8m。直线段坡度12%，平均坡度10%，斜坡道总长2000m。该斜坡道负责Ⅲ、Ⅳ、Ⅳ-1、Ⅳ-1-1、Ⅳ-1-2、Ⅳ-1-3、V、Ⅵ矿体开采时，矿石、废石、材料及人员运输任务</w:t>
            </w:r>
          </w:p>
        </w:tc>
      </w:tr>
      <w:tr w14:paraId="36DC04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AFEEB9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1850458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1B3FCB9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北斜坡道</w:t>
            </w:r>
          </w:p>
        </w:tc>
        <w:tc>
          <w:tcPr>
            <w:tcW w:w="3852" w:type="pct"/>
            <w:tcBorders>
              <w:tl2br w:val="nil"/>
              <w:tr2bl w:val="nil"/>
            </w:tcBorders>
            <w:vAlign w:val="center"/>
          </w:tcPr>
          <w:p w14:paraId="787D058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为新建工程，硐口位于矿区北部，岩石移动范围20m外。断面采用三心拱形，净断面规格为4.0m×3.8m。直线段坡度12%，平均坡度10%，斜坡道总长1700m。该斜坡道负责I、Ⅱ号矿体开采时，矿石、废石、材料及人员运输任务，入新风兼做安全出口</w:t>
            </w:r>
          </w:p>
        </w:tc>
      </w:tr>
      <w:tr w14:paraId="765CE0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4F2B4AB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1882377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08AB427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回风井</w:t>
            </w:r>
          </w:p>
        </w:tc>
        <w:tc>
          <w:tcPr>
            <w:tcW w:w="3852" w:type="pct"/>
            <w:tcBorders>
              <w:tl2br w:val="nil"/>
              <w:tr2bl w:val="nil"/>
            </w:tcBorders>
            <w:vAlign w:val="center"/>
          </w:tcPr>
          <w:p w14:paraId="74C6D2B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包括Ⅵ号矿体回风井、Ⅲ号矿体回风井、Ⅳ-1号矿体回风井、V号矿体回风平硐、Ⅳ号矿体回风井、I、Ⅱ号矿体回风井，各井口均安设风机，作为各自矿体开采时的回风井，兼做安全出口</w:t>
            </w:r>
          </w:p>
        </w:tc>
      </w:tr>
      <w:tr w14:paraId="7731F0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5B1A480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1A0A96D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77B293C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zCs w:val="28"/>
                <w:lang w:val="en-US" w:eastAsia="zh-CN"/>
              </w:rPr>
              <w:t>通风</w:t>
            </w:r>
            <w:r>
              <w:rPr>
                <w:rFonts w:hint="default" w:ascii="Times New Roman" w:hAnsi="Times New Roman" w:cs="Times New Roman"/>
                <w:color w:val="auto"/>
                <w:szCs w:val="28"/>
              </w:rPr>
              <w:t>管缆井</w:t>
            </w:r>
          </w:p>
        </w:tc>
        <w:tc>
          <w:tcPr>
            <w:tcW w:w="3852" w:type="pct"/>
            <w:tcBorders>
              <w:tl2br w:val="nil"/>
              <w:tr2bl w:val="nil"/>
            </w:tcBorders>
            <w:vAlign w:val="center"/>
          </w:tcPr>
          <w:p w14:paraId="4FC1AD49">
            <w:pPr>
              <w:keepNext w:val="0"/>
              <w:keepLines w:val="0"/>
              <w:pageBreakBefore w:val="0"/>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kern w:val="2"/>
                <w:position w:val="0"/>
                <w:sz w:val="21"/>
                <w:szCs w:val="21"/>
                <w:lang w:val="en-US" w:eastAsia="zh-CN" w:bidi="ar-SA"/>
              </w:rPr>
              <w:t>利用原3号矿体下盘现</w:t>
            </w:r>
            <w:r>
              <w:rPr>
                <w:rFonts w:hint="eastAsia" w:ascii="Times New Roman" w:hAnsi="Times New Roman" w:cs="Times New Roman"/>
                <w:color w:val="auto"/>
                <w:spacing w:val="0"/>
                <w:w w:val="100"/>
                <w:kern w:val="2"/>
                <w:position w:val="0"/>
                <w:sz w:val="21"/>
                <w:szCs w:val="21"/>
                <w:lang w:val="en-US" w:eastAsia="zh-CN" w:bidi="ar-SA"/>
              </w:rPr>
              <w:t>有勘探</w:t>
            </w:r>
            <w:r>
              <w:rPr>
                <w:rFonts w:hint="default" w:ascii="Times New Roman" w:hAnsi="Times New Roman" w:eastAsia="宋体" w:cs="Times New Roman"/>
                <w:color w:val="auto"/>
                <w:spacing w:val="0"/>
                <w:w w:val="100"/>
                <w:kern w:val="2"/>
                <w:position w:val="0"/>
                <w:sz w:val="21"/>
                <w:szCs w:val="21"/>
                <w:lang w:val="en-US" w:eastAsia="zh-CN" w:bidi="ar-SA"/>
              </w:rPr>
              <w:t>竖井，井筒位于矿区南部，岩石移动范围20m外。现井底标高1979m，设计将井筒延深至1800m，井筒深度232m，井筒断面为圆形，净直径4.2m，该井作为Ⅲ、Ⅳ、Ⅳ-1、Ⅳ-1-1、Ⅳ-1-2、Ⅳ-1-3、V、Ⅵ矿体开采时的管缆井，兼做安全出口。开采Ⅲ、Ⅵ矿体时入新风</w:t>
            </w:r>
          </w:p>
        </w:tc>
      </w:tr>
      <w:tr w14:paraId="192D7E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2A6CFB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restart"/>
            <w:tcBorders>
              <w:tl2br w:val="nil"/>
              <w:tr2bl w:val="nil"/>
            </w:tcBorders>
            <w:vAlign w:val="center"/>
          </w:tcPr>
          <w:p w14:paraId="0A698FB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工业场地</w:t>
            </w:r>
          </w:p>
        </w:tc>
        <w:tc>
          <w:tcPr>
            <w:tcW w:w="548" w:type="pct"/>
            <w:tcBorders>
              <w:tl2br w:val="nil"/>
              <w:tr2bl w:val="nil"/>
            </w:tcBorders>
            <w:vAlign w:val="center"/>
          </w:tcPr>
          <w:p w14:paraId="7178863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主平硐工业场地</w:t>
            </w:r>
          </w:p>
        </w:tc>
        <w:tc>
          <w:tcPr>
            <w:tcW w:w="3852" w:type="pct"/>
            <w:tcBorders>
              <w:tl2br w:val="nil"/>
              <w:tr2bl w:val="nil"/>
            </w:tcBorders>
            <w:vAlign w:val="center"/>
          </w:tcPr>
          <w:p w14:paraId="0778038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围绕主平硐硐口布置，设置空压机站、柴油电站、材料库房（彩钢结构），配套IV-1号矿体回风井风机房。占用土地类型为裸岩石砾地，建筑面积约200m</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，占地面积3500m</w:t>
            </w:r>
            <w:r>
              <w:rPr>
                <w:rFonts w:hint="default" w:ascii="Times New Roman" w:hAnsi="Times New Roman" w:eastAsia="宋体" w:cs="Times New Roman"/>
                <w:color w:val="auto"/>
                <w:spacing w:val="0"/>
                <w:w w:val="100"/>
                <w:position w:val="0"/>
                <w:sz w:val="21"/>
                <w:szCs w:val="21"/>
                <w:vertAlign w:val="superscript"/>
                <w:lang w:val="en-US" w:eastAsia="zh-CN"/>
              </w:rPr>
              <w:t>2</w:t>
            </w:r>
          </w:p>
        </w:tc>
      </w:tr>
      <w:tr w14:paraId="130D2F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5992061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4C2F233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p>
        </w:tc>
        <w:tc>
          <w:tcPr>
            <w:tcW w:w="548" w:type="pct"/>
            <w:tcBorders>
              <w:tl2br w:val="nil"/>
              <w:tr2bl w:val="nil"/>
            </w:tcBorders>
            <w:vAlign w:val="center"/>
          </w:tcPr>
          <w:p w14:paraId="6DEC876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南斜坡道工业场地</w:t>
            </w:r>
          </w:p>
        </w:tc>
        <w:tc>
          <w:tcPr>
            <w:tcW w:w="3852" w:type="pct"/>
            <w:tcBorders>
              <w:tl2br w:val="nil"/>
              <w:tr2bl w:val="nil"/>
            </w:tcBorders>
            <w:vAlign w:val="center"/>
          </w:tcPr>
          <w:p w14:paraId="31EF019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紧邻南斜坡道硐口布置，设置运输车辆调度站、设备维修间（彩钢结构）。占用土地类型为裸岩石砾地，建筑面积约150m</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，占地面积3000m</w:t>
            </w:r>
            <w:r>
              <w:rPr>
                <w:rFonts w:hint="default" w:ascii="Times New Roman" w:hAnsi="Times New Roman" w:eastAsia="宋体" w:cs="Times New Roman"/>
                <w:color w:val="auto"/>
                <w:spacing w:val="0"/>
                <w:w w:val="100"/>
                <w:position w:val="0"/>
                <w:sz w:val="21"/>
                <w:szCs w:val="21"/>
                <w:vertAlign w:val="superscript"/>
                <w:lang w:val="en-US" w:eastAsia="zh-CN"/>
              </w:rPr>
              <w:t>2</w:t>
            </w:r>
          </w:p>
        </w:tc>
      </w:tr>
      <w:tr w14:paraId="2DFCE9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3D80595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702E08D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p>
        </w:tc>
        <w:tc>
          <w:tcPr>
            <w:tcW w:w="548" w:type="pct"/>
            <w:tcBorders>
              <w:tl2br w:val="nil"/>
              <w:tr2bl w:val="nil"/>
            </w:tcBorders>
            <w:vAlign w:val="center"/>
          </w:tcPr>
          <w:p w14:paraId="2C1E0DF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北斜坡道工业场地</w:t>
            </w:r>
          </w:p>
        </w:tc>
        <w:tc>
          <w:tcPr>
            <w:tcW w:w="3852" w:type="pct"/>
            <w:tcBorders>
              <w:tl2br w:val="nil"/>
              <w:tr2bl w:val="nil"/>
            </w:tcBorders>
            <w:vAlign w:val="center"/>
          </w:tcPr>
          <w:p w14:paraId="7467312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围绕北斜坡道硐口布置，主要设置空压机站、柴油电站（彩钢结构），配套I、</w:t>
            </w:r>
            <w:r>
              <w:rPr>
                <w:rFonts w:hint="default" w:ascii="Times New Roman" w:hAnsi="Times New Roman" w:cs="Times New Roman"/>
                <w:color w:val="auto"/>
                <w:spacing w:val="0"/>
                <w:w w:val="100"/>
                <w:position w:val="0"/>
                <w:sz w:val="21"/>
                <w:szCs w:val="21"/>
                <w:lang w:val="en-US" w:eastAsia="zh-CN"/>
              </w:rPr>
              <w:t>Ⅱ</w:t>
            </w:r>
            <w:r>
              <w:rPr>
                <w:rFonts w:hint="default" w:ascii="Times New Roman" w:hAnsi="Times New Roman" w:eastAsia="宋体" w:cs="Times New Roman"/>
                <w:color w:val="auto"/>
                <w:spacing w:val="0"/>
                <w:w w:val="100"/>
                <w:position w:val="0"/>
                <w:sz w:val="21"/>
                <w:szCs w:val="21"/>
                <w:lang w:val="en-US" w:eastAsia="zh-CN"/>
              </w:rPr>
              <w:t>号矿体回风井风机房。占用土地类型为裸岩石砾地，地面设施建筑面积约200m</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，工业场地占地面积3500m</w:t>
            </w:r>
            <w:r>
              <w:rPr>
                <w:rFonts w:hint="default" w:ascii="Times New Roman" w:hAnsi="Times New Roman" w:eastAsia="宋体" w:cs="Times New Roman"/>
                <w:color w:val="auto"/>
                <w:spacing w:val="0"/>
                <w:w w:val="100"/>
                <w:position w:val="0"/>
                <w:sz w:val="21"/>
                <w:szCs w:val="21"/>
                <w:vertAlign w:val="superscript"/>
                <w:lang w:val="en-US" w:eastAsia="zh-CN"/>
              </w:rPr>
              <w:t>2</w:t>
            </w:r>
          </w:p>
        </w:tc>
      </w:tr>
      <w:tr w14:paraId="65055F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6E92DC6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4492C6A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p>
        </w:tc>
        <w:tc>
          <w:tcPr>
            <w:tcW w:w="548" w:type="pct"/>
            <w:tcBorders>
              <w:tl2br w:val="nil"/>
              <w:tr2bl w:val="nil"/>
            </w:tcBorders>
            <w:vAlign w:val="center"/>
          </w:tcPr>
          <w:p w14:paraId="3B6D58B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通风管缆井工业场地</w:t>
            </w:r>
          </w:p>
        </w:tc>
        <w:tc>
          <w:tcPr>
            <w:tcW w:w="3852" w:type="pct"/>
            <w:tcBorders>
              <w:tl2br w:val="nil"/>
              <w:tr2bl w:val="nil"/>
            </w:tcBorders>
            <w:vAlign w:val="center"/>
          </w:tcPr>
          <w:p w14:paraId="5504A59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紧邻通风管缆井井口布置，设置通风机房、设备检修棚（彩钢结构），配套</w:t>
            </w:r>
            <w:r>
              <w:rPr>
                <w:rFonts w:hint="default" w:ascii="Times New Roman" w:hAnsi="Times New Roman" w:cs="Times New Roman"/>
                <w:color w:val="auto"/>
                <w:spacing w:val="0"/>
                <w:w w:val="100"/>
                <w:position w:val="0"/>
                <w:sz w:val="21"/>
                <w:szCs w:val="21"/>
                <w:lang w:val="en-US" w:eastAsia="zh-CN"/>
              </w:rPr>
              <w:t>Ⅲ</w:t>
            </w:r>
            <w:r>
              <w:rPr>
                <w:rFonts w:hint="default" w:ascii="Times New Roman" w:hAnsi="Times New Roman" w:eastAsia="宋体" w:cs="Times New Roman"/>
                <w:color w:val="auto"/>
                <w:spacing w:val="0"/>
                <w:w w:val="100"/>
                <w:position w:val="0"/>
                <w:sz w:val="21"/>
                <w:szCs w:val="21"/>
                <w:lang w:val="en-US" w:eastAsia="zh-CN"/>
              </w:rPr>
              <w:t>号、VI号矿体回风井风机房。占用土地类型为裸岩石砾地，建筑面积约180m</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，占地面积3000m</w:t>
            </w:r>
            <w:r>
              <w:rPr>
                <w:rFonts w:hint="default" w:ascii="Times New Roman" w:hAnsi="Times New Roman" w:eastAsia="宋体" w:cs="Times New Roman"/>
                <w:color w:val="auto"/>
                <w:spacing w:val="0"/>
                <w:w w:val="100"/>
                <w:position w:val="0"/>
                <w:sz w:val="21"/>
                <w:szCs w:val="21"/>
                <w:vertAlign w:val="superscript"/>
                <w:lang w:val="en-US" w:eastAsia="zh-CN"/>
              </w:rPr>
              <w:t>2</w:t>
            </w:r>
          </w:p>
        </w:tc>
      </w:tr>
      <w:tr w14:paraId="4A3C6A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58FE078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2BB4438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p>
        </w:tc>
        <w:tc>
          <w:tcPr>
            <w:tcW w:w="548" w:type="pct"/>
            <w:tcBorders>
              <w:tl2br w:val="nil"/>
              <w:tr2bl w:val="nil"/>
            </w:tcBorders>
            <w:vAlign w:val="center"/>
          </w:tcPr>
          <w:p w14:paraId="3115116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充填制备站工业场地</w:t>
            </w:r>
          </w:p>
        </w:tc>
        <w:tc>
          <w:tcPr>
            <w:tcW w:w="3852" w:type="pct"/>
            <w:tcBorders>
              <w:tl2br w:val="nil"/>
              <w:tr2bl w:val="nil"/>
            </w:tcBorders>
            <w:vAlign w:val="center"/>
          </w:tcPr>
          <w:p w14:paraId="6E5C836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位于主平硐东侧，布置破碎机操作间、充填材料存储棚、加压注浆泵机房（彩钢结构）。占用土地类型为裸岩石砾地，建筑面积约250m</w:t>
            </w:r>
            <w:r>
              <w:rPr>
                <w:rFonts w:hint="default" w:ascii="Times New Roman" w:hAnsi="Times New Roman" w:eastAsia="宋体"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pacing w:val="0"/>
                <w:w w:val="100"/>
                <w:position w:val="0"/>
                <w:sz w:val="21"/>
                <w:szCs w:val="21"/>
                <w:lang w:val="en-US" w:eastAsia="zh-CN"/>
              </w:rPr>
              <w:t>，占地面积4000m</w:t>
            </w:r>
            <w:r>
              <w:rPr>
                <w:rFonts w:hint="default" w:ascii="Times New Roman" w:hAnsi="Times New Roman" w:eastAsia="宋体" w:cs="Times New Roman"/>
                <w:color w:val="auto"/>
                <w:spacing w:val="0"/>
                <w:w w:val="100"/>
                <w:position w:val="0"/>
                <w:sz w:val="21"/>
                <w:szCs w:val="21"/>
                <w:vertAlign w:val="superscript"/>
                <w:lang w:val="en-US" w:eastAsia="zh-CN"/>
              </w:rPr>
              <w:t>2</w:t>
            </w:r>
          </w:p>
        </w:tc>
      </w:tr>
      <w:tr w14:paraId="0C0C87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restart"/>
            <w:tcBorders>
              <w:tl2br w:val="nil"/>
              <w:tr2bl w:val="nil"/>
            </w:tcBorders>
            <w:vAlign w:val="center"/>
          </w:tcPr>
          <w:p w14:paraId="39921DD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辅助工程</w:t>
            </w:r>
          </w:p>
        </w:tc>
        <w:tc>
          <w:tcPr>
            <w:tcW w:w="280" w:type="pct"/>
            <w:tcBorders>
              <w:tl2br w:val="nil"/>
              <w:tr2bl w:val="nil"/>
            </w:tcBorders>
            <w:vAlign w:val="center"/>
          </w:tcPr>
          <w:p w14:paraId="5FBDA1C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充填工程</w:t>
            </w:r>
          </w:p>
        </w:tc>
        <w:tc>
          <w:tcPr>
            <w:tcW w:w="548" w:type="pct"/>
            <w:tcBorders>
              <w:tl2br w:val="nil"/>
              <w:tr2bl w:val="nil"/>
            </w:tcBorders>
            <w:vAlign w:val="center"/>
          </w:tcPr>
          <w:p w14:paraId="1287824F">
            <w:pPr>
              <w:pStyle w:val="30"/>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井下充填站</w:t>
            </w:r>
          </w:p>
        </w:tc>
        <w:tc>
          <w:tcPr>
            <w:tcW w:w="3852" w:type="pct"/>
            <w:tcBorders>
              <w:tl2br w:val="nil"/>
              <w:tr2bl w:val="nil"/>
            </w:tcBorders>
            <w:vAlign w:val="center"/>
          </w:tcPr>
          <w:p w14:paraId="5D05524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kern w:val="2"/>
                <w:sz w:val="21"/>
                <w:szCs w:val="21"/>
                <w:lang w:val="en-US" w:eastAsia="zh-CN" w:bidi="ar-SA"/>
              </w:rPr>
              <w:t>充填搅拌站位于第一个运输中段巷道向采场内进行充填。搅拌站主要设备为JD1500型搅拌机和HBMG60/17-110S矿用充填泵，</w:t>
            </w:r>
            <w:r>
              <w:rPr>
                <w:rFonts w:hint="default" w:ascii="Times New Roman" w:hAnsi="Times New Roman" w:eastAsia="宋体" w:cs="Times New Roman"/>
                <w:color w:val="auto"/>
                <w:kern w:val="2"/>
                <w:sz w:val="21"/>
                <w:szCs w:val="21"/>
                <w:lang w:val="en-US" w:eastAsia="zh-CN" w:bidi="ar-SA"/>
              </w:rPr>
              <w:t>地表加工后的碎石或戈壁碎石以及水泥等材料由井下运输车运至充填站，搅拌机将充填材料充分搅拌后卸入矿用充填泵，管路采用φ180mm聚乙烯增强塑料管</w:t>
            </w:r>
          </w:p>
        </w:tc>
      </w:tr>
      <w:tr w14:paraId="46E76A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restart"/>
            <w:tcBorders>
              <w:tl2br w:val="nil"/>
              <w:tr2bl w:val="nil"/>
            </w:tcBorders>
            <w:vAlign w:val="center"/>
          </w:tcPr>
          <w:p w14:paraId="1C37A72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公用工程</w:t>
            </w:r>
          </w:p>
        </w:tc>
        <w:tc>
          <w:tcPr>
            <w:tcW w:w="829" w:type="pct"/>
            <w:gridSpan w:val="2"/>
            <w:tcBorders>
              <w:tl2br w:val="nil"/>
              <w:tr2bl w:val="nil"/>
            </w:tcBorders>
            <w:vAlign w:val="center"/>
          </w:tcPr>
          <w:p w14:paraId="4A5B046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供电工程</w:t>
            </w:r>
          </w:p>
        </w:tc>
        <w:tc>
          <w:tcPr>
            <w:tcW w:w="3852" w:type="pct"/>
            <w:tcBorders>
              <w:tl2br w:val="nil"/>
              <w:tr2bl w:val="nil"/>
            </w:tcBorders>
            <w:vAlign w:val="center"/>
          </w:tcPr>
          <w:p w14:paraId="43C8A21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采用双重电源供电，一路主供电源引自上级变电所10kV侧，由架空输电线路至本矿山变电所。由于矿山受条件限制不具备两回路供电条件，为了保证矿井在供电电源因故障或其他原因停止供电时，仍能担负矿山一级负荷的需要，以保障人员、排水等安全用电，故设置备用电源。另一路由柴油发电机组供电，为备用保安电源，以保证一级负荷的供电电源，满足要求</w:t>
            </w:r>
          </w:p>
        </w:tc>
      </w:tr>
      <w:tr w14:paraId="059A24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7A78F87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697FC53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供水工程</w:t>
            </w:r>
          </w:p>
        </w:tc>
        <w:tc>
          <w:tcPr>
            <w:tcW w:w="3852" w:type="pct"/>
            <w:tcBorders>
              <w:tl2br w:val="nil"/>
              <w:tr2bl w:val="nil"/>
            </w:tcBorders>
            <w:vAlign w:val="center"/>
          </w:tcPr>
          <w:p w14:paraId="4267BF99">
            <w:pPr>
              <w:keepNext w:val="0"/>
              <w:keepLines w:val="0"/>
              <w:pageBreakBefore w:val="0"/>
              <w:widowControl w:val="0"/>
              <w:kinsoku/>
              <w:wordWrap/>
              <w:overflowPunct/>
              <w:topLinePunct w:val="0"/>
              <w:autoSpaceDE/>
              <w:autoSpaceDN/>
              <w:bidi w:val="0"/>
              <w:adjustRightInd/>
              <w:snapToGrid/>
              <w:spacing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矿山井下涌水经由排水管排至地表400m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pacing w:val="0"/>
                <w:w w:val="100"/>
                <w:position w:val="0"/>
                <w:sz w:val="21"/>
                <w:szCs w:val="21"/>
                <w:lang w:val="en-US" w:eastAsia="zh-CN"/>
              </w:rPr>
              <w:t>高位水池内，</w:t>
            </w:r>
            <w:r>
              <w:rPr>
                <w:rFonts w:hint="eastAsia" w:ascii="Times New Roman" w:hAnsi="Times New Roman" w:cs="Times New Roman"/>
                <w:color w:val="auto"/>
                <w:spacing w:val="0"/>
                <w:w w:val="100"/>
                <w:position w:val="0"/>
                <w:sz w:val="21"/>
                <w:szCs w:val="21"/>
                <w:lang w:val="en-US" w:eastAsia="zh-CN"/>
              </w:rPr>
              <w:t>作为</w:t>
            </w:r>
            <w:r>
              <w:rPr>
                <w:rFonts w:hint="default" w:ascii="Times New Roman" w:hAnsi="Times New Roman" w:eastAsia="宋体" w:cs="Times New Roman"/>
                <w:color w:val="auto"/>
                <w:spacing w:val="0"/>
                <w:w w:val="100"/>
                <w:position w:val="0"/>
                <w:sz w:val="21"/>
                <w:szCs w:val="21"/>
                <w:lang w:val="en-US" w:eastAsia="zh-CN"/>
              </w:rPr>
              <w:t>矿山生产及消防用水水源地；</w:t>
            </w:r>
            <w:r>
              <w:rPr>
                <w:rFonts w:hint="default" w:ascii="Times New Roman" w:hAnsi="Times New Roman" w:cs="Times New Roman"/>
                <w:color w:val="auto"/>
                <w:spacing w:val="0"/>
                <w:w w:val="100"/>
                <w:position w:val="0"/>
                <w:sz w:val="21"/>
                <w:szCs w:val="21"/>
                <w:lang w:val="en-US" w:eastAsia="zh-CN"/>
              </w:rPr>
              <w:t>生活用水采用拉运方式，设置</w:t>
            </w:r>
            <w:r>
              <w:rPr>
                <w:rFonts w:hint="default" w:ascii="Times New Roman" w:hAnsi="Times New Roman" w:eastAsia="宋体" w:cs="Times New Roman"/>
                <w:color w:val="auto"/>
                <w:spacing w:val="0"/>
                <w:w w:val="100"/>
                <w:position w:val="0"/>
                <w:sz w:val="21"/>
                <w:szCs w:val="21"/>
                <w:lang w:val="en-US" w:eastAsia="zh-CN"/>
              </w:rPr>
              <w:t>20m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pacing w:val="0"/>
                <w:w w:val="100"/>
                <w:position w:val="0"/>
                <w:sz w:val="21"/>
                <w:szCs w:val="21"/>
                <w:lang w:val="en-US" w:eastAsia="zh-CN"/>
              </w:rPr>
              <w:t>生活辅助水池用于储备生活饮用水</w:t>
            </w:r>
          </w:p>
        </w:tc>
      </w:tr>
      <w:tr w14:paraId="3EDDEA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68DC1BD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27FE068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供热工程</w:t>
            </w:r>
          </w:p>
        </w:tc>
        <w:tc>
          <w:tcPr>
            <w:tcW w:w="3852" w:type="pct"/>
            <w:tcBorders>
              <w:tl2br w:val="nil"/>
              <w:tr2bl w:val="nil"/>
            </w:tcBorders>
            <w:vAlign w:val="center"/>
          </w:tcPr>
          <w:p w14:paraId="5F2A589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采用电热水锅炉供热</w:t>
            </w:r>
          </w:p>
        </w:tc>
      </w:tr>
      <w:tr w14:paraId="2CCA3F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7ADE763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1C48B98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采矿空压站</w:t>
            </w:r>
          </w:p>
        </w:tc>
        <w:tc>
          <w:tcPr>
            <w:tcW w:w="3852" w:type="pct"/>
            <w:tcBorders>
              <w:tl2br w:val="nil"/>
              <w:tr2bl w:val="nil"/>
            </w:tcBorders>
            <w:vAlign w:val="center"/>
          </w:tcPr>
          <w:p w14:paraId="73A0350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kern w:val="0"/>
                <w:sz w:val="21"/>
                <w:szCs w:val="21"/>
              </w:rPr>
              <w:t>空压机采用生产用空压机，并能在10min内启动，空压机的风量满足紧急避险要求</w:t>
            </w:r>
          </w:p>
        </w:tc>
      </w:tr>
      <w:tr w14:paraId="799439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restart"/>
            <w:tcBorders>
              <w:tl2br w:val="nil"/>
              <w:tr2bl w:val="nil"/>
            </w:tcBorders>
            <w:vAlign w:val="center"/>
          </w:tcPr>
          <w:p w14:paraId="6FB01A6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储运</w:t>
            </w:r>
            <w:r>
              <w:rPr>
                <w:rFonts w:hint="default" w:ascii="Times New Roman" w:hAnsi="Times New Roman" w:eastAsia="宋体" w:cs="Times New Roman"/>
                <w:color w:val="auto"/>
                <w:spacing w:val="0"/>
                <w:w w:val="100"/>
                <w:position w:val="0"/>
                <w:sz w:val="21"/>
                <w:szCs w:val="21"/>
              </w:rPr>
              <w:t>工程</w:t>
            </w:r>
          </w:p>
        </w:tc>
        <w:tc>
          <w:tcPr>
            <w:tcW w:w="829" w:type="pct"/>
            <w:gridSpan w:val="2"/>
            <w:tcBorders>
              <w:tl2br w:val="nil"/>
              <w:tr2bl w:val="nil"/>
            </w:tcBorders>
            <w:vAlign w:val="center"/>
          </w:tcPr>
          <w:p w14:paraId="55AC5DD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水泥筒仓</w:t>
            </w:r>
          </w:p>
        </w:tc>
        <w:tc>
          <w:tcPr>
            <w:tcW w:w="3852" w:type="pct"/>
            <w:tcBorders>
              <w:tl2br w:val="nil"/>
              <w:tr2bl w:val="nil"/>
            </w:tcBorders>
            <w:vAlign w:val="center"/>
          </w:tcPr>
          <w:p w14:paraId="26AD18D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lang w:val="en-US" w:eastAsia="zh-CN"/>
              </w:rPr>
              <w:t>充填站内设计布置1座水泥仓，水泥仓直径均为φ4.5m，圆筒段高18.6m，锥角60°。水泥仓有效容积160m</w:t>
            </w:r>
            <w:r>
              <w:rPr>
                <w:rFonts w:hint="default" w:ascii="Times New Roman" w:hAnsi="Times New Roman" w:cs="Times New Roman"/>
                <w:color w:val="auto"/>
                <w:kern w:val="0"/>
                <w:sz w:val="21"/>
                <w:szCs w:val="21"/>
                <w:vertAlign w:val="superscript"/>
                <w:lang w:val="en-US" w:eastAsia="zh-CN"/>
              </w:rPr>
              <w:t>3</w:t>
            </w:r>
            <w:r>
              <w:rPr>
                <w:rFonts w:hint="default" w:ascii="Times New Roman" w:hAnsi="Times New Roman" w:cs="Times New Roman"/>
                <w:color w:val="auto"/>
                <w:kern w:val="0"/>
                <w:sz w:val="21"/>
                <w:szCs w:val="21"/>
                <w:lang w:val="en-US" w:eastAsia="zh-CN"/>
              </w:rPr>
              <w:t>，可储存水泥约176.8t。水泥仓总计可存储约5d水泥消耗量</w:t>
            </w:r>
          </w:p>
        </w:tc>
      </w:tr>
      <w:tr w14:paraId="1C9730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49D1E11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646228C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矿石堆场</w:t>
            </w:r>
          </w:p>
        </w:tc>
        <w:tc>
          <w:tcPr>
            <w:tcW w:w="3852" w:type="pct"/>
            <w:tcBorders>
              <w:tl2br w:val="nil"/>
              <w:tr2bl w:val="nil"/>
            </w:tcBorders>
            <w:vAlign w:val="center"/>
          </w:tcPr>
          <w:p w14:paraId="4FD5D73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矿石设置临时堆场，</w:t>
            </w:r>
            <w:r>
              <w:rPr>
                <w:rFonts w:hint="default" w:ascii="Times New Roman" w:hAnsi="Times New Roman" w:cs="Times New Roman"/>
                <w:color w:val="auto"/>
                <w:spacing w:val="0"/>
                <w:w w:val="100"/>
                <w:position w:val="0"/>
                <w:sz w:val="21"/>
                <w:szCs w:val="21"/>
                <w:lang w:val="en-US" w:eastAsia="zh-CN"/>
              </w:rPr>
              <w:t>占地面积5000m</w:t>
            </w:r>
            <w:r>
              <w:rPr>
                <w:rFonts w:hint="default" w:ascii="Times New Roman" w:hAnsi="Times New Roman" w:cs="Times New Roman"/>
                <w:color w:val="auto"/>
                <w:spacing w:val="0"/>
                <w:w w:val="100"/>
                <w:position w:val="0"/>
                <w:sz w:val="21"/>
                <w:szCs w:val="21"/>
                <w:vertAlign w:val="superscript"/>
                <w:lang w:val="en-US" w:eastAsia="zh-CN"/>
              </w:rPr>
              <w:t>2</w:t>
            </w:r>
            <w:r>
              <w:rPr>
                <w:rFonts w:hint="default" w:ascii="Times New Roman" w:hAnsi="Times New Roman"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lang w:val="en-US" w:eastAsia="zh-CN"/>
              </w:rPr>
              <w:t>堆场位置在主平硐东侧的地势低洼处。矿石临时堆场最终堆置标高为：2033m，矿石临时堆场堆置最大高度为：2m。矿石临时堆场沿高水平标高向低水平单台阶堆排，矿石临时堆场最终边坡角约33.7°（小于岩石自然安息角），坡比1：1.5。矿石临时堆场考虑矿山10天矿石量，容积7000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pacing w:val="0"/>
                <w:w w:val="100"/>
                <w:position w:val="0"/>
                <w:sz w:val="21"/>
                <w:szCs w:val="21"/>
                <w:lang w:val="en-US" w:eastAsia="zh-CN"/>
              </w:rPr>
              <w:t>，满足开采阶段采出矿石量临时堆放所需的容积</w:t>
            </w:r>
          </w:p>
        </w:tc>
      </w:tr>
      <w:tr w14:paraId="32D88A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6E52CAB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5FD7A25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废石场</w:t>
            </w:r>
          </w:p>
        </w:tc>
        <w:tc>
          <w:tcPr>
            <w:tcW w:w="3852" w:type="pct"/>
            <w:tcBorders>
              <w:tl2br w:val="nil"/>
              <w:tr2bl w:val="nil"/>
            </w:tcBorders>
            <w:vAlign w:val="center"/>
          </w:tcPr>
          <w:p w14:paraId="6112A5A1">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z w:val="21"/>
                <w:szCs w:val="21"/>
              </w:rPr>
              <w:t>本次设计三个废石场</w:t>
            </w:r>
            <w:r>
              <w:rPr>
                <w:rFonts w:hint="eastAsia"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废石场1位于主平硐的西南侧230m处</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占地面积15730</w:t>
            </w:r>
            <w:r>
              <w:rPr>
                <w:rFonts w:hint="default" w:ascii="Times New Roman" w:hAnsi="Times New Roman" w:cs="Times New Roman"/>
                <w:color w:val="auto"/>
                <w:spacing w:val="0"/>
                <w:w w:val="100"/>
                <w:position w:val="0"/>
                <w:sz w:val="21"/>
                <w:szCs w:val="21"/>
                <w:lang w:val="en-US" w:eastAsia="zh-CN"/>
              </w:rPr>
              <w:t>m</w:t>
            </w:r>
            <w:r>
              <w:rPr>
                <w:rFonts w:hint="default" w:ascii="Times New Roman" w:hAnsi="Times New Roman"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z w:val="21"/>
                <w:szCs w:val="21"/>
              </w:rPr>
              <w:t>，废石场2位于主平硐的东南侧180m处</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占地面积1860</w:t>
            </w:r>
            <w:r>
              <w:rPr>
                <w:rFonts w:hint="default" w:ascii="Times New Roman" w:hAnsi="Times New Roman" w:cs="Times New Roman"/>
                <w:color w:val="auto"/>
                <w:spacing w:val="0"/>
                <w:w w:val="100"/>
                <w:position w:val="0"/>
                <w:sz w:val="21"/>
                <w:szCs w:val="21"/>
                <w:lang w:val="en-US" w:eastAsia="zh-CN"/>
              </w:rPr>
              <w:t>m</w:t>
            </w:r>
            <w:r>
              <w:rPr>
                <w:rFonts w:hint="default" w:ascii="Times New Roman" w:hAnsi="Times New Roman"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z w:val="21"/>
                <w:szCs w:val="21"/>
              </w:rPr>
              <w:t>，废石场3位于北斜坡道口的东南侧253m处</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占地面积30000</w:t>
            </w:r>
            <w:r>
              <w:rPr>
                <w:rFonts w:hint="default" w:ascii="Times New Roman" w:hAnsi="Times New Roman" w:cs="Times New Roman"/>
                <w:color w:val="auto"/>
                <w:spacing w:val="0"/>
                <w:w w:val="100"/>
                <w:position w:val="0"/>
                <w:sz w:val="21"/>
                <w:szCs w:val="21"/>
                <w:lang w:val="en-US" w:eastAsia="zh-CN"/>
              </w:rPr>
              <w:t>m</w:t>
            </w:r>
            <w:r>
              <w:rPr>
                <w:rFonts w:hint="default" w:ascii="Times New Roman" w:hAnsi="Times New Roman" w:cs="Times New Roman"/>
                <w:color w:val="auto"/>
                <w:spacing w:val="0"/>
                <w:w w:val="100"/>
                <w:position w:val="0"/>
                <w:sz w:val="21"/>
                <w:szCs w:val="21"/>
                <w:vertAlign w:val="superscript"/>
                <w:lang w:val="en-US" w:eastAsia="zh-CN"/>
              </w:rPr>
              <w:t>2</w:t>
            </w:r>
            <w:r>
              <w:rPr>
                <w:rFonts w:hint="default" w:ascii="Times New Roman" w:hAnsi="Times New Roman" w:eastAsia="宋体" w:cs="Times New Roman"/>
                <w:color w:val="auto"/>
                <w:sz w:val="21"/>
                <w:szCs w:val="21"/>
              </w:rPr>
              <w:t>。废石场1堆置顶标高2030m，堆置高度为</w:t>
            </w:r>
            <w:r>
              <w:rPr>
                <w:rFonts w:hint="eastAsia" w:ascii="Times New Roman" w:hAnsi="Times New Roman" w:cs="Times New Roman"/>
                <w:color w:val="auto"/>
                <w:sz w:val="21"/>
                <w:szCs w:val="21"/>
                <w:lang w:val="en-US" w:eastAsia="zh-CN"/>
              </w:rPr>
              <w:t>24</w:t>
            </w:r>
            <w:r>
              <w:rPr>
                <w:rFonts w:hint="default" w:ascii="Times New Roman" w:hAnsi="Times New Roman" w:eastAsia="宋体" w:cs="Times New Roman"/>
                <w:color w:val="auto"/>
                <w:sz w:val="21"/>
                <w:szCs w:val="21"/>
              </w:rPr>
              <w:t>m</w:t>
            </w:r>
            <w:r>
              <w:rPr>
                <w:rFonts w:hint="eastAsia" w:ascii="Times New Roman" w:hAnsi="Times New Roman" w:cs="Times New Roman"/>
                <w:color w:val="auto"/>
                <w:sz w:val="21"/>
                <w:szCs w:val="21"/>
                <w:lang w:eastAsia="zh-CN"/>
              </w:rPr>
              <w:t>，</w:t>
            </w:r>
            <w:r>
              <w:rPr>
                <w:rFonts w:hint="default" w:ascii="Times New Roman" w:hAnsi="Times New Roman" w:eastAsia="宋体" w:cs="Times New Roman"/>
                <w:color w:val="auto"/>
                <w:sz w:val="21"/>
                <w:szCs w:val="21"/>
              </w:rPr>
              <w:t>分台阶堆置，每台阶高度为6m，最终边坡角约33.7°，坡比1：1.5，废石堆场容积为11.2万</w:t>
            </w:r>
            <w:r>
              <w:rPr>
                <w:rFonts w:hint="eastAsia" w:ascii="Times New Roman" w:hAnsi="Times New Roman" w:cs="Times New Roman"/>
                <w:color w:val="auto"/>
                <w:sz w:val="21"/>
                <w:szCs w:val="21"/>
                <w:lang w:val="en-US" w:eastAsia="zh-CN"/>
              </w:rPr>
              <w:t>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z w:val="21"/>
                <w:szCs w:val="21"/>
              </w:rPr>
              <w:t>。废石场2堆置顶标高2010m，堆置高度为6m，容积6000</w:t>
            </w:r>
            <w:r>
              <w:rPr>
                <w:rFonts w:hint="eastAsia" w:ascii="Times New Roman" w:hAnsi="Times New Roman" w:cs="Times New Roman"/>
                <w:color w:val="auto"/>
                <w:sz w:val="21"/>
                <w:szCs w:val="21"/>
                <w:lang w:val="en-US" w:eastAsia="zh-CN"/>
              </w:rPr>
              <w:t>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z w:val="21"/>
                <w:szCs w:val="21"/>
              </w:rPr>
              <w:t>，最终边坡角约33.7°，坡比1：1.5。废石场3堆置顶标高2022m，分台阶堆置，每台阶高度为6m，最终边坡角约33.7°，坡比1：1.5，经计算废石堆场容积为14万</w:t>
            </w:r>
            <w:r>
              <w:rPr>
                <w:rFonts w:hint="eastAsia" w:ascii="Times New Roman" w:hAnsi="Times New Roman" w:cs="Times New Roman"/>
                <w:color w:val="auto"/>
                <w:sz w:val="21"/>
                <w:szCs w:val="21"/>
                <w:lang w:val="en-US" w:eastAsia="zh-CN"/>
              </w:rPr>
              <w:t>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最大堆高18m</w:t>
            </w:r>
            <w:r>
              <w:rPr>
                <w:rFonts w:hint="default" w:ascii="Times New Roman" w:hAnsi="Times New Roman" w:eastAsia="宋体" w:cs="Times New Roman"/>
                <w:color w:val="auto"/>
                <w:sz w:val="21"/>
                <w:szCs w:val="21"/>
              </w:rPr>
              <w:t>。堆场布置护坡进行防护处理，废石堆场下游建造挡墙。废石场作业方式，采用汽车－推土机排土工艺。废石场采用多台阶覆盖式排土工艺，排土作业采用单台阶作业</w:t>
            </w:r>
          </w:p>
        </w:tc>
      </w:tr>
      <w:tr w14:paraId="6CE4C7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2A78068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6A761A1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运输道路</w:t>
            </w:r>
          </w:p>
        </w:tc>
        <w:tc>
          <w:tcPr>
            <w:tcW w:w="3852" w:type="pct"/>
            <w:tcBorders>
              <w:tl2br w:val="nil"/>
              <w:tr2bl w:val="nil"/>
            </w:tcBorders>
            <w:vAlign w:val="center"/>
          </w:tcPr>
          <w:p w14:paraId="4FFC5A2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为满足矿山现有需要，矿山需新建4.5m宽道路约1000m，为公路型道路，碎石路面，道路最小曲率半径为15m，最大纵坡8%，限制速度10km/h。对所利用的原有道路，当不满足运输需要时，需进行修复或重新修建</w:t>
            </w:r>
          </w:p>
        </w:tc>
      </w:tr>
      <w:tr w14:paraId="5A9D28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63E2FE0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5CA5C52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爆破器材库</w:t>
            </w:r>
          </w:p>
        </w:tc>
        <w:tc>
          <w:tcPr>
            <w:tcW w:w="3852" w:type="pct"/>
            <w:tcBorders>
              <w:tl2br w:val="nil"/>
              <w:tr2bl w:val="nil"/>
            </w:tcBorders>
            <w:vAlign w:val="center"/>
          </w:tcPr>
          <w:p w14:paraId="2A53914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位于办公生活区西北约1km处的独立沟谷坡脚处，远离工业场地及人员密集区。包括炸药库、雷管库、值班警卫室、消防器材棚，配套警报器、铁丝网、避雷针及接地网。建筑面积90m</w:t>
            </w:r>
            <w:r>
              <w:rPr>
                <w:rFonts w:hint="default" w:ascii="Times New Roman" w:hAnsi="Times New Roman" w:eastAsia="宋体" w:cs="Times New Roman"/>
                <w:color w:val="auto"/>
                <w:spacing w:val="0"/>
                <w:w w:val="100"/>
                <w:position w:val="0"/>
                <w:sz w:val="21"/>
                <w:szCs w:val="21"/>
                <w:vertAlign w:val="superscript"/>
              </w:rPr>
              <w:t>2</w:t>
            </w:r>
            <w:r>
              <w:rPr>
                <w:rFonts w:hint="default" w:ascii="Times New Roman" w:hAnsi="Times New Roman" w:eastAsia="宋体" w:cs="Times New Roman"/>
                <w:color w:val="auto"/>
                <w:spacing w:val="0"/>
                <w:w w:val="100"/>
                <w:position w:val="0"/>
                <w:sz w:val="21"/>
                <w:szCs w:val="21"/>
              </w:rPr>
              <w:t>（彩钢+砖混结构），占地面积0.08hm</w:t>
            </w:r>
            <w:r>
              <w:rPr>
                <w:rFonts w:hint="default" w:ascii="Times New Roman" w:hAnsi="Times New Roman" w:eastAsia="宋体" w:cs="Times New Roman"/>
                <w:color w:val="auto"/>
                <w:spacing w:val="0"/>
                <w:w w:val="100"/>
                <w:position w:val="0"/>
                <w:sz w:val="21"/>
                <w:szCs w:val="21"/>
                <w:vertAlign w:val="superscript"/>
              </w:rPr>
              <w:t>2</w:t>
            </w:r>
            <w:r>
              <w:rPr>
                <w:rFonts w:hint="default" w:ascii="Times New Roman" w:hAnsi="Times New Roman" w:eastAsia="宋体" w:cs="Times New Roman"/>
                <w:color w:val="auto"/>
                <w:spacing w:val="0"/>
                <w:w w:val="100"/>
                <w:position w:val="0"/>
                <w:sz w:val="21"/>
                <w:szCs w:val="21"/>
              </w:rPr>
              <w:t>，矿山日常炸药均由当地民爆公司统一运送，已设装药库（炸药库9.8t，雷管库2万发）</w:t>
            </w:r>
          </w:p>
        </w:tc>
      </w:tr>
      <w:tr w14:paraId="270B22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restart"/>
            <w:tcBorders>
              <w:tl2br w:val="nil"/>
              <w:tr2bl w:val="nil"/>
            </w:tcBorders>
            <w:vAlign w:val="center"/>
          </w:tcPr>
          <w:p w14:paraId="70D8A00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环保工程</w:t>
            </w:r>
          </w:p>
        </w:tc>
        <w:tc>
          <w:tcPr>
            <w:tcW w:w="280" w:type="pct"/>
            <w:vMerge w:val="restart"/>
            <w:tcBorders>
              <w:tl2br w:val="nil"/>
              <w:tr2bl w:val="nil"/>
            </w:tcBorders>
            <w:vAlign w:val="center"/>
          </w:tcPr>
          <w:p w14:paraId="63A9408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废水</w:t>
            </w:r>
          </w:p>
        </w:tc>
        <w:tc>
          <w:tcPr>
            <w:tcW w:w="548" w:type="pct"/>
            <w:tcBorders>
              <w:tl2br w:val="nil"/>
              <w:tr2bl w:val="nil"/>
            </w:tcBorders>
            <w:vAlign w:val="center"/>
          </w:tcPr>
          <w:p w14:paraId="1A7FEE3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井下排水</w:t>
            </w:r>
          </w:p>
        </w:tc>
        <w:tc>
          <w:tcPr>
            <w:tcW w:w="3852" w:type="pct"/>
            <w:tcBorders>
              <w:tl2br w:val="nil"/>
              <w:tr2bl w:val="nil"/>
            </w:tcBorders>
            <w:vAlign w:val="center"/>
          </w:tcPr>
          <w:p w14:paraId="7166BF0F">
            <w:pPr>
              <w:pStyle w:val="9"/>
              <w:keepNext w:val="0"/>
              <w:keepLines w:val="0"/>
              <w:pageBreakBefore w:val="0"/>
              <w:widowControl/>
              <w:kinsoku/>
              <w:wordWrap/>
              <w:overflowPunct/>
              <w:topLinePunct w:val="0"/>
              <w:autoSpaceDE/>
              <w:autoSpaceDN/>
              <w:bidi w:val="0"/>
              <w:adjustRightInd/>
              <w:snapToGrid/>
              <w:spacing w:after="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z w:val="21"/>
                <w:szCs w:val="21"/>
                <w:highlight w:val="none"/>
              </w:rPr>
              <w:t>矿山井下排水量为</w:t>
            </w:r>
            <w:r>
              <w:rPr>
                <w:rFonts w:hint="default" w:ascii="Times New Roman" w:hAnsi="Times New Roman" w:cs="Times New Roman"/>
                <w:color w:val="auto"/>
                <w:sz w:val="21"/>
                <w:szCs w:val="21"/>
                <w:highlight w:val="none"/>
                <w:lang w:val="en-US" w:eastAsia="zh-CN"/>
              </w:rPr>
              <w:t>513</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/d，涌水无毒无害，悬浮物浓度一般为300～3000mg/</w:t>
            </w:r>
            <w:r>
              <w:rPr>
                <w:rFonts w:hint="eastAsia" w:ascii="Times New Roman" w:hAnsi="Times New Roman" w:cs="Times New Roman"/>
                <w:color w:val="auto"/>
                <w:sz w:val="21"/>
                <w:szCs w:val="21"/>
                <w:highlight w:val="none"/>
                <w:lang w:val="en-US" w:eastAsia="zh-CN"/>
              </w:rPr>
              <w:t>L</w:t>
            </w:r>
            <w:r>
              <w:rPr>
                <w:rFonts w:hint="default" w:ascii="Times New Roman" w:hAnsi="Times New Roman" w:eastAsia="宋体" w:cs="Times New Roman"/>
                <w:color w:val="auto"/>
                <w:sz w:val="21"/>
                <w:szCs w:val="21"/>
                <w:highlight w:val="none"/>
              </w:rPr>
              <w:t>。矿坑涌水</w:t>
            </w:r>
            <w:r>
              <w:rPr>
                <w:rFonts w:hint="default" w:ascii="Times New Roman" w:hAnsi="Times New Roman" w:eastAsia="宋体" w:cs="Times New Roman"/>
                <w:color w:val="auto"/>
                <w:sz w:val="21"/>
                <w:szCs w:val="21"/>
                <w:highlight w:val="none"/>
                <w:shd w:val="clear" w:color="auto" w:fill="auto"/>
                <w:lang w:val="en-US" w:eastAsia="zh-CN"/>
              </w:rPr>
              <w:t>采用沉淀处理后，满足《污水综合排放标准》（GB8978-1996）表1第一类污染物最高允许排放浓度限值、</w:t>
            </w:r>
            <w:r>
              <w:rPr>
                <w:rFonts w:hint="default" w:ascii="Times New Roman" w:hAnsi="Times New Roman" w:eastAsia="宋体" w:cs="Times New Roman"/>
                <w:color w:val="auto"/>
                <w:kern w:val="0"/>
                <w:sz w:val="21"/>
                <w:szCs w:val="21"/>
                <w:highlight w:val="none"/>
                <w:lang w:val="en-US" w:eastAsia="zh-CN" w:bidi="ar-SA"/>
              </w:rPr>
              <w:t>《铜、镍、钴工业污染物排放标准》（GB25467-2010）</w:t>
            </w:r>
            <w:r>
              <w:rPr>
                <w:rFonts w:hint="default" w:ascii="Times New Roman" w:hAnsi="Times New Roman" w:eastAsia="宋体" w:cs="Times New Roman"/>
                <w:color w:val="auto"/>
                <w:sz w:val="21"/>
                <w:szCs w:val="21"/>
                <w:highlight w:val="none"/>
                <w:shd w:val="clear" w:color="auto" w:fill="auto"/>
                <w:lang w:val="en-US" w:eastAsia="zh-CN"/>
              </w:rPr>
              <w:t>新建企业水污染物排放浓度限值要求后，并且满足《城市污水再生利用 城市杂用水水质》（GB/T18920</w:t>
            </w:r>
            <w:r>
              <w:rPr>
                <w:rFonts w:hint="default" w:ascii="Times New Roman" w:hAnsi="Times New Roman" w:cs="Times New Roman"/>
                <w:color w:val="auto"/>
                <w:sz w:val="21"/>
                <w:szCs w:val="21"/>
                <w:highlight w:val="none"/>
                <w:shd w:val="clear" w:color="auto" w:fill="auto"/>
                <w:lang w:val="en-US" w:eastAsia="zh-CN"/>
              </w:rPr>
              <w:t>-2020</w:t>
            </w:r>
            <w:r>
              <w:rPr>
                <w:rFonts w:hint="default" w:ascii="Times New Roman" w:hAnsi="Times New Roman" w:eastAsia="宋体" w:cs="Times New Roman"/>
                <w:color w:val="auto"/>
                <w:sz w:val="21"/>
                <w:szCs w:val="21"/>
                <w:highlight w:val="none"/>
                <w:shd w:val="clear" w:color="auto" w:fill="auto"/>
                <w:lang w:val="en-US" w:eastAsia="zh-CN"/>
              </w:rPr>
              <w:t>）中杂用水质标准后，全部用于井下生产用水及降尘、地表绿化及降尘等，不外排</w:t>
            </w:r>
          </w:p>
        </w:tc>
      </w:tr>
      <w:tr w14:paraId="78CFFC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172AB3D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44E81F9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475F767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生活污水</w:t>
            </w:r>
          </w:p>
        </w:tc>
        <w:tc>
          <w:tcPr>
            <w:tcW w:w="3852" w:type="pct"/>
            <w:tcBorders>
              <w:tl2br w:val="nil"/>
              <w:tr2bl w:val="nil"/>
            </w:tcBorders>
            <w:vAlign w:val="center"/>
          </w:tcPr>
          <w:p w14:paraId="5ED8ED0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生活污水经处理达到</w:t>
            </w:r>
            <w:r>
              <w:rPr>
                <w:rFonts w:hint="default" w:ascii="Times New Roman" w:hAnsi="Times New Roman" w:eastAsia="宋体" w:cs="Times New Roman"/>
                <w:color w:val="auto"/>
                <w:spacing w:val="0"/>
                <w:w w:val="100"/>
                <w:position w:val="0"/>
                <w:sz w:val="21"/>
                <w:szCs w:val="21"/>
                <w:lang w:val="en-US" w:eastAsia="zh-CN"/>
              </w:rPr>
              <w:t>《农村生活污水处理排放标准》（DB65 4275-2019）A级标准和《城市污水再生利用 城市杂用水水质》（GB/T18920-2020）中绿化和道路清扫、消防水质标准后用于项目区绿化和矿区道路降尘洒水</w:t>
            </w:r>
          </w:p>
        </w:tc>
      </w:tr>
      <w:tr w14:paraId="79F3D5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3ADAF3E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restart"/>
            <w:tcBorders>
              <w:tl2br w:val="nil"/>
              <w:tr2bl w:val="nil"/>
            </w:tcBorders>
            <w:vAlign w:val="center"/>
          </w:tcPr>
          <w:p w14:paraId="49FDC76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废气</w:t>
            </w:r>
          </w:p>
        </w:tc>
        <w:tc>
          <w:tcPr>
            <w:tcW w:w="548" w:type="pct"/>
            <w:tcBorders>
              <w:tl2br w:val="nil"/>
              <w:tr2bl w:val="nil"/>
            </w:tcBorders>
            <w:vAlign w:val="center"/>
          </w:tcPr>
          <w:p w14:paraId="63EDDF6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井下采矿</w:t>
            </w:r>
            <w:r>
              <w:rPr>
                <w:rFonts w:hint="default" w:ascii="Times New Roman" w:hAnsi="Times New Roman" w:eastAsia="宋体" w:cs="Times New Roman"/>
                <w:color w:val="auto"/>
                <w:spacing w:val="0"/>
                <w:w w:val="100"/>
                <w:position w:val="0"/>
                <w:sz w:val="21"/>
                <w:szCs w:val="21"/>
                <w:lang w:val="en-US" w:eastAsia="zh-CN"/>
              </w:rPr>
              <w:t>粉尘</w:t>
            </w:r>
          </w:p>
        </w:tc>
        <w:tc>
          <w:tcPr>
            <w:tcW w:w="3852" w:type="pct"/>
            <w:tcBorders>
              <w:tl2br w:val="nil"/>
              <w:tr2bl w:val="nil"/>
            </w:tcBorders>
            <w:vAlign w:val="center"/>
          </w:tcPr>
          <w:p w14:paraId="543CE07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井下采掘作业采用湿式凿岩，爆堆洒水等措施；井下皮带受料点设水雾除尘喷嘴</w:t>
            </w:r>
          </w:p>
        </w:tc>
      </w:tr>
      <w:tr w14:paraId="0DB2FB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57AB81E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698B530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217CF7F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爆破烟尘</w:t>
            </w:r>
          </w:p>
        </w:tc>
        <w:tc>
          <w:tcPr>
            <w:tcW w:w="3852" w:type="pct"/>
            <w:tcBorders>
              <w:tl2br w:val="nil"/>
              <w:tr2bl w:val="nil"/>
            </w:tcBorders>
            <w:vAlign w:val="center"/>
          </w:tcPr>
          <w:p w14:paraId="058B953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爆炸污染物的排放属于瞬时间歇排放，炮烟通过系统通风由风井排出地表，且随着时间推移运行，污染物在井下环境空气中不断扩散和稀释</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通过回风井换气排出</w:t>
            </w:r>
          </w:p>
        </w:tc>
      </w:tr>
      <w:tr w14:paraId="3F40BE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24F90BA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3AEECDE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42CFA31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运输扬尘</w:t>
            </w:r>
          </w:p>
        </w:tc>
        <w:tc>
          <w:tcPr>
            <w:tcW w:w="3852" w:type="pct"/>
            <w:tcBorders>
              <w:tl2br w:val="nil"/>
              <w:tr2bl w:val="nil"/>
            </w:tcBorders>
            <w:vAlign w:val="center"/>
          </w:tcPr>
          <w:p w14:paraId="0659AD9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道路运输通过厂区道路硬化</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洒水</w:t>
            </w:r>
            <w:r>
              <w:rPr>
                <w:rFonts w:hint="default" w:ascii="Times New Roman" w:hAnsi="Times New Roman" w:eastAsia="宋体" w:cs="Times New Roman"/>
                <w:color w:val="auto"/>
                <w:spacing w:val="0"/>
                <w:w w:val="100"/>
                <w:position w:val="0"/>
                <w:sz w:val="21"/>
                <w:szCs w:val="21"/>
              </w:rPr>
              <w:t>、限制车辆车速等措施来控制扬尘</w:t>
            </w:r>
          </w:p>
        </w:tc>
      </w:tr>
      <w:tr w14:paraId="3423CE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1A9861C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4AC20F7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0F89448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废石场扬尘</w:t>
            </w:r>
          </w:p>
        </w:tc>
        <w:tc>
          <w:tcPr>
            <w:tcW w:w="3852" w:type="pct"/>
            <w:tcBorders>
              <w:tl2br w:val="nil"/>
              <w:tr2bl w:val="nil"/>
            </w:tcBorders>
            <w:vAlign w:val="center"/>
          </w:tcPr>
          <w:p w14:paraId="6623747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采用洒水降尘方式</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粉尘以无组织形式排放</w:t>
            </w:r>
          </w:p>
        </w:tc>
      </w:tr>
      <w:tr w14:paraId="67B357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3598DE3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3CE345E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48891C6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矿石堆场</w:t>
            </w:r>
          </w:p>
        </w:tc>
        <w:tc>
          <w:tcPr>
            <w:tcW w:w="3852" w:type="pct"/>
            <w:tcBorders>
              <w:tl2br w:val="nil"/>
              <w:tr2bl w:val="nil"/>
            </w:tcBorders>
            <w:vAlign w:val="center"/>
          </w:tcPr>
          <w:p w14:paraId="5253C32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堆场半敞开式设置，并</w:t>
            </w:r>
            <w:r>
              <w:rPr>
                <w:rFonts w:hint="default" w:ascii="Times New Roman" w:hAnsi="Times New Roman" w:eastAsia="宋体" w:cs="Times New Roman"/>
                <w:color w:val="auto"/>
                <w:spacing w:val="0"/>
                <w:w w:val="100"/>
                <w:position w:val="0"/>
                <w:sz w:val="21"/>
                <w:szCs w:val="21"/>
              </w:rPr>
              <w:t>采用洒水降尘方式</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粉尘以无组织形式排放</w:t>
            </w:r>
          </w:p>
        </w:tc>
      </w:tr>
      <w:tr w14:paraId="07D9CB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29D2B95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61C4292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091629A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废石破碎</w:t>
            </w:r>
            <w:r>
              <w:rPr>
                <w:rFonts w:hint="default" w:ascii="Times New Roman" w:hAnsi="Times New Roman" w:eastAsia="宋体" w:cs="Times New Roman"/>
                <w:color w:val="auto"/>
                <w:spacing w:val="0"/>
                <w:w w:val="100"/>
                <w:position w:val="0"/>
                <w:sz w:val="21"/>
                <w:szCs w:val="21"/>
              </w:rPr>
              <w:t>废气</w:t>
            </w:r>
          </w:p>
        </w:tc>
        <w:tc>
          <w:tcPr>
            <w:tcW w:w="3852" w:type="pct"/>
            <w:tcBorders>
              <w:tl2br w:val="nil"/>
              <w:tr2bl w:val="nil"/>
            </w:tcBorders>
            <w:vAlign w:val="center"/>
          </w:tcPr>
          <w:p w14:paraId="7C275F7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在</w:t>
            </w:r>
            <w:r>
              <w:rPr>
                <w:rFonts w:hint="default" w:ascii="Times New Roman" w:hAnsi="Times New Roman" w:cs="Times New Roman"/>
                <w:color w:val="auto"/>
                <w:spacing w:val="0"/>
                <w:w w:val="100"/>
                <w:position w:val="0"/>
                <w:sz w:val="21"/>
                <w:szCs w:val="21"/>
                <w:lang w:eastAsia="zh-CN"/>
              </w:rPr>
              <w:t>颚式破碎机</w:t>
            </w:r>
            <w:r>
              <w:rPr>
                <w:rFonts w:hint="default" w:ascii="Times New Roman" w:hAnsi="Times New Roman" w:eastAsia="宋体" w:cs="Times New Roman"/>
                <w:color w:val="auto"/>
                <w:spacing w:val="0"/>
                <w:w w:val="100"/>
                <w:position w:val="0"/>
                <w:sz w:val="21"/>
                <w:szCs w:val="21"/>
              </w:rPr>
              <w:t>进料、排料口</w:t>
            </w:r>
            <w:r>
              <w:rPr>
                <w:rFonts w:hint="default" w:ascii="Times New Roman" w:hAnsi="Times New Roman" w:cs="Times New Roman"/>
                <w:color w:val="auto"/>
                <w:spacing w:val="0"/>
                <w:w w:val="100"/>
                <w:position w:val="0"/>
                <w:sz w:val="21"/>
                <w:szCs w:val="21"/>
                <w:lang w:val="en-US" w:eastAsia="zh-CN"/>
              </w:rPr>
              <w:t>设</w:t>
            </w:r>
            <w:r>
              <w:rPr>
                <w:rFonts w:hint="default" w:ascii="Times New Roman" w:hAnsi="Times New Roman" w:eastAsia="宋体" w:cs="Times New Roman"/>
                <w:color w:val="auto"/>
                <w:spacing w:val="0"/>
                <w:w w:val="100"/>
                <w:position w:val="0"/>
                <w:sz w:val="21"/>
                <w:szCs w:val="21"/>
              </w:rPr>
              <w:t>集尘罩，收集各产尘点废气</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通过</w:t>
            </w:r>
            <w:r>
              <w:rPr>
                <w:rFonts w:hint="default" w:ascii="Times New Roman" w:hAnsi="Times New Roman" w:cs="Times New Roman"/>
                <w:color w:val="auto"/>
                <w:spacing w:val="0"/>
                <w:w w:val="100"/>
                <w:position w:val="0"/>
                <w:sz w:val="21"/>
                <w:szCs w:val="21"/>
                <w:lang w:val="en-US" w:eastAsia="zh-CN"/>
              </w:rPr>
              <w:t>布袋除尘器处理</w:t>
            </w:r>
            <w:r>
              <w:rPr>
                <w:rFonts w:hint="default" w:ascii="Times New Roman" w:hAnsi="Times New Roman" w:eastAsia="宋体" w:cs="Times New Roman"/>
                <w:color w:val="auto"/>
                <w:spacing w:val="0"/>
                <w:w w:val="100"/>
                <w:position w:val="0"/>
                <w:sz w:val="21"/>
                <w:szCs w:val="21"/>
              </w:rPr>
              <w:t>，风量</w:t>
            </w:r>
            <w:r>
              <w:rPr>
                <w:rFonts w:hint="default" w:ascii="Times New Roman" w:hAnsi="Times New Roman" w:cs="Times New Roman"/>
                <w:color w:val="auto"/>
                <w:spacing w:val="0"/>
                <w:w w:val="100"/>
                <w:position w:val="0"/>
                <w:sz w:val="21"/>
                <w:szCs w:val="21"/>
                <w:lang w:val="en-US" w:eastAsia="zh-CN"/>
              </w:rPr>
              <w:t>5</w:t>
            </w:r>
            <w:r>
              <w:rPr>
                <w:rFonts w:hint="default" w:ascii="Times New Roman" w:hAnsi="Times New Roman" w:eastAsia="宋体" w:cs="Times New Roman"/>
                <w:color w:val="auto"/>
                <w:spacing w:val="0"/>
                <w:w w:val="100"/>
                <w:position w:val="0"/>
                <w:sz w:val="21"/>
                <w:szCs w:val="21"/>
              </w:rPr>
              <w:t>000m</w:t>
            </w:r>
            <w:r>
              <w:rPr>
                <w:rFonts w:hint="default" w:ascii="Times New Roman" w:hAnsi="Times New Roman" w:eastAsia="宋体" w:cs="Times New Roman"/>
                <w:color w:val="auto"/>
                <w:spacing w:val="0"/>
                <w:w w:val="100"/>
                <w:position w:val="0"/>
                <w:sz w:val="21"/>
                <w:szCs w:val="21"/>
                <w:vertAlign w:val="superscript"/>
                <w:lang w:val="en-US" w:eastAsia="zh-CN"/>
              </w:rPr>
              <w:t>3</w:t>
            </w:r>
            <w:r>
              <w:rPr>
                <w:rFonts w:hint="default" w:ascii="Times New Roman" w:hAnsi="Times New Roman" w:eastAsia="宋体" w:cs="Times New Roman"/>
                <w:color w:val="auto"/>
                <w:spacing w:val="0"/>
                <w:w w:val="100"/>
                <w:position w:val="0"/>
                <w:sz w:val="21"/>
                <w:szCs w:val="21"/>
              </w:rPr>
              <w:t>/h，除尘效率：&gt;</w:t>
            </w:r>
            <w:r>
              <w:rPr>
                <w:rFonts w:hint="default" w:ascii="Times New Roman" w:hAnsi="Times New Roman" w:cs="Times New Roman"/>
                <w:color w:val="auto"/>
                <w:spacing w:val="0"/>
                <w:w w:val="100"/>
                <w:position w:val="0"/>
                <w:sz w:val="21"/>
                <w:szCs w:val="21"/>
                <w:lang w:eastAsia="zh-CN"/>
              </w:rPr>
              <w:t>99</w:t>
            </w:r>
            <w:r>
              <w:rPr>
                <w:rFonts w:hint="default" w:ascii="Times New Roman" w:hAnsi="Times New Roman" w:eastAsia="宋体" w:cs="Times New Roman"/>
                <w:color w:val="auto"/>
                <w:spacing w:val="0"/>
                <w:w w:val="100"/>
                <w:position w:val="0"/>
                <w:sz w:val="21"/>
                <w:szCs w:val="21"/>
              </w:rPr>
              <w:t>%，处理后经</w:t>
            </w:r>
            <w:r>
              <w:rPr>
                <w:rFonts w:hint="default" w:ascii="Times New Roman" w:hAnsi="Times New Roman" w:cs="Times New Roman"/>
                <w:color w:val="auto"/>
                <w:spacing w:val="0"/>
                <w:w w:val="100"/>
                <w:position w:val="0"/>
                <w:sz w:val="21"/>
                <w:szCs w:val="21"/>
                <w:lang w:val="en-US" w:eastAsia="zh-CN"/>
              </w:rPr>
              <w:t>15</w:t>
            </w:r>
            <w:r>
              <w:rPr>
                <w:rFonts w:hint="default" w:ascii="Times New Roman" w:hAnsi="Times New Roman" w:eastAsia="宋体" w:cs="Times New Roman"/>
                <w:color w:val="auto"/>
                <w:spacing w:val="0"/>
                <w:w w:val="100"/>
                <w:position w:val="0"/>
                <w:sz w:val="21"/>
                <w:szCs w:val="21"/>
              </w:rPr>
              <w:t>m排气筒外排</w:t>
            </w:r>
          </w:p>
        </w:tc>
      </w:tr>
      <w:tr w14:paraId="285EBB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CB60DC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0EFDEBC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6962425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水泥筒仓粉尘</w:t>
            </w:r>
          </w:p>
        </w:tc>
        <w:tc>
          <w:tcPr>
            <w:tcW w:w="3852" w:type="pct"/>
            <w:tcBorders>
              <w:tl2br w:val="nil"/>
              <w:tr2bl w:val="nil"/>
            </w:tcBorders>
            <w:vAlign w:val="center"/>
          </w:tcPr>
          <w:p w14:paraId="2F38039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筒仓仓顶设置1台仓顶脉冲布袋除尘器，处理效率大于99.7%。将除尘器收集的水泥灰直接落入水泥仓内，同时水泥仓与加料设备密封连接，避免粉尘外溢。</w:t>
            </w:r>
          </w:p>
        </w:tc>
      </w:tr>
      <w:tr w14:paraId="3F50E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454210D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restart"/>
            <w:tcBorders>
              <w:tl2br w:val="nil"/>
              <w:tr2bl w:val="nil"/>
            </w:tcBorders>
            <w:vAlign w:val="center"/>
          </w:tcPr>
          <w:p w14:paraId="64A4B21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固体废物</w:t>
            </w:r>
          </w:p>
        </w:tc>
        <w:tc>
          <w:tcPr>
            <w:tcW w:w="548" w:type="pct"/>
            <w:tcBorders>
              <w:tl2br w:val="nil"/>
              <w:tr2bl w:val="nil"/>
            </w:tcBorders>
            <w:vAlign w:val="center"/>
          </w:tcPr>
          <w:p w14:paraId="0B5977F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w:t>
            </w:r>
          </w:p>
        </w:tc>
        <w:tc>
          <w:tcPr>
            <w:tcW w:w="3852" w:type="pct"/>
            <w:tcBorders>
              <w:tl2br w:val="nil"/>
              <w:tr2bl w:val="nil"/>
            </w:tcBorders>
            <w:vAlign w:val="center"/>
          </w:tcPr>
          <w:p w14:paraId="05E3F9C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废石临时堆场用于生产期废石临时堆存，</w:t>
            </w:r>
            <w:r>
              <w:rPr>
                <w:rFonts w:hint="default" w:ascii="Times New Roman" w:hAnsi="Times New Roman" w:cs="Times New Roman"/>
                <w:color w:val="auto"/>
                <w:spacing w:val="0"/>
                <w:w w:val="100"/>
                <w:position w:val="0"/>
                <w:sz w:val="21"/>
                <w:szCs w:val="21"/>
                <w:lang w:val="en-US" w:eastAsia="zh-CN"/>
              </w:rPr>
              <w:t>定期作为充填原料用于井下充填</w:t>
            </w:r>
          </w:p>
        </w:tc>
      </w:tr>
      <w:tr w14:paraId="59A6C4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100E710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5AB0DB2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71EF262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除尘灰</w:t>
            </w:r>
          </w:p>
        </w:tc>
        <w:tc>
          <w:tcPr>
            <w:tcW w:w="3852" w:type="pct"/>
            <w:tcBorders>
              <w:tl2br w:val="nil"/>
              <w:tr2bl w:val="nil"/>
            </w:tcBorders>
            <w:vAlign w:val="center"/>
          </w:tcPr>
          <w:p w14:paraId="4FB5BB7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为各除尘器收集的粉尘，</w:t>
            </w:r>
            <w:r>
              <w:rPr>
                <w:rFonts w:hint="default" w:ascii="Times New Roman" w:hAnsi="Times New Roman" w:cs="Times New Roman"/>
                <w:color w:val="auto"/>
                <w:spacing w:val="0"/>
                <w:w w:val="100"/>
                <w:position w:val="0"/>
                <w:sz w:val="21"/>
                <w:szCs w:val="21"/>
                <w:lang w:val="en-US" w:eastAsia="zh-CN"/>
              </w:rPr>
              <w:t>回用于充填工序</w:t>
            </w:r>
          </w:p>
        </w:tc>
      </w:tr>
      <w:tr w14:paraId="676BF6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4A54EB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0B6395E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209398E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废布袋</w:t>
            </w:r>
          </w:p>
        </w:tc>
        <w:tc>
          <w:tcPr>
            <w:tcW w:w="3852" w:type="pct"/>
            <w:tcBorders>
              <w:tl2br w:val="nil"/>
              <w:tr2bl w:val="nil"/>
            </w:tcBorders>
            <w:vAlign w:val="center"/>
          </w:tcPr>
          <w:p w14:paraId="01BDB4F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废布袋由原厂家回收</w:t>
            </w:r>
          </w:p>
        </w:tc>
      </w:tr>
      <w:tr w14:paraId="316FBF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BD828A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3054E77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1BA8288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废机油</w:t>
            </w:r>
          </w:p>
        </w:tc>
        <w:tc>
          <w:tcPr>
            <w:tcW w:w="3852" w:type="pct"/>
            <w:tcBorders>
              <w:tl2br w:val="nil"/>
              <w:tr2bl w:val="nil"/>
            </w:tcBorders>
            <w:vAlign w:val="center"/>
          </w:tcPr>
          <w:p w14:paraId="2331A20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废机油</w:t>
            </w:r>
            <w:r>
              <w:rPr>
                <w:rFonts w:hint="default" w:ascii="Times New Roman" w:hAnsi="Times New Roman" w:eastAsia="宋体" w:cs="Times New Roman"/>
                <w:color w:val="auto"/>
                <w:spacing w:val="0"/>
                <w:w w:val="100"/>
                <w:position w:val="0"/>
                <w:sz w:val="21"/>
                <w:szCs w:val="21"/>
                <w:lang w:val="en-US" w:eastAsia="zh-CN"/>
              </w:rPr>
              <w:t>暂存于危废贮存库</w:t>
            </w:r>
            <w:r>
              <w:rPr>
                <w:rFonts w:hint="default" w:ascii="Times New Roman" w:hAnsi="Times New Roman" w:eastAsia="宋体" w:cs="Times New Roman"/>
                <w:color w:val="auto"/>
                <w:spacing w:val="0"/>
                <w:w w:val="100"/>
                <w:position w:val="0"/>
                <w:sz w:val="21"/>
                <w:szCs w:val="21"/>
              </w:rPr>
              <w:t>，定期委托具有危险废物经营资质单位安全收集与处置</w:t>
            </w:r>
          </w:p>
        </w:tc>
      </w:tr>
      <w:tr w14:paraId="067F72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7E33BA2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80" w:type="pct"/>
            <w:vMerge w:val="continue"/>
            <w:tcBorders>
              <w:tl2br w:val="nil"/>
              <w:tr2bl w:val="nil"/>
            </w:tcBorders>
            <w:vAlign w:val="center"/>
          </w:tcPr>
          <w:p w14:paraId="756E924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48" w:type="pct"/>
            <w:tcBorders>
              <w:tl2br w:val="nil"/>
              <w:tr2bl w:val="nil"/>
            </w:tcBorders>
            <w:vAlign w:val="center"/>
          </w:tcPr>
          <w:p w14:paraId="1507BD2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生活垃圾</w:t>
            </w:r>
          </w:p>
        </w:tc>
        <w:tc>
          <w:tcPr>
            <w:tcW w:w="3852" w:type="pct"/>
            <w:tcBorders>
              <w:tl2br w:val="nil"/>
              <w:tr2bl w:val="nil"/>
            </w:tcBorders>
            <w:vAlign w:val="center"/>
          </w:tcPr>
          <w:p w14:paraId="3119CCD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临时放置于生活区内垃圾池，</w:t>
            </w:r>
            <w:r>
              <w:rPr>
                <w:rFonts w:hint="default" w:ascii="Times New Roman" w:hAnsi="Times New Roman" w:eastAsia="宋体" w:cs="Times New Roman"/>
                <w:color w:val="auto"/>
                <w:spacing w:val="0"/>
                <w:w w:val="100"/>
                <w:position w:val="0"/>
                <w:sz w:val="21"/>
                <w:szCs w:val="21"/>
                <w:lang w:val="en-US" w:eastAsia="zh-CN"/>
              </w:rPr>
              <w:t>由环卫部门统一清运处置</w:t>
            </w:r>
          </w:p>
        </w:tc>
      </w:tr>
      <w:tr w14:paraId="0B117D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78101E8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4077779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噪声</w:t>
            </w:r>
          </w:p>
        </w:tc>
        <w:tc>
          <w:tcPr>
            <w:tcW w:w="3852" w:type="pct"/>
            <w:tcBorders>
              <w:tl2br w:val="nil"/>
              <w:tr2bl w:val="nil"/>
            </w:tcBorders>
            <w:vAlign w:val="center"/>
          </w:tcPr>
          <w:p w14:paraId="7BB661C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选用低噪声设备，设置隔声、减振措施，外部运输安排在白天，禁止夜间运输，道路路面硬化并控制车速</w:t>
            </w:r>
          </w:p>
        </w:tc>
      </w:tr>
      <w:tr w14:paraId="7D1970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18" w:type="pct"/>
            <w:vMerge w:val="continue"/>
            <w:tcBorders>
              <w:tl2br w:val="nil"/>
              <w:tr2bl w:val="nil"/>
            </w:tcBorders>
            <w:vAlign w:val="center"/>
          </w:tcPr>
          <w:p w14:paraId="00A3087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9" w:type="pct"/>
            <w:gridSpan w:val="2"/>
            <w:tcBorders>
              <w:tl2br w:val="nil"/>
              <w:tr2bl w:val="nil"/>
            </w:tcBorders>
            <w:vAlign w:val="center"/>
          </w:tcPr>
          <w:p w14:paraId="0CA7690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rPr>
              <w:t>生态保护与恢复</w:t>
            </w:r>
          </w:p>
        </w:tc>
        <w:tc>
          <w:tcPr>
            <w:tcW w:w="3852" w:type="pct"/>
            <w:tcBorders>
              <w:tl2br w:val="nil"/>
              <w:tr2bl w:val="nil"/>
            </w:tcBorders>
            <w:vAlign w:val="center"/>
          </w:tcPr>
          <w:p w14:paraId="7B572BD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val="0"/>
                <w:bCs w:val="0"/>
                <w:color w:val="auto"/>
                <w:sz w:val="21"/>
                <w:szCs w:val="21"/>
                <w:highlight w:val="none"/>
                <w:lang w:val="en-US" w:eastAsia="zh-CN"/>
              </w:rPr>
              <w:t>施工期临时占地生态恢复治理，运营期、退役期</w:t>
            </w:r>
            <w:r>
              <w:rPr>
                <w:rFonts w:hint="eastAsia" w:ascii="Times New Roman" w:hAnsi="Times New Roman" w:cs="Times New Roman"/>
                <w:b w:val="0"/>
                <w:bCs w:val="0"/>
                <w:color w:val="auto"/>
                <w:sz w:val="21"/>
                <w:szCs w:val="21"/>
                <w:highlight w:val="none"/>
                <w:lang w:val="en-US" w:eastAsia="zh-CN"/>
              </w:rPr>
              <w:t>对工业场地、废石堆场等进行</w:t>
            </w:r>
            <w:r>
              <w:rPr>
                <w:rFonts w:hint="default" w:ascii="Times New Roman" w:hAnsi="Times New Roman" w:eastAsia="宋体" w:cs="Times New Roman"/>
                <w:b w:val="0"/>
                <w:bCs w:val="0"/>
                <w:color w:val="auto"/>
                <w:sz w:val="21"/>
                <w:szCs w:val="21"/>
                <w:highlight w:val="none"/>
                <w:lang w:val="en-US" w:eastAsia="zh-CN"/>
              </w:rPr>
              <w:t>生态恢复治理</w:t>
            </w:r>
          </w:p>
        </w:tc>
      </w:tr>
    </w:tbl>
    <w:p w14:paraId="138C9DF0">
      <w:pPr>
        <w:pStyle w:val="4"/>
        <w:bidi w:val="0"/>
        <w:rPr>
          <w:rFonts w:hint="default" w:ascii="Times New Roman" w:hAnsi="Times New Roman" w:cs="Times New Roman"/>
          <w:color w:val="auto"/>
          <w:lang w:val="en-US" w:eastAsia="zh-CN"/>
        </w:rPr>
      </w:pPr>
      <w:bookmarkStart w:id="285" w:name="bookmark71"/>
      <w:bookmarkEnd w:id="285"/>
      <w:r>
        <w:rPr>
          <w:rFonts w:hint="default" w:ascii="Times New Roman" w:hAnsi="Times New Roman" w:cs="Times New Roman"/>
          <w:color w:val="auto"/>
          <w:lang w:val="en-US" w:eastAsia="zh-CN"/>
        </w:rPr>
        <w:t>总体布局及占地</w:t>
      </w:r>
    </w:p>
    <w:p w14:paraId="15DCB9A3">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本方案规划占地面积合计</w:t>
      </w:r>
      <w:r>
        <w:rPr>
          <w:rFonts w:hint="default" w:ascii="Times New Roman" w:hAnsi="Times New Roman" w:cs="Times New Roman" w:eastAsiaTheme="minorEastAsia"/>
          <w:color w:val="auto"/>
          <w:sz w:val="24"/>
          <w:szCs w:val="24"/>
          <w:lang w:val="en-US" w:eastAsia="zh-CN" w:bidi="ar"/>
        </w:rPr>
        <w:t>15.489</w:t>
      </w:r>
      <w:r>
        <w:rPr>
          <w:rFonts w:hint="default" w:ascii="Times New Roman" w:hAnsi="Times New Roman" w:cs="Times New Roman" w:eastAsiaTheme="minorEastAsia"/>
          <w:color w:val="auto"/>
          <w:sz w:val="24"/>
          <w:szCs w:val="24"/>
          <w:lang w:bidi="ar"/>
        </w:rPr>
        <w:t>公顷。</w:t>
      </w:r>
    </w:p>
    <w:p w14:paraId="4FCA5DA2">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val="en-US" w:eastAsia="zh-CN" w:bidi="ar"/>
        </w:rPr>
      </w:pPr>
      <w:r>
        <w:rPr>
          <w:rFonts w:hint="default" w:ascii="Times New Roman" w:hAnsi="Times New Roman" w:cs="Times New Roman" w:eastAsiaTheme="minorEastAsia"/>
          <w:color w:val="auto"/>
          <w:sz w:val="24"/>
          <w:szCs w:val="24"/>
          <w:lang w:bidi="ar"/>
        </w:rPr>
        <w:t>采矿场区规划布局包括工业场地、临时堆场、办公生活区、爆破器材库、矿山道路等主要地表建筑、构筑物设施。</w:t>
      </w:r>
      <w:r>
        <w:rPr>
          <w:rFonts w:hint="default" w:ascii="Times New Roman" w:hAnsi="Times New Roman" w:cs="Times New Roman" w:eastAsiaTheme="minorEastAsia"/>
          <w:color w:val="auto"/>
          <w:sz w:val="24"/>
          <w:szCs w:val="24"/>
          <w:lang w:val="en-US" w:eastAsia="zh-CN" w:bidi="ar"/>
        </w:rPr>
        <w:t>总平面布置见图3.2-1</w:t>
      </w:r>
      <w:r>
        <w:rPr>
          <w:rFonts w:hint="default" w:ascii="Times New Roman" w:hAnsi="Times New Roman" w:cs="Times New Roman" w:eastAsiaTheme="minorEastAsia"/>
          <w:color w:val="auto"/>
          <w:sz w:val="24"/>
          <w:szCs w:val="24"/>
          <w:lang w:bidi="ar"/>
        </w:rPr>
        <w:t>。</w:t>
      </w:r>
    </w:p>
    <w:p w14:paraId="2176EB44">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（1）工业场地</w:t>
      </w:r>
    </w:p>
    <w:p w14:paraId="7C40F9F3">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主平硐工业场地：围绕主平硐硐口布置，设置空压机站、柴油电站、材料库房（彩钢结构），配套IV-1号矿体回风井风机房。占用土地类型为裸岩石砾地，建筑面积约200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，占地面积</w:t>
      </w:r>
      <w:r>
        <w:rPr>
          <w:rFonts w:hint="default" w:ascii="Times New Roman" w:hAnsi="Times New Roman" w:cs="Times New Roman" w:eastAsiaTheme="minorEastAsia"/>
          <w:color w:val="auto"/>
          <w:sz w:val="24"/>
          <w:szCs w:val="24"/>
          <w:lang w:val="en-US" w:eastAsia="zh-CN" w:bidi="ar"/>
        </w:rPr>
        <w:t>3500m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w:t>
      </w:r>
    </w:p>
    <w:p w14:paraId="63C1C6E7">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南斜坡道工业场地：紧邻南斜坡道硐口布置，设置运输车辆调度站、设备维修间（彩钢结构）。占用土地类型为裸岩石砾地，建筑面积约150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，占地面积</w:t>
      </w:r>
      <w:r>
        <w:rPr>
          <w:rFonts w:hint="default" w:ascii="Times New Roman" w:hAnsi="Times New Roman" w:cs="Times New Roman" w:eastAsiaTheme="minorEastAsia"/>
          <w:color w:val="auto"/>
          <w:sz w:val="24"/>
          <w:szCs w:val="24"/>
          <w:lang w:val="en-US" w:eastAsia="zh-CN" w:bidi="ar"/>
        </w:rPr>
        <w:t>3000m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w:t>
      </w:r>
    </w:p>
    <w:p w14:paraId="73160439">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北斜坡道工业场地：围绕北斜坡道硐口布置，主要设置空压机站、柴油电站（彩钢结构），配套I、</w:t>
      </w:r>
      <w:r>
        <w:rPr>
          <w:rFonts w:hint="default" w:ascii="Times New Roman" w:hAnsi="Times New Roman" w:cs="Times New Roman" w:eastAsiaTheme="minorEastAsia"/>
          <w:color w:val="auto"/>
          <w:sz w:val="24"/>
          <w:szCs w:val="24"/>
          <w:lang w:eastAsia="zh-CN" w:bidi="ar"/>
        </w:rPr>
        <w:t>Ⅱ</w:t>
      </w:r>
      <w:r>
        <w:rPr>
          <w:rFonts w:hint="default" w:ascii="Times New Roman" w:hAnsi="Times New Roman" w:cs="Times New Roman" w:eastAsiaTheme="minorEastAsia"/>
          <w:color w:val="auto"/>
          <w:sz w:val="24"/>
          <w:szCs w:val="24"/>
          <w:lang w:bidi="ar"/>
        </w:rPr>
        <w:t>号矿体回风井风机房。占用土地类型为裸岩石砾地，地面设施建筑面积约200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，工业场地占地面积</w:t>
      </w:r>
      <w:r>
        <w:rPr>
          <w:rFonts w:hint="default" w:ascii="Times New Roman" w:hAnsi="Times New Roman" w:cs="Times New Roman" w:eastAsiaTheme="minorEastAsia"/>
          <w:color w:val="auto"/>
          <w:sz w:val="24"/>
          <w:szCs w:val="24"/>
          <w:lang w:val="en-US" w:eastAsia="zh-CN" w:bidi="ar"/>
        </w:rPr>
        <w:t>3500m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w:t>
      </w:r>
    </w:p>
    <w:p w14:paraId="6A6F5862">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通风管缆井工业场地：紧邻通风管缆井井口布置，设置通风机房、设备检修棚（彩钢结构），配套</w:t>
      </w:r>
      <w:r>
        <w:rPr>
          <w:rFonts w:hint="default" w:ascii="Times New Roman" w:hAnsi="Times New Roman" w:cs="Times New Roman" w:eastAsiaTheme="minorEastAsia"/>
          <w:color w:val="auto"/>
          <w:sz w:val="24"/>
          <w:szCs w:val="24"/>
          <w:lang w:eastAsia="zh-CN" w:bidi="ar"/>
        </w:rPr>
        <w:t>Ⅲ</w:t>
      </w:r>
      <w:r>
        <w:rPr>
          <w:rFonts w:hint="default" w:ascii="Times New Roman" w:hAnsi="Times New Roman" w:cs="Times New Roman" w:eastAsiaTheme="minorEastAsia"/>
          <w:color w:val="auto"/>
          <w:sz w:val="24"/>
          <w:szCs w:val="24"/>
          <w:lang w:bidi="ar"/>
        </w:rPr>
        <w:t>号、VI号矿体回风井风机房。占用土地类型为裸岩石砾地，建筑面积约180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，占地面积</w:t>
      </w:r>
      <w:r>
        <w:rPr>
          <w:rFonts w:hint="default" w:ascii="Times New Roman" w:hAnsi="Times New Roman" w:cs="Times New Roman" w:eastAsiaTheme="minorEastAsia"/>
          <w:color w:val="auto"/>
          <w:sz w:val="24"/>
          <w:szCs w:val="24"/>
          <w:lang w:val="en-US" w:eastAsia="zh-CN" w:bidi="ar"/>
        </w:rPr>
        <w:t>3000m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w:t>
      </w:r>
    </w:p>
    <w:p w14:paraId="5E6E7211">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地表充填制备站工业场地：位于</w:t>
      </w:r>
      <w:r>
        <w:rPr>
          <w:rFonts w:hint="default" w:ascii="Times New Roman" w:hAnsi="Times New Roman" w:cs="Times New Roman" w:eastAsiaTheme="minorEastAsia"/>
          <w:color w:val="auto"/>
          <w:sz w:val="24"/>
          <w:szCs w:val="24"/>
          <w:lang w:val="en-US" w:eastAsia="zh-CN" w:bidi="ar"/>
        </w:rPr>
        <w:t>主平硐东侧</w:t>
      </w:r>
      <w:r>
        <w:rPr>
          <w:rFonts w:hint="default" w:ascii="Times New Roman" w:hAnsi="Times New Roman" w:cs="Times New Roman" w:eastAsiaTheme="minorEastAsia"/>
          <w:color w:val="auto"/>
          <w:sz w:val="24"/>
          <w:szCs w:val="24"/>
          <w:lang w:bidi="ar"/>
        </w:rPr>
        <w:t>，布置破碎机操作间、充填材料存储棚、加压注浆泵机房（彩钢结构）。占用土地类型为裸岩石砾地，建筑面积约250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，占地面积</w:t>
      </w:r>
      <w:r>
        <w:rPr>
          <w:rFonts w:hint="default" w:ascii="Times New Roman" w:hAnsi="Times New Roman" w:cs="Times New Roman" w:eastAsiaTheme="minorEastAsia"/>
          <w:color w:val="auto"/>
          <w:sz w:val="24"/>
          <w:szCs w:val="24"/>
          <w:lang w:val="en-US" w:eastAsia="zh-CN" w:bidi="ar"/>
        </w:rPr>
        <w:t>4000m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w:t>
      </w:r>
    </w:p>
    <w:p w14:paraId="6A5A17C1">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（2）临时堆场</w:t>
      </w:r>
    </w:p>
    <w:p w14:paraId="39367C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矿石堆场</w:t>
      </w:r>
    </w:p>
    <w:p w14:paraId="372910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根据矿区周边情况，矿石设置临时堆场，占地面积</w:t>
      </w:r>
      <w:r>
        <w:rPr>
          <w:rFonts w:hint="default" w:ascii="Times New Roman" w:hAnsi="Times New Roman" w:cs="Times New Roman"/>
          <w:color w:val="auto"/>
          <w:sz w:val="24"/>
          <w:szCs w:val="24"/>
          <w:lang w:val="en-US" w:eastAsia="zh-CN"/>
        </w:rPr>
        <w:t>50</w:t>
      </w:r>
      <w:r>
        <w:rPr>
          <w:rFonts w:hint="default" w:ascii="Times New Roman" w:hAnsi="Times New Roman" w:eastAsia="宋体" w:cs="Times New Roman"/>
          <w:color w:val="auto"/>
          <w:sz w:val="24"/>
          <w:szCs w:val="24"/>
          <w:lang w:val="en-US" w:eastAsia="zh-CN"/>
        </w:rPr>
        <w:t>00m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，堆场位置在主平硐东侧的地势低洼处。采用运输卡车运输翻卸—推土机堆排的方式，单台阶作业。</w:t>
      </w:r>
    </w:p>
    <w:p w14:paraId="0A9A18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矿石临时堆场最终堆置标高为：2033m，矿石临时堆场堆置最大高度为：2m。</w:t>
      </w:r>
    </w:p>
    <w:p w14:paraId="006ACB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堆置方式：矿石临时堆场沿高水平标高向低水平单台阶堆排，矿石临时堆场最终边坡角约33.7°（小于岩石自然安息角），坡比1：1.5。</w:t>
      </w:r>
    </w:p>
    <w:p w14:paraId="029994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矿石临时堆场考虑矿山10天矿石量，容积7000m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，满足开采阶段采出矿石量临时堆放所需的容积。</w:t>
      </w:r>
    </w:p>
    <w:p w14:paraId="4EE116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废石场</w:t>
      </w:r>
    </w:p>
    <w:p w14:paraId="72541C5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本次设计三个废石场：废石场1和废石场2，废石场3。废石场1位于一期主平硐的西南侧230m处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占地面积15730m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，废石场2位于一期主平硐的东南侧180m处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占地面积1860m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，废石场3位于北斜坡道口的东南侧253m处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占地面积30000m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1堆置顶标高2030m，分台阶堆置，每台阶高度为6m，最终边坡角约33.7°，坡比1：1.5，经计算废石堆场容积为11.2万m³。废石场2堆置顶标高2010m，堆置高度为6m，容积6000m³，最终边坡角约33.7°，坡比1：1.5。废石场3堆置顶标高2022m，分台阶堆置，每台阶高度为6m，最终边坡角约33.7°，坡比1：1.5，经计算废石堆场容积为14万m³。堆场布置护坡进行防护处理，废石堆场下游建造挡墙。废石场作业方式，采用汽车－推土机排土工艺。废石场采用多台阶覆盖式排土工艺，排土作业采用单台阶作业。</w:t>
      </w:r>
    </w:p>
    <w:p w14:paraId="3EBCA278">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（3）办公生活区</w:t>
      </w:r>
    </w:p>
    <w:p w14:paraId="65B1A431">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集中建设在矿区南侧平缓区域，远离生产作业区。占地面积</w:t>
      </w:r>
      <w:r>
        <w:rPr>
          <w:rFonts w:hint="default" w:ascii="Times New Roman" w:hAnsi="Times New Roman" w:cs="Times New Roman" w:eastAsiaTheme="minorEastAsia"/>
          <w:color w:val="auto"/>
          <w:sz w:val="24"/>
          <w:szCs w:val="24"/>
          <w:lang w:val="en-US" w:eastAsia="zh-CN" w:bidi="ar"/>
        </w:rPr>
        <w:t>3000m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，总建筑面积450</w:t>
      </w:r>
      <w:r>
        <w:rPr>
          <w:rFonts w:hint="default" w:ascii="Times New Roman" w:hAnsi="Times New Roman" w:cs="Times New Roman" w:eastAsiaTheme="minorEastAsia"/>
          <w:color w:val="auto"/>
          <w:sz w:val="24"/>
          <w:szCs w:val="24"/>
          <w:lang w:val="en-US" w:eastAsia="zh-CN" w:bidi="ar"/>
        </w:rPr>
        <w:t>m</w:t>
      </w:r>
      <w:r>
        <w:rPr>
          <w:rFonts w:hint="default" w:ascii="Times New Roman" w:hAnsi="Times New Roman" w:cs="Times New Roman" w:eastAsiaTheme="minorEastAsia"/>
          <w:color w:val="auto"/>
          <w:sz w:val="24"/>
          <w:szCs w:val="24"/>
          <w:vertAlign w:val="superscript"/>
          <w:lang w:val="en-US" w:eastAsia="zh-CN" w:bidi="ar"/>
        </w:rPr>
        <w:t>2</w:t>
      </w:r>
      <w:r>
        <w:rPr>
          <w:rFonts w:hint="default" w:ascii="Times New Roman" w:hAnsi="Times New Roman" w:cs="Times New Roman" w:eastAsiaTheme="minorEastAsia"/>
          <w:color w:val="auto"/>
          <w:sz w:val="24"/>
          <w:szCs w:val="24"/>
          <w:lang w:bidi="ar"/>
        </w:rPr>
        <w:t>，主要包括工人宿舍、办公室、会议室、食堂、浴室（均为彩钢结构）。场地周边修筑土质排水渠（宽1.5m、深1.2m），配套简易绿化及垃圾收集设施，占用土地类型为裸岩石砾地。</w:t>
      </w:r>
    </w:p>
    <w:p w14:paraId="612A42F2">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w:t>
      </w:r>
      <w:r>
        <w:rPr>
          <w:rFonts w:hint="default" w:ascii="Times New Roman" w:hAnsi="Times New Roman" w:cs="Times New Roman" w:eastAsiaTheme="minorEastAsia"/>
          <w:color w:val="auto"/>
          <w:sz w:val="24"/>
          <w:szCs w:val="24"/>
          <w:lang w:val="en-US" w:eastAsia="zh-CN" w:bidi="ar"/>
        </w:rPr>
        <w:t>4</w:t>
      </w:r>
      <w:r>
        <w:rPr>
          <w:rFonts w:hint="default" w:ascii="Times New Roman" w:hAnsi="Times New Roman" w:cs="Times New Roman" w:eastAsiaTheme="minorEastAsia"/>
          <w:color w:val="auto"/>
          <w:sz w:val="24"/>
          <w:szCs w:val="24"/>
          <w:lang w:bidi="ar"/>
        </w:rPr>
        <w:t>）爆破器材库</w:t>
      </w:r>
    </w:p>
    <w:p w14:paraId="6CA81D20">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位于办公生活区西北约1km处的独立沟谷坡脚处，远离工业场地及人员密集区。包括炸药库、雷管库、值班警卫室、消防器材棚，配套警报器、铁丝网、避雷针及接地网。建筑面积90m</w:t>
      </w:r>
      <w:r>
        <w:rPr>
          <w:rFonts w:hint="default" w:ascii="Times New Roman" w:hAnsi="Times New Roman" w:cs="Times New Roman" w:eastAsiaTheme="minorEastAsia"/>
          <w:color w:val="auto"/>
          <w:sz w:val="24"/>
          <w:szCs w:val="24"/>
          <w:vertAlign w:val="superscript"/>
          <w:lang w:bidi="ar"/>
        </w:rPr>
        <w:t>2</w:t>
      </w:r>
      <w:r>
        <w:rPr>
          <w:rFonts w:hint="default" w:ascii="Times New Roman" w:hAnsi="Times New Roman" w:cs="Times New Roman" w:eastAsiaTheme="minorEastAsia"/>
          <w:color w:val="auto"/>
          <w:sz w:val="24"/>
          <w:szCs w:val="24"/>
          <w:lang w:bidi="ar"/>
        </w:rPr>
        <w:t>（彩钢+砖混结构），占地面积0.08hm</w:t>
      </w:r>
      <w:r>
        <w:rPr>
          <w:rFonts w:hint="default" w:ascii="Times New Roman" w:hAnsi="Times New Roman" w:cs="Times New Roman" w:eastAsiaTheme="minorEastAsia"/>
          <w:color w:val="auto"/>
          <w:sz w:val="24"/>
          <w:szCs w:val="24"/>
          <w:vertAlign w:val="superscript"/>
          <w:lang w:bidi="ar"/>
        </w:rPr>
        <w:t>2</w:t>
      </w:r>
      <w:r>
        <w:rPr>
          <w:rFonts w:hint="default" w:ascii="Times New Roman" w:hAnsi="Times New Roman" w:cs="Times New Roman" w:eastAsiaTheme="minorEastAsia"/>
          <w:color w:val="auto"/>
          <w:sz w:val="24"/>
          <w:szCs w:val="24"/>
          <w:lang w:bidi="ar"/>
        </w:rPr>
        <w:t>，安全距离符合《爆破安全规程》要求，占用土地类型为裸岩石砾地。</w:t>
      </w:r>
    </w:p>
    <w:p w14:paraId="017A626F">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w:t>
      </w:r>
      <w:r>
        <w:rPr>
          <w:rFonts w:hint="default" w:ascii="Times New Roman" w:hAnsi="Times New Roman" w:cs="Times New Roman" w:eastAsiaTheme="minorEastAsia"/>
          <w:color w:val="auto"/>
          <w:sz w:val="24"/>
          <w:szCs w:val="24"/>
          <w:lang w:val="en-US" w:eastAsia="zh-CN" w:bidi="ar"/>
        </w:rPr>
        <w:t>5</w:t>
      </w:r>
      <w:r>
        <w:rPr>
          <w:rFonts w:hint="default" w:ascii="Times New Roman" w:hAnsi="Times New Roman" w:cs="Times New Roman" w:eastAsiaTheme="minorEastAsia"/>
          <w:color w:val="auto"/>
          <w:sz w:val="24"/>
          <w:szCs w:val="24"/>
          <w:lang w:bidi="ar"/>
        </w:rPr>
        <w:t>）矿山道路</w:t>
      </w:r>
    </w:p>
    <w:p w14:paraId="4F1EDFD7">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作为对外及内部运输主通道，呈带状连接办公生活区、爆破器材库与各工业场地、临时堆场。合计占地面积8.15公顷，道路按《厂矿道路设计规范》矿山Ⅲ级标准修建，泥结碎石路面，双车道，路面宽6.5m、路基宽8.5m。最大纵坡≤8</w:t>
      </w:r>
      <w:r>
        <w:rPr>
          <w:rFonts w:hint="default" w:ascii="Times New Roman" w:hAnsi="Times New Roman" w:cs="Times New Roman" w:eastAsiaTheme="minorEastAsia"/>
          <w:color w:val="auto"/>
          <w:sz w:val="24"/>
          <w:szCs w:val="24"/>
          <w:lang w:val="en-US" w:eastAsia="zh-CN" w:bidi="ar"/>
        </w:rPr>
        <w:t>%</w:t>
      </w:r>
      <w:r>
        <w:rPr>
          <w:rFonts w:hint="default" w:ascii="Times New Roman" w:hAnsi="Times New Roman" w:cs="Times New Roman" w:eastAsiaTheme="minorEastAsia"/>
          <w:color w:val="auto"/>
          <w:sz w:val="24"/>
          <w:szCs w:val="24"/>
          <w:lang w:bidi="ar"/>
        </w:rPr>
        <w:t>，最小转弯半径15m，平均坡度≤6.5</w:t>
      </w:r>
      <w:r>
        <w:rPr>
          <w:rFonts w:hint="default" w:ascii="Times New Roman" w:hAnsi="Times New Roman" w:cs="Times New Roman" w:eastAsiaTheme="minorEastAsia"/>
          <w:color w:val="auto"/>
          <w:sz w:val="24"/>
          <w:szCs w:val="24"/>
          <w:lang w:val="en-US" w:eastAsia="zh-CN" w:bidi="ar"/>
        </w:rPr>
        <w:t>%</w:t>
      </w:r>
      <w:r>
        <w:rPr>
          <w:rFonts w:hint="default" w:ascii="Times New Roman" w:hAnsi="Times New Roman" w:cs="Times New Roman" w:eastAsiaTheme="minorEastAsia"/>
          <w:color w:val="auto"/>
          <w:sz w:val="24"/>
          <w:szCs w:val="24"/>
          <w:lang w:bidi="ar"/>
        </w:rPr>
        <w:t>，最高车速20km/h，占用土地类型为裸岩石砾地。</w:t>
      </w:r>
    </w:p>
    <w:p w14:paraId="41C867C7">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val="en-US" w:eastAsia="zh-CN" w:bidi="ar"/>
        </w:rPr>
      </w:pPr>
      <w:r>
        <w:rPr>
          <w:rFonts w:hint="default" w:ascii="Times New Roman" w:hAnsi="Times New Roman" w:cs="Times New Roman" w:eastAsiaTheme="minorEastAsia"/>
          <w:color w:val="auto"/>
          <w:sz w:val="24"/>
          <w:szCs w:val="24"/>
          <w:lang w:bidi="ar"/>
        </w:rPr>
        <w:t>根据哈密市自然资源局出具的《关于〈关于查询哈密市大红山北铜矿矿权范围内“三区”情况的申请函〉的复函》可知，本矿区范围不占用耕地和永久基本农田，不占用划定的生态保护红线。矿山采用地下开采方式，地面设施布局集中，对地表连续占用面积小，符合集约节约用地原则。</w:t>
      </w:r>
    </w:p>
    <w:p w14:paraId="6E7E18B1">
      <w:pPr>
        <w:pStyle w:val="29"/>
        <w:spacing w:line="240" w:lineRule="auto"/>
        <w:ind w:firstLine="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表3</w:t>
      </w:r>
      <w:r>
        <w:rPr>
          <w:rFonts w:hint="default" w:ascii="Times New Roman" w:hAnsi="Times New Roman" w:cs="Times New Roman" w:eastAsiaTheme="minorEastAsia"/>
          <w:b/>
          <w:bCs/>
          <w:color w:val="auto"/>
          <w:sz w:val="21"/>
          <w:szCs w:val="21"/>
          <w:lang w:val="en-US" w:eastAsia="zh-CN"/>
        </w:rPr>
        <w:t>.2-2</w:t>
      </w:r>
      <w:r>
        <w:rPr>
          <w:rFonts w:hint="default" w:ascii="Times New Roman" w:hAnsi="Times New Roman" w:cs="Times New Roman" w:eastAsiaTheme="minorEastAsia"/>
          <w:b/>
          <w:bCs/>
          <w:color w:val="auto"/>
          <w:sz w:val="21"/>
          <w:szCs w:val="21"/>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rPr>
        <w:t xml:space="preserve"> 矿山布局一览表</w:t>
      </w:r>
    </w:p>
    <w:tbl>
      <w:tblPr>
        <w:tblStyle w:val="2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470"/>
        <w:gridCol w:w="4316"/>
        <w:gridCol w:w="1047"/>
        <w:gridCol w:w="1120"/>
        <w:gridCol w:w="1380"/>
      </w:tblGrid>
      <w:tr w14:paraId="31CAB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blHeader/>
        </w:trPr>
        <w:tc>
          <w:tcPr>
            <w:tcW w:w="282" w:type="pct"/>
            <w:tcBorders>
              <w:tl2br w:val="nil"/>
              <w:tr2bl w:val="nil"/>
            </w:tcBorders>
            <w:shd w:val="clear" w:color="auto" w:fill="auto"/>
            <w:vAlign w:val="center"/>
          </w:tcPr>
          <w:p w14:paraId="76861E9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序号</w:t>
            </w:r>
          </w:p>
        </w:tc>
        <w:tc>
          <w:tcPr>
            <w:tcW w:w="2589" w:type="pct"/>
            <w:tcBorders>
              <w:tl2br w:val="nil"/>
              <w:tr2bl w:val="nil"/>
            </w:tcBorders>
            <w:shd w:val="clear" w:color="auto" w:fill="auto"/>
            <w:vAlign w:val="center"/>
          </w:tcPr>
          <w:p w14:paraId="125023B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划分/项目名称</w:t>
            </w:r>
          </w:p>
        </w:tc>
        <w:tc>
          <w:tcPr>
            <w:tcW w:w="628" w:type="pct"/>
            <w:tcBorders>
              <w:tl2br w:val="nil"/>
              <w:tr2bl w:val="nil"/>
            </w:tcBorders>
            <w:shd w:val="clear" w:color="auto" w:fill="auto"/>
            <w:vAlign w:val="center"/>
          </w:tcPr>
          <w:p w14:paraId="277687A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占地面积（hm</w:t>
            </w:r>
            <w:r>
              <w:rPr>
                <w:rFonts w:hint="default" w:ascii="Times New Roman" w:hAnsi="Times New Roman" w:cs="Times New Roman" w:eastAsiaTheme="minorEastAsia"/>
                <w:color w:val="auto"/>
                <w:kern w:val="0"/>
                <w:sz w:val="21"/>
                <w:szCs w:val="21"/>
                <w:vertAlign w:val="superscript"/>
                <w:lang w:val="en-US" w:eastAsia="zh-CN" w:bidi="ar"/>
              </w:rPr>
              <w:t>2</w:t>
            </w:r>
            <w:r>
              <w:rPr>
                <w:rFonts w:hint="default" w:ascii="Times New Roman" w:hAnsi="Times New Roman" w:cs="Times New Roman" w:eastAsiaTheme="minorEastAsia"/>
                <w:color w:val="auto"/>
                <w:kern w:val="0"/>
                <w:sz w:val="21"/>
                <w:szCs w:val="21"/>
                <w:lang w:bidi="ar"/>
              </w:rPr>
              <w:t>）</w:t>
            </w:r>
          </w:p>
        </w:tc>
        <w:tc>
          <w:tcPr>
            <w:tcW w:w="672" w:type="pct"/>
            <w:tcBorders>
              <w:tl2br w:val="nil"/>
              <w:tr2bl w:val="nil"/>
            </w:tcBorders>
            <w:shd w:val="clear" w:color="auto" w:fill="auto"/>
            <w:vAlign w:val="center"/>
          </w:tcPr>
          <w:p w14:paraId="09400F8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建筑面积（m</w:t>
            </w:r>
            <w:r>
              <w:rPr>
                <w:rFonts w:hint="default" w:ascii="Times New Roman" w:hAnsi="Times New Roman" w:cs="Times New Roman" w:eastAsiaTheme="minorEastAsia"/>
                <w:color w:val="auto"/>
                <w:kern w:val="0"/>
                <w:sz w:val="21"/>
                <w:szCs w:val="21"/>
                <w:vertAlign w:val="superscript"/>
                <w:lang w:val="en-US" w:eastAsia="zh-CN" w:bidi="ar"/>
              </w:rPr>
              <w:t>2</w:t>
            </w:r>
            <w:r>
              <w:rPr>
                <w:rFonts w:hint="default" w:ascii="Times New Roman" w:hAnsi="Times New Roman" w:cs="Times New Roman" w:eastAsiaTheme="minorEastAsia"/>
                <w:color w:val="auto"/>
                <w:kern w:val="0"/>
                <w:sz w:val="21"/>
                <w:szCs w:val="21"/>
                <w:lang w:bidi="ar"/>
              </w:rPr>
              <w:t>）</w:t>
            </w:r>
          </w:p>
        </w:tc>
        <w:tc>
          <w:tcPr>
            <w:tcW w:w="828" w:type="pct"/>
            <w:tcBorders>
              <w:tl2br w:val="nil"/>
              <w:tr2bl w:val="nil"/>
            </w:tcBorders>
            <w:shd w:val="clear" w:color="auto" w:fill="auto"/>
            <w:vAlign w:val="center"/>
          </w:tcPr>
          <w:p w14:paraId="799F93E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地类</w:t>
            </w:r>
          </w:p>
        </w:tc>
      </w:tr>
      <w:tr w14:paraId="3E545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45281E9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1</w:t>
            </w:r>
          </w:p>
        </w:tc>
        <w:tc>
          <w:tcPr>
            <w:tcW w:w="2589" w:type="pct"/>
            <w:tcBorders>
              <w:tl2br w:val="nil"/>
              <w:tr2bl w:val="nil"/>
            </w:tcBorders>
            <w:shd w:val="clear" w:color="auto" w:fill="auto"/>
            <w:vAlign w:val="center"/>
          </w:tcPr>
          <w:p w14:paraId="2F2BA66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办公生活区</w:t>
            </w:r>
          </w:p>
        </w:tc>
        <w:tc>
          <w:tcPr>
            <w:tcW w:w="628" w:type="pct"/>
            <w:tcBorders>
              <w:tl2br w:val="nil"/>
              <w:tr2bl w:val="nil"/>
            </w:tcBorders>
            <w:shd w:val="clear" w:color="auto" w:fill="auto"/>
            <w:vAlign w:val="center"/>
          </w:tcPr>
          <w:p w14:paraId="389BCC2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0.30</w:t>
            </w:r>
          </w:p>
        </w:tc>
        <w:tc>
          <w:tcPr>
            <w:tcW w:w="672" w:type="pct"/>
            <w:tcBorders>
              <w:tl2br w:val="nil"/>
              <w:tr2bl w:val="nil"/>
            </w:tcBorders>
            <w:shd w:val="clear" w:color="auto" w:fill="auto"/>
            <w:vAlign w:val="center"/>
          </w:tcPr>
          <w:p w14:paraId="4BF3F55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450</w:t>
            </w:r>
          </w:p>
        </w:tc>
        <w:tc>
          <w:tcPr>
            <w:tcW w:w="828" w:type="pct"/>
            <w:tcBorders>
              <w:tl2br w:val="nil"/>
              <w:tr2bl w:val="nil"/>
            </w:tcBorders>
            <w:shd w:val="clear" w:color="auto" w:fill="auto"/>
            <w:vAlign w:val="center"/>
          </w:tcPr>
          <w:p w14:paraId="6918108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0983E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12C31C4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bidi="ar"/>
              </w:rPr>
              <w:t>2</w:t>
            </w:r>
          </w:p>
        </w:tc>
        <w:tc>
          <w:tcPr>
            <w:tcW w:w="2589" w:type="pct"/>
            <w:tcBorders>
              <w:tl2br w:val="nil"/>
              <w:tr2bl w:val="nil"/>
            </w:tcBorders>
            <w:shd w:val="clear" w:color="auto" w:fill="auto"/>
            <w:vAlign w:val="center"/>
          </w:tcPr>
          <w:p w14:paraId="3891249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bidi="ar"/>
              </w:rPr>
              <w:t>爆破器材库</w:t>
            </w:r>
          </w:p>
        </w:tc>
        <w:tc>
          <w:tcPr>
            <w:tcW w:w="628" w:type="pct"/>
            <w:tcBorders>
              <w:tl2br w:val="nil"/>
              <w:tr2bl w:val="nil"/>
            </w:tcBorders>
            <w:shd w:val="clear" w:color="auto" w:fill="auto"/>
            <w:vAlign w:val="center"/>
          </w:tcPr>
          <w:p w14:paraId="1801902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bidi="ar"/>
              </w:rPr>
              <w:t>0.08</w:t>
            </w:r>
          </w:p>
        </w:tc>
        <w:tc>
          <w:tcPr>
            <w:tcW w:w="672" w:type="pct"/>
            <w:tcBorders>
              <w:tl2br w:val="nil"/>
              <w:tr2bl w:val="nil"/>
            </w:tcBorders>
            <w:shd w:val="clear" w:color="auto" w:fill="auto"/>
            <w:vAlign w:val="center"/>
          </w:tcPr>
          <w:p w14:paraId="4109C45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bidi="ar"/>
              </w:rPr>
              <w:t>90</w:t>
            </w:r>
          </w:p>
        </w:tc>
        <w:tc>
          <w:tcPr>
            <w:tcW w:w="828" w:type="pct"/>
            <w:tcBorders>
              <w:tl2br w:val="nil"/>
              <w:tr2bl w:val="nil"/>
            </w:tcBorders>
            <w:shd w:val="clear" w:color="auto" w:fill="auto"/>
            <w:vAlign w:val="center"/>
          </w:tcPr>
          <w:p w14:paraId="7D652BB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裸岩石砾地</w:t>
            </w:r>
          </w:p>
        </w:tc>
      </w:tr>
      <w:tr w14:paraId="2E046A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50E8A33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3</w:t>
            </w:r>
          </w:p>
        </w:tc>
        <w:tc>
          <w:tcPr>
            <w:tcW w:w="2589" w:type="pct"/>
            <w:tcBorders>
              <w:tl2br w:val="nil"/>
              <w:tr2bl w:val="nil"/>
            </w:tcBorders>
            <w:shd w:val="clear" w:color="auto" w:fill="auto"/>
            <w:vAlign w:val="center"/>
          </w:tcPr>
          <w:p w14:paraId="07C9F46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规划矿山道路</w:t>
            </w:r>
          </w:p>
        </w:tc>
        <w:tc>
          <w:tcPr>
            <w:tcW w:w="628" w:type="pct"/>
            <w:tcBorders>
              <w:tl2br w:val="nil"/>
              <w:tr2bl w:val="nil"/>
            </w:tcBorders>
            <w:shd w:val="clear" w:color="auto" w:fill="auto"/>
            <w:vAlign w:val="center"/>
          </w:tcPr>
          <w:p w14:paraId="69B11C0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8.15</w:t>
            </w:r>
          </w:p>
        </w:tc>
        <w:tc>
          <w:tcPr>
            <w:tcW w:w="672" w:type="pct"/>
            <w:tcBorders>
              <w:tl2br w:val="nil"/>
              <w:tr2bl w:val="nil"/>
            </w:tcBorders>
            <w:shd w:val="clear" w:color="auto" w:fill="auto"/>
            <w:vAlign w:val="center"/>
          </w:tcPr>
          <w:p w14:paraId="4A8E37B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4CFCB0F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348FDF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4AE360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4</w:t>
            </w:r>
          </w:p>
        </w:tc>
        <w:tc>
          <w:tcPr>
            <w:tcW w:w="2589" w:type="pct"/>
            <w:tcBorders>
              <w:tl2br w:val="nil"/>
              <w:tr2bl w:val="nil"/>
            </w:tcBorders>
            <w:shd w:val="clear" w:color="auto" w:fill="auto"/>
            <w:vAlign w:val="center"/>
          </w:tcPr>
          <w:p w14:paraId="0FF3247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规划工业场地</w:t>
            </w:r>
          </w:p>
        </w:tc>
        <w:tc>
          <w:tcPr>
            <w:tcW w:w="628" w:type="pct"/>
            <w:tcBorders>
              <w:tl2br w:val="nil"/>
              <w:tr2bl w:val="nil"/>
            </w:tcBorders>
            <w:shd w:val="clear" w:color="auto" w:fill="auto"/>
            <w:vAlign w:val="center"/>
          </w:tcPr>
          <w:p w14:paraId="7DCA108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672" w:type="pct"/>
            <w:tcBorders>
              <w:tl2br w:val="nil"/>
              <w:tr2bl w:val="nil"/>
            </w:tcBorders>
            <w:shd w:val="clear" w:color="auto" w:fill="auto"/>
            <w:vAlign w:val="center"/>
          </w:tcPr>
          <w:p w14:paraId="4BE86F6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2F064EA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r>
      <w:tr w14:paraId="33CD9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74F346D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4</w:t>
            </w:r>
            <w:r>
              <w:rPr>
                <w:rFonts w:hint="default" w:ascii="Times New Roman" w:hAnsi="Times New Roman" w:cs="Times New Roman" w:eastAsiaTheme="minorEastAsia"/>
                <w:color w:val="auto"/>
                <w:sz w:val="21"/>
                <w:szCs w:val="21"/>
              </w:rPr>
              <w:t>.1</w:t>
            </w:r>
          </w:p>
        </w:tc>
        <w:tc>
          <w:tcPr>
            <w:tcW w:w="2589" w:type="pct"/>
            <w:tcBorders>
              <w:tl2br w:val="nil"/>
              <w:tr2bl w:val="nil"/>
            </w:tcBorders>
            <w:shd w:val="clear" w:color="auto" w:fill="auto"/>
            <w:vAlign w:val="center"/>
          </w:tcPr>
          <w:p w14:paraId="33F0DC4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I、II号矿体分区-北斜坡道工业场地</w:t>
            </w:r>
          </w:p>
        </w:tc>
        <w:tc>
          <w:tcPr>
            <w:tcW w:w="628" w:type="pct"/>
            <w:tcBorders>
              <w:tl2br w:val="nil"/>
              <w:tr2bl w:val="nil"/>
            </w:tcBorders>
            <w:shd w:val="clear" w:color="auto" w:fill="auto"/>
            <w:vAlign w:val="center"/>
          </w:tcPr>
          <w:p w14:paraId="3A40531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0.35</w:t>
            </w:r>
          </w:p>
        </w:tc>
        <w:tc>
          <w:tcPr>
            <w:tcW w:w="672" w:type="pct"/>
            <w:tcBorders>
              <w:tl2br w:val="nil"/>
              <w:tr2bl w:val="nil"/>
            </w:tcBorders>
            <w:shd w:val="clear" w:color="auto" w:fill="auto"/>
            <w:vAlign w:val="center"/>
          </w:tcPr>
          <w:p w14:paraId="50C12A8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200</w:t>
            </w:r>
          </w:p>
        </w:tc>
        <w:tc>
          <w:tcPr>
            <w:tcW w:w="828" w:type="pct"/>
            <w:tcBorders>
              <w:tl2br w:val="nil"/>
              <w:tr2bl w:val="nil"/>
            </w:tcBorders>
            <w:shd w:val="clear" w:color="auto" w:fill="auto"/>
            <w:vAlign w:val="center"/>
          </w:tcPr>
          <w:p w14:paraId="1D89FA6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4E97EA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0676187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4</w:t>
            </w:r>
            <w:r>
              <w:rPr>
                <w:rFonts w:hint="default" w:ascii="Times New Roman" w:hAnsi="Times New Roman" w:cs="Times New Roman" w:eastAsiaTheme="minorEastAsia"/>
                <w:color w:val="auto"/>
                <w:sz w:val="21"/>
                <w:szCs w:val="21"/>
              </w:rPr>
              <w:t>.2</w:t>
            </w:r>
          </w:p>
        </w:tc>
        <w:tc>
          <w:tcPr>
            <w:tcW w:w="2589" w:type="pct"/>
            <w:tcBorders>
              <w:tl2br w:val="nil"/>
              <w:tr2bl w:val="nil"/>
            </w:tcBorders>
            <w:shd w:val="clear" w:color="auto" w:fill="auto"/>
            <w:vAlign w:val="center"/>
          </w:tcPr>
          <w:p w14:paraId="7B94DA5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eastAsia="zh-CN" w:bidi="ar"/>
              </w:rPr>
              <w:t>Ⅲ</w:t>
            </w:r>
            <w:r>
              <w:rPr>
                <w:rFonts w:hint="default" w:ascii="Times New Roman" w:hAnsi="Times New Roman" w:cs="Times New Roman" w:eastAsiaTheme="minorEastAsia"/>
                <w:color w:val="auto"/>
                <w:kern w:val="0"/>
                <w:sz w:val="21"/>
                <w:szCs w:val="21"/>
                <w:lang w:bidi="ar"/>
              </w:rPr>
              <w:t>、VI号矿体分区-入风管缆井工业场地</w:t>
            </w:r>
          </w:p>
        </w:tc>
        <w:tc>
          <w:tcPr>
            <w:tcW w:w="628" w:type="pct"/>
            <w:tcBorders>
              <w:tl2br w:val="nil"/>
              <w:tr2bl w:val="nil"/>
            </w:tcBorders>
            <w:shd w:val="clear" w:color="auto" w:fill="auto"/>
            <w:vAlign w:val="center"/>
          </w:tcPr>
          <w:p w14:paraId="1889A21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0.30</w:t>
            </w:r>
          </w:p>
        </w:tc>
        <w:tc>
          <w:tcPr>
            <w:tcW w:w="672" w:type="pct"/>
            <w:tcBorders>
              <w:tl2br w:val="nil"/>
              <w:tr2bl w:val="nil"/>
            </w:tcBorders>
            <w:shd w:val="clear" w:color="auto" w:fill="auto"/>
            <w:vAlign w:val="center"/>
          </w:tcPr>
          <w:p w14:paraId="731BF5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180</w:t>
            </w:r>
          </w:p>
        </w:tc>
        <w:tc>
          <w:tcPr>
            <w:tcW w:w="828" w:type="pct"/>
            <w:tcBorders>
              <w:tl2br w:val="nil"/>
              <w:tr2bl w:val="nil"/>
            </w:tcBorders>
            <w:shd w:val="clear" w:color="auto" w:fill="auto"/>
            <w:vAlign w:val="center"/>
          </w:tcPr>
          <w:p w14:paraId="129FF22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461A0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77D5EAB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4</w:t>
            </w:r>
            <w:r>
              <w:rPr>
                <w:rFonts w:hint="default" w:ascii="Times New Roman" w:hAnsi="Times New Roman" w:cs="Times New Roman" w:eastAsiaTheme="minorEastAsia"/>
                <w:color w:val="auto"/>
                <w:sz w:val="21"/>
                <w:szCs w:val="21"/>
              </w:rPr>
              <w:t>.3</w:t>
            </w:r>
          </w:p>
        </w:tc>
        <w:tc>
          <w:tcPr>
            <w:tcW w:w="2589" w:type="pct"/>
            <w:tcBorders>
              <w:tl2br w:val="nil"/>
              <w:tr2bl w:val="nil"/>
            </w:tcBorders>
            <w:shd w:val="clear" w:color="auto" w:fill="auto"/>
            <w:vAlign w:val="center"/>
          </w:tcPr>
          <w:p w14:paraId="649A42B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eastAsia="zh-CN" w:bidi="ar"/>
              </w:rPr>
              <w:t>Ⅲ</w:t>
            </w:r>
            <w:r>
              <w:rPr>
                <w:rFonts w:hint="default" w:ascii="Times New Roman" w:hAnsi="Times New Roman" w:cs="Times New Roman" w:eastAsiaTheme="minorEastAsia"/>
                <w:color w:val="auto"/>
                <w:kern w:val="0"/>
                <w:sz w:val="21"/>
                <w:szCs w:val="21"/>
                <w:lang w:bidi="ar"/>
              </w:rPr>
              <w:t>、VI号矿体分区－地表充填制备站工业场地</w:t>
            </w:r>
          </w:p>
        </w:tc>
        <w:tc>
          <w:tcPr>
            <w:tcW w:w="628" w:type="pct"/>
            <w:tcBorders>
              <w:tl2br w:val="nil"/>
              <w:tr2bl w:val="nil"/>
            </w:tcBorders>
            <w:shd w:val="clear" w:color="auto" w:fill="auto"/>
            <w:vAlign w:val="center"/>
          </w:tcPr>
          <w:p w14:paraId="0CFDB8B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0.40</w:t>
            </w:r>
          </w:p>
        </w:tc>
        <w:tc>
          <w:tcPr>
            <w:tcW w:w="672" w:type="pct"/>
            <w:tcBorders>
              <w:tl2br w:val="nil"/>
              <w:tr2bl w:val="nil"/>
            </w:tcBorders>
            <w:shd w:val="clear" w:color="auto" w:fill="auto"/>
            <w:vAlign w:val="center"/>
          </w:tcPr>
          <w:p w14:paraId="7CA3858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250</w:t>
            </w:r>
          </w:p>
        </w:tc>
        <w:tc>
          <w:tcPr>
            <w:tcW w:w="828" w:type="pct"/>
            <w:tcBorders>
              <w:tl2br w:val="nil"/>
              <w:tr2bl w:val="nil"/>
            </w:tcBorders>
            <w:shd w:val="clear" w:color="auto" w:fill="auto"/>
            <w:vAlign w:val="center"/>
          </w:tcPr>
          <w:p w14:paraId="2846E92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1BDB1D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30F7162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4</w:t>
            </w:r>
            <w:r>
              <w:rPr>
                <w:rFonts w:hint="default" w:ascii="Times New Roman" w:hAnsi="Times New Roman" w:cs="Times New Roman" w:eastAsiaTheme="minorEastAsia"/>
                <w:color w:val="auto"/>
                <w:sz w:val="21"/>
                <w:szCs w:val="21"/>
              </w:rPr>
              <w:t>.4</w:t>
            </w:r>
          </w:p>
        </w:tc>
        <w:tc>
          <w:tcPr>
            <w:tcW w:w="2589" w:type="pct"/>
            <w:tcBorders>
              <w:tl2br w:val="nil"/>
              <w:tr2bl w:val="nil"/>
            </w:tcBorders>
            <w:shd w:val="clear" w:color="auto" w:fill="auto"/>
            <w:vAlign w:val="center"/>
          </w:tcPr>
          <w:p w14:paraId="1219A8E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kern w:val="0"/>
                <w:sz w:val="21"/>
                <w:szCs w:val="21"/>
                <w:lang w:eastAsia="zh-CN" w:bidi="ar"/>
              </w:rPr>
              <w:t>Ⅳ</w:t>
            </w:r>
            <w:r>
              <w:rPr>
                <w:rFonts w:hint="default" w:ascii="Times New Roman" w:hAnsi="Times New Roman" w:cs="Times New Roman" w:eastAsiaTheme="minorEastAsia"/>
                <w:color w:val="auto"/>
                <w:kern w:val="0"/>
                <w:sz w:val="21"/>
                <w:szCs w:val="21"/>
                <w:lang w:bidi="ar"/>
              </w:rPr>
              <w:t>及Ⅳ-1系列矿体分区－主平硐工业场地</w:t>
            </w:r>
          </w:p>
        </w:tc>
        <w:tc>
          <w:tcPr>
            <w:tcW w:w="628" w:type="pct"/>
            <w:tcBorders>
              <w:tl2br w:val="nil"/>
              <w:tr2bl w:val="nil"/>
            </w:tcBorders>
            <w:shd w:val="clear" w:color="auto" w:fill="auto"/>
            <w:vAlign w:val="center"/>
          </w:tcPr>
          <w:p w14:paraId="7D70FAA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0.35</w:t>
            </w:r>
          </w:p>
        </w:tc>
        <w:tc>
          <w:tcPr>
            <w:tcW w:w="672" w:type="pct"/>
            <w:tcBorders>
              <w:tl2br w:val="nil"/>
              <w:tr2bl w:val="nil"/>
            </w:tcBorders>
            <w:shd w:val="clear" w:color="auto" w:fill="auto"/>
            <w:vAlign w:val="center"/>
          </w:tcPr>
          <w:p w14:paraId="724DECD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200</w:t>
            </w:r>
          </w:p>
        </w:tc>
        <w:tc>
          <w:tcPr>
            <w:tcW w:w="828" w:type="pct"/>
            <w:tcBorders>
              <w:tl2br w:val="nil"/>
              <w:tr2bl w:val="nil"/>
            </w:tcBorders>
            <w:shd w:val="clear" w:color="auto" w:fill="auto"/>
            <w:vAlign w:val="center"/>
          </w:tcPr>
          <w:p w14:paraId="3283788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2E284B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208C9437">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4</w:t>
            </w:r>
            <w:r>
              <w:rPr>
                <w:rFonts w:hint="default" w:ascii="Times New Roman" w:hAnsi="Times New Roman" w:cs="Times New Roman" w:eastAsiaTheme="minorEastAsia"/>
                <w:color w:val="auto"/>
                <w:sz w:val="21"/>
                <w:szCs w:val="21"/>
              </w:rPr>
              <w:t>.5</w:t>
            </w:r>
          </w:p>
        </w:tc>
        <w:tc>
          <w:tcPr>
            <w:tcW w:w="2589" w:type="pct"/>
            <w:tcBorders>
              <w:tl2br w:val="nil"/>
              <w:tr2bl w:val="nil"/>
            </w:tcBorders>
            <w:shd w:val="clear" w:color="auto" w:fill="auto"/>
            <w:vAlign w:val="center"/>
          </w:tcPr>
          <w:p w14:paraId="4C1ECE8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kern w:val="0"/>
                <w:sz w:val="21"/>
                <w:szCs w:val="21"/>
                <w:lang w:eastAsia="zh-CN" w:bidi="ar"/>
              </w:rPr>
              <w:t>Ⅳ</w:t>
            </w:r>
            <w:r>
              <w:rPr>
                <w:rFonts w:hint="default" w:ascii="Times New Roman" w:hAnsi="Times New Roman" w:cs="Times New Roman" w:eastAsiaTheme="minorEastAsia"/>
                <w:color w:val="auto"/>
                <w:kern w:val="0"/>
                <w:sz w:val="21"/>
                <w:szCs w:val="21"/>
                <w:lang w:bidi="ar"/>
              </w:rPr>
              <w:t>及Ⅳ-1系列矿体分区－南斜坡道工业场地</w:t>
            </w:r>
          </w:p>
        </w:tc>
        <w:tc>
          <w:tcPr>
            <w:tcW w:w="628" w:type="pct"/>
            <w:tcBorders>
              <w:tl2br w:val="nil"/>
              <w:tr2bl w:val="nil"/>
            </w:tcBorders>
            <w:shd w:val="clear" w:color="auto" w:fill="auto"/>
            <w:vAlign w:val="center"/>
          </w:tcPr>
          <w:p w14:paraId="54E70FD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0.30</w:t>
            </w:r>
          </w:p>
        </w:tc>
        <w:tc>
          <w:tcPr>
            <w:tcW w:w="672" w:type="pct"/>
            <w:tcBorders>
              <w:tl2br w:val="nil"/>
              <w:tr2bl w:val="nil"/>
            </w:tcBorders>
            <w:shd w:val="clear" w:color="auto" w:fill="auto"/>
            <w:vAlign w:val="center"/>
          </w:tcPr>
          <w:p w14:paraId="3F57F81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150</w:t>
            </w:r>
          </w:p>
        </w:tc>
        <w:tc>
          <w:tcPr>
            <w:tcW w:w="828" w:type="pct"/>
            <w:tcBorders>
              <w:tl2br w:val="nil"/>
              <w:tr2bl w:val="nil"/>
            </w:tcBorders>
            <w:shd w:val="clear" w:color="auto" w:fill="auto"/>
            <w:vAlign w:val="center"/>
          </w:tcPr>
          <w:p w14:paraId="2CD622D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71EC6F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2032446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2589" w:type="pct"/>
            <w:tcBorders>
              <w:tl2br w:val="nil"/>
              <w:tr2bl w:val="nil"/>
            </w:tcBorders>
            <w:shd w:val="clear" w:color="auto" w:fill="auto"/>
            <w:vAlign w:val="center"/>
          </w:tcPr>
          <w:p w14:paraId="4377743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小计</w:t>
            </w:r>
          </w:p>
        </w:tc>
        <w:tc>
          <w:tcPr>
            <w:tcW w:w="628" w:type="pct"/>
            <w:tcBorders>
              <w:tl2br w:val="nil"/>
              <w:tr2bl w:val="nil"/>
            </w:tcBorders>
            <w:shd w:val="clear" w:color="auto" w:fill="auto"/>
            <w:vAlign w:val="center"/>
          </w:tcPr>
          <w:p w14:paraId="58B351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1.70</w:t>
            </w:r>
          </w:p>
        </w:tc>
        <w:tc>
          <w:tcPr>
            <w:tcW w:w="672" w:type="pct"/>
            <w:tcBorders>
              <w:tl2br w:val="nil"/>
              <w:tr2bl w:val="nil"/>
            </w:tcBorders>
            <w:shd w:val="clear" w:color="auto" w:fill="auto"/>
            <w:vAlign w:val="center"/>
          </w:tcPr>
          <w:p w14:paraId="7241FA1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980</w:t>
            </w:r>
          </w:p>
        </w:tc>
        <w:tc>
          <w:tcPr>
            <w:tcW w:w="828" w:type="pct"/>
            <w:tcBorders>
              <w:tl2br w:val="nil"/>
              <w:tr2bl w:val="nil"/>
            </w:tcBorders>
            <w:shd w:val="clear" w:color="auto" w:fill="auto"/>
            <w:vAlign w:val="center"/>
          </w:tcPr>
          <w:p w14:paraId="68233FE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r>
      <w:tr w14:paraId="07D89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183958F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5</w:t>
            </w:r>
          </w:p>
        </w:tc>
        <w:tc>
          <w:tcPr>
            <w:tcW w:w="2589" w:type="pct"/>
            <w:tcBorders>
              <w:tl2br w:val="nil"/>
              <w:tr2bl w:val="nil"/>
            </w:tcBorders>
            <w:shd w:val="clear" w:color="auto" w:fill="auto"/>
            <w:vAlign w:val="center"/>
          </w:tcPr>
          <w:p w14:paraId="6B16FBB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规划临时堆场</w:t>
            </w:r>
          </w:p>
        </w:tc>
        <w:tc>
          <w:tcPr>
            <w:tcW w:w="628" w:type="pct"/>
            <w:tcBorders>
              <w:tl2br w:val="nil"/>
              <w:tr2bl w:val="nil"/>
            </w:tcBorders>
            <w:shd w:val="clear" w:color="auto" w:fill="auto"/>
            <w:vAlign w:val="center"/>
          </w:tcPr>
          <w:p w14:paraId="6BC331E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672" w:type="pct"/>
            <w:tcBorders>
              <w:tl2br w:val="nil"/>
              <w:tr2bl w:val="nil"/>
            </w:tcBorders>
            <w:shd w:val="clear" w:color="auto" w:fill="auto"/>
            <w:vAlign w:val="center"/>
          </w:tcPr>
          <w:p w14:paraId="3A5D90EE">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328DCE9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r>
      <w:tr w14:paraId="11594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3D9DB9B2">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.1</w:t>
            </w:r>
          </w:p>
        </w:tc>
        <w:tc>
          <w:tcPr>
            <w:tcW w:w="2589" w:type="pct"/>
            <w:tcBorders>
              <w:tl2br w:val="nil"/>
              <w:tr2bl w:val="nil"/>
            </w:tcBorders>
            <w:shd w:val="clear" w:color="auto" w:fill="auto"/>
            <w:vAlign w:val="center"/>
          </w:tcPr>
          <w:p w14:paraId="66E9AC8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1号</w:t>
            </w:r>
            <w:r>
              <w:rPr>
                <w:rFonts w:hint="default" w:ascii="Times New Roman" w:hAnsi="Times New Roman" w:cs="Times New Roman" w:eastAsiaTheme="minorEastAsia"/>
                <w:color w:val="auto"/>
                <w:kern w:val="0"/>
                <w:sz w:val="21"/>
                <w:szCs w:val="21"/>
                <w:lang w:val="en-US" w:eastAsia="zh-CN" w:bidi="ar"/>
              </w:rPr>
              <w:t>废石</w:t>
            </w:r>
            <w:r>
              <w:rPr>
                <w:rFonts w:hint="default" w:ascii="Times New Roman" w:hAnsi="Times New Roman" w:cs="Times New Roman" w:eastAsiaTheme="minorEastAsia"/>
                <w:color w:val="auto"/>
                <w:kern w:val="0"/>
                <w:sz w:val="21"/>
                <w:szCs w:val="21"/>
                <w:lang w:bidi="ar"/>
              </w:rPr>
              <w:t>临时堆场</w:t>
            </w:r>
          </w:p>
        </w:tc>
        <w:tc>
          <w:tcPr>
            <w:tcW w:w="628" w:type="pct"/>
            <w:tcBorders>
              <w:tl2br w:val="nil"/>
              <w:tr2bl w:val="nil"/>
            </w:tcBorders>
            <w:shd w:val="clear" w:color="auto" w:fill="auto"/>
            <w:vAlign w:val="center"/>
          </w:tcPr>
          <w:p w14:paraId="2D8C2F6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1.573</w:t>
            </w:r>
          </w:p>
        </w:tc>
        <w:tc>
          <w:tcPr>
            <w:tcW w:w="672" w:type="pct"/>
            <w:tcBorders>
              <w:tl2br w:val="nil"/>
              <w:tr2bl w:val="nil"/>
            </w:tcBorders>
            <w:shd w:val="clear" w:color="auto" w:fill="auto"/>
            <w:vAlign w:val="center"/>
          </w:tcPr>
          <w:p w14:paraId="7603480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76EF0490">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77C81C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2ED0E8D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lang w:val="en-US" w:eastAsia="zh-CN"/>
              </w:rPr>
              <w:t>5</w:t>
            </w:r>
            <w:r>
              <w:rPr>
                <w:rFonts w:hint="default" w:ascii="Times New Roman" w:hAnsi="Times New Roman" w:cs="Times New Roman" w:eastAsiaTheme="minorEastAsia"/>
                <w:color w:val="auto"/>
                <w:sz w:val="21"/>
                <w:szCs w:val="21"/>
              </w:rPr>
              <w:t>.2</w:t>
            </w:r>
          </w:p>
        </w:tc>
        <w:tc>
          <w:tcPr>
            <w:tcW w:w="2589" w:type="pct"/>
            <w:tcBorders>
              <w:tl2br w:val="nil"/>
              <w:tr2bl w:val="nil"/>
            </w:tcBorders>
            <w:shd w:val="clear" w:color="auto" w:fill="auto"/>
            <w:vAlign w:val="center"/>
          </w:tcPr>
          <w:p w14:paraId="1F80AF6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eastAsia" w:ascii="Times New Roman" w:hAnsi="Times New Roman" w:cs="Times New Roman" w:eastAsiaTheme="minorEastAsia"/>
                <w:color w:val="auto"/>
                <w:kern w:val="0"/>
                <w:sz w:val="21"/>
                <w:szCs w:val="21"/>
                <w:lang w:val="en-US" w:eastAsia="zh-CN" w:bidi="ar"/>
              </w:rPr>
              <w:t>2</w:t>
            </w:r>
            <w:r>
              <w:rPr>
                <w:rFonts w:hint="default" w:ascii="Times New Roman" w:hAnsi="Times New Roman" w:cs="Times New Roman" w:eastAsiaTheme="minorEastAsia"/>
                <w:color w:val="auto"/>
                <w:kern w:val="0"/>
                <w:sz w:val="21"/>
                <w:szCs w:val="21"/>
                <w:lang w:bidi="ar"/>
              </w:rPr>
              <w:t>号</w:t>
            </w:r>
            <w:r>
              <w:rPr>
                <w:rFonts w:hint="default" w:ascii="Times New Roman" w:hAnsi="Times New Roman" w:cs="Times New Roman" w:eastAsiaTheme="minorEastAsia"/>
                <w:color w:val="auto"/>
                <w:kern w:val="0"/>
                <w:sz w:val="21"/>
                <w:szCs w:val="21"/>
                <w:lang w:val="en-US" w:eastAsia="zh-CN" w:bidi="ar"/>
              </w:rPr>
              <w:t>废石</w:t>
            </w:r>
            <w:r>
              <w:rPr>
                <w:rFonts w:hint="default" w:ascii="Times New Roman" w:hAnsi="Times New Roman" w:cs="Times New Roman" w:eastAsiaTheme="minorEastAsia"/>
                <w:color w:val="auto"/>
                <w:kern w:val="0"/>
                <w:sz w:val="21"/>
                <w:szCs w:val="21"/>
                <w:lang w:bidi="ar"/>
              </w:rPr>
              <w:t>临时堆场</w:t>
            </w:r>
          </w:p>
        </w:tc>
        <w:tc>
          <w:tcPr>
            <w:tcW w:w="628" w:type="pct"/>
            <w:tcBorders>
              <w:tl2br w:val="nil"/>
              <w:tr2bl w:val="nil"/>
            </w:tcBorders>
            <w:shd w:val="clear" w:color="auto" w:fill="auto"/>
            <w:vAlign w:val="center"/>
          </w:tcPr>
          <w:p w14:paraId="26D610E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0"/>
                <w:sz w:val="21"/>
                <w:szCs w:val="21"/>
                <w:lang w:val="en-US" w:eastAsia="zh-CN" w:bidi="ar"/>
              </w:rPr>
              <w:t>0.186</w:t>
            </w:r>
          </w:p>
        </w:tc>
        <w:tc>
          <w:tcPr>
            <w:tcW w:w="672" w:type="pct"/>
            <w:tcBorders>
              <w:tl2br w:val="nil"/>
              <w:tr2bl w:val="nil"/>
            </w:tcBorders>
            <w:shd w:val="clear" w:color="auto" w:fill="auto"/>
            <w:vAlign w:val="center"/>
          </w:tcPr>
          <w:p w14:paraId="7D5466B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29F5FFD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裸岩石砾地</w:t>
            </w:r>
          </w:p>
        </w:tc>
      </w:tr>
      <w:tr w14:paraId="512D1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6FF43375">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5.3</w:t>
            </w:r>
          </w:p>
        </w:tc>
        <w:tc>
          <w:tcPr>
            <w:tcW w:w="2589" w:type="pct"/>
            <w:tcBorders>
              <w:tl2br w:val="nil"/>
              <w:tr2bl w:val="nil"/>
            </w:tcBorders>
            <w:shd w:val="clear" w:color="auto" w:fill="auto"/>
            <w:vAlign w:val="center"/>
          </w:tcPr>
          <w:p w14:paraId="1AC27B2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bidi="ar"/>
              </w:rPr>
            </w:pPr>
            <w:r>
              <w:rPr>
                <w:rFonts w:hint="eastAsia" w:ascii="Times New Roman" w:hAnsi="Times New Roman" w:cs="Times New Roman" w:eastAsiaTheme="minorEastAsia"/>
                <w:color w:val="auto"/>
                <w:kern w:val="0"/>
                <w:sz w:val="21"/>
                <w:szCs w:val="21"/>
                <w:lang w:val="en-US" w:eastAsia="zh-CN" w:bidi="ar"/>
              </w:rPr>
              <w:t>3</w:t>
            </w:r>
            <w:r>
              <w:rPr>
                <w:rFonts w:hint="default" w:ascii="Times New Roman" w:hAnsi="Times New Roman" w:cs="Times New Roman" w:eastAsiaTheme="minorEastAsia"/>
                <w:color w:val="auto"/>
                <w:kern w:val="0"/>
                <w:sz w:val="21"/>
                <w:szCs w:val="21"/>
                <w:lang w:bidi="ar"/>
              </w:rPr>
              <w:t>号</w:t>
            </w:r>
            <w:r>
              <w:rPr>
                <w:rFonts w:hint="default" w:ascii="Times New Roman" w:hAnsi="Times New Roman" w:cs="Times New Roman" w:eastAsiaTheme="minorEastAsia"/>
                <w:color w:val="auto"/>
                <w:kern w:val="0"/>
                <w:sz w:val="21"/>
                <w:szCs w:val="21"/>
                <w:lang w:val="en-US" w:eastAsia="zh-CN" w:bidi="ar"/>
              </w:rPr>
              <w:t>废石</w:t>
            </w:r>
            <w:r>
              <w:rPr>
                <w:rFonts w:hint="default" w:ascii="Times New Roman" w:hAnsi="Times New Roman" w:cs="Times New Roman" w:eastAsiaTheme="minorEastAsia"/>
                <w:color w:val="auto"/>
                <w:kern w:val="0"/>
                <w:sz w:val="21"/>
                <w:szCs w:val="21"/>
                <w:lang w:bidi="ar"/>
              </w:rPr>
              <w:t>临时堆场</w:t>
            </w:r>
          </w:p>
        </w:tc>
        <w:tc>
          <w:tcPr>
            <w:tcW w:w="628" w:type="pct"/>
            <w:tcBorders>
              <w:tl2br w:val="nil"/>
              <w:tr2bl w:val="nil"/>
            </w:tcBorders>
            <w:shd w:val="clear" w:color="auto" w:fill="auto"/>
            <w:vAlign w:val="center"/>
          </w:tcPr>
          <w:p w14:paraId="4536AE7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3.00</w:t>
            </w:r>
          </w:p>
        </w:tc>
        <w:tc>
          <w:tcPr>
            <w:tcW w:w="672" w:type="pct"/>
            <w:tcBorders>
              <w:tl2br w:val="nil"/>
              <w:tr2bl w:val="nil"/>
            </w:tcBorders>
            <w:shd w:val="clear" w:color="auto" w:fill="auto"/>
            <w:vAlign w:val="center"/>
          </w:tcPr>
          <w:p w14:paraId="1B2FE71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406A198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裸岩石砾地</w:t>
            </w:r>
          </w:p>
        </w:tc>
      </w:tr>
      <w:tr w14:paraId="52D56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5F351C3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5.4</w:t>
            </w:r>
          </w:p>
        </w:tc>
        <w:tc>
          <w:tcPr>
            <w:tcW w:w="2589" w:type="pct"/>
            <w:tcBorders>
              <w:tl2br w:val="nil"/>
              <w:tr2bl w:val="nil"/>
            </w:tcBorders>
            <w:shd w:val="clear" w:color="auto" w:fill="auto"/>
            <w:vAlign w:val="center"/>
          </w:tcPr>
          <w:p w14:paraId="7C25B8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矿石堆场</w:t>
            </w:r>
          </w:p>
        </w:tc>
        <w:tc>
          <w:tcPr>
            <w:tcW w:w="628" w:type="pct"/>
            <w:tcBorders>
              <w:tl2br w:val="nil"/>
              <w:tr2bl w:val="nil"/>
            </w:tcBorders>
            <w:shd w:val="clear" w:color="auto" w:fill="auto"/>
            <w:vAlign w:val="center"/>
          </w:tcPr>
          <w:p w14:paraId="2D5D8153">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val="en-US" w:eastAsia="zh-CN" w:bidi="ar"/>
              </w:rPr>
            </w:pPr>
            <w:r>
              <w:rPr>
                <w:rFonts w:hint="default" w:ascii="Times New Roman" w:hAnsi="Times New Roman" w:cs="Times New Roman" w:eastAsiaTheme="minorEastAsia"/>
                <w:color w:val="auto"/>
                <w:kern w:val="0"/>
                <w:sz w:val="21"/>
                <w:szCs w:val="21"/>
                <w:lang w:val="en-US" w:eastAsia="zh-CN" w:bidi="ar"/>
              </w:rPr>
              <w:t>0.45</w:t>
            </w:r>
          </w:p>
        </w:tc>
        <w:tc>
          <w:tcPr>
            <w:tcW w:w="672" w:type="pct"/>
            <w:tcBorders>
              <w:tl2br w:val="nil"/>
              <w:tr2bl w:val="nil"/>
            </w:tcBorders>
            <w:shd w:val="clear" w:color="auto" w:fill="auto"/>
            <w:vAlign w:val="center"/>
          </w:tcPr>
          <w:p w14:paraId="2AC6E5E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671DFA4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kern w:val="0"/>
                <w:sz w:val="21"/>
                <w:szCs w:val="21"/>
                <w:lang w:bidi="ar"/>
              </w:rPr>
            </w:pPr>
            <w:r>
              <w:rPr>
                <w:rFonts w:hint="default" w:ascii="Times New Roman" w:hAnsi="Times New Roman" w:cs="Times New Roman" w:eastAsiaTheme="minorEastAsia"/>
                <w:color w:val="auto"/>
                <w:kern w:val="0"/>
                <w:sz w:val="21"/>
                <w:szCs w:val="21"/>
                <w:lang w:bidi="ar"/>
              </w:rPr>
              <w:t>裸岩石砾地</w:t>
            </w:r>
          </w:p>
        </w:tc>
      </w:tr>
      <w:tr w14:paraId="09533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0D72892B">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2589" w:type="pct"/>
            <w:tcBorders>
              <w:tl2br w:val="nil"/>
              <w:tr2bl w:val="nil"/>
            </w:tcBorders>
            <w:shd w:val="clear" w:color="auto" w:fill="auto"/>
            <w:vAlign w:val="center"/>
          </w:tcPr>
          <w:p w14:paraId="3DF0D75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小计</w:t>
            </w:r>
          </w:p>
        </w:tc>
        <w:tc>
          <w:tcPr>
            <w:tcW w:w="628" w:type="pct"/>
            <w:tcBorders>
              <w:tl2br w:val="nil"/>
              <w:tr2bl w:val="nil"/>
            </w:tcBorders>
            <w:shd w:val="clear" w:color="auto" w:fill="auto"/>
            <w:vAlign w:val="center"/>
          </w:tcPr>
          <w:p w14:paraId="5B8259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sz w:val="21"/>
                <w:szCs w:val="21"/>
                <w:lang w:val="en-US" w:eastAsia="zh-CN"/>
              </w:rPr>
              <w:t>5.209</w:t>
            </w:r>
          </w:p>
        </w:tc>
        <w:tc>
          <w:tcPr>
            <w:tcW w:w="672" w:type="pct"/>
            <w:tcBorders>
              <w:tl2br w:val="nil"/>
              <w:tr2bl w:val="nil"/>
            </w:tcBorders>
            <w:shd w:val="clear" w:color="auto" w:fill="auto"/>
            <w:vAlign w:val="center"/>
          </w:tcPr>
          <w:p w14:paraId="32B56FB3">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828" w:type="pct"/>
            <w:tcBorders>
              <w:tl2br w:val="nil"/>
              <w:tr2bl w:val="nil"/>
            </w:tcBorders>
            <w:shd w:val="clear" w:color="auto" w:fill="auto"/>
            <w:vAlign w:val="center"/>
          </w:tcPr>
          <w:p w14:paraId="758AE35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r>
      <w:tr w14:paraId="35F3CC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3" w:hRule="atLeast"/>
        </w:trPr>
        <w:tc>
          <w:tcPr>
            <w:tcW w:w="282" w:type="pct"/>
            <w:tcBorders>
              <w:tl2br w:val="nil"/>
              <w:tr2bl w:val="nil"/>
            </w:tcBorders>
            <w:shd w:val="clear" w:color="auto" w:fill="auto"/>
            <w:vAlign w:val="center"/>
          </w:tcPr>
          <w:p w14:paraId="1D332DA1">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c>
          <w:tcPr>
            <w:tcW w:w="2589" w:type="pct"/>
            <w:tcBorders>
              <w:tl2br w:val="nil"/>
              <w:tr2bl w:val="nil"/>
            </w:tcBorders>
            <w:shd w:val="clear" w:color="auto" w:fill="auto"/>
            <w:vAlign w:val="center"/>
          </w:tcPr>
          <w:p w14:paraId="4F6A471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kern w:val="0"/>
                <w:sz w:val="21"/>
                <w:szCs w:val="21"/>
                <w:lang w:bidi="ar"/>
              </w:rPr>
              <w:t>合计</w:t>
            </w:r>
          </w:p>
        </w:tc>
        <w:tc>
          <w:tcPr>
            <w:tcW w:w="628" w:type="pct"/>
            <w:tcBorders>
              <w:tl2br w:val="nil"/>
              <w:tr2bl w:val="nil"/>
            </w:tcBorders>
            <w:shd w:val="clear" w:color="auto" w:fill="auto"/>
            <w:vAlign w:val="center"/>
          </w:tcPr>
          <w:p w14:paraId="3B370445">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0"/>
                <w:sz w:val="21"/>
                <w:szCs w:val="21"/>
                <w:lang w:val="en-US" w:eastAsia="zh-CN" w:bidi="ar"/>
              </w:rPr>
              <w:t>15.489</w:t>
            </w:r>
          </w:p>
        </w:tc>
        <w:tc>
          <w:tcPr>
            <w:tcW w:w="672" w:type="pct"/>
            <w:tcBorders>
              <w:tl2br w:val="nil"/>
              <w:tr2bl w:val="nil"/>
            </w:tcBorders>
            <w:shd w:val="clear" w:color="auto" w:fill="auto"/>
            <w:vAlign w:val="center"/>
          </w:tcPr>
          <w:p w14:paraId="48AB91A6">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eastAsiaTheme="minorEastAsia"/>
                <w:color w:val="auto"/>
                <w:kern w:val="0"/>
                <w:sz w:val="21"/>
                <w:szCs w:val="21"/>
                <w:lang w:val="en-US" w:eastAsia="zh-CN" w:bidi="ar"/>
              </w:rPr>
              <w:t>1520</w:t>
            </w:r>
          </w:p>
        </w:tc>
        <w:tc>
          <w:tcPr>
            <w:tcW w:w="828" w:type="pct"/>
            <w:tcBorders>
              <w:tl2br w:val="nil"/>
              <w:tr2bl w:val="nil"/>
            </w:tcBorders>
            <w:shd w:val="clear" w:color="auto" w:fill="auto"/>
            <w:vAlign w:val="center"/>
          </w:tcPr>
          <w:p w14:paraId="78FF6B3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sz w:val="21"/>
                <w:szCs w:val="21"/>
              </w:rPr>
            </w:pPr>
          </w:p>
        </w:tc>
      </w:tr>
    </w:tbl>
    <w:p w14:paraId="1C384A16">
      <w:pPr>
        <w:pStyle w:val="3"/>
        <w:bidi w:val="0"/>
        <w:rPr>
          <w:rFonts w:hint="default" w:ascii="Times New Roman" w:hAnsi="Times New Roman" w:cs="Times New Roman"/>
          <w:color w:val="auto"/>
          <w:lang w:val="en-US" w:eastAsia="zh-CN"/>
        </w:rPr>
      </w:pPr>
      <w:bookmarkStart w:id="286" w:name="bookmark20"/>
      <w:bookmarkEnd w:id="286"/>
      <w:bookmarkStart w:id="287" w:name="_Toc21743"/>
      <w:bookmarkStart w:id="288" w:name="_Toc9423"/>
      <w:r>
        <w:rPr>
          <w:rFonts w:hint="default" w:ascii="Times New Roman" w:hAnsi="Times New Roman" w:cs="Times New Roman"/>
          <w:color w:val="auto"/>
          <w:lang w:val="en-US" w:eastAsia="zh-CN"/>
        </w:rPr>
        <w:t>工程分析</w:t>
      </w:r>
      <w:bookmarkEnd w:id="287"/>
      <w:bookmarkEnd w:id="288"/>
    </w:p>
    <w:p w14:paraId="35670C90">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地下开采工程</w:t>
      </w:r>
    </w:p>
    <w:p w14:paraId="7B14DF57">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3.3.1.1</w:t>
      </w:r>
      <w:r>
        <w:rPr>
          <w:rFonts w:hint="default" w:ascii="Times New Roman" w:hAnsi="Times New Roman" w:cs="Times New Roman"/>
          <w:b/>
          <w:bCs/>
          <w:color w:val="auto"/>
          <w:spacing w:val="0"/>
          <w:w w:val="100"/>
          <w:kern w:val="2"/>
          <w:position w:val="0"/>
          <w:sz w:val="24"/>
          <w:szCs w:val="28"/>
          <w:highlight w:val="none"/>
          <w:lang w:val="en-US" w:eastAsia="zh-CN" w:bidi="ar-SA"/>
        </w:rPr>
        <w:t>设计开采范围</w:t>
      </w:r>
    </w:p>
    <w:p w14:paraId="168CD579">
      <w:pPr>
        <w:bidi w:val="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根据《新疆哈密市大红山北铜矿资源储量核实报告》（估算基准日：2024年12月31日）及其矿产资源储量评审意见书（新矿评储字</w:t>
      </w:r>
      <w:r>
        <w:rPr>
          <w:rFonts w:hint="default" w:ascii="Times New Roman" w:hAnsi="Times New Roman" w:eastAsia="宋体" w:cs="Times New Roman"/>
          <w:color w:val="auto"/>
          <w:sz w:val="24"/>
          <w:szCs w:val="24"/>
          <w:lang w:val="en-US" w:eastAsia="zh-CN"/>
        </w:rPr>
        <w:t>〔2025〕</w:t>
      </w:r>
      <w:r>
        <w:rPr>
          <w:rFonts w:hint="default" w:ascii="Times New Roman" w:hAnsi="Times New Roman" w:cs="Times New Roman"/>
          <w:color w:val="auto"/>
          <w:sz w:val="24"/>
          <w:szCs w:val="24"/>
          <w:lang w:val="en-US" w:eastAsia="zh-CN"/>
        </w:rPr>
        <w:t>50号）、备案证明（新自然资储备字</w:t>
      </w:r>
      <w:r>
        <w:rPr>
          <w:rFonts w:hint="default" w:ascii="Times New Roman" w:hAnsi="Times New Roman" w:eastAsia="宋体" w:cs="Times New Roman"/>
          <w:color w:val="auto"/>
          <w:sz w:val="24"/>
          <w:szCs w:val="24"/>
          <w:lang w:val="en-US" w:eastAsia="zh-CN"/>
        </w:rPr>
        <w:t>〔2025〕</w:t>
      </w:r>
      <w:r>
        <w:rPr>
          <w:rFonts w:hint="default" w:ascii="Times New Roman" w:hAnsi="Times New Roman" w:cs="Times New Roman"/>
          <w:color w:val="auto"/>
          <w:sz w:val="24"/>
          <w:szCs w:val="24"/>
          <w:lang w:val="en-US" w:eastAsia="zh-CN"/>
        </w:rPr>
        <w:t>50号），查明本矿开采矿种为铜矿，</w:t>
      </w:r>
      <w:bookmarkStart w:id="289" w:name="_Hlk225715659"/>
      <w:r>
        <w:rPr>
          <w:rFonts w:hint="default" w:ascii="Times New Roman" w:hAnsi="Times New Roman" w:cs="Times New Roman"/>
          <w:color w:val="auto"/>
          <w:sz w:val="24"/>
          <w:szCs w:val="24"/>
          <w:lang w:val="en-US" w:eastAsia="zh-CN"/>
        </w:rPr>
        <w:t>伴生矿种为金、银</w:t>
      </w:r>
      <w:bookmarkEnd w:id="289"/>
      <w:r>
        <w:rPr>
          <w:rFonts w:hint="default" w:ascii="Times New Roman" w:hAnsi="Times New Roman" w:cs="Times New Roman"/>
          <w:color w:val="auto"/>
          <w:sz w:val="24"/>
          <w:szCs w:val="24"/>
          <w:lang w:val="en-US" w:eastAsia="zh-CN"/>
        </w:rPr>
        <w:t>。</w:t>
      </w:r>
    </w:p>
    <w:p w14:paraId="1D81C672">
      <w:pPr>
        <w:bidi w:val="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根据开拓系统布置，设计开采范围由7个拐点圈定，面积1.7740km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，开采深度由2108m至</w:t>
      </w:r>
      <w:r>
        <w:rPr>
          <w:rFonts w:hint="default" w:ascii="Times New Roman" w:hAnsi="Times New Roman" w:cs="Times New Roman"/>
          <w:color w:val="auto"/>
          <w:sz w:val="24"/>
          <w:szCs w:val="24"/>
          <w:lang w:val="en-US" w:eastAsia="zh-CN"/>
        </w:rPr>
        <w:t>1702</w:t>
      </w:r>
      <w:r>
        <w:rPr>
          <w:rFonts w:hint="default" w:ascii="Times New Roman" w:hAnsi="Times New Roman" w:eastAsia="宋体" w:cs="Times New Roman"/>
          <w:color w:val="auto"/>
          <w:sz w:val="24"/>
          <w:szCs w:val="24"/>
          <w:lang w:val="en-US" w:eastAsia="zh-CN"/>
        </w:rPr>
        <w:t>。设计开采范围拐点坐标详见下表。</w:t>
      </w:r>
    </w:p>
    <w:p w14:paraId="05A4A10A">
      <w:pPr>
        <w:pStyle w:val="29"/>
        <w:spacing w:line="240" w:lineRule="auto"/>
        <w:ind w:firstLine="0"/>
        <w:jc w:val="center"/>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lang w:val="en-US" w:eastAsia="zh-CN"/>
        </w:rPr>
        <w:t xml:space="preserve">表3.3-1    </w:t>
      </w:r>
      <w:r>
        <w:rPr>
          <w:rFonts w:hint="default" w:ascii="Times New Roman" w:hAnsi="Times New Roman" w:cs="Times New Roman" w:eastAsiaTheme="minorEastAsia"/>
          <w:b/>
          <w:bCs/>
          <w:color w:val="auto"/>
          <w:sz w:val="21"/>
          <w:szCs w:val="21"/>
        </w:rPr>
        <w:t>设计开采范围拐点坐标表</w:t>
      </w:r>
    </w:p>
    <w:tbl>
      <w:tblPr>
        <w:tblStyle w:val="21"/>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805"/>
        <w:gridCol w:w="3232"/>
        <w:gridCol w:w="3297"/>
      </w:tblGrid>
      <w:tr w14:paraId="354CC1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vMerge w:val="restart"/>
            <w:tcBorders>
              <w:tl2br w:val="nil"/>
              <w:tr2bl w:val="nil"/>
            </w:tcBorders>
            <w:noWrap w:val="0"/>
            <w:vAlign w:val="center"/>
          </w:tcPr>
          <w:p w14:paraId="26242B1F">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拐点</w:t>
            </w:r>
          </w:p>
          <w:p w14:paraId="6D6B55F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编号</w:t>
            </w:r>
          </w:p>
        </w:tc>
        <w:tc>
          <w:tcPr>
            <w:tcW w:w="3916" w:type="pct"/>
            <w:gridSpan w:val="2"/>
            <w:tcBorders>
              <w:tl2br w:val="nil"/>
              <w:tr2bl w:val="nil"/>
            </w:tcBorders>
            <w:noWrap w:val="0"/>
            <w:vAlign w:val="center"/>
          </w:tcPr>
          <w:p w14:paraId="44390E4E">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2000国家大地坐标系</w:t>
            </w:r>
          </w:p>
        </w:tc>
      </w:tr>
      <w:tr w14:paraId="5BF80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vMerge w:val="continue"/>
            <w:tcBorders>
              <w:tl2br w:val="nil"/>
              <w:tr2bl w:val="nil"/>
            </w:tcBorders>
            <w:noWrap w:val="0"/>
            <w:vAlign w:val="center"/>
          </w:tcPr>
          <w:p w14:paraId="187D7D0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p>
        </w:tc>
        <w:tc>
          <w:tcPr>
            <w:tcW w:w="1939" w:type="pct"/>
            <w:tcBorders>
              <w:tl2br w:val="nil"/>
              <w:tr2bl w:val="nil"/>
            </w:tcBorders>
            <w:noWrap w:val="0"/>
            <w:vAlign w:val="center"/>
          </w:tcPr>
          <w:p w14:paraId="20424BF2">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X</w:t>
            </w:r>
          </w:p>
        </w:tc>
        <w:tc>
          <w:tcPr>
            <w:tcW w:w="1976" w:type="pct"/>
            <w:tcBorders>
              <w:tl2br w:val="nil"/>
              <w:tr2bl w:val="nil"/>
            </w:tcBorders>
            <w:noWrap w:val="0"/>
            <w:vAlign w:val="center"/>
          </w:tcPr>
          <w:p w14:paraId="1969D7EA">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Y</w:t>
            </w:r>
          </w:p>
        </w:tc>
      </w:tr>
      <w:tr w14:paraId="55E59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00838557">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A</w:t>
            </w:r>
          </w:p>
        </w:tc>
        <w:tc>
          <w:tcPr>
            <w:tcW w:w="1939" w:type="pct"/>
            <w:tcBorders>
              <w:tl2br w:val="nil"/>
              <w:tr2bl w:val="nil"/>
            </w:tcBorders>
            <w:noWrap w:val="0"/>
            <w:vAlign w:val="center"/>
          </w:tcPr>
          <w:p w14:paraId="6A942A71">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4638947.58</w:t>
            </w:r>
          </w:p>
        </w:tc>
        <w:tc>
          <w:tcPr>
            <w:tcW w:w="1976" w:type="pct"/>
            <w:tcBorders>
              <w:tl2br w:val="nil"/>
              <w:tr2bl w:val="nil"/>
            </w:tcBorders>
            <w:noWrap w:val="0"/>
            <w:vAlign w:val="center"/>
          </w:tcPr>
          <w:p w14:paraId="19AE1C70">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32441656.40</w:t>
            </w:r>
          </w:p>
        </w:tc>
      </w:tr>
      <w:tr w14:paraId="1FF9E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7C9222AB">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1939" w:type="pct"/>
            <w:tcBorders>
              <w:tl2br w:val="nil"/>
              <w:tr2bl w:val="nil"/>
            </w:tcBorders>
            <w:noWrap w:val="0"/>
            <w:vAlign w:val="center"/>
          </w:tcPr>
          <w:p w14:paraId="11EC7F08">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4638944.98</w:t>
            </w:r>
          </w:p>
        </w:tc>
        <w:tc>
          <w:tcPr>
            <w:tcW w:w="1976" w:type="pct"/>
            <w:tcBorders>
              <w:tl2br w:val="nil"/>
              <w:tr2bl w:val="nil"/>
            </w:tcBorders>
            <w:noWrap w:val="0"/>
            <w:vAlign w:val="center"/>
          </w:tcPr>
          <w:p w14:paraId="15A6B69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32442001.42</w:t>
            </w:r>
          </w:p>
        </w:tc>
      </w:tr>
      <w:tr w14:paraId="39125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60DDD0A9">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1939" w:type="pct"/>
            <w:tcBorders>
              <w:tl2br w:val="nil"/>
              <w:tr2bl w:val="nil"/>
            </w:tcBorders>
            <w:noWrap w:val="0"/>
            <w:vAlign w:val="center"/>
          </w:tcPr>
          <w:p w14:paraId="6D4923F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4639406.95</w:t>
            </w:r>
          </w:p>
        </w:tc>
        <w:tc>
          <w:tcPr>
            <w:tcW w:w="1976" w:type="pct"/>
            <w:tcBorders>
              <w:tl2br w:val="nil"/>
              <w:tr2bl w:val="nil"/>
            </w:tcBorders>
            <w:noWrap w:val="0"/>
            <w:vAlign w:val="center"/>
          </w:tcPr>
          <w:p w14:paraId="4217A6C6">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32442005.58</w:t>
            </w:r>
          </w:p>
        </w:tc>
      </w:tr>
      <w:tr w14:paraId="276E4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60F909CC">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1939" w:type="pct"/>
            <w:tcBorders>
              <w:tl2br w:val="nil"/>
              <w:tr2bl w:val="nil"/>
            </w:tcBorders>
            <w:noWrap w:val="0"/>
            <w:vAlign w:val="center"/>
          </w:tcPr>
          <w:p w14:paraId="715D3FC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4639404.83</w:t>
            </w:r>
          </w:p>
        </w:tc>
        <w:tc>
          <w:tcPr>
            <w:tcW w:w="1976" w:type="pct"/>
            <w:tcBorders>
              <w:tl2br w:val="nil"/>
              <w:tr2bl w:val="nil"/>
            </w:tcBorders>
            <w:noWrap w:val="0"/>
            <w:vAlign w:val="center"/>
          </w:tcPr>
          <w:p w14:paraId="773A2AC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32442351.58</w:t>
            </w:r>
          </w:p>
        </w:tc>
      </w:tr>
      <w:tr w14:paraId="037A24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00E5E534">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B</w:t>
            </w:r>
          </w:p>
        </w:tc>
        <w:tc>
          <w:tcPr>
            <w:tcW w:w="1939" w:type="pct"/>
            <w:tcBorders>
              <w:tl2br w:val="nil"/>
              <w:tr2bl w:val="nil"/>
            </w:tcBorders>
            <w:noWrap w:val="0"/>
            <w:vAlign w:val="center"/>
          </w:tcPr>
          <w:p w14:paraId="122AFECC">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4637800.00</w:t>
            </w:r>
          </w:p>
        </w:tc>
        <w:tc>
          <w:tcPr>
            <w:tcW w:w="1976" w:type="pct"/>
            <w:tcBorders>
              <w:tl2br w:val="nil"/>
              <w:tr2bl w:val="nil"/>
            </w:tcBorders>
            <w:noWrap w:val="0"/>
            <w:vAlign w:val="center"/>
          </w:tcPr>
          <w:p w14:paraId="3B4FD6D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32442656.53</w:t>
            </w:r>
          </w:p>
        </w:tc>
      </w:tr>
      <w:tr w14:paraId="162AE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83" w:type="pct"/>
            <w:tcBorders>
              <w:tl2br w:val="nil"/>
              <w:tr2bl w:val="nil"/>
            </w:tcBorders>
            <w:noWrap w:val="0"/>
            <w:vAlign w:val="center"/>
          </w:tcPr>
          <w:p w14:paraId="2665FF0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7</w:t>
            </w:r>
          </w:p>
        </w:tc>
        <w:tc>
          <w:tcPr>
            <w:tcW w:w="1939" w:type="pct"/>
            <w:tcBorders>
              <w:tl2br w:val="nil"/>
              <w:tr2bl w:val="nil"/>
            </w:tcBorders>
            <w:noWrap w:val="0"/>
            <w:vAlign w:val="center"/>
          </w:tcPr>
          <w:p w14:paraId="67B78C6D">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4637217.44</w:t>
            </w:r>
          </w:p>
        </w:tc>
        <w:tc>
          <w:tcPr>
            <w:tcW w:w="1976" w:type="pct"/>
            <w:tcBorders>
              <w:tl2br w:val="nil"/>
              <w:tr2bl w:val="nil"/>
            </w:tcBorders>
            <w:noWrap w:val="0"/>
            <w:vAlign w:val="center"/>
          </w:tcPr>
          <w:p w14:paraId="40BA0DF9">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32442636.16</w:t>
            </w:r>
          </w:p>
        </w:tc>
      </w:tr>
      <w:tr w14:paraId="739E74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83" w:type="pct"/>
            <w:tcBorders>
              <w:tl2br w:val="nil"/>
              <w:tr2bl w:val="nil"/>
            </w:tcBorders>
            <w:noWrap w:val="0"/>
            <w:vAlign w:val="center"/>
          </w:tcPr>
          <w:p w14:paraId="5B7BAC88">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C</w:t>
            </w:r>
          </w:p>
        </w:tc>
        <w:tc>
          <w:tcPr>
            <w:tcW w:w="1939" w:type="pct"/>
            <w:tcBorders>
              <w:tl2br w:val="nil"/>
              <w:tr2bl w:val="nil"/>
            </w:tcBorders>
            <w:noWrap w:val="0"/>
            <w:vAlign w:val="center"/>
          </w:tcPr>
          <w:p w14:paraId="06B6BD24">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4637226.11</w:t>
            </w:r>
          </w:p>
        </w:tc>
        <w:tc>
          <w:tcPr>
            <w:tcW w:w="1976" w:type="pct"/>
            <w:tcBorders>
              <w:tl2br w:val="nil"/>
              <w:tr2bl w:val="nil"/>
            </w:tcBorders>
            <w:noWrap w:val="0"/>
            <w:vAlign w:val="center"/>
          </w:tcPr>
          <w:p w14:paraId="745F158A">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32441656.40</w:t>
            </w:r>
          </w:p>
        </w:tc>
      </w:tr>
      <w:tr w14:paraId="3402C1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3"/>
            <w:tcBorders>
              <w:tl2br w:val="nil"/>
              <w:tr2bl w:val="nil"/>
            </w:tcBorders>
            <w:noWrap w:val="0"/>
            <w:vAlign w:val="center"/>
          </w:tcPr>
          <w:p w14:paraId="5750B9CD">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设计开采面积：1.7740km</w:t>
            </w:r>
            <w:r>
              <w:rPr>
                <w:rFonts w:hint="default" w:ascii="Times New Roman" w:hAnsi="Times New Roman" w:eastAsia="宋体" w:cs="Times New Roman"/>
                <w:color w:val="auto"/>
                <w:kern w:val="0"/>
                <w:sz w:val="21"/>
                <w:szCs w:val="21"/>
                <w:vertAlign w:val="superscript"/>
              </w:rPr>
              <w:t>2</w:t>
            </w:r>
            <w:r>
              <w:rPr>
                <w:rFonts w:hint="default" w:ascii="Times New Roman" w:hAnsi="Times New Roman" w:eastAsia="宋体" w:cs="Times New Roman"/>
                <w:color w:val="auto"/>
                <w:kern w:val="0"/>
                <w:sz w:val="21"/>
                <w:szCs w:val="21"/>
              </w:rPr>
              <w:t>；开采深度：2108m～17</w:t>
            </w:r>
            <w:r>
              <w:rPr>
                <w:rFonts w:hint="default" w:ascii="Times New Roman" w:hAnsi="Times New Roman" w:cs="Times New Roman"/>
                <w:color w:val="auto"/>
                <w:kern w:val="0"/>
                <w:sz w:val="21"/>
                <w:szCs w:val="21"/>
                <w:lang w:val="en-US" w:eastAsia="zh-CN"/>
              </w:rPr>
              <w:t>02</w:t>
            </w:r>
            <w:r>
              <w:rPr>
                <w:rFonts w:hint="default" w:ascii="Times New Roman" w:hAnsi="Times New Roman" w:eastAsia="宋体" w:cs="Times New Roman"/>
                <w:color w:val="auto"/>
                <w:kern w:val="0"/>
                <w:sz w:val="21"/>
                <w:szCs w:val="21"/>
              </w:rPr>
              <w:t>m</w:t>
            </w:r>
          </w:p>
        </w:tc>
      </w:tr>
    </w:tbl>
    <w:p w14:paraId="62A444C3">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w:t>
      </w:r>
      <w:r>
        <w:rPr>
          <w:rFonts w:hint="default" w:ascii="Times New Roman" w:hAnsi="Times New Roman" w:cs="Times New Roman"/>
          <w:b/>
          <w:bCs/>
          <w:color w:val="auto"/>
          <w:spacing w:val="0"/>
          <w:w w:val="100"/>
          <w:kern w:val="2"/>
          <w:position w:val="0"/>
          <w:sz w:val="24"/>
          <w:szCs w:val="28"/>
          <w:highlight w:val="none"/>
          <w:lang w:val="en-US" w:eastAsia="zh-CN" w:bidi="ar-SA"/>
        </w:rPr>
        <w:t>2矿山生产能力</w:t>
      </w:r>
    </w:p>
    <w:p w14:paraId="1852C1F7">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地下开采阶段</w:t>
      </w:r>
      <w:r>
        <w:rPr>
          <w:rFonts w:hint="default" w:ascii="Times New Roman" w:hAnsi="Times New Roman" w:eastAsia="宋体" w:cs="Times New Roman"/>
          <w:color w:val="auto"/>
          <w:spacing w:val="0"/>
          <w:w w:val="100"/>
          <w:position w:val="0"/>
          <w:sz w:val="24"/>
          <w:szCs w:val="24"/>
        </w:rPr>
        <w:t>矿山采用连续工作制，即</w:t>
      </w:r>
      <w:r>
        <w:rPr>
          <w:rFonts w:hint="default" w:ascii="Times New Roman" w:hAnsi="Times New Roman" w:cs="Times New Roman"/>
          <w:color w:val="auto"/>
          <w:spacing w:val="0"/>
          <w:w w:val="100"/>
          <w:position w:val="0"/>
          <w:sz w:val="24"/>
          <w:szCs w:val="24"/>
          <w:lang w:val="en-US" w:eastAsia="zh-CN"/>
        </w:rPr>
        <w:t>250</w:t>
      </w:r>
      <w:r>
        <w:rPr>
          <w:rFonts w:hint="default" w:ascii="Times New Roman" w:hAnsi="Times New Roman" w:eastAsia="宋体" w:cs="Times New Roman"/>
          <w:color w:val="auto"/>
          <w:spacing w:val="0"/>
          <w:w w:val="100"/>
          <w:position w:val="0"/>
          <w:sz w:val="24"/>
          <w:szCs w:val="24"/>
        </w:rPr>
        <w:t>d/a，3班/d，8h/班。</w:t>
      </w:r>
    </w:p>
    <w:p w14:paraId="378AA4C6">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val="zh-CN" w:eastAsia="zh-CN"/>
        </w:rPr>
      </w:pPr>
      <w:r>
        <w:rPr>
          <w:rFonts w:hint="default" w:ascii="Times New Roman" w:hAnsi="Times New Roman" w:eastAsia="宋体" w:cs="Times New Roman"/>
          <w:color w:val="auto"/>
          <w:spacing w:val="0"/>
          <w:w w:val="100"/>
          <w:position w:val="0"/>
          <w:sz w:val="24"/>
          <w:szCs w:val="24"/>
          <w:lang w:val="zh-CN" w:eastAsia="zh-CN"/>
        </w:rPr>
        <w:t>生产规模30万吨/年，开采标高</w:t>
      </w:r>
      <w:r>
        <w:rPr>
          <w:rFonts w:hint="default" w:ascii="Times New Roman" w:hAnsi="Times New Roman" w:cs="Times New Roman"/>
          <w:color w:val="auto"/>
          <w:spacing w:val="0"/>
          <w:w w:val="100"/>
          <w:position w:val="0"/>
          <w:sz w:val="24"/>
          <w:szCs w:val="24"/>
          <w:lang w:val="en-US" w:eastAsia="zh-CN"/>
        </w:rPr>
        <w:t>2108</w:t>
      </w:r>
      <w:r>
        <w:rPr>
          <w:rFonts w:hint="default" w:ascii="Times New Roman" w:hAnsi="Times New Roman" w:eastAsia="宋体" w:cs="Times New Roman"/>
          <w:color w:val="auto"/>
          <w:spacing w:val="0"/>
          <w:w w:val="100"/>
          <w:position w:val="0"/>
          <w:sz w:val="24"/>
          <w:szCs w:val="24"/>
          <w:lang w:val="zh-CN" w:eastAsia="zh-CN"/>
        </w:rPr>
        <w:t>m至</w:t>
      </w:r>
      <w:r>
        <w:rPr>
          <w:rFonts w:hint="default" w:ascii="Times New Roman" w:hAnsi="Times New Roman" w:cs="Times New Roman"/>
          <w:color w:val="auto"/>
          <w:spacing w:val="0"/>
          <w:w w:val="100"/>
          <w:position w:val="0"/>
          <w:sz w:val="24"/>
          <w:szCs w:val="24"/>
          <w:lang w:val="en-US" w:eastAsia="zh-CN"/>
        </w:rPr>
        <w:t>1795</w:t>
      </w:r>
      <w:r>
        <w:rPr>
          <w:rFonts w:hint="default" w:ascii="Times New Roman" w:hAnsi="Times New Roman" w:eastAsia="宋体" w:cs="Times New Roman"/>
          <w:color w:val="auto"/>
          <w:spacing w:val="0"/>
          <w:w w:val="100"/>
          <w:position w:val="0"/>
          <w:sz w:val="24"/>
          <w:szCs w:val="24"/>
          <w:lang w:val="zh-CN" w:eastAsia="zh-CN"/>
        </w:rPr>
        <w:t>m，在拟建生产规模30万吨/年、综合回采率85%、贫化率1</w:t>
      </w:r>
      <w:r>
        <w:rPr>
          <w:rFonts w:hint="default" w:ascii="Times New Roman" w:hAnsi="Times New Roman"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lang w:val="zh-CN" w:eastAsia="zh-CN"/>
        </w:rPr>
        <w:t>%的条件下，矿山以设计的可采储量为基础，服务年限为10.</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lang w:val="zh-CN" w:eastAsia="zh-CN"/>
        </w:rPr>
        <w:t>年。</w:t>
      </w:r>
    </w:p>
    <w:p w14:paraId="7612B2E7">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3.3.1.3采矿方法</w:t>
      </w:r>
    </w:p>
    <w:p w14:paraId="1C4A7E4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采矿方法的选择</w:t>
      </w:r>
    </w:p>
    <w:p w14:paraId="51257424">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设计开采矿体编号：Ⅰ、Ⅱ、Ⅲ、Ⅳ、Ⅴ、Ⅵ、Ⅳ-1、Ⅳ-1-1、Ⅳ-1-2、Ⅳ-1-3，矿体赋存条件如下：</w:t>
      </w:r>
    </w:p>
    <w:p w14:paraId="15A2E636">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I号矿体总体产状为倾向348°～351°，倾角87°～89°，总体属产状较稳定的陡倾斜矿体。矿体厚度变化一般在1.41m～3.38m之间，矿体平均厚度2.67m。</w:t>
      </w:r>
    </w:p>
    <w:p w14:paraId="59A11A6B">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Ⅱ</w:t>
      </w:r>
      <w:r>
        <w:rPr>
          <w:rFonts w:hint="default" w:ascii="Times New Roman" w:hAnsi="Times New Roman" w:eastAsia="宋体" w:cs="Times New Roman"/>
          <w:color w:val="auto"/>
          <w:sz w:val="24"/>
          <w:szCs w:val="24"/>
        </w:rPr>
        <w:t>号矿体总体产状为倾向318°～321°，倾角77°～85°，总体属产状较稳定的陡倾斜矿体。矿体厚度变化一般在1.25m～7.09m之间，矿体平均厚度3.62m。</w:t>
      </w:r>
    </w:p>
    <w:p w14:paraId="7E33197B">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Ⅲ号矿体形态较规则，呈层状产出，连续性好，沿走向及倾向上均呈波状起伏。矿体产状∶285°～295°∠45°～69°，总体属产状较稳定陡倾斜矿体。矿体厚度变化一般在0.56m～12.14m之间，矿体平均厚度3.64m。</w:t>
      </w:r>
    </w:p>
    <w:p w14:paraId="3239B67F">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Ⅲ-1矿体总体产状为倾向</w:t>
      </w:r>
      <w:r>
        <w:rPr>
          <w:rFonts w:hint="default" w:ascii="Times New Roman" w:hAnsi="Times New Roman" w:eastAsia="宋体" w:cs="Times New Roman"/>
          <w:color w:val="auto"/>
          <w:sz w:val="24"/>
          <w:szCs w:val="24"/>
          <w:lang w:val="en-US" w:eastAsia="zh-CN"/>
        </w:rPr>
        <w:t>285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295</w:t>
      </w:r>
      <w:r>
        <w:rPr>
          <w:rFonts w:hint="default" w:ascii="Times New Roman" w:hAnsi="Times New Roman" w:eastAsia="宋体" w:cs="Times New Roman"/>
          <w:color w:val="auto"/>
          <w:sz w:val="24"/>
          <w:szCs w:val="24"/>
        </w:rPr>
        <w:t>°，倾角</w:t>
      </w:r>
      <w:r>
        <w:rPr>
          <w:rFonts w:hint="default" w:ascii="Times New Roman" w:hAnsi="Times New Roman" w:eastAsia="宋体" w:cs="Times New Roman"/>
          <w:color w:val="auto"/>
          <w:sz w:val="24"/>
          <w:szCs w:val="24"/>
          <w:lang w:val="en-US" w:eastAsia="zh-CN"/>
        </w:rPr>
        <w:t>45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69</w:t>
      </w:r>
      <w:r>
        <w:rPr>
          <w:rFonts w:hint="default" w:ascii="Times New Roman" w:hAnsi="Times New Roman" w:eastAsia="宋体" w:cs="Times New Roman"/>
          <w:color w:val="auto"/>
          <w:sz w:val="24"/>
          <w:szCs w:val="24"/>
        </w:rPr>
        <w:t>°。矿体厚度变化一般在</w:t>
      </w:r>
      <w:r>
        <w:rPr>
          <w:rFonts w:hint="default" w:ascii="Times New Roman" w:hAnsi="Times New Roman" w:eastAsia="宋体" w:cs="Times New Roman"/>
          <w:color w:val="auto"/>
          <w:sz w:val="24"/>
          <w:szCs w:val="24"/>
          <w:lang w:val="en-US" w:eastAsia="zh-CN"/>
        </w:rPr>
        <w:t>3.33</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lang w:val="en-US" w:eastAsia="zh-CN"/>
        </w:rPr>
        <w:t>3.98</w:t>
      </w:r>
      <w:r>
        <w:rPr>
          <w:rFonts w:hint="default" w:ascii="Times New Roman" w:hAnsi="Times New Roman" w:eastAsia="宋体" w:cs="Times New Roman"/>
          <w:color w:val="auto"/>
          <w:sz w:val="24"/>
          <w:szCs w:val="24"/>
        </w:rPr>
        <w:t>m之间，矿体平均厚度</w:t>
      </w:r>
      <w:r>
        <w:rPr>
          <w:rFonts w:hint="default" w:ascii="Times New Roman" w:hAnsi="Times New Roman" w:eastAsia="宋体" w:cs="Times New Roman"/>
          <w:color w:val="auto"/>
          <w:sz w:val="24"/>
          <w:szCs w:val="24"/>
          <w:lang w:val="en-US" w:eastAsia="zh-CN"/>
        </w:rPr>
        <w:t>3.66</w:t>
      </w:r>
      <w:r>
        <w:rPr>
          <w:rFonts w:hint="default" w:ascii="Times New Roman" w:hAnsi="Times New Roman" w:eastAsia="宋体" w:cs="Times New Roman"/>
          <w:color w:val="auto"/>
          <w:sz w:val="24"/>
          <w:szCs w:val="24"/>
        </w:rPr>
        <w:t>m。</w:t>
      </w:r>
    </w:p>
    <w:p w14:paraId="0DC20C11">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号矿体形态较规则，呈层状产出，沿走向呈波状起伏状。矿体总体产状为倾向305°～320°，倾角45°～56°，总体属产状较稳定的陡倾斜矿体。矿体厚度变化一般在1.15m～2.64m之间，矿体平均厚度2.05m。</w:t>
      </w:r>
    </w:p>
    <w:p w14:paraId="7BBBA7F8">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V号矿体总体产状为倾向310°～330°，倾角27°～45°，总体属产状较稳定的缓倾斜矿体。矿体厚度变化一般在1.00m～3.53m之间，矿体平均厚度2.05m。</w:t>
      </w:r>
    </w:p>
    <w:p w14:paraId="690B05C7">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号矿体总体产状为倾向285°～320°，倾角64°～68°，总体属产状较稳定的陡倾斜矿体。矿体厚度变化一般在1.06m～3.46m之间，矿体平均厚度2.41m。</w:t>
      </w:r>
    </w:p>
    <w:p w14:paraId="31761B00">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Ⅳ-1号矿体总体产状为倾向32°～44°，倾角10°～45°。总体属产状变化较大的缓倾斜矿体。矿体厚度变化一般在0.80m～25.62m之间，矿体平均厚度6.97m，矿体地表未出露。</w:t>
      </w:r>
    </w:p>
    <w:p w14:paraId="7D75389F">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-1-1矿体总体产状为倾向32°～44°，倾角10°～45°。矿体厚度变化一般在3.90m～6.99m之间，矿体平均厚度5.45m。</w:t>
      </w:r>
    </w:p>
    <w:p w14:paraId="5B4BF080">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-1-2矿体总体产状为倾向32°～44°，倾角10°～45°。矿体厚度变化一般在1.99m～3.21m之间，矿体平均厚度2.60m。</w:t>
      </w:r>
    </w:p>
    <w:p w14:paraId="047F739C">
      <w:pPr>
        <w:pStyle w:val="50"/>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-1-3矿体总体产状为倾向32°～44°，倾角10°～45°。总体属产状变化较大缓倾斜矿体。矿体厚度变化一般在1.00m～4.45m之间，矿体平均厚度2.35m。</w:t>
      </w:r>
    </w:p>
    <w:p w14:paraId="7355AAD6">
      <w:pPr>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冶金矿山常规采矿理论，可选择的采矿方法有充填法、崩落法和空场法。根据《国家矿山安全监察局关于印发关于加强非煤矿山安全生产工作的指导意见的通知》（矿安〔2022〕4号）文件要求，“新建金属非金属地下矿山应当采用充填采矿法，不能采用的要进行严格论证”。</w:t>
      </w:r>
    </w:p>
    <w:p w14:paraId="406762BF">
      <w:pPr>
        <w:keepNext w:val="0"/>
        <w:keepLines w:val="0"/>
        <w:pageBreakBefore w:val="0"/>
        <w:widowControl w:val="0"/>
        <w:kinsoku/>
        <w:wordWrap/>
        <w:overflowPunct/>
        <w:topLinePunct w:val="0"/>
        <w:autoSpaceDE/>
        <w:autoSpaceDN/>
        <w:bidi w:val="0"/>
        <w:adjustRightInd/>
        <w:snapToGrid/>
        <w:spacing w:line="480" w:lineRule="exact"/>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根据矿岩的物理机械性质和开采技术条件，本次设计选用全面嗣后充填采矿法、房柱嗣后充填采矿法、留矿全面嗣后充填采矿法、分段空场嗣后充填采矿法。</w:t>
      </w:r>
    </w:p>
    <w:p w14:paraId="67561781">
      <w:pPr>
        <w:keepNext w:val="0"/>
        <w:keepLines w:val="0"/>
        <w:pageBreakBefore w:val="0"/>
        <w:widowControl w:val="0"/>
        <w:kinsoku/>
        <w:wordWrap/>
        <w:overflowPunct/>
        <w:topLinePunct w:val="0"/>
        <w:autoSpaceDE/>
        <w:autoSpaceDN/>
        <w:bidi w:val="0"/>
        <w:adjustRightInd/>
        <w:snapToGrid/>
        <w:spacing w:line="480" w:lineRule="exact"/>
        <w:ind w:firstLine="56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当矿体厚度＜5m，倾角＜30°时，选用全面嗣后充填采矿法；</w:t>
      </w:r>
    </w:p>
    <w:p w14:paraId="458B94FF">
      <w:pPr>
        <w:keepNext w:val="0"/>
        <w:keepLines w:val="0"/>
        <w:pageBreakBefore w:val="0"/>
        <w:widowControl w:val="0"/>
        <w:kinsoku/>
        <w:wordWrap/>
        <w:overflowPunct/>
        <w:topLinePunct w:val="0"/>
        <w:autoSpaceDE/>
        <w:autoSpaceDN/>
        <w:bidi w:val="0"/>
        <w:adjustRightInd/>
        <w:snapToGrid/>
        <w:spacing w:line="480" w:lineRule="exact"/>
        <w:ind w:firstLine="56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当矿体厚度＜5m，倾角＞30°时，选用留矿全面嗣后充填采矿法；</w:t>
      </w:r>
    </w:p>
    <w:p w14:paraId="392FE598">
      <w:pPr>
        <w:keepNext w:val="0"/>
        <w:keepLines w:val="0"/>
        <w:pageBreakBefore w:val="0"/>
        <w:widowControl w:val="0"/>
        <w:kinsoku/>
        <w:wordWrap/>
        <w:overflowPunct/>
        <w:topLinePunct w:val="0"/>
        <w:autoSpaceDE/>
        <w:autoSpaceDN/>
        <w:bidi w:val="0"/>
        <w:adjustRightInd/>
        <w:snapToGrid/>
        <w:spacing w:line="480" w:lineRule="exact"/>
        <w:ind w:firstLine="56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当矿体厚度≥5m，倾角＜30°时，选用房柱嗣后充填采矿法；</w:t>
      </w:r>
    </w:p>
    <w:p w14:paraId="35708C2C">
      <w:pPr>
        <w:keepNext w:val="0"/>
        <w:keepLines w:val="0"/>
        <w:pageBreakBefore w:val="0"/>
        <w:widowControl w:val="0"/>
        <w:kinsoku/>
        <w:wordWrap/>
        <w:overflowPunct/>
        <w:topLinePunct w:val="0"/>
        <w:autoSpaceDE/>
        <w:autoSpaceDN/>
        <w:bidi w:val="0"/>
        <w:adjustRightInd/>
        <w:snapToGrid/>
        <w:spacing w:line="480" w:lineRule="exact"/>
        <w:ind w:firstLine="56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当矿体厚度≥5m，倾角＞30°时，选用分段空场嗣后充填采矿法；</w:t>
      </w:r>
    </w:p>
    <w:p w14:paraId="5A1FA439">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表3.3-2    采矿方法所占比例表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3080"/>
        <w:gridCol w:w="3990"/>
      </w:tblGrid>
      <w:tr w14:paraId="40FF39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50" w:type="pct"/>
            <w:tcBorders>
              <w:tl2br w:val="nil"/>
              <w:tr2bl w:val="nil"/>
            </w:tcBorders>
            <w:noWrap w:val="0"/>
            <w:vAlign w:val="center"/>
          </w:tcPr>
          <w:p w14:paraId="45044498">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序号</w:t>
            </w:r>
          </w:p>
        </w:tc>
        <w:tc>
          <w:tcPr>
            <w:tcW w:w="1807" w:type="pct"/>
            <w:tcBorders>
              <w:tl2br w:val="nil"/>
              <w:tr2bl w:val="nil"/>
            </w:tcBorders>
            <w:noWrap w:val="0"/>
            <w:vAlign w:val="center"/>
          </w:tcPr>
          <w:p w14:paraId="43E17F19">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采矿方法</w:t>
            </w:r>
          </w:p>
        </w:tc>
        <w:tc>
          <w:tcPr>
            <w:tcW w:w="2341" w:type="pct"/>
            <w:tcBorders>
              <w:tl2br w:val="nil"/>
              <w:tr2bl w:val="nil"/>
            </w:tcBorders>
            <w:noWrap w:val="0"/>
            <w:vAlign w:val="center"/>
          </w:tcPr>
          <w:p w14:paraId="57AF1AD9">
            <w:pPr>
              <w:widowControl/>
              <w:spacing w:line="240" w:lineRule="atLeast"/>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rPr>
              <w:t>比例</w:t>
            </w:r>
            <w:r>
              <w:rPr>
                <w:rFonts w:hint="default" w:ascii="Times New Roman" w:hAnsi="Times New Roman" w:cs="Times New Roman"/>
                <w:color w:val="auto"/>
                <w:kern w:val="0"/>
                <w:sz w:val="21"/>
                <w:szCs w:val="21"/>
                <w:lang w:val="en-US" w:eastAsia="zh-CN"/>
              </w:rPr>
              <w:t>%</w:t>
            </w:r>
          </w:p>
        </w:tc>
      </w:tr>
      <w:tr w14:paraId="6CBF7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50" w:type="pct"/>
            <w:tcBorders>
              <w:tl2br w:val="nil"/>
              <w:tr2bl w:val="nil"/>
            </w:tcBorders>
            <w:noWrap w:val="0"/>
            <w:vAlign w:val="center"/>
          </w:tcPr>
          <w:p w14:paraId="27C7E634">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p>
        </w:tc>
        <w:tc>
          <w:tcPr>
            <w:tcW w:w="1807" w:type="pct"/>
            <w:tcBorders>
              <w:tl2br w:val="nil"/>
              <w:tr2bl w:val="nil"/>
            </w:tcBorders>
            <w:noWrap w:val="0"/>
            <w:vAlign w:val="center"/>
          </w:tcPr>
          <w:p w14:paraId="2937A72B">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全面嗣后充填采矿法</w:t>
            </w:r>
          </w:p>
        </w:tc>
        <w:tc>
          <w:tcPr>
            <w:tcW w:w="2341" w:type="pct"/>
            <w:tcBorders>
              <w:tl2br w:val="nil"/>
              <w:tr2bl w:val="nil"/>
            </w:tcBorders>
            <w:noWrap w:val="0"/>
            <w:vAlign w:val="center"/>
          </w:tcPr>
          <w:p w14:paraId="05AE40EB">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20</w:t>
            </w:r>
          </w:p>
        </w:tc>
      </w:tr>
      <w:tr w14:paraId="6E868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50" w:type="pct"/>
            <w:tcBorders>
              <w:tl2br w:val="nil"/>
              <w:tr2bl w:val="nil"/>
            </w:tcBorders>
            <w:noWrap w:val="0"/>
            <w:vAlign w:val="center"/>
          </w:tcPr>
          <w:p w14:paraId="41C9D74B">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w:t>
            </w:r>
          </w:p>
        </w:tc>
        <w:tc>
          <w:tcPr>
            <w:tcW w:w="1807" w:type="pct"/>
            <w:tcBorders>
              <w:tl2br w:val="nil"/>
              <w:tr2bl w:val="nil"/>
            </w:tcBorders>
            <w:noWrap w:val="0"/>
            <w:vAlign w:val="center"/>
          </w:tcPr>
          <w:p w14:paraId="0DA511F8">
            <w:pPr>
              <w:widowControl/>
              <w:spacing w:line="240" w:lineRule="atLeast"/>
              <w:ind w:firstLine="0" w:firstLineChars="0"/>
              <w:jc w:val="center"/>
              <w:rPr>
                <w:rFonts w:hint="default" w:ascii="Times New Roman" w:hAnsi="Times New Roman" w:cs="Times New Roman"/>
                <w:color w:val="auto"/>
                <w:kern w:val="0"/>
                <w:sz w:val="21"/>
                <w:szCs w:val="21"/>
              </w:rPr>
            </w:pPr>
            <w:bookmarkStart w:id="290" w:name="OLE_LINK683"/>
            <w:bookmarkStart w:id="291" w:name="OLE_LINK682"/>
            <w:r>
              <w:rPr>
                <w:rFonts w:hint="default" w:ascii="Times New Roman" w:hAnsi="Times New Roman" w:cs="Times New Roman"/>
                <w:color w:val="auto"/>
                <w:kern w:val="0"/>
                <w:sz w:val="21"/>
                <w:szCs w:val="21"/>
              </w:rPr>
              <w:t>留矿全面嗣后充填采矿法</w:t>
            </w:r>
            <w:bookmarkEnd w:id="290"/>
            <w:bookmarkEnd w:id="291"/>
          </w:p>
        </w:tc>
        <w:tc>
          <w:tcPr>
            <w:tcW w:w="2341" w:type="pct"/>
            <w:tcBorders>
              <w:tl2br w:val="nil"/>
              <w:tr2bl w:val="nil"/>
            </w:tcBorders>
            <w:noWrap w:val="0"/>
            <w:vAlign w:val="center"/>
          </w:tcPr>
          <w:p w14:paraId="0DF554A7">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19</w:t>
            </w:r>
          </w:p>
        </w:tc>
      </w:tr>
      <w:tr w14:paraId="5E799A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50" w:type="pct"/>
            <w:tcBorders>
              <w:tl2br w:val="nil"/>
              <w:tr2bl w:val="nil"/>
            </w:tcBorders>
            <w:noWrap w:val="0"/>
            <w:vAlign w:val="center"/>
          </w:tcPr>
          <w:p w14:paraId="6BE33EA8">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w:t>
            </w:r>
          </w:p>
        </w:tc>
        <w:tc>
          <w:tcPr>
            <w:tcW w:w="1807" w:type="pct"/>
            <w:tcBorders>
              <w:tl2br w:val="nil"/>
              <w:tr2bl w:val="nil"/>
            </w:tcBorders>
            <w:noWrap w:val="0"/>
            <w:vAlign w:val="center"/>
          </w:tcPr>
          <w:p w14:paraId="735ACAA3">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房柱嗣后充填矿法</w:t>
            </w:r>
          </w:p>
        </w:tc>
        <w:tc>
          <w:tcPr>
            <w:tcW w:w="2341" w:type="pct"/>
            <w:tcBorders>
              <w:tl2br w:val="nil"/>
              <w:tr2bl w:val="nil"/>
            </w:tcBorders>
            <w:noWrap w:val="0"/>
            <w:vAlign w:val="center"/>
          </w:tcPr>
          <w:p w14:paraId="7E81D27C">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32</w:t>
            </w:r>
          </w:p>
        </w:tc>
      </w:tr>
      <w:tr w14:paraId="0440F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50" w:type="pct"/>
            <w:tcBorders>
              <w:tl2br w:val="nil"/>
              <w:tr2bl w:val="nil"/>
            </w:tcBorders>
            <w:noWrap w:val="0"/>
            <w:vAlign w:val="center"/>
          </w:tcPr>
          <w:p w14:paraId="7129C54B">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4</w:t>
            </w:r>
          </w:p>
        </w:tc>
        <w:tc>
          <w:tcPr>
            <w:tcW w:w="1807" w:type="pct"/>
            <w:tcBorders>
              <w:tl2br w:val="nil"/>
              <w:tr2bl w:val="nil"/>
            </w:tcBorders>
            <w:noWrap w:val="0"/>
            <w:vAlign w:val="center"/>
          </w:tcPr>
          <w:p w14:paraId="77AB2401">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分段空场嗣后充填采矿法</w:t>
            </w:r>
          </w:p>
        </w:tc>
        <w:tc>
          <w:tcPr>
            <w:tcW w:w="2341" w:type="pct"/>
            <w:tcBorders>
              <w:tl2br w:val="nil"/>
              <w:tr2bl w:val="nil"/>
            </w:tcBorders>
            <w:noWrap w:val="0"/>
            <w:vAlign w:val="center"/>
          </w:tcPr>
          <w:p w14:paraId="08460B3A">
            <w:pPr>
              <w:widowControl/>
              <w:spacing w:line="240" w:lineRule="atLeast"/>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29</w:t>
            </w:r>
          </w:p>
        </w:tc>
      </w:tr>
    </w:tbl>
    <w:p w14:paraId="2A46D11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rPr>
      </w:pPr>
      <w:bookmarkStart w:id="292" w:name="_Toc14856"/>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全面嗣后充填采矿法</w:t>
      </w:r>
    </w:p>
    <w:p w14:paraId="618E2AD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293" w:name="OLE_LINK686"/>
      <w:bookmarkStart w:id="294" w:name="OLE_LINK687"/>
      <w:r>
        <w:rPr>
          <w:rFonts w:hint="default" w:ascii="Times New Roman" w:hAnsi="Times New Roman" w:eastAsia="宋体" w:cs="Times New Roman"/>
          <w:color w:val="auto"/>
          <w:sz w:val="24"/>
          <w:szCs w:val="24"/>
        </w:rPr>
        <w:t>1）</w:t>
      </w:r>
      <w:bookmarkEnd w:id="293"/>
      <w:bookmarkEnd w:id="294"/>
      <w:r>
        <w:rPr>
          <w:rFonts w:hint="default" w:ascii="Times New Roman" w:hAnsi="Times New Roman" w:eastAsia="宋体" w:cs="Times New Roman"/>
          <w:color w:val="auto"/>
          <w:sz w:val="24"/>
          <w:szCs w:val="24"/>
        </w:rPr>
        <w:t>矿块构成要素</w:t>
      </w:r>
    </w:p>
    <w:p w14:paraId="5858914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295" w:name="OLE_LINK652"/>
      <w:bookmarkStart w:id="296" w:name="OLE_LINK653"/>
      <w:bookmarkStart w:id="297" w:name="OLE_LINK649"/>
      <w:bookmarkStart w:id="298" w:name="OLE_LINK648"/>
      <w:r>
        <w:rPr>
          <w:rFonts w:hint="default" w:ascii="Times New Roman" w:hAnsi="Times New Roman" w:eastAsia="宋体" w:cs="Times New Roman"/>
          <w:color w:val="auto"/>
          <w:sz w:val="24"/>
          <w:szCs w:val="24"/>
        </w:rPr>
        <w:t>矿块沿走向布置，矿块长50m，中段高20m，顶柱高4m，间柱宽8.0m，底柱高4m。</w:t>
      </w:r>
      <w:bookmarkEnd w:id="295"/>
      <w:bookmarkEnd w:id="296"/>
      <w:r>
        <w:rPr>
          <w:rFonts w:hint="default" w:ascii="Times New Roman" w:hAnsi="Times New Roman" w:eastAsia="宋体" w:cs="Times New Roman"/>
          <w:color w:val="auto"/>
          <w:sz w:val="24"/>
          <w:szCs w:val="24"/>
        </w:rPr>
        <w:t>天井在间柱内沿矿体下盘布置。两矿块间以采准天井相隔，天井供行人、通风。</w:t>
      </w:r>
      <w:bookmarkEnd w:id="297"/>
      <w:bookmarkEnd w:id="298"/>
    </w:p>
    <w:p w14:paraId="50688F9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2）采准、切割工作</w:t>
      </w:r>
    </w:p>
    <w:p w14:paraId="057C285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天井在矿房两侧沿矿体下盘脉内布置，天井规格为2×2m。</w:t>
      </w:r>
    </w:p>
    <w:p w14:paraId="09982DA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矿块的切割工作主要是掘进拉底巷道和矿石溜井。拉底巷道高2m，宽度为矿体厚度，矿石溜井间距50m。沿走向布置时切割巷道宽为矿体的水平厚度，长为矿块走向长。天井掘进采用YSP-45型凿岩机。</w:t>
      </w:r>
    </w:p>
    <w:p w14:paraId="1D77502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3）矿房回采</w:t>
      </w:r>
    </w:p>
    <w:p w14:paraId="428F810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沿矿体走向推进，推进的工作面长度即为矿块的斜长。从矿块一侧的割上山向矿块的另一侧推进，工作面呈阶梯形布置，各阶梯长8～12m，阶段间超前距离为3～5m。</w:t>
      </w:r>
    </w:p>
    <w:p w14:paraId="0248D73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使用YT-28型凿岩机打上向倾斜炮孔，炸药采用粉状乳化炸药，孔深1.5m，排距1.0m，孔间距1.0m，药卷直径为32mm。采用非电导爆管激发枪起爆。采用电耙耙矿，用2DPJ-30型耙矿绞车将采场内采下的矿石耙至矿石溜井，矿石经溜井装入矿车。</w:t>
      </w:r>
    </w:p>
    <w:p w14:paraId="52E5D3B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4）采场支护</w:t>
      </w:r>
    </w:p>
    <w:p w14:paraId="45E4ECE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由于矿体厚度较薄，矿岩稳固，一般不需要支护。可将贫矿或部分低品位矿石留作矿柱支护顶板。</w:t>
      </w:r>
    </w:p>
    <w:p w14:paraId="1DB6522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5）矿柱回采</w:t>
      </w:r>
    </w:p>
    <w:p w14:paraId="349D8BC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采场间柱在矿房回采结束后，利用切割上山向间柱施工浅孔爆破，一次性爆破后采用电耙出矿，全部回收后进行充填作业。</w:t>
      </w:r>
    </w:p>
    <w:p w14:paraId="5EA6AE7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6）采空区充填</w:t>
      </w:r>
    </w:p>
    <w:p w14:paraId="436AC1D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299" w:name="OLE_LINK436"/>
      <w:r>
        <w:rPr>
          <w:rFonts w:hint="default" w:ascii="Times New Roman" w:hAnsi="Times New Roman" w:eastAsia="宋体" w:cs="Times New Roman"/>
          <w:color w:val="auto"/>
          <w:sz w:val="24"/>
          <w:szCs w:val="24"/>
        </w:rPr>
        <w:t>矿房回采结束后，立即进行胶结嗣后充填工作。充填工作开始前，先处理采场的通道。首先将通道封闭，封闭采用单墙封闭，墙体采用砌筑结构，墙面抹灰平整，无凹凸，四边接茬严实，无漏风。空区底部封堵墙下部还应留设2个规格为200mm×200mm的泄水孔，以满足充填泄水的需要，排出的水引至巷道排水沟。</w:t>
      </w:r>
      <w:bookmarkEnd w:id="299"/>
    </w:p>
    <w:p w14:paraId="7CB0D65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留矿全面嗣后充填采矿法</w:t>
      </w:r>
    </w:p>
    <w:p w14:paraId="2488174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1）矿块布置及构成要素</w:t>
      </w:r>
    </w:p>
    <w:p w14:paraId="5A44B0D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00" w:name="OLE_LINK659"/>
      <w:bookmarkStart w:id="301" w:name="OLE_LINK658"/>
      <w:r>
        <w:rPr>
          <w:rFonts w:hint="default" w:ascii="Times New Roman" w:hAnsi="Times New Roman" w:eastAsia="宋体" w:cs="Times New Roman"/>
          <w:color w:val="auto"/>
          <w:sz w:val="24"/>
          <w:szCs w:val="24"/>
        </w:rPr>
        <w:t>矿块沿矿体走向布置，中段高度为20～40m。矿块长度50m，宽为矿体厚，顶柱高3m，间柱宽8m，底柱高5m。间柱中有人行通风天井，规格为2×2m。</w:t>
      </w:r>
      <w:bookmarkEnd w:id="300"/>
      <w:bookmarkEnd w:id="301"/>
    </w:p>
    <w:p w14:paraId="319AA06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2）采准、切割工作</w:t>
      </w:r>
    </w:p>
    <w:p w14:paraId="19831ED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准切割工作是从中段运输平巷掘凿穿脉至矿体，沿矿体或矿体下盘边界掘凿沿脉平巷。在矿房两端沿矿体倾斜方向掘凿天井，在天井内掘联络道。在底柱上部从天井掘凿拉底巷道至矿房另一端，溜井靠近间柱布置，其下口与装矿横巷相通。</w:t>
      </w:r>
    </w:p>
    <w:p w14:paraId="4A6F2D4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3）矿房回采</w:t>
      </w:r>
    </w:p>
    <w:p w14:paraId="68DF35A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矿房内沿倾斜方向分三个梯段，采用YT-28型凿岩机打炮孔，采用非电导爆管起爆。采场崩落的矿石采用2DPJ-30型电耙直接耙至矿石漏斗，再经溜井装入矿车。</w:t>
      </w:r>
    </w:p>
    <w:p w14:paraId="7FF12B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每个采场每天进行安全检查、平撬、凿岩、爆破、通风、放矿等工序作业循环。</w:t>
      </w:r>
    </w:p>
    <w:p w14:paraId="6FBF56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拉底巷道从一侧天井开始向另一侧天井推进，后退式回采，到间柱界限为止。为了便于落矿和耙矿，采场内要形成2～3个梯段。为了安全，在岩石不稳固地段，留不规则矿柱或打锚杆进行支护，爆破后进行采场通风，人员进入采场时要先敲帮问顶，将浮石处理掉，然后用电耙将爆破后的部分矿石耙运至矿石溜井，为方便工人进行操作，留下部分矿石待采场采完后再大量出矿，利用矿房底柱及间柱支撑围岩。</w:t>
      </w:r>
    </w:p>
    <w:p w14:paraId="240469B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采场出矿分两个步骤，即局部出矿和采后的大量出矿。局部出矿的矿量，只要求留下的矿堆能保持必要的操作空间。局部出矿占崩落矿量的40%。余下的矿量待矿房回采结束后，在一定时间内尽快出完。</w:t>
      </w:r>
    </w:p>
    <w:p w14:paraId="22E81BE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4）采场通风</w:t>
      </w:r>
    </w:p>
    <w:p w14:paraId="7B8EB23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爆破完成后需对采场进行机械通风，及时排出爆破产生的有毒有害气体和粉尘。待采场内有害物质的浓度达到允许值后，工作人员方可进入作业面。新鲜风流由人行通风天井经联络道进入采场，污风由联络道及人行天井汇入回风巷，经回风井排出地表。每个采场配备1～2台局扇辅助通风。</w:t>
      </w:r>
    </w:p>
    <w:p w14:paraId="009150E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02" w:name="OLE_LINK515"/>
      <w:r>
        <w:rPr>
          <w:rFonts w:hint="default" w:ascii="Times New Roman" w:hAnsi="Times New Roman" w:eastAsia="宋体" w:cs="Times New Roman"/>
          <w:color w:val="auto"/>
          <w:sz w:val="24"/>
          <w:szCs w:val="24"/>
        </w:rPr>
        <w:t>5）</w:t>
      </w:r>
      <w:bookmarkEnd w:id="302"/>
      <w:r>
        <w:rPr>
          <w:rFonts w:hint="default" w:ascii="Times New Roman" w:hAnsi="Times New Roman" w:eastAsia="宋体" w:cs="Times New Roman"/>
          <w:color w:val="auto"/>
          <w:sz w:val="24"/>
          <w:szCs w:val="24"/>
        </w:rPr>
        <w:t>矿柱回采</w:t>
      </w:r>
    </w:p>
    <w:p w14:paraId="42E00AA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采场间柱在矿房回采结束后，利用人行通风天井向间柱施工浅孔爆破，一次性爆破后底部出矿，全部回收后进行充填作业。</w:t>
      </w:r>
    </w:p>
    <w:p w14:paraId="4856A7C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6）采空区充填</w:t>
      </w:r>
    </w:p>
    <w:p w14:paraId="6A0570E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回采结束后，立即进行胶结嗣后充填工作。充填工作开始前，先处理采场的通道。首先将通道封闭，封闭采用单墙封闭，墙体采用砌筑结构，墙面抹灰平整，无凹凸，四边接茬严实，无漏风。空区底部封堵墙下部还应留设2个规格为200mm×200mm的泄水孔，以满足充填泄水的需要，排出的水引至巷道排水沟。</w:t>
      </w:r>
    </w:p>
    <w:p w14:paraId="2F33ABD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房柱嗣后充填采矿法</w:t>
      </w:r>
    </w:p>
    <w:p w14:paraId="183C738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1）矿块构成要素</w:t>
      </w:r>
    </w:p>
    <w:p w14:paraId="28F307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矿块沿走向布置，矿块长50m，中段高20m，顶柱宽5m，间柱宽8.0m，底柱高5m。每11～12m划分为1个矿房，矿柱采用方形矿柱，规格为3m×4m。</w:t>
      </w:r>
    </w:p>
    <w:p w14:paraId="6D3DBB7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2）采准、切割工作</w:t>
      </w:r>
    </w:p>
    <w:p w14:paraId="5CE1560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准工作有人行通风天井和矿石溜井，天井在矿房两侧沿矿体下盘脉内布置，规格为2×2m。两矿块间以采准天井相隔，天井供行人、通风。每11～12m布置一条矿石溜井。矿块的切割工作主要有掘进拉底巷道和切割上山。拉底巷道高2m，宽度为矿体厚度。切割上山在每个矿房中间沿底板脉内布置，电耙绞车硐室布置在切割上山下端部的上盘内。</w:t>
      </w:r>
    </w:p>
    <w:p w14:paraId="721D4AC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3）矿房回采</w:t>
      </w:r>
    </w:p>
    <w:p w14:paraId="5E304C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矿房回采顺序是采用后退式，矿房回采顺序是从已采采区一侧向未采采区一侧逐一进行。</w:t>
      </w:r>
    </w:p>
    <w:p w14:paraId="19989EA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回采工作，当矿层厚度小于等于3m时一次全厚回采，大于3m时采用分层开采，回采时首先从切割上山与切割平巷交叉处开始，逆倾斜方向推进，工作面呈阶梯形。沿全矿房宽度推进，切割上山作为爆破的自由面。当开采矿层厚度大于3m时，采用分层开采，崩落矿石不用电耙出净，留一部分作为挑顶工作的工作台，在矿堆上进行浅孔凿岩、崩矿。</w:t>
      </w:r>
    </w:p>
    <w:p w14:paraId="1DC4936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凿岩选用YT-28型凿石机打上向倾斜炮孔，炸药采用粉状乳化炸药，孔深1.5m，排距1m，孔间距1.0m，药卷直径为32mm。采用非电导爆管激发枪起爆。采用电耙出矿，用2DPJ-30型耙矿绞车将采场内采下的矿石耙至矿石溜井，矿石经溜井装入矿车。</w:t>
      </w:r>
    </w:p>
    <w:p w14:paraId="149460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4）采场支护</w:t>
      </w:r>
    </w:p>
    <w:p w14:paraId="23D3E5E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在矿房内留有规则的矿柱来支护顶板。矿柱规格为3m×4m。随着回采的进行，会形成空区。为防止顶板暴露面积较大对采矿作业产生的影响，在开采过程中，</w:t>
      </w:r>
      <w:r>
        <w:rPr>
          <w:rFonts w:hint="eastAsia" w:ascii="Times New Roman" w:hAnsi="Times New Roman" w:cs="Times New Roman"/>
          <w:color w:val="auto"/>
          <w:sz w:val="24"/>
          <w:szCs w:val="24"/>
          <w:lang w:eastAsia="zh-CN"/>
        </w:rPr>
        <w:t>应</w:t>
      </w:r>
      <w:r>
        <w:rPr>
          <w:rFonts w:hint="default" w:ascii="Times New Roman" w:hAnsi="Times New Roman" w:eastAsia="宋体" w:cs="Times New Roman"/>
          <w:color w:val="auto"/>
          <w:sz w:val="24"/>
          <w:szCs w:val="24"/>
        </w:rPr>
        <w:t>严格按照设计要求留设足够的矿柱，采后对采空区有效的管理。</w:t>
      </w:r>
    </w:p>
    <w:p w14:paraId="65D96DB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5）矿柱回采</w:t>
      </w:r>
    </w:p>
    <w:p w14:paraId="0A9E8DC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采场间柱在矿房回采结束后，利用切割上山向间柱施工浅孔爆破，一次性爆破后采用电耙出矿，全部回收后进行充填作业。</w:t>
      </w:r>
    </w:p>
    <w:p w14:paraId="7D83988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6）采空区充填</w:t>
      </w:r>
    </w:p>
    <w:p w14:paraId="6F1E9DE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回采结束后，立即进行胶结嗣后充填工作。充填工作开始前，先处理采场的通道。首先将通道封闭，封闭采用单墙封闭，墙体采用砌筑结构，墙面抹灰平整，无凹凸，四边接茬严实，无漏风。空区底部封堵墙下部还应留设2个规格为200mm×200mm的泄水孔，以满足充填泄水的需要，排出的水引至巷道排水沟。</w:t>
      </w:r>
    </w:p>
    <w:p w14:paraId="102423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分段空场嗣后充填采矿法</w:t>
      </w:r>
    </w:p>
    <w:p w14:paraId="78B230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1）矿块构成要素</w:t>
      </w:r>
    </w:p>
    <w:p w14:paraId="1968A33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矿块沿走向布置，矿块长度为50m，矿块宽度为矿体厚度，阶段高度为20～40m，底柱高度为7.0m，间柱宽8.0m，顶柱高5.0m。分段高度7.5m。</w:t>
      </w:r>
    </w:p>
    <w:p w14:paraId="5B03119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2）矿块采准、切割工作</w:t>
      </w:r>
    </w:p>
    <w:p w14:paraId="2793A6D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采准工作从穿脉巷道开始，掘至矿体顶板。在间柱中间位置掘通风行人天井，至每个分段位置沿走向掘凿岩平巷。</w:t>
      </w:r>
    </w:p>
    <w:p w14:paraId="5A4A13B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切割工作包括</w:t>
      </w:r>
      <w:r>
        <w:rPr>
          <w:rFonts w:hint="eastAsia" w:ascii="Times New Roman" w:hAnsi="Times New Roman" w:cs="Times New Roman"/>
          <w:color w:val="auto"/>
          <w:sz w:val="24"/>
          <w:szCs w:val="24"/>
          <w:lang w:eastAsia="zh-CN"/>
        </w:rPr>
        <w:t>两部分</w:t>
      </w:r>
      <w:r>
        <w:rPr>
          <w:rFonts w:hint="default" w:ascii="Times New Roman" w:hAnsi="Times New Roman" w:eastAsia="宋体" w:cs="Times New Roman"/>
          <w:color w:val="auto"/>
          <w:sz w:val="24"/>
          <w:szCs w:val="24"/>
        </w:rPr>
        <w:t>：一是切割堑沟。切割平巷（也是第一分段凿岩巷）先形成。切割堑沟是伴随回采逐渐形成的。二是切割立槽。切割立井是自切割平巷中间向上掘3×3m立井，在每个分段中有横向，在横巷中自立井用中深孔爆破形成立槽。</w:t>
      </w:r>
    </w:p>
    <w:p w14:paraId="1B9325A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3）矿房回采工艺</w:t>
      </w:r>
    </w:p>
    <w:p w14:paraId="039C9B6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回采凿岩采用YGZ-90型凿岩机钻凿中深孔，炮孔呈扇形布置，孔径65mm，孔深控制在15m左右。最小抵抗线1.8m，孔底距2.0～3.0m。采用乳化炸药爆破，非电雷管和导爆管起爆，采用双回路起爆网。</w:t>
      </w:r>
    </w:p>
    <w:p w14:paraId="7A7B392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分段爆破后矿石集中在堑沟中，沿走向布置时，矿房底部结构为堑沟，布置在矿体内下盘。出矿巷道布置下盘脉外与脉外运输平巷相联络。在分段巷道内钻凿扇形中深孔。以矿房中央的切割天井、切割立槽为自由面，向矿房两翼后退式爆破，崩落的矿石经溜井装入矿车。</w:t>
      </w:r>
    </w:p>
    <w:p w14:paraId="58A5B67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4）顶板管理</w:t>
      </w:r>
    </w:p>
    <w:p w14:paraId="549E703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在回采过程中，采场顶板管理利用阶段顶柱和间柱支撑围岩，对于不稳定的局部上盘围岩地段，采用喷锚加固进行支撑。</w:t>
      </w:r>
    </w:p>
    <w:p w14:paraId="41235F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5）矿柱回采</w:t>
      </w:r>
    </w:p>
    <w:p w14:paraId="215C3B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采场间柱在矿房回采结束后，利用人行通风天井向间柱施工浅孔爆破，一次性爆破后底部出矿，全部回收后进行充填作业。</w:t>
      </w:r>
    </w:p>
    <w:p w14:paraId="7223285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6）采空区充填</w:t>
      </w:r>
    </w:p>
    <w:p w14:paraId="34B7E6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房回采结束后，立即进行胶结嗣后充填工作。充填工作开始前，先处理采场的通道。首先将通道封闭，封闭采用单墙封闭，墙体采用砌筑结构，墙面抹灰平整，无凹凸，四边接茬严实，无漏风。空区底部封堵墙下部还应留设2个规格为200mm×200mm的泄水孔，以满足充填泄水的需要，排出的水引至巷道排水沟。</w:t>
      </w:r>
    </w:p>
    <w:p w14:paraId="072649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lang w:eastAsia="zh-CN"/>
        </w:rPr>
        <w:t>）技术经济指标</w:t>
      </w:r>
      <w:bookmarkEnd w:id="292"/>
    </w:p>
    <w:p w14:paraId="400087CD">
      <w:pPr>
        <w:pStyle w:val="29"/>
        <w:keepNext w:val="0"/>
        <w:keepLines w:val="0"/>
        <w:pageBreakBefore w:val="0"/>
        <w:widowControl w:val="0"/>
        <w:kinsoku/>
        <w:wordWrap/>
        <w:overflowPunct/>
        <w:topLinePunct w:val="0"/>
        <w:autoSpaceDE/>
        <w:autoSpaceDN/>
        <w:bidi w:val="0"/>
        <w:adjustRightInd/>
        <w:snapToGrid/>
        <w:spacing w:line="480" w:lineRule="exact"/>
        <w:ind w:firstLine="0"/>
        <w:jc w:val="lef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主要技术经济指标见</w:t>
      </w:r>
      <w:r>
        <w:rPr>
          <w:rFonts w:hint="eastAsia" w:cs="Times New Roman"/>
          <w:color w:val="auto"/>
          <w:kern w:val="2"/>
          <w:sz w:val="24"/>
          <w:szCs w:val="24"/>
          <w:lang w:val="en-US" w:eastAsia="zh-CN" w:bidi="ar-SA"/>
        </w:rPr>
        <w:t>表</w:t>
      </w:r>
      <w:r>
        <w:rPr>
          <w:rFonts w:hint="default" w:ascii="Times New Roman" w:hAnsi="Times New Roman" w:eastAsia="宋体" w:cs="Times New Roman"/>
          <w:color w:val="auto"/>
          <w:kern w:val="2"/>
          <w:sz w:val="24"/>
          <w:szCs w:val="24"/>
          <w:lang w:val="en-US" w:eastAsia="zh-CN" w:bidi="ar-SA"/>
        </w:rPr>
        <w:t>3.3-3。</w:t>
      </w:r>
    </w:p>
    <w:p w14:paraId="6E4E47AF">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表3.3-3     主要技术经济指标表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2299"/>
        <w:gridCol w:w="1419"/>
        <w:gridCol w:w="1591"/>
        <w:gridCol w:w="2017"/>
      </w:tblGrid>
      <w:tr w14:paraId="67C67D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04" w:type="pct"/>
            <w:tcBorders>
              <w:tl2br w:val="nil"/>
              <w:tr2bl w:val="nil"/>
            </w:tcBorders>
            <w:noWrap w:val="0"/>
            <w:tcMar>
              <w:top w:w="15" w:type="dxa"/>
              <w:left w:w="15" w:type="dxa"/>
              <w:bottom w:w="15" w:type="dxa"/>
              <w:right w:w="15" w:type="dxa"/>
            </w:tcMar>
            <w:vAlign w:val="center"/>
          </w:tcPr>
          <w:p w14:paraId="05A625D4">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1379" w:type="pct"/>
            <w:tcBorders>
              <w:tl2br w:val="nil"/>
              <w:tr2bl w:val="nil"/>
            </w:tcBorders>
            <w:noWrap w:val="0"/>
            <w:tcMar>
              <w:top w:w="15" w:type="dxa"/>
              <w:left w:w="15" w:type="dxa"/>
              <w:bottom w:w="15" w:type="dxa"/>
              <w:right w:w="15" w:type="dxa"/>
            </w:tcMar>
            <w:vAlign w:val="center"/>
          </w:tcPr>
          <w:p w14:paraId="23E5C6C4">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项  目</w:t>
            </w:r>
          </w:p>
        </w:tc>
        <w:tc>
          <w:tcPr>
            <w:tcW w:w="851" w:type="pct"/>
            <w:tcBorders>
              <w:tl2br w:val="nil"/>
              <w:tr2bl w:val="nil"/>
            </w:tcBorders>
            <w:noWrap w:val="0"/>
            <w:tcMar>
              <w:top w:w="15" w:type="dxa"/>
              <w:left w:w="15" w:type="dxa"/>
              <w:bottom w:w="15" w:type="dxa"/>
              <w:right w:w="15" w:type="dxa"/>
            </w:tcMar>
            <w:vAlign w:val="center"/>
          </w:tcPr>
          <w:p w14:paraId="51D814F3">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单位</w:t>
            </w:r>
          </w:p>
        </w:tc>
        <w:tc>
          <w:tcPr>
            <w:tcW w:w="954" w:type="pct"/>
            <w:tcBorders>
              <w:tl2br w:val="nil"/>
              <w:tr2bl w:val="nil"/>
            </w:tcBorders>
            <w:noWrap w:val="0"/>
            <w:tcMar>
              <w:top w:w="15" w:type="dxa"/>
              <w:left w:w="15" w:type="dxa"/>
              <w:bottom w:w="15" w:type="dxa"/>
              <w:right w:w="15" w:type="dxa"/>
            </w:tcMar>
            <w:vAlign w:val="center"/>
          </w:tcPr>
          <w:p w14:paraId="3475DB3D">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日产</w:t>
            </w:r>
          </w:p>
        </w:tc>
        <w:tc>
          <w:tcPr>
            <w:tcW w:w="1210" w:type="pct"/>
            <w:tcBorders>
              <w:tl2br w:val="nil"/>
              <w:tr2bl w:val="nil"/>
            </w:tcBorders>
            <w:noWrap w:val="0"/>
            <w:tcMar>
              <w:top w:w="15" w:type="dxa"/>
              <w:left w:w="15" w:type="dxa"/>
              <w:bottom w:w="15" w:type="dxa"/>
              <w:right w:w="15" w:type="dxa"/>
            </w:tcMar>
            <w:vAlign w:val="center"/>
          </w:tcPr>
          <w:p w14:paraId="1153DEB9">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年产</w:t>
            </w:r>
          </w:p>
        </w:tc>
      </w:tr>
      <w:tr w14:paraId="28C8D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04" w:type="pct"/>
            <w:tcBorders>
              <w:tl2br w:val="nil"/>
              <w:tr2bl w:val="nil"/>
            </w:tcBorders>
            <w:noWrap w:val="0"/>
            <w:tcMar>
              <w:top w:w="15" w:type="dxa"/>
              <w:left w:w="15" w:type="dxa"/>
              <w:bottom w:w="15" w:type="dxa"/>
              <w:right w:w="15" w:type="dxa"/>
            </w:tcMar>
            <w:vAlign w:val="center"/>
          </w:tcPr>
          <w:p w14:paraId="428C9ADA">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w:t>
            </w:r>
          </w:p>
        </w:tc>
        <w:tc>
          <w:tcPr>
            <w:tcW w:w="1379" w:type="pct"/>
            <w:tcBorders>
              <w:tl2br w:val="nil"/>
              <w:tr2bl w:val="nil"/>
            </w:tcBorders>
            <w:noWrap w:val="0"/>
            <w:tcMar>
              <w:top w:w="15" w:type="dxa"/>
              <w:left w:w="15" w:type="dxa"/>
              <w:bottom w:w="15" w:type="dxa"/>
              <w:right w:w="15" w:type="dxa"/>
            </w:tcMar>
            <w:vAlign w:val="center"/>
          </w:tcPr>
          <w:p w14:paraId="64A18F8B">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产量分配</w:t>
            </w:r>
          </w:p>
        </w:tc>
        <w:tc>
          <w:tcPr>
            <w:tcW w:w="851" w:type="pct"/>
            <w:tcBorders>
              <w:tl2br w:val="nil"/>
              <w:tr2bl w:val="nil"/>
            </w:tcBorders>
            <w:noWrap w:val="0"/>
            <w:tcMar>
              <w:top w:w="15" w:type="dxa"/>
              <w:left w:w="15" w:type="dxa"/>
              <w:bottom w:w="15" w:type="dxa"/>
              <w:right w:w="15" w:type="dxa"/>
            </w:tcMar>
            <w:vAlign w:val="center"/>
          </w:tcPr>
          <w:p w14:paraId="15867DA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t</w:t>
            </w:r>
          </w:p>
        </w:tc>
        <w:tc>
          <w:tcPr>
            <w:tcW w:w="954" w:type="pct"/>
            <w:tcBorders>
              <w:tl2br w:val="nil"/>
              <w:tr2bl w:val="nil"/>
            </w:tcBorders>
            <w:noWrap w:val="0"/>
            <w:tcMar>
              <w:top w:w="15" w:type="dxa"/>
              <w:left w:w="15" w:type="dxa"/>
              <w:bottom w:w="15" w:type="dxa"/>
              <w:right w:w="15" w:type="dxa"/>
            </w:tcMar>
            <w:vAlign w:val="center"/>
          </w:tcPr>
          <w:p w14:paraId="2CEF1122">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1200 </w:t>
            </w:r>
          </w:p>
        </w:tc>
        <w:tc>
          <w:tcPr>
            <w:tcW w:w="1210" w:type="pct"/>
            <w:tcBorders>
              <w:tl2br w:val="nil"/>
              <w:tr2bl w:val="nil"/>
            </w:tcBorders>
            <w:noWrap w:val="0"/>
            <w:tcMar>
              <w:top w:w="15" w:type="dxa"/>
              <w:left w:w="15" w:type="dxa"/>
              <w:bottom w:w="15" w:type="dxa"/>
              <w:right w:w="15" w:type="dxa"/>
            </w:tcMar>
            <w:vAlign w:val="center"/>
          </w:tcPr>
          <w:p w14:paraId="7A908692">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300000</w:t>
            </w:r>
          </w:p>
        </w:tc>
      </w:tr>
      <w:tr w14:paraId="16D428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04" w:type="pct"/>
            <w:tcBorders>
              <w:tl2br w:val="nil"/>
              <w:tr2bl w:val="nil"/>
            </w:tcBorders>
            <w:noWrap w:val="0"/>
            <w:tcMar>
              <w:top w:w="15" w:type="dxa"/>
              <w:left w:w="15" w:type="dxa"/>
              <w:bottom w:w="15" w:type="dxa"/>
              <w:right w:w="15" w:type="dxa"/>
            </w:tcMar>
            <w:vAlign w:val="center"/>
          </w:tcPr>
          <w:p w14:paraId="110D0E6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①</w:t>
            </w:r>
          </w:p>
        </w:tc>
        <w:tc>
          <w:tcPr>
            <w:tcW w:w="1379" w:type="pct"/>
            <w:tcBorders>
              <w:tl2br w:val="nil"/>
              <w:tr2bl w:val="nil"/>
            </w:tcBorders>
            <w:noWrap w:val="0"/>
            <w:tcMar>
              <w:top w:w="15" w:type="dxa"/>
              <w:left w:w="15" w:type="dxa"/>
              <w:bottom w:w="15" w:type="dxa"/>
              <w:right w:w="15" w:type="dxa"/>
            </w:tcMar>
            <w:vAlign w:val="center"/>
          </w:tcPr>
          <w:p w14:paraId="3790A54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采准、切割</w:t>
            </w:r>
          </w:p>
        </w:tc>
        <w:tc>
          <w:tcPr>
            <w:tcW w:w="851" w:type="pct"/>
            <w:tcBorders>
              <w:tl2br w:val="nil"/>
              <w:tr2bl w:val="nil"/>
            </w:tcBorders>
            <w:noWrap w:val="0"/>
            <w:tcMar>
              <w:top w:w="15" w:type="dxa"/>
              <w:left w:w="15" w:type="dxa"/>
              <w:bottom w:w="15" w:type="dxa"/>
              <w:right w:w="15" w:type="dxa"/>
            </w:tcMar>
            <w:vAlign w:val="center"/>
          </w:tcPr>
          <w:p w14:paraId="69DC2F04">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t</w:t>
            </w:r>
          </w:p>
        </w:tc>
        <w:tc>
          <w:tcPr>
            <w:tcW w:w="954" w:type="pct"/>
            <w:tcBorders>
              <w:tl2br w:val="nil"/>
              <w:tr2bl w:val="nil"/>
            </w:tcBorders>
            <w:noWrap w:val="0"/>
            <w:tcMar>
              <w:top w:w="15" w:type="dxa"/>
              <w:left w:w="15" w:type="dxa"/>
              <w:bottom w:w="15" w:type="dxa"/>
              <w:right w:w="15" w:type="dxa"/>
            </w:tcMar>
            <w:vAlign w:val="center"/>
          </w:tcPr>
          <w:p w14:paraId="550D39ED">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58.8</w:t>
            </w:r>
          </w:p>
        </w:tc>
        <w:tc>
          <w:tcPr>
            <w:tcW w:w="1210" w:type="pct"/>
            <w:tcBorders>
              <w:tl2br w:val="nil"/>
              <w:tr2bl w:val="nil"/>
            </w:tcBorders>
            <w:noWrap w:val="0"/>
            <w:tcMar>
              <w:top w:w="15" w:type="dxa"/>
              <w:left w:w="15" w:type="dxa"/>
              <w:bottom w:w="15" w:type="dxa"/>
              <w:right w:w="15" w:type="dxa"/>
            </w:tcMar>
            <w:vAlign w:val="center"/>
          </w:tcPr>
          <w:p w14:paraId="73E57F1F">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14700</w:t>
            </w:r>
          </w:p>
        </w:tc>
      </w:tr>
      <w:tr w14:paraId="401974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04" w:type="pct"/>
            <w:tcBorders>
              <w:tl2br w:val="nil"/>
              <w:tr2bl w:val="nil"/>
            </w:tcBorders>
            <w:noWrap w:val="0"/>
            <w:tcMar>
              <w:top w:w="15" w:type="dxa"/>
              <w:left w:w="15" w:type="dxa"/>
              <w:bottom w:w="15" w:type="dxa"/>
              <w:right w:w="15" w:type="dxa"/>
            </w:tcMar>
            <w:vAlign w:val="center"/>
          </w:tcPr>
          <w:p w14:paraId="7CF2D90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②</w:t>
            </w:r>
          </w:p>
        </w:tc>
        <w:tc>
          <w:tcPr>
            <w:tcW w:w="1379" w:type="pct"/>
            <w:tcBorders>
              <w:tl2br w:val="nil"/>
              <w:tr2bl w:val="nil"/>
            </w:tcBorders>
            <w:noWrap w:val="0"/>
            <w:tcMar>
              <w:top w:w="15" w:type="dxa"/>
              <w:left w:w="15" w:type="dxa"/>
              <w:bottom w:w="15" w:type="dxa"/>
              <w:right w:w="15" w:type="dxa"/>
            </w:tcMar>
            <w:vAlign w:val="center"/>
          </w:tcPr>
          <w:p w14:paraId="7FD8F8D5">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矿房</w:t>
            </w:r>
          </w:p>
        </w:tc>
        <w:tc>
          <w:tcPr>
            <w:tcW w:w="851" w:type="pct"/>
            <w:tcBorders>
              <w:tl2br w:val="nil"/>
              <w:tr2bl w:val="nil"/>
            </w:tcBorders>
            <w:noWrap w:val="0"/>
            <w:tcMar>
              <w:top w:w="15" w:type="dxa"/>
              <w:left w:w="15" w:type="dxa"/>
              <w:bottom w:w="15" w:type="dxa"/>
              <w:right w:w="15" w:type="dxa"/>
            </w:tcMar>
            <w:vAlign w:val="center"/>
          </w:tcPr>
          <w:p w14:paraId="413A4183">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t</w:t>
            </w:r>
          </w:p>
        </w:tc>
        <w:tc>
          <w:tcPr>
            <w:tcW w:w="954" w:type="pct"/>
            <w:tcBorders>
              <w:tl2br w:val="nil"/>
              <w:tr2bl w:val="nil"/>
            </w:tcBorders>
            <w:noWrap w:val="0"/>
            <w:tcMar>
              <w:top w:w="15" w:type="dxa"/>
              <w:left w:w="15" w:type="dxa"/>
              <w:bottom w:w="15" w:type="dxa"/>
              <w:right w:w="15" w:type="dxa"/>
            </w:tcMar>
            <w:vAlign w:val="center"/>
          </w:tcPr>
          <w:p w14:paraId="09EB545D">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 xml:space="preserve">1141.2 </w:t>
            </w:r>
          </w:p>
        </w:tc>
        <w:tc>
          <w:tcPr>
            <w:tcW w:w="1210" w:type="pct"/>
            <w:tcBorders>
              <w:tl2br w:val="nil"/>
              <w:tr2bl w:val="nil"/>
            </w:tcBorders>
            <w:noWrap w:val="0"/>
            <w:tcMar>
              <w:top w:w="15" w:type="dxa"/>
              <w:left w:w="15" w:type="dxa"/>
              <w:bottom w:w="15" w:type="dxa"/>
              <w:right w:w="15" w:type="dxa"/>
            </w:tcMar>
            <w:vAlign w:val="center"/>
          </w:tcPr>
          <w:p w14:paraId="3380F78F">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285300</w:t>
            </w:r>
          </w:p>
        </w:tc>
      </w:tr>
      <w:tr w14:paraId="646E19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04" w:type="pct"/>
            <w:tcBorders>
              <w:tl2br w:val="nil"/>
              <w:tr2bl w:val="nil"/>
            </w:tcBorders>
            <w:noWrap w:val="0"/>
            <w:tcMar>
              <w:top w:w="15" w:type="dxa"/>
              <w:left w:w="15" w:type="dxa"/>
              <w:bottom w:w="15" w:type="dxa"/>
              <w:right w:w="15" w:type="dxa"/>
            </w:tcMar>
            <w:vAlign w:val="center"/>
          </w:tcPr>
          <w:p w14:paraId="47CCCFD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二</w:t>
            </w:r>
          </w:p>
        </w:tc>
        <w:tc>
          <w:tcPr>
            <w:tcW w:w="1379" w:type="pct"/>
            <w:tcBorders>
              <w:tl2br w:val="nil"/>
              <w:tr2bl w:val="nil"/>
            </w:tcBorders>
            <w:noWrap w:val="0"/>
            <w:tcMar>
              <w:top w:w="15" w:type="dxa"/>
              <w:left w:w="15" w:type="dxa"/>
              <w:bottom w:w="15" w:type="dxa"/>
              <w:right w:w="15" w:type="dxa"/>
            </w:tcMar>
            <w:vAlign w:val="center"/>
          </w:tcPr>
          <w:p w14:paraId="068D00BB">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万吨掘采比</w:t>
            </w:r>
          </w:p>
        </w:tc>
        <w:tc>
          <w:tcPr>
            <w:tcW w:w="851" w:type="pct"/>
            <w:tcBorders>
              <w:tl2br w:val="nil"/>
              <w:tr2bl w:val="nil"/>
            </w:tcBorders>
            <w:noWrap w:val="0"/>
            <w:tcMar>
              <w:top w:w="15" w:type="dxa"/>
              <w:left w:w="15" w:type="dxa"/>
              <w:bottom w:w="15" w:type="dxa"/>
              <w:right w:w="15" w:type="dxa"/>
            </w:tcMar>
            <w:vAlign w:val="center"/>
          </w:tcPr>
          <w:p w14:paraId="62D1376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m/万t</w:t>
            </w:r>
          </w:p>
        </w:tc>
        <w:tc>
          <w:tcPr>
            <w:tcW w:w="2164" w:type="pct"/>
            <w:gridSpan w:val="2"/>
            <w:tcBorders>
              <w:tl2br w:val="nil"/>
              <w:tr2bl w:val="nil"/>
            </w:tcBorders>
            <w:noWrap w:val="0"/>
            <w:tcMar>
              <w:top w:w="15" w:type="dxa"/>
              <w:left w:w="15" w:type="dxa"/>
              <w:bottom w:w="15" w:type="dxa"/>
              <w:right w:w="15" w:type="dxa"/>
            </w:tcMar>
            <w:vAlign w:val="center"/>
          </w:tcPr>
          <w:p w14:paraId="49DB5EE4">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320</w:t>
            </w:r>
          </w:p>
        </w:tc>
      </w:tr>
      <w:tr w14:paraId="22AC6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04" w:type="pct"/>
            <w:tcBorders>
              <w:tl2br w:val="nil"/>
              <w:tr2bl w:val="nil"/>
            </w:tcBorders>
            <w:noWrap w:val="0"/>
            <w:tcMar>
              <w:top w:w="15" w:type="dxa"/>
              <w:left w:w="15" w:type="dxa"/>
              <w:bottom w:w="15" w:type="dxa"/>
              <w:right w:w="15" w:type="dxa"/>
            </w:tcMar>
            <w:vAlign w:val="center"/>
          </w:tcPr>
          <w:p w14:paraId="749895D2">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1379" w:type="pct"/>
            <w:tcBorders>
              <w:tl2br w:val="nil"/>
              <w:tr2bl w:val="nil"/>
            </w:tcBorders>
            <w:noWrap w:val="0"/>
            <w:tcMar>
              <w:top w:w="15" w:type="dxa"/>
              <w:left w:w="15" w:type="dxa"/>
              <w:bottom w:w="15" w:type="dxa"/>
              <w:right w:w="15" w:type="dxa"/>
            </w:tcMar>
            <w:vAlign w:val="center"/>
          </w:tcPr>
          <w:p w14:paraId="65F0F2E5">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开拓、探矿</w:t>
            </w:r>
          </w:p>
        </w:tc>
        <w:tc>
          <w:tcPr>
            <w:tcW w:w="851" w:type="pct"/>
            <w:tcBorders>
              <w:tl2br w:val="nil"/>
              <w:tr2bl w:val="nil"/>
            </w:tcBorders>
            <w:noWrap w:val="0"/>
            <w:tcMar>
              <w:top w:w="15" w:type="dxa"/>
              <w:left w:w="15" w:type="dxa"/>
              <w:bottom w:w="15" w:type="dxa"/>
              <w:right w:w="15" w:type="dxa"/>
            </w:tcMar>
            <w:vAlign w:val="center"/>
          </w:tcPr>
          <w:p w14:paraId="73C54CC0">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m/万t</w:t>
            </w:r>
          </w:p>
        </w:tc>
        <w:tc>
          <w:tcPr>
            <w:tcW w:w="2164" w:type="pct"/>
            <w:gridSpan w:val="2"/>
            <w:tcBorders>
              <w:tl2br w:val="nil"/>
              <w:tr2bl w:val="nil"/>
            </w:tcBorders>
            <w:noWrap w:val="0"/>
            <w:tcMar>
              <w:top w:w="15" w:type="dxa"/>
              <w:left w:w="15" w:type="dxa"/>
              <w:bottom w:w="15" w:type="dxa"/>
              <w:right w:w="15" w:type="dxa"/>
            </w:tcMar>
            <w:vAlign w:val="center"/>
          </w:tcPr>
          <w:p w14:paraId="2B669191">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150</w:t>
            </w:r>
          </w:p>
        </w:tc>
      </w:tr>
      <w:tr w14:paraId="7F956E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04" w:type="pct"/>
            <w:tcBorders>
              <w:tl2br w:val="nil"/>
              <w:tr2bl w:val="nil"/>
            </w:tcBorders>
            <w:noWrap w:val="0"/>
            <w:tcMar>
              <w:top w:w="15" w:type="dxa"/>
              <w:left w:w="15" w:type="dxa"/>
              <w:bottom w:w="15" w:type="dxa"/>
              <w:right w:w="15" w:type="dxa"/>
            </w:tcMar>
            <w:vAlign w:val="center"/>
          </w:tcPr>
          <w:p w14:paraId="7FC558C3">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1379" w:type="pct"/>
            <w:tcBorders>
              <w:tl2br w:val="nil"/>
              <w:tr2bl w:val="nil"/>
            </w:tcBorders>
            <w:noWrap w:val="0"/>
            <w:tcMar>
              <w:top w:w="15" w:type="dxa"/>
              <w:left w:w="15" w:type="dxa"/>
              <w:bottom w:w="15" w:type="dxa"/>
              <w:right w:w="15" w:type="dxa"/>
            </w:tcMar>
            <w:vAlign w:val="center"/>
          </w:tcPr>
          <w:p w14:paraId="4BEEADF7">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采切</w:t>
            </w:r>
          </w:p>
        </w:tc>
        <w:tc>
          <w:tcPr>
            <w:tcW w:w="851" w:type="pct"/>
            <w:tcBorders>
              <w:tl2br w:val="nil"/>
              <w:tr2bl w:val="nil"/>
            </w:tcBorders>
            <w:noWrap w:val="0"/>
            <w:tcMar>
              <w:top w:w="15" w:type="dxa"/>
              <w:left w:w="15" w:type="dxa"/>
              <w:bottom w:w="15" w:type="dxa"/>
              <w:right w:w="15" w:type="dxa"/>
            </w:tcMar>
            <w:vAlign w:val="center"/>
          </w:tcPr>
          <w:p w14:paraId="2E6A50C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m/万t</w:t>
            </w:r>
          </w:p>
        </w:tc>
        <w:tc>
          <w:tcPr>
            <w:tcW w:w="2164" w:type="pct"/>
            <w:gridSpan w:val="2"/>
            <w:tcBorders>
              <w:tl2br w:val="nil"/>
              <w:tr2bl w:val="nil"/>
            </w:tcBorders>
            <w:noWrap w:val="0"/>
            <w:tcMar>
              <w:top w:w="15" w:type="dxa"/>
              <w:left w:w="15" w:type="dxa"/>
              <w:bottom w:w="15" w:type="dxa"/>
              <w:right w:w="15" w:type="dxa"/>
            </w:tcMar>
            <w:vAlign w:val="center"/>
          </w:tcPr>
          <w:p w14:paraId="708C5822">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170</w:t>
            </w:r>
          </w:p>
        </w:tc>
      </w:tr>
      <w:tr w14:paraId="4A395E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04" w:type="pct"/>
            <w:tcBorders>
              <w:tl2br w:val="nil"/>
              <w:tr2bl w:val="nil"/>
            </w:tcBorders>
            <w:noWrap w:val="0"/>
            <w:tcMar>
              <w:top w:w="15" w:type="dxa"/>
              <w:left w:w="15" w:type="dxa"/>
              <w:bottom w:w="15" w:type="dxa"/>
              <w:right w:w="15" w:type="dxa"/>
            </w:tcMar>
            <w:vAlign w:val="center"/>
          </w:tcPr>
          <w:p w14:paraId="00BA7C7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三</w:t>
            </w:r>
          </w:p>
        </w:tc>
        <w:tc>
          <w:tcPr>
            <w:tcW w:w="1379" w:type="pct"/>
            <w:tcBorders>
              <w:tl2br w:val="nil"/>
              <w:tr2bl w:val="nil"/>
            </w:tcBorders>
            <w:noWrap w:val="0"/>
            <w:tcMar>
              <w:top w:w="15" w:type="dxa"/>
              <w:left w:w="15" w:type="dxa"/>
              <w:bottom w:w="15" w:type="dxa"/>
              <w:right w:w="15" w:type="dxa"/>
            </w:tcMar>
            <w:vAlign w:val="center"/>
          </w:tcPr>
          <w:p w14:paraId="7D40CA1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生产矿块数</w:t>
            </w:r>
          </w:p>
        </w:tc>
        <w:tc>
          <w:tcPr>
            <w:tcW w:w="851" w:type="pct"/>
            <w:tcBorders>
              <w:tl2br w:val="nil"/>
              <w:tr2bl w:val="nil"/>
            </w:tcBorders>
            <w:noWrap w:val="0"/>
            <w:tcMar>
              <w:top w:w="15" w:type="dxa"/>
              <w:left w:w="15" w:type="dxa"/>
              <w:bottom w:w="15" w:type="dxa"/>
              <w:right w:w="15" w:type="dxa"/>
            </w:tcMar>
            <w:vAlign w:val="center"/>
          </w:tcPr>
          <w:p w14:paraId="7B12B8A0">
            <w:pPr>
              <w:widowControl/>
              <w:spacing w:line="240" w:lineRule="atLeast"/>
              <w:ind w:firstLine="0" w:firstLineChars="0"/>
              <w:jc w:val="center"/>
              <w:rPr>
                <w:rFonts w:hint="default" w:ascii="Times New Roman" w:hAnsi="Times New Roman" w:eastAsia="宋体" w:cs="Times New Roman"/>
                <w:color w:val="auto"/>
                <w:kern w:val="0"/>
                <w:sz w:val="21"/>
                <w:szCs w:val="21"/>
              </w:rPr>
            </w:pPr>
          </w:p>
        </w:tc>
        <w:tc>
          <w:tcPr>
            <w:tcW w:w="2164" w:type="pct"/>
            <w:gridSpan w:val="2"/>
            <w:tcBorders>
              <w:tl2br w:val="nil"/>
              <w:tr2bl w:val="nil"/>
            </w:tcBorders>
            <w:noWrap w:val="0"/>
            <w:tcMar>
              <w:top w:w="15" w:type="dxa"/>
              <w:left w:w="15" w:type="dxa"/>
              <w:bottom w:w="15" w:type="dxa"/>
              <w:right w:w="15" w:type="dxa"/>
            </w:tcMar>
            <w:vAlign w:val="center"/>
          </w:tcPr>
          <w:p w14:paraId="49D1C646">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r>
      <w:tr w14:paraId="574511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04" w:type="pct"/>
            <w:tcBorders>
              <w:tl2br w:val="nil"/>
              <w:tr2bl w:val="nil"/>
            </w:tcBorders>
            <w:noWrap w:val="0"/>
            <w:tcMar>
              <w:top w:w="15" w:type="dxa"/>
              <w:left w:w="15" w:type="dxa"/>
              <w:bottom w:w="15" w:type="dxa"/>
              <w:right w:w="15" w:type="dxa"/>
            </w:tcMar>
            <w:vAlign w:val="center"/>
          </w:tcPr>
          <w:p w14:paraId="42C738BA">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四</w:t>
            </w:r>
          </w:p>
        </w:tc>
        <w:tc>
          <w:tcPr>
            <w:tcW w:w="1379" w:type="pct"/>
            <w:tcBorders>
              <w:tl2br w:val="nil"/>
              <w:tr2bl w:val="nil"/>
            </w:tcBorders>
            <w:noWrap w:val="0"/>
            <w:tcMar>
              <w:top w:w="15" w:type="dxa"/>
              <w:left w:w="15" w:type="dxa"/>
              <w:bottom w:w="15" w:type="dxa"/>
              <w:right w:w="15" w:type="dxa"/>
            </w:tcMar>
            <w:vAlign w:val="center"/>
          </w:tcPr>
          <w:p w14:paraId="28E06AEF">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采切工作矿块数</w:t>
            </w:r>
          </w:p>
        </w:tc>
        <w:tc>
          <w:tcPr>
            <w:tcW w:w="851" w:type="pct"/>
            <w:tcBorders>
              <w:tl2br w:val="nil"/>
              <w:tr2bl w:val="nil"/>
            </w:tcBorders>
            <w:noWrap w:val="0"/>
            <w:tcMar>
              <w:top w:w="15" w:type="dxa"/>
              <w:left w:w="15" w:type="dxa"/>
              <w:bottom w:w="15" w:type="dxa"/>
              <w:right w:w="15" w:type="dxa"/>
            </w:tcMar>
            <w:vAlign w:val="center"/>
          </w:tcPr>
          <w:p w14:paraId="43892A28">
            <w:pPr>
              <w:widowControl/>
              <w:spacing w:line="240" w:lineRule="atLeast"/>
              <w:ind w:firstLine="0" w:firstLineChars="0"/>
              <w:jc w:val="center"/>
              <w:rPr>
                <w:rFonts w:hint="default" w:ascii="Times New Roman" w:hAnsi="Times New Roman" w:eastAsia="宋体" w:cs="Times New Roman"/>
                <w:color w:val="auto"/>
                <w:kern w:val="0"/>
                <w:sz w:val="21"/>
                <w:szCs w:val="21"/>
              </w:rPr>
            </w:pPr>
          </w:p>
        </w:tc>
        <w:tc>
          <w:tcPr>
            <w:tcW w:w="2164" w:type="pct"/>
            <w:gridSpan w:val="2"/>
            <w:tcBorders>
              <w:tl2br w:val="nil"/>
              <w:tr2bl w:val="nil"/>
            </w:tcBorders>
            <w:noWrap w:val="0"/>
            <w:tcMar>
              <w:top w:w="15" w:type="dxa"/>
              <w:left w:w="15" w:type="dxa"/>
              <w:bottom w:w="15" w:type="dxa"/>
              <w:right w:w="15" w:type="dxa"/>
            </w:tcMar>
            <w:vAlign w:val="center"/>
          </w:tcPr>
          <w:p w14:paraId="7E04DDA7">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10</w:t>
            </w:r>
          </w:p>
        </w:tc>
      </w:tr>
      <w:tr w14:paraId="02269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04" w:type="pct"/>
            <w:tcBorders>
              <w:tl2br w:val="nil"/>
              <w:tr2bl w:val="nil"/>
            </w:tcBorders>
            <w:noWrap w:val="0"/>
            <w:tcMar>
              <w:top w:w="15" w:type="dxa"/>
              <w:left w:w="15" w:type="dxa"/>
              <w:bottom w:w="15" w:type="dxa"/>
              <w:right w:w="15" w:type="dxa"/>
            </w:tcMar>
            <w:vAlign w:val="center"/>
          </w:tcPr>
          <w:p w14:paraId="61684958">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五</w:t>
            </w:r>
          </w:p>
        </w:tc>
        <w:tc>
          <w:tcPr>
            <w:tcW w:w="1379" w:type="pct"/>
            <w:tcBorders>
              <w:tl2br w:val="nil"/>
              <w:tr2bl w:val="nil"/>
            </w:tcBorders>
            <w:noWrap w:val="0"/>
            <w:tcMar>
              <w:top w:w="15" w:type="dxa"/>
              <w:left w:w="15" w:type="dxa"/>
              <w:bottom w:w="15" w:type="dxa"/>
              <w:right w:w="15" w:type="dxa"/>
            </w:tcMar>
            <w:vAlign w:val="center"/>
          </w:tcPr>
          <w:p w14:paraId="08DF559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回采率</w:t>
            </w:r>
          </w:p>
        </w:tc>
        <w:tc>
          <w:tcPr>
            <w:tcW w:w="851" w:type="pct"/>
            <w:tcBorders>
              <w:tl2br w:val="nil"/>
              <w:tr2bl w:val="nil"/>
            </w:tcBorders>
            <w:noWrap w:val="0"/>
            <w:tcMar>
              <w:top w:w="15" w:type="dxa"/>
              <w:left w:w="15" w:type="dxa"/>
              <w:bottom w:w="15" w:type="dxa"/>
              <w:right w:w="15" w:type="dxa"/>
            </w:tcMar>
            <w:vAlign w:val="center"/>
          </w:tcPr>
          <w:p w14:paraId="5BA88C70">
            <w:pPr>
              <w:widowControl/>
              <w:spacing w:line="240" w:lineRule="atLeast"/>
              <w:ind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val="en-US" w:eastAsia="zh-CN"/>
              </w:rPr>
              <w:t>%</w:t>
            </w:r>
          </w:p>
        </w:tc>
        <w:tc>
          <w:tcPr>
            <w:tcW w:w="2164" w:type="pct"/>
            <w:gridSpan w:val="2"/>
            <w:tcBorders>
              <w:tl2br w:val="nil"/>
              <w:tr2bl w:val="nil"/>
            </w:tcBorders>
            <w:noWrap w:val="0"/>
            <w:tcMar>
              <w:top w:w="15" w:type="dxa"/>
              <w:left w:w="15" w:type="dxa"/>
              <w:bottom w:w="15" w:type="dxa"/>
              <w:right w:w="15" w:type="dxa"/>
            </w:tcMar>
            <w:vAlign w:val="center"/>
          </w:tcPr>
          <w:p w14:paraId="39F2FDBC">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85</w:t>
            </w:r>
          </w:p>
        </w:tc>
      </w:tr>
      <w:tr w14:paraId="14BE0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04" w:type="pct"/>
            <w:tcBorders>
              <w:tl2br w:val="nil"/>
              <w:tr2bl w:val="nil"/>
            </w:tcBorders>
            <w:noWrap w:val="0"/>
            <w:tcMar>
              <w:top w:w="15" w:type="dxa"/>
              <w:left w:w="15" w:type="dxa"/>
              <w:bottom w:w="15" w:type="dxa"/>
              <w:right w:w="15" w:type="dxa"/>
            </w:tcMar>
            <w:vAlign w:val="center"/>
          </w:tcPr>
          <w:p w14:paraId="2E93EDBA">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六</w:t>
            </w:r>
          </w:p>
        </w:tc>
        <w:tc>
          <w:tcPr>
            <w:tcW w:w="1379" w:type="pct"/>
            <w:tcBorders>
              <w:tl2br w:val="nil"/>
              <w:tr2bl w:val="nil"/>
            </w:tcBorders>
            <w:noWrap w:val="0"/>
            <w:tcMar>
              <w:top w:w="15" w:type="dxa"/>
              <w:left w:w="15" w:type="dxa"/>
              <w:bottom w:w="15" w:type="dxa"/>
              <w:right w:w="15" w:type="dxa"/>
            </w:tcMar>
            <w:vAlign w:val="center"/>
          </w:tcPr>
          <w:p w14:paraId="52EFD883">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贫化率</w:t>
            </w:r>
          </w:p>
        </w:tc>
        <w:tc>
          <w:tcPr>
            <w:tcW w:w="851" w:type="pct"/>
            <w:tcBorders>
              <w:tl2br w:val="nil"/>
              <w:tr2bl w:val="nil"/>
            </w:tcBorders>
            <w:noWrap w:val="0"/>
            <w:tcMar>
              <w:top w:w="15" w:type="dxa"/>
              <w:left w:w="15" w:type="dxa"/>
              <w:bottom w:w="15" w:type="dxa"/>
              <w:right w:w="15" w:type="dxa"/>
            </w:tcMar>
            <w:vAlign w:val="center"/>
          </w:tcPr>
          <w:p w14:paraId="33C67B1D">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w:t>
            </w:r>
          </w:p>
        </w:tc>
        <w:tc>
          <w:tcPr>
            <w:tcW w:w="2164" w:type="pct"/>
            <w:gridSpan w:val="2"/>
            <w:tcBorders>
              <w:tl2br w:val="nil"/>
              <w:tr2bl w:val="nil"/>
            </w:tcBorders>
            <w:noWrap w:val="0"/>
            <w:tcMar>
              <w:top w:w="15" w:type="dxa"/>
              <w:left w:w="15" w:type="dxa"/>
              <w:bottom w:w="15" w:type="dxa"/>
              <w:right w:w="15" w:type="dxa"/>
            </w:tcMar>
            <w:vAlign w:val="center"/>
          </w:tcPr>
          <w:p w14:paraId="056271BF">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w:t>
            </w:r>
          </w:p>
        </w:tc>
      </w:tr>
      <w:tr w14:paraId="51375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04" w:type="pct"/>
            <w:tcBorders>
              <w:tl2br w:val="nil"/>
              <w:tr2bl w:val="nil"/>
            </w:tcBorders>
            <w:noWrap w:val="0"/>
            <w:tcMar>
              <w:top w:w="15" w:type="dxa"/>
              <w:left w:w="15" w:type="dxa"/>
              <w:bottom w:w="15" w:type="dxa"/>
              <w:right w:w="15" w:type="dxa"/>
            </w:tcMar>
            <w:vAlign w:val="center"/>
          </w:tcPr>
          <w:p w14:paraId="6F43D38E">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七</w:t>
            </w:r>
          </w:p>
        </w:tc>
        <w:tc>
          <w:tcPr>
            <w:tcW w:w="1379" w:type="pct"/>
            <w:tcBorders>
              <w:tl2br w:val="nil"/>
              <w:tr2bl w:val="nil"/>
            </w:tcBorders>
            <w:noWrap w:val="0"/>
            <w:tcMar>
              <w:top w:w="15" w:type="dxa"/>
              <w:left w:w="15" w:type="dxa"/>
              <w:bottom w:w="15" w:type="dxa"/>
              <w:right w:w="15" w:type="dxa"/>
            </w:tcMar>
            <w:vAlign w:val="center"/>
          </w:tcPr>
          <w:p w14:paraId="5E1D3105">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副产率</w:t>
            </w:r>
          </w:p>
        </w:tc>
        <w:tc>
          <w:tcPr>
            <w:tcW w:w="851" w:type="pct"/>
            <w:tcBorders>
              <w:tl2br w:val="nil"/>
              <w:tr2bl w:val="nil"/>
            </w:tcBorders>
            <w:noWrap w:val="0"/>
            <w:tcMar>
              <w:top w:w="15" w:type="dxa"/>
              <w:left w:w="15" w:type="dxa"/>
              <w:bottom w:w="15" w:type="dxa"/>
              <w:right w:w="15" w:type="dxa"/>
            </w:tcMar>
            <w:vAlign w:val="center"/>
          </w:tcPr>
          <w:p w14:paraId="340244B9">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w:t>
            </w:r>
          </w:p>
        </w:tc>
        <w:tc>
          <w:tcPr>
            <w:tcW w:w="2164" w:type="pct"/>
            <w:gridSpan w:val="2"/>
            <w:tcBorders>
              <w:tl2br w:val="nil"/>
              <w:tr2bl w:val="nil"/>
            </w:tcBorders>
            <w:noWrap w:val="0"/>
            <w:tcMar>
              <w:top w:w="15" w:type="dxa"/>
              <w:left w:w="15" w:type="dxa"/>
              <w:bottom w:w="15" w:type="dxa"/>
              <w:right w:w="15" w:type="dxa"/>
            </w:tcMar>
            <w:vAlign w:val="center"/>
          </w:tcPr>
          <w:p w14:paraId="5E138518">
            <w:pPr>
              <w:widowControl/>
              <w:spacing w:line="240" w:lineRule="atLeas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5.4</w:t>
            </w:r>
          </w:p>
        </w:tc>
      </w:tr>
    </w:tbl>
    <w:p w14:paraId="304AD5B2">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3.3.1.4采掘设备</w:t>
      </w:r>
    </w:p>
    <w:p w14:paraId="05925B4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采矿主要设备表</w:t>
      </w:r>
      <w:r>
        <w:rPr>
          <w:rFonts w:hint="default" w:ascii="Times New Roman" w:hAnsi="Times New Roman" w:eastAsia="宋体" w:cs="Times New Roman"/>
          <w:color w:val="auto"/>
          <w:sz w:val="24"/>
          <w:szCs w:val="24"/>
          <w:lang w:val="en-US" w:eastAsia="zh-CN"/>
        </w:rPr>
        <w:t>见下表</w:t>
      </w:r>
      <w:r>
        <w:rPr>
          <w:rFonts w:hint="default" w:ascii="Times New Roman" w:hAnsi="Times New Roman" w:eastAsia="宋体" w:cs="Times New Roman"/>
          <w:color w:val="auto"/>
          <w:sz w:val="24"/>
          <w:szCs w:val="24"/>
        </w:rPr>
        <w:t>。</w:t>
      </w:r>
    </w:p>
    <w:p w14:paraId="4C58D069">
      <w:pPr>
        <w:ind w:left="0" w:leftChars="0"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表3.3-4    采矿主要设备表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997"/>
        <w:gridCol w:w="1048"/>
        <w:gridCol w:w="1050"/>
        <w:gridCol w:w="1062"/>
        <w:gridCol w:w="1362"/>
      </w:tblGrid>
      <w:tr w14:paraId="7AC35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5" w:type="pct"/>
            <w:vMerge w:val="restart"/>
            <w:tcBorders>
              <w:tl2br w:val="nil"/>
              <w:tr2bl w:val="nil"/>
            </w:tcBorders>
            <w:noWrap w:val="0"/>
            <w:vAlign w:val="center"/>
          </w:tcPr>
          <w:p w14:paraId="566272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设备名称及型号</w:t>
            </w:r>
          </w:p>
        </w:tc>
        <w:tc>
          <w:tcPr>
            <w:tcW w:w="1231" w:type="pct"/>
            <w:gridSpan w:val="2"/>
            <w:tcBorders>
              <w:tl2br w:val="nil"/>
              <w:tr2bl w:val="nil"/>
            </w:tcBorders>
            <w:noWrap w:val="0"/>
            <w:vAlign w:val="center"/>
          </w:tcPr>
          <w:p w14:paraId="0018DC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  量</w:t>
            </w:r>
          </w:p>
        </w:tc>
        <w:tc>
          <w:tcPr>
            <w:tcW w:w="623" w:type="pct"/>
            <w:vMerge w:val="restart"/>
            <w:tcBorders>
              <w:tl2br w:val="nil"/>
              <w:tr2bl w:val="nil"/>
            </w:tcBorders>
            <w:noWrap w:val="0"/>
            <w:vAlign w:val="center"/>
          </w:tcPr>
          <w:p w14:paraId="426C3B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799" w:type="pct"/>
            <w:vMerge w:val="restart"/>
            <w:tcBorders>
              <w:tl2br w:val="nil"/>
              <w:tr2bl w:val="nil"/>
            </w:tcBorders>
            <w:noWrap w:val="0"/>
            <w:vAlign w:val="center"/>
          </w:tcPr>
          <w:p w14:paraId="38DD7B0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电机功率（</w:t>
            </w:r>
            <w:r>
              <w:rPr>
                <w:rFonts w:hint="default" w:ascii="Times New Roman" w:hAnsi="Times New Roman" w:cs="Times New Roman"/>
                <w:color w:val="auto"/>
                <w:sz w:val="21"/>
                <w:szCs w:val="21"/>
                <w:lang w:eastAsia="zh-CN"/>
              </w:rPr>
              <w:t>kW</w:t>
            </w:r>
            <w:r>
              <w:rPr>
                <w:rFonts w:hint="default" w:ascii="Times New Roman" w:hAnsi="Times New Roman" w:eastAsia="宋体" w:cs="Times New Roman"/>
                <w:color w:val="auto"/>
                <w:sz w:val="21"/>
                <w:szCs w:val="21"/>
              </w:rPr>
              <w:t>）</w:t>
            </w:r>
          </w:p>
        </w:tc>
      </w:tr>
      <w:tr w14:paraId="46909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5" w:type="pct"/>
            <w:vMerge w:val="continue"/>
            <w:tcBorders>
              <w:tl2br w:val="nil"/>
              <w:tr2bl w:val="nil"/>
            </w:tcBorders>
            <w:noWrap w:val="0"/>
            <w:vAlign w:val="center"/>
          </w:tcPr>
          <w:p w14:paraId="6BB3CD9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15" w:type="pct"/>
            <w:tcBorders>
              <w:tl2br w:val="nil"/>
              <w:tr2bl w:val="nil"/>
            </w:tcBorders>
            <w:noWrap w:val="0"/>
            <w:vAlign w:val="center"/>
          </w:tcPr>
          <w:p w14:paraId="5A60D9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工作</w:t>
            </w:r>
          </w:p>
        </w:tc>
        <w:tc>
          <w:tcPr>
            <w:tcW w:w="616" w:type="pct"/>
            <w:tcBorders>
              <w:tl2br w:val="nil"/>
              <w:tr2bl w:val="nil"/>
            </w:tcBorders>
            <w:noWrap w:val="0"/>
            <w:vAlign w:val="center"/>
          </w:tcPr>
          <w:p w14:paraId="03B022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备用</w:t>
            </w:r>
          </w:p>
        </w:tc>
        <w:tc>
          <w:tcPr>
            <w:tcW w:w="623" w:type="pct"/>
            <w:vMerge w:val="continue"/>
            <w:tcBorders>
              <w:tl2br w:val="nil"/>
              <w:tr2bl w:val="nil"/>
            </w:tcBorders>
            <w:noWrap w:val="0"/>
            <w:vAlign w:val="center"/>
          </w:tcPr>
          <w:p w14:paraId="573667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799" w:type="pct"/>
            <w:vMerge w:val="continue"/>
            <w:tcBorders>
              <w:tl2br w:val="nil"/>
              <w:tr2bl w:val="nil"/>
            </w:tcBorders>
            <w:noWrap w:val="0"/>
            <w:vAlign w:val="center"/>
          </w:tcPr>
          <w:p w14:paraId="2AA8AC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r w14:paraId="4374BA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22B0C5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阿特拉斯K111</w:t>
            </w:r>
          </w:p>
        </w:tc>
        <w:tc>
          <w:tcPr>
            <w:tcW w:w="615" w:type="pct"/>
            <w:tcBorders>
              <w:tl2br w:val="nil"/>
              <w:tr2bl w:val="nil"/>
            </w:tcBorders>
            <w:noWrap w:val="0"/>
            <w:vAlign w:val="center"/>
          </w:tcPr>
          <w:p w14:paraId="620246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16" w:type="pct"/>
            <w:tcBorders>
              <w:tl2br w:val="nil"/>
              <w:tr2bl w:val="nil"/>
            </w:tcBorders>
            <w:noWrap w:val="0"/>
            <w:vAlign w:val="center"/>
          </w:tcPr>
          <w:p w14:paraId="1620D0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23" w:type="pct"/>
            <w:tcBorders>
              <w:tl2br w:val="nil"/>
              <w:tr2bl w:val="nil"/>
            </w:tcBorders>
            <w:noWrap w:val="0"/>
            <w:vAlign w:val="center"/>
          </w:tcPr>
          <w:p w14:paraId="23FBB9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799" w:type="pct"/>
            <w:tcBorders>
              <w:tl2br w:val="nil"/>
              <w:tr2bl w:val="nil"/>
            </w:tcBorders>
            <w:noWrap w:val="0"/>
            <w:vAlign w:val="center"/>
          </w:tcPr>
          <w:p w14:paraId="0EED2B1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w:t>
            </w:r>
          </w:p>
        </w:tc>
      </w:tr>
      <w:tr w14:paraId="48212D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4A450E6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sq-AL"/>
              </w:rPr>
              <w:t>AT2000型天井钻机</w:t>
            </w:r>
          </w:p>
        </w:tc>
        <w:tc>
          <w:tcPr>
            <w:tcW w:w="615" w:type="pct"/>
            <w:tcBorders>
              <w:tl2br w:val="nil"/>
              <w:tr2bl w:val="nil"/>
            </w:tcBorders>
            <w:noWrap w:val="0"/>
            <w:vAlign w:val="center"/>
          </w:tcPr>
          <w:p w14:paraId="18CC57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16" w:type="pct"/>
            <w:tcBorders>
              <w:tl2br w:val="nil"/>
              <w:tr2bl w:val="nil"/>
            </w:tcBorders>
            <w:noWrap w:val="0"/>
            <w:vAlign w:val="center"/>
          </w:tcPr>
          <w:p w14:paraId="49DF23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23" w:type="pct"/>
            <w:tcBorders>
              <w:tl2br w:val="nil"/>
              <w:tr2bl w:val="nil"/>
            </w:tcBorders>
            <w:noWrap w:val="0"/>
            <w:vAlign w:val="center"/>
          </w:tcPr>
          <w:p w14:paraId="76C25A1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99" w:type="pct"/>
            <w:tcBorders>
              <w:tl2br w:val="nil"/>
              <w:tr2bl w:val="nil"/>
            </w:tcBorders>
            <w:noWrap w:val="0"/>
            <w:vAlign w:val="center"/>
          </w:tcPr>
          <w:p w14:paraId="3D7756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149</w:t>
            </w:r>
          </w:p>
        </w:tc>
      </w:tr>
      <w:tr w14:paraId="105BA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092CEA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YGZ-90型凿岩机</w:t>
            </w:r>
          </w:p>
        </w:tc>
        <w:tc>
          <w:tcPr>
            <w:tcW w:w="615" w:type="pct"/>
            <w:tcBorders>
              <w:tl2br w:val="nil"/>
              <w:tr2bl w:val="nil"/>
            </w:tcBorders>
            <w:noWrap w:val="0"/>
            <w:vAlign w:val="center"/>
          </w:tcPr>
          <w:p w14:paraId="42E501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616" w:type="pct"/>
            <w:tcBorders>
              <w:tl2br w:val="nil"/>
              <w:tr2bl w:val="nil"/>
            </w:tcBorders>
            <w:noWrap w:val="0"/>
            <w:vAlign w:val="center"/>
          </w:tcPr>
          <w:p w14:paraId="64B445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23" w:type="pct"/>
            <w:tcBorders>
              <w:tl2br w:val="nil"/>
              <w:tr2bl w:val="nil"/>
            </w:tcBorders>
            <w:noWrap w:val="0"/>
            <w:vAlign w:val="center"/>
          </w:tcPr>
          <w:p w14:paraId="56430B6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799" w:type="pct"/>
            <w:tcBorders>
              <w:tl2br w:val="nil"/>
              <w:tr2bl w:val="nil"/>
            </w:tcBorders>
            <w:noWrap w:val="0"/>
            <w:vAlign w:val="center"/>
          </w:tcPr>
          <w:p w14:paraId="7C92C3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r w14:paraId="5A50CD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373BBD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YT-28型凿岩机</w:t>
            </w:r>
          </w:p>
        </w:tc>
        <w:tc>
          <w:tcPr>
            <w:tcW w:w="615" w:type="pct"/>
            <w:tcBorders>
              <w:tl2br w:val="nil"/>
              <w:tr2bl w:val="nil"/>
            </w:tcBorders>
            <w:noWrap w:val="0"/>
            <w:vAlign w:val="center"/>
          </w:tcPr>
          <w:p w14:paraId="5B47B5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616" w:type="pct"/>
            <w:tcBorders>
              <w:tl2br w:val="nil"/>
              <w:tr2bl w:val="nil"/>
            </w:tcBorders>
            <w:noWrap w:val="0"/>
            <w:vAlign w:val="center"/>
          </w:tcPr>
          <w:p w14:paraId="319042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623" w:type="pct"/>
            <w:tcBorders>
              <w:tl2br w:val="nil"/>
              <w:tr2bl w:val="nil"/>
            </w:tcBorders>
            <w:noWrap w:val="0"/>
            <w:vAlign w:val="center"/>
          </w:tcPr>
          <w:p w14:paraId="6FD5DC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799" w:type="pct"/>
            <w:tcBorders>
              <w:tl2br w:val="nil"/>
              <w:tr2bl w:val="nil"/>
            </w:tcBorders>
            <w:noWrap w:val="0"/>
            <w:vAlign w:val="center"/>
          </w:tcPr>
          <w:p w14:paraId="00F90D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r w14:paraId="613F1D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092B34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YSP-45凿岩机</w:t>
            </w:r>
          </w:p>
        </w:tc>
        <w:tc>
          <w:tcPr>
            <w:tcW w:w="615" w:type="pct"/>
            <w:tcBorders>
              <w:tl2br w:val="nil"/>
              <w:tr2bl w:val="nil"/>
            </w:tcBorders>
            <w:noWrap w:val="0"/>
            <w:vAlign w:val="center"/>
          </w:tcPr>
          <w:p w14:paraId="1E2E8D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616" w:type="pct"/>
            <w:tcBorders>
              <w:tl2br w:val="nil"/>
              <w:tr2bl w:val="nil"/>
            </w:tcBorders>
            <w:noWrap w:val="0"/>
            <w:vAlign w:val="center"/>
          </w:tcPr>
          <w:p w14:paraId="1BA1F5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23" w:type="pct"/>
            <w:tcBorders>
              <w:tl2br w:val="nil"/>
              <w:tr2bl w:val="nil"/>
            </w:tcBorders>
            <w:noWrap w:val="0"/>
            <w:vAlign w:val="center"/>
          </w:tcPr>
          <w:p w14:paraId="235ED4F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799" w:type="pct"/>
            <w:tcBorders>
              <w:tl2br w:val="nil"/>
              <w:tr2bl w:val="nil"/>
            </w:tcBorders>
            <w:noWrap w:val="0"/>
            <w:vAlign w:val="center"/>
          </w:tcPr>
          <w:p w14:paraId="729CEC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r w14:paraId="2C2F3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71F6B1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FK№4.5/11型局扇</w:t>
            </w:r>
          </w:p>
        </w:tc>
        <w:tc>
          <w:tcPr>
            <w:tcW w:w="615" w:type="pct"/>
            <w:tcBorders>
              <w:tl2br w:val="nil"/>
              <w:tr2bl w:val="nil"/>
            </w:tcBorders>
            <w:noWrap w:val="0"/>
            <w:vAlign w:val="center"/>
          </w:tcPr>
          <w:p w14:paraId="2134F8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616" w:type="pct"/>
            <w:tcBorders>
              <w:tl2br w:val="nil"/>
              <w:tr2bl w:val="nil"/>
            </w:tcBorders>
            <w:noWrap w:val="0"/>
            <w:vAlign w:val="center"/>
          </w:tcPr>
          <w:p w14:paraId="395D2E0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623" w:type="pct"/>
            <w:tcBorders>
              <w:tl2br w:val="nil"/>
              <w:tr2bl w:val="nil"/>
            </w:tcBorders>
            <w:noWrap w:val="0"/>
            <w:vAlign w:val="center"/>
          </w:tcPr>
          <w:p w14:paraId="2D242E4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799" w:type="pct"/>
            <w:tcBorders>
              <w:tl2br w:val="nil"/>
              <w:tr2bl w:val="nil"/>
            </w:tcBorders>
            <w:noWrap w:val="0"/>
            <w:vAlign w:val="center"/>
          </w:tcPr>
          <w:p w14:paraId="2099854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r>
      <w:tr w14:paraId="0059F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2F6871C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2DPJ-30型电耙</w:t>
            </w:r>
          </w:p>
        </w:tc>
        <w:tc>
          <w:tcPr>
            <w:tcW w:w="615" w:type="pct"/>
            <w:tcBorders>
              <w:tl2br w:val="nil"/>
              <w:tr2bl w:val="nil"/>
            </w:tcBorders>
            <w:noWrap w:val="0"/>
            <w:vAlign w:val="center"/>
          </w:tcPr>
          <w:p w14:paraId="69BC1EE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616" w:type="pct"/>
            <w:tcBorders>
              <w:tl2br w:val="nil"/>
              <w:tr2bl w:val="nil"/>
            </w:tcBorders>
            <w:noWrap w:val="0"/>
            <w:vAlign w:val="center"/>
          </w:tcPr>
          <w:p w14:paraId="645DDC6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23" w:type="pct"/>
            <w:tcBorders>
              <w:tl2br w:val="nil"/>
              <w:tr2bl w:val="nil"/>
            </w:tcBorders>
            <w:noWrap w:val="0"/>
            <w:vAlign w:val="center"/>
          </w:tcPr>
          <w:p w14:paraId="1B9D593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799" w:type="pct"/>
            <w:tcBorders>
              <w:tl2br w:val="nil"/>
              <w:tr2bl w:val="nil"/>
            </w:tcBorders>
            <w:noWrap w:val="0"/>
            <w:vAlign w:val="center"/>
          </w:tcPr>
          <w:p w14:paraId="121C03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r>
      <w:tr w14:paraId="7C39CB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3B43AD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ZL30A型装载机</w:t>
            </w:r>
          </w:p>
        </w:tc>
        <w:tc>
          <w:tcPr>
            <w:tcW w:w="615" w:type="pct"/>
            <w:tcBorders>
              <w:tl2br w:val="nil"/>
              <w:tr2bl w:val="nil"/>
            </w:tcBorders>
            <w:noWrap w:val="0"/>
            <w:vAlign w:val="center"/>
          </w:tcPr>
          <w:p w14:paraId="757B8E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616" w:type="pct"/>
            <w:tcBorders>
              <w:tl2br w:val="nil"/>
              <w:tr2bl w:val="nil"/>
            </w:tcBorders>
            <w:noWrap w:val="0"/>
            <w:vAlign w:val="center"/>
          </w:tcPr>
          <w:p w14:paraId="6F6AE5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623" w:type="pct"/>
            <w:tcBorders>
              <w:tl2br w:val="nil"/>
              <w:tr2bl w:val="nil"/>
            </w:tcBorders>
            <w:noWrap w:val="0"/>
            <w:vAlign w:val="center"/>
          </w:tcPr>
          <w:p w14:paraId="478EE76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799" w:type="pct"/>
            <w:tcBorders>
              <w:tl2br w:val="nil"/>
              <w:tr2bl w:val="nil"/>
            </w:tcBorders>
            <w:noWrap w:val="0"/>
            <w:vAlign w:val="center"/>
          </w:tcPr>
          <w:p w14:paraId="21A24C6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92</w:t>
            </w:r>
          </w:p>
        </w:tc>
      </w:tr>
      <w:tr w14:paraId="20186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4E5C385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XMPYT-54/362撬毛台车</w:t>
            </w:r>
          </w:p>
        </w:tc>
        <w:tc>
          <w:tcPr>
            <w:tcW w:w="615" w:type="pct"/>
            <w:tcBorders>
              <w:tl2br w:val="nil"/>
              <w:tr2bl w:val="nil"/>
            </w:tcBorders>
            <w:noWrap w:val="0"/>
            <w:vAlign w:val="center"/>
          </w:tcPr>
          <w:p w14:paraId="438292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16" w:type="pct"/>
            <w:tcBorders>
              <w:tl2br w:val="nil"/>
              <w:tr2bl w:val="nil"/>
            </w:tcBorders>
            <w:noWrap w:val="0"/>
            <w:vAlign w:val="center"/>
          </w:tcPr>
          <w:p w14:paraId="2EB6E03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23" w:type="pct"/>
            <w:tcBorders>
              <w:tl2br w:val="nil"/>
              <w:tr2bl w:val="nil"/>
            </w:tcBorders>
            <w:noWrap w:val="0"/>
            <w:vAlign w:val="center"/>
          </w:tcPr>
          <w:p w14:paraId="7C656C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99" w:type="pct"/>
            <w:tcBorders>
              <w:tl2br w:val="nil"/>
              <w:tr2bl w:val="nil"/>
            </w:tcBorders>
            <w:noWrap w:val="0"/>
            <w:vAlign w:val="center"/>
          </w:tcPr>
          <w:p w14:paraId="451EBBA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54</w:t>
            </w:r>
          </w:p>
        </w:tc>
      </w:tr>
      <w:tr w14:paraId="4F648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4E7735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CTYM41/2矿用液压锚杆钻车</w:t>
            </w:r>
          </w:p>
        </w:tc>
        <w:tc>
          <w:tcPr>
            <w:tcW w:w="615" w:type="pct"/>
            <w:tcBorders>
              <w:tl2br w:val="nil"/>
              <w:tr2bl w:val="nil"/>
            </w:tcBorders>
            <w:noWrap w:val="0"/>
            <w:vAlign w:val="center"/>
          </w:tcPr>
          <w:p w14:paraId="5FD3B6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16" w:type="pct"/>
            <w:tcBorders>
              <w:tl2br w:val="nil"/>
              <w:tr2bl w:val="nil"/>
            </w:tcBorders>
            <w:noWrap w:val="0"/>
            <w:vAlign w:val="center"/>
          </w:tcPr>
          <w:p w14:paraId="57E0A4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23" w:type="pct"/>
            <w:tcBorders>
              <w:tl2br w:val="nil"/>
              <w:tr2bl w:val="nil"/>
            </w:tcBorders>
            <w:noWrap w:val="0"/>
            <w:vAlign w:val="center"/>
          </w:tcPr>
          <w:p w14:paraId="786B70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799" w:type="pct"/>
            <w:tcBorders>
              <w:tl2br w:val="nil"/>
              <w:tr2bl w:val="nil"/>
            </w:tcBorders>
            <w:noWrap w:val="0"/>
            <w:vAlign w:val="center"/>
          </w:tcPr>
          <w:p w14:paraId="2CFB85E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55</w:t>
            </w:r>
          </w:p>
        </w:tc>
      </w:tr>
      <w:tr w14:paraId="5B80D4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345" w:type="pct"/>
            <w:tcBorders>
              <w:tl2br w:val="nil"/>
              <w:tr2bl w:val="nil"/>
            </w:tcBorders>
            <w:noWrap w:val="0"/>
            <w:vAlign w:val="center"/>
          </w:tcPr>
          <w:p w14:paraId="7C631A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HTZY-100装药台车</w:t>
            </w:r>
          </w:p>
        </w:tc>
        <w:tc>
          <w:tcPr>
            <w:tcW w:w="615" w:type="pct"/>
            <w:tcBorders>
              <w:tl2br w:val="nil"/>
              <w:tr2bl w:val="nil"/>
            </w:tcBorders>
            <w:noWrap w:val="0"/>
            <w:vAlign w:val="center"/>
          </w:tcPr>
          <w:p w14:paraId="59205D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616" w:type="pct"/>
            <w:tcBorders>
              <w:tl2br w:val="nil"/>
              <w:tr2bl w:val="nil"/>
            </w:tcBorders>
            <w:noWrap w:val="0"/>
            <w:vAlign w:val="center"/>
          </w:tcPr>
          <w:p w14:paraId="63E25F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23" w:type="pct"/>
            <w:tcBorders>
              <w:tl2br w:val="nil"/>
              <w:tr2bl w:val="nil"/>
            </w:tcBorders>
            <w:noWrap w:val="0"/>
            <w:vAlign w:val="center"/>
          </w:tcPr>
          <w:p w14:paraId="3C70EF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99" w:type="pct"/>
            <w:tcBorders>
              <w:tl2br w:val="nil"/>
              <w:tr2bl w:val="nil"/>
            </w:tcBorders>
            <w:noWrap w:val="0"/>
            <w:vAlign w:val="center"/>
          </w:tcPr>
          <w:p w14:paraId="002A77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r>
    </w:tbl>
    <w:p w14:paraId="5AB1522E">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3.3.1.5主要材料消耗</w:t>
      </w:r>
    </w:p>
    <w:p w14:paraId="4B02077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采掘作业主要材料消耗见</w:t>
      </w:r>
      <w:r>
        <w:rPr>
          <w:rFonts w:hint="default" w:ascii="Times New Roman" w:hAnsi="Times New Roman" w:eastAsia="宋体" w:cs="Times New Roman"/>
          <w:color w:val="auto"/>
          <w:sz w:val="24"/>
          <w:szCs w:val="24"/>
          <w:lang w:val="en-US" w:eastAsia="zh-CN"/>
        </w:rPr>
        <w:t>下表</w:t>
      </w:r>
      <w:r>
        <w:rPr>
          <w:rFonts w:hint="default" w:ascii="Times New Roman" w:hAnsi="Times New Roman" w:eastAsia="宋体" w:cs="Times New Roman"/>
          <w:color w:val="auto"/>
          <w:sz w:val="24"/>
          <w:szCs w:val="24"/>
        </w:rPr>
        <w:t>。</w:t>
      </w:r>
    </w:p>
    <w:p w14:paraId="3E660F18">
      <w:pPr>
        <w:ind w:left="0" w:leftChars="0"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表3.3-5     采掘作业主要材料消耗表</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492"/>
        <w:gridCol w:w="1602"/>
        <w:gridCol w:w="809"/>
        <w:gridCol w:w="912"/>
        <w:gridCol w:w="1044"/>
        <w:gridCol w:w="784"/>
        <w:gridCol w:w="823"/>
        <w:gridCol w:w="1068"/>
        <w:gridCol w:w="985"/>
      </w:tblGrid>
      <w:tr w14:paraId="13A647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289" w:type="pct"/>
            <w:vMerge w:val="restart"/>
            <w:tcBorders>
              <w:tl2br w:val="nil"/>
              <w:tr2bl w:val="nil"/>
            </w:tcBorders>
            <w:noWrap w:val="0"/>
            <w:vAlign w:val="center"/>
          </w:tcPr>
          <w:p w14:paraId="2769BD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940" w:type="pct"/>
            <w:vMerge w:val="restart"/>
            <w:tcBorders>
              <w:tl2br w:val="nil"/>
              <w:tr2bl w:val="nil"/>
            </w:tcBorders>
            <w:noWrap w:val="0"/>
            <w:vAlign w:val="center"/>
          </w:tcPr>
          <w:p w14:paraId="5BD9916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材料名称</w:t>
            </w:r>
          </w:p>
        </w:tc>
        <w:tc>
          <w:tcPr>
            <w:tcW w:w="1623" w:type="pct"/>
            <w:gridSpan w:val="3"/>
            <w:tcBorders>
              <w:tl2br w:val="nil"/>
              <w:tr2bl w:val="nil"/>
            </w:tcBorders>
            <w:noWrap w:val="0"/>
            <w:vAlign w:val="center"/>
          </w:tcPr>
          <w:p w14:paraId="40F965B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回采作业</w:t>
            </w:r>
          </w:p>
        </w:tc>
        <w:tc>
          <w:tcPr>
            <w:tcW w:w="1570" w:type="pct"/>
            <w:gridSpan w:val="3"/>
            <w:tcBorders>
              <w:tl2br w:val="nil"/>
              <w:tr2bl w:val="nil"/>
            </w:tcBorders>
            <w:noWrap w:val="0"/>
            <w:vAlign w:val="center"/>
          </w:tcPr>
          <w:p w14:paraId="7FD64F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掘进作业</w:t>
            </w:r>
          </w:p>
        </w:tc>
        <w:tc>
          <w:tcPr>
            <w:tcW w:w="575" w:type="pct"/>
            <w:vMerge w:val="restart"/>
            <w:tcBorders>
              <w:tl2br w:val="nil"/>
              <w:tr2bl w:val="nil"/>
            </w:tcBorders>
            <w:noWrap w:val="0"/>
            <w:vAlign w:val="center"/>
          </w:tcPr>
          <w:p w14:paraId="6A430B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r>
      <w:tr w14:paraId="581DE6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289" w:type="pct"/>
            <w:vMerge w:val="continue"/>
            <w:tcBorders>
              <w:tl2br w:val="nil"/>
              <w:tr2bl w:val="nil"/>
            </w:tcBorders>
            <w:noWrap w:val="0"/>
            <w:vAlign w:val="center"/>
          </w:tcPr>
          <w:p w14:paraId="33033A2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940" w:type="pct"/>
            <w:vMerge w:val="continue"/>
            <w:tcBorders>
              <w:tl2br w:val="nil"/>
              <w:tr2bl w:val="nil"/>
            </w:tcBorders>
            <w:noWrap w:val="0"/>
            <w:vAlign w:val="center"/>
          </w:tcPr>
          <w:p w14:paraId="1BE5928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475" w:type="pct"/>
            <w:tcBorders>
              <w:tl2br w:val="nil"/>
              <w:tr2bl w:val="nil"/>
            </w:tcBorders>
            <w:noWrap w:val="0"/>
            <w:vAlign w:val="center"/>
          </w:tcPr>
          <w:p w14:paraId="5F534F9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535" w:type="pct"/>
            <w:tcBorders>
              <w:tl2br w:val="nil"/>
              <w:tr2bl w:val="nil"/>
            </w:tcBorders>
            <w:noWrap w:val="0"/>
            <w:vAlign w:val="center"/>
          </w:tcPr>
          <w:p w14:paraId="2924EC9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单耗</w:t>
            </w:r>
          </w:p>
        </w:tc>
        <w:tc>
          <w:tcPr>
            <w:tcW w:w="611" w:type="pct"/>
            <w:tcBorders>
              <w:tl2br w:val="nil"/>
              <w:tr2bl w:val="nil"/>
            </w:tcBorders>
            <w:noWrap w:val="0"/>
            <w:vAlign w:val="center"/>
          </w:tcPr>
          <w:p w14:paraId="032DAF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年耗</w:t>
            </w:r>
          </w:p>
        </w:tc>
        <w:tc>
          <w:tcPr>
            <w:tcW w:w="460" w:type="pct"/>
            <w:tcBorders>
              <w:tl2br w:val="nil"/>
              <w:tr2bl w:val="nil"/>
            </w:tcBorders>
            <w:noWrap w:val="0"/>
            <w:vAlign w:val="center"/>
          </w:tcPr>
          <w:p w14:paraId="3BECB63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483" w:type="pct"/>
            <w:tcBorders>
              <w:tl2br w:val="nil"/>
              <w:tr2bl w:val="nil"/>
            </w:tcBorders>
            <w:noWrap w:val="0"/>
            <w:vAlign w:val="center"/>
          </w:tcPr>
          <w:p w14:paraId="129641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单耗</w:t>
            </w:r>
          </w:p>
        </w:tc>
        <w:tc>
          <w:tcPr>
            <w:tcW w:w="626" w:type="pct"/>
            <w:tcBorders>
              <w:tl2br w:val="nil"/>
              <w:tr2bl w:val="nil"/>
            </w:tcBorders>
            <w:noWrap w:val="0"/>
            <w:vAlign w:val="center"/>
          </w:tcPr>
          <w:p w14:paraId="2CF694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年耗</w:t>
            </w:r>
          </w:p>
        </w:tc>
        <w:tc>
          <w:tcPr>
            <w:tcW w:w="575" w:type="pct"/>
            <w:vMerge w:val="continue"/>
            <w:tcBorders>
              <w:tl2br w:val="nil"/>
              <w:tr2bl w:val="nil"/>
            </w:tcBorders>
            <w:noWrap w:val="0"/>
            <w:vAlign w:val="center"/>
          </w:tcPr>
          <w:p w14:paraId="6313177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r w14:paraId="2B15A4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6276A9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940" w:type="pct"/>
            <w:tcBorders>
              <w:tl2br w:val="nil"/>
              <w:tr2bl w:val="nil"/>
            </w:tcBorders>
            <w:shd w:val="clear" w:color="auto" w:fill="FFFFFF"/>
            <w:noWrap w:val="0"/>
            <w:vAlign w:val="center"/>
          </w:tcPr>
          <w:p w14:paraId="471D67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炸药</w:t>
            </w:r>
          </w:p>
        </w:tc>
        <w:tc>
          <w:tcPr>
            <w:tcW w:w="475" w:type="pct"/>
            <w:tcBorders>
              <w:tl2br w:val="nil"/>
              <w:tr2bl w:val="nil"/>
            </w:tcBorders>
            <w:shd w:val="clear" w:color="auto" w:fill="FFFFFF"/>
            <w:noWrap w:val="0"/>
            <w:vAlign w:val="center"/>
          </w:tcPr>
          <w:p w14:paraId="39F0C7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Kg/t</w:t>
            </w:r>
          </w:p>
        </w:tc>
        <w:tc>
          <w:tcPr>
            <w:tcW w:w="535" w:type="pct"/>
            <w:tcBorders>
              <w:tl2br w:val="nil"/>
              <w:tr2bl w:val="nil"/>
            </w:tcBorders>
            <w:shd w:val="clear" w:color="auto" w:fill="FFFFFF"/>
            <w:noWrap w:val="0"/>
            <w:vAlign w:val="center"/>
          </w:tcPr>
          <w:p w14:paraId="469BEE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0.45</w:t>
            </w:r>
          </w:p>
        </w:tc>
        <w:tc>
          <w:tcPr>
            <w:tcW w:w="611" w:type="pct"/>
            <w:tcBorders>
              <w:tl2br w:val="nil"/>
              <w:tr2bl w:val="nil"/>
            </w:tcBorders>
            <w:noWrap w:val="0"/>
            <w:vAlign w:val="center"/>
          </w:tcPr>
          <w:p w14:paraId="2C6881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128385</w:t>
            </w:r>
          </w:p>
        </w:tc>
        <w:tc>
          <w:tcPr>
            <w:tcW w:w="460" w:type="pct"/>
            <w:tcBorders>
              <w:tl2br w:val="nil"/>
              <w:tr2bl w:val="nil"/>
            </w:tcBorders>
            <w:noWrap w:val="0"/>
            <w:vAlign w:val="center"/>
          </w:tcPr>
          <w:p w14:paraId="2D743A6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Kg/m</w:t>
            </w:r>
          </w:p>
        </w:tc>
        <w:tc>
          <w:tcPr>
            <w:tcW w:w="483" w:type="pct"/>
            <w:tcBorders>
              <w:tl2br w:val="nil"/>
              <w:tr2bl w:val="nil"/>
            </w:tcBorders>
            <w:noWrap w:val="0"/>
            <w:vAlign w:val="center"/>
          </w:tcPr>
          <w:p w14:paraId="154722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626" w:type="pct"/>
            <w:tcBorders>
              <w:tl2br w:val="nil"/>
              <w:tr2bl w:val="nil"/>
            </w:tcBorders>
            <w:noWrap w:val="0"/>
            <w:vAlign w:val="center"/>
          </w:tcPr>
          <w:p w14:paraId="5EAFAB1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144000</w:t>
            </w:r>
          </w:p>
        </w:tc>
        <w:tc>
          <w:tcPr>
            <w:tcW w:w="575" w:type="pct"/>
            <w:tcBorders>
              <w:tl2br w:val="nil"/>
              <w:tr2bl w:val="nil"/>
            </w:tcBorders>
            <w:noWrap w:val="0"/>
            <w:vAlign w:val="center"/>
          </w:tcPr>
          <w:p w14:paraId="28014C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272385</w:t>
            </w:r>
          </w:p>
        </w:tc>
      </w:tr>
      <w:tr w14:paraId="0F2706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27DB9F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940" w:type="pct"/>
            <w:tcBorders>
              <w:tl2br w:val="nil"/>
              <w:tr2bl w:val="nil"/>
            </w:tcBorders>
            <w:shd w:val="clear" w:color="auto" w:fill="FFFFFF"/>
            <w:noWrap w:val="0"/>
            <w:vAlign w:val="center"/>
          </w:tcPr>
          <w:p w14:paraId="39D4E3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数码电子雷管</w:t>
            </w:r>
          </w:p>
        </w:tc>
        <w:tc>
          <w:tcPr>
            <w:tcW w:w="475" w:type="pct"/>
            <w:tcBorders>
              <w:tl2br w:val="nil"/>
              <w:tr2bl w:val="nil"/>
            </w:tcBorders>
            <w:shd w:val="clear" w:color="auto" w:fill="FFFFFF"/>
            <w:noWrap w:val="0"/>
            <w:vAlign w:val="center"/>
          </w:tcPr>
          <w:p w14:paraId="37CC223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个/t</w:t>
            </w:r>
          </w:p>
        </w:tc>
        <w:tc>
          <w:tcPr>
            <w:tcW w:w="535" w:type="pct"/>
            <w:tcBorders>
              <w:tl2br w:val="nil"/>
              <w:tr2bl w:val="nil"/>
            </w:tcBorders>
            <w:shd w:val="clear" w:color="auto" w:fill="FFFFFF"/>
            <w:noWrap w:val="0"/>
            <w:vAlign w:val="center"/>
          </w:tcPr>
          <w:p w14:paraId="7E40526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0.25</w:t>
            </w:r>
          </w:p>
        </w:tc>
        <w:tc>
          <w:tcPr>
            <w:tcW w:w="611" w:type="pct"/>
            <w:tcBorders>
              <w:tl2br w:val="nil"/>
              <w:tr2bl w:val="nil"/>
            </w:tcBorders>
            <w:noWrap w:val="0"/>
            <w:vAlign w:val="center"/>
          </w:tcPr>
          <w:p w14:paraId="7A02A26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71325</w:t>
            </w:r>
          </w:p>
        </w:tc>
        <w:tc>
          <w:tcPr>
            <w:tcW w:w="460" w:type="pct"/>
            <w:tcBorders>
              <w:tl2br w:val="nil"/>
              <w:tr2bl w:val="nil"/>
            </w:tcBorders>
            <w:noWrap w:val="0"/>
            <w:vAlign w:val="center"/>
          </w:tcPr>
          <w:p w14:paraId="3DC4AAA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个/m</w:t>
            </w:r>
          </w:p>
        </w:tc>
        <w:tc>
          <w:tcPr>
            <w:tcW w:w="483" w:type="pct"/>
            <w:tcBorders>
              <w:tl2br w:val="nil"/>
              <w:tr2bl w:val="nil"/>
            </w:tcBorders>
            <w:noWrap w:val="0"/>
            <w:vAlign w:val="center"/>
          </w:tcPr>
          <w:p w14:paraId="485AA4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626" w:type="pct"/>
            <w:tcBorders>
              <w:tl2br w:val="nil"/>
              <w:tr2bl w:val="nil"/>
            </w:tcBorders>
            <w:noWrap w:val="0"/>
            <w:vAlign w:val="center"/>
          </w:tcPr>
          <w:p w14:paraId="621A4A8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182400</w:t>
            </w:r>
          </w:p>
        </w:tc>
        <w:tc>
          <w:tcPr>
            <w:tcW w:w="575" w:type="pct"/>
            <w:tcBorders>
              <w:tl2br w:val="nil"/>
              <w:tr2bl w:val="nil"/>
            </w:tcBorders>
            <w:noWrap w:val="0"/>
            <w:vAlign w:val="center"/>
          </w:tcPr>
          <w:p w14:paraId="4110617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253725</w:t>
            </w:r>
          </w:p>
        </w:tc>
      </w:tr>
      <w:tr w14:paraId="1721EC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2752A1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940" w:type="pct"/>
            <w:tcBorders>
              <w:tl2br w:val="nil"/>
              <w:tr2bl w:val="nil"/>
            </w:tcBorders>
            <w:shd w:val="clear" w:color="auto" w:fill="FFFFFF"/>
            <w:noWrap w:val="0"/>
            <w:vAlign w:val="center"/>
          </w:tcPr>
          <w:p w14:paraId="2BA346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脚线</w:t>
            </w:r>
          </w:p>
        </w:tc>
        <w:tc>
          <w:tcPr>
            <w:tcW w:w="475" w:type="pct"/>
            <w:tcBorders>
              <w:tl2br w:val="nil"/>
              <w:tr2bl w:val="nil"/>
            </w:tcBorders>
            <w:shd w:val="clear" w:color="auto" w:fill="FFFFFF"/>
            <w:noWrap w:val="0"/>
            <w:vAlign w:val="center"/>
          </w:tcPr>
          <w:p w14:paraId="246F63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m/t</w:t>
            </w:r>
          </w:p>
        </w:tc>
        <w:tc>
          <w:tcPr>
            <w:tcW w:w="535" w:type="pct"/>
            <w:tcBorders>
              <w:tl2br w:val="nil"/>
              <w:tr2bl w:val="nil"/>
            </w:tcBorders>
            <w:shd w:val="clear" w:color="auto" w:fill="FFFFFF"/>
            <w:noWrap w:val="0"/>
            <w:vAlign w:val="center"/>
          </w:tcPr>
          <w:p w14:paraId="537FBE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0.25</w:t>
            </w:r>
          </w:p>
        </w:tc>
        <w:tc>
          <w:tcPr>
            <w:tcW w:w="611" w:type="pct"/>
            <w:tcBorders>
              <w:tl2br w:val="nil"/>
              <w:tr2bl w:val="nil"/>
            </w:tcBorders>
            <w:noWrap w:val="0"/>
            <w:vAlign w:val="center"/>
          </w:tcPr>
          <w:p w14:paraId="67963C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71325</w:t>
            </w:r>
          </w:p>
        </w:tc>
        <w:tc>
          <w:tcPr>
            <w:tcW w:w="460" w:type="pct"/>
            <w:tcBorders>
              <w:tl2br w:val="nil"/>
              <w:tr2bl w:val="nil"/>
            </w:tcBorders>
            <w:noWrap w:val="0"/>
            <w:vAlign w:val="center"/>
          </w:tcPr>
          <w:p w14:paraId="629244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m/m</w:t>
            </w:r>
          </w:p>
        </w:tc>
        <w:tc>
          <w:tcPr>
            <w:tcW w:w="483" w:type="pct"/>
            <w:tcBorders>
              <w:tl2br w:val="nil"/>
              <w:tr2bl w:val="nil"/>
            </w:tcBorders>
            <w:noWrap w:val="0"/>
            <w:vAlign w:val="center"/>
          </w:tcPr>
          <w:p w14:paraId="4BC8620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w:t>
            </w:r>
          </w:p>
        </w:tc>
        <w:tc>
          <w:tcPr>
            <w:tcW w:w="626" w:type="pct"/>
            <w:tcBorders>
              <w:tl2br w:val="nil"/>
              <w:tr2bl w:val="nil"/>
            </w:tcBorders>
            <w:noWrap w:val="0"/>
            <w:vAlign w:val="center"/>
          </w:tcPr>
          <w:p w14:paraId="611E7E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163200</w:t>
            </w:r>
          </w:p>
        </w:tc>
        <w:tc>
          <w:tcPr>
            <w:tcW w:w="575" w:type="pct"/>
            <w:tcBorders>
              <w:tl2br w:val="nil"/>
              <w:tr2bl w:val="nil"/>
            </w:tcBorders>
            <w:noWrap w:val="0"/>
            <w:vAlign w:val="center"/>
          </w:tcPr>
          <w:p w14:paraId="5EB68EB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234525</w:t>
            </w:r>
          </w:p>
        </w:tc>
      </w:tr>
      <w:tr w14:paraId="31C2AF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295DDE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940" w:type="pct"/>
            <w:tcBorders>
              <w:tl2br w:val="nil"/>
              <w:tr2bl w:val="nil"/>
            </w:tcBorders>
            <w:shd w:val="clear" w:color="auto" w:fill="FFFFFF"/>
            <w:noWrap w:val="0"/>
            <w:vAlign w:val="center"/>
          </w:tcPr>
          <w:p w14:paraId="178E6C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钎钢</w:t>
            </w:r>
          </w:p>
        </w:tc>
        <w:tc>
          <w:tcPr>
            <w:tcW w:w="475" w:type="pct"/>
            <w:tcBorders>
              <w:tl2br w:val="nil"/>
              <w:tr2bl w:val="nil"/>
            </w:tcBorders>
            <w:shd w:val="clear" w:color="auto" w:fill="FFFFFF"/>
            <w:noWrap w:val="0"/>
            <w:vAlign w:val="center"/>
          </w:tcPr>
          <w:p w14:paraId="3F0796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Kg/t</w:t>
            </w:r>
          </w:p>
        </w:tc>
        <w:tc>
          <w:tcPr>
            <w:tcW w:w="535" w:type="pct"/>
            <w:tcBorders>
              <w:tl2br w:val="nil"/>
              <w:tr2bl w:val="nil"/>
            </w:tcBorders>
            <w:shd w:val="clear" w:color="auto" w:fill="FFFFFF"/>
            <w:noWrap w:val="0"/>
            <w:vAlign w:val="center"/>
          </w:tcPr>
          <w:p w14:paraId="36ACAD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0.03</w:t>
            </w:r>
          </w:p>
        </w:tc>
        <w:tc>
          <w:tcPr>
            <w:tcW w:w="611" w:type="pct"/>
            <w:tcBorders>
              <w:tl2br w:val="nil"/>
              <w:tr2bl w:val="nil"/>
            </w:tcBorders>
            <w:noWrap w:val="0"/>
            <w:vAlign w:val="center"/>
          </w:tcPr>
          <w:p w14:paraId="2F5BAE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8559</w:t>
            </w:r>
          </w:p>
        </w:tc>
        <w:tc>
          <w:tcPr>
            <w:tcW w:w="460" w:type="pct"/>
            <w:tcBorders>
              <w:tl2br w:val="nil"/>
              <w:tr2bl w:val="nil"/>
            </w:tcBorders>
            <w:noWrap w:val="0"/>
            <w:vAlign w:val="center"/>
          </w:tcPr>
          <w:p w14:paraId="42D50A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kg/m</w:t>
            </w:r>
          </w:p>
        </w:tc>
        <w:tc>
          <w:tcPr>
            <w:tcW w:w="483" w:type="pct"/>
            <w:tcBorders>
              <w:tl2br w:val="nil"/>
              <w:tr2bl w:val="nil"/>
            </w:tcBorders>
            <w:noWrap w:val="0"/>
            <w:vAlign w:val="center"/>
          </w:tcPr>
          <w:p w14:paraId="18E2F0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0.47</w:t>
            </w:r>
          </w:p>
        </w:tc>
        <w:tc>
          <w:tcPr>
            <w:tcW w:w="626" w:type="pct"/>
            <w:tcBorders>
              <w:tl2br w:val="nil"/>
              <w:tr2bl w:val="nil"/>
            </w:tcBorders>
            <w:noWrap w:val="0"/>
            <w:vAlign w:val="center"/>
          </w:tcPr>
          <w:p w14:paraId="165824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4512</w:t>
            </w:r>
          </w:p>
        </w:tc>
        <w:tc>
          <w:tcPr>
            <w:tcW w:w="575" w:type="pct"/>
            <w:tcBorders>
              <w:tl2br w:val="nil"/>
              <w:tr2bl w:val="nil"/>
            </w:tcBorders>
            <w:noWrap w:val="0"/>
            <w:vAlign w:val="center"/>
          </w:tcPr>
          <w:p w14:paraId="2EC157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13071</w:t>
            </w:r>
          </w:p>
        </w:tc>
      </w:tr>
      <w:tr w14:paraId="1C6638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25A862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940" w:type="pct"/>
            <w:tcBorders>
              <w:tl2br w:val="nil"/>
              <w:tr2bl w:val="nil"/>
            </w:tcBorders>
            <w:shd w:val="clear" w:color="auto" w:fill="FFFFFF"/>
            <w:noWrap w:val="0"/>
            <w:vAlign w:val="center"/>
          </w:tcPr>
          <w:p w14:paraId="1AA1D9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钎头</w:t>
            </w:r>
          </w:p>
        </w:tc>
        <w:tc>
          <w:tcPr>
            <w:tcW w:w="475" w:type="pct"/>
            <w:tcBorders>
              <w:tl2br w:val="nil"/>
              <w:tr2bl w:val="nil"/>
            </w:tcBorders>
            <w:shd w:val="clear" w:color="auto" w:fill="FFFFFF"/>
            <w:noWrap w:val="0"/>
            <w:vAlign w:val="center"/>
          </w:tcPr>
          <w:p w14:paraId="585039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个/t</w:t>
            </w:r>
          </w:p>
        </w:tc>
        <w:tc>
          <w:tcPr>
            <w:tcW w:w="535" w:type="pct"/>
            <w:tcBorders>
              <w:tl2br w:val="nil"/>
              <w:tr2bl w:val="nil"/>
            </w:tcBorders>
            <w:shd w:val="clear" w:color="auto" w:fill="FFFFFF"/>
            <w:noWrap w:val="0"/>
            <w:vAlign w:val="center"/>
          </w:tcPr>
          <w:p w14:paraId="7A58BB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c>
          <w:tcPr>
            <w:tcW w:w="611" w:type="pct"/>
            <w:tcBorders>
              <w:tl2br w:val="nil"/>
              <w:tr2bl w:val="nil"/>
            </w:tcBorders>
            <w:noWrap w:val="0"/>
            <w:vAlign w:val="center"/>
          </w:tcPr>
          <w:p w14:paraId="7F7B40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1426.5</w:t>
            </w:r>
          </w:p>
        </w:tc>
        <w:tc>
          <w:tcPr>
            <w:tcW w:w="460" w:type="pct"/>
            <w:tcBorders>
              <w:tl2br w:val="nil"/>
              <w:tr2bl w:val="nil"/>
            </w:tcBorders>
            <w:noWrap w:val="0"/>
            <w:vAlign w:val="center"/>
          </w:tcPr>
          <w:p w14:paraId="0A31AE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个/m</w:t>
            </w:r>
          </w:p>
        </w:tc>
        <w:tc>
          <w:tcPr>
            <w:tcW w:w="483" w:type="pct"/>
            <w:tcBorders>
              <w:tl2br w:val="nil"/>
              <w:tr2bl w:val="nil"/>
            </w:tcBorders>
            <w:noWrap w:val="0"/>
            <w:vAlign w:val="center"/>
          </w:tcPr>
          <w:p w14:paraId="1E003DA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0.04</w:t>
            </w:r>
          </w:p>
        </w:tc>
        <w:tc>
          <w:tcPr>
            <w:tcW w:w="626" w:type="pct"/>
            <w:tcBorders>
              <w:tl2br w:val="nil"/>
              <w:tr2bl w:val="nil"/>
            </w:tcBorders>
            <w:noWrap w:val="0"/>
            <w:vAlign w:val="center"/>
          </w:tcPr>
          <w:p w14:paraId="3646C2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384</w:t>
            </w:r>
          </w:p>
        </w:tc>
        <w:tc>
          <w:tcPr>
            <w:tcW w:w="575" w:type="pct"/>
            <w:tcBorders>
              <w:tl2br w:val="nil"/>
              <w:tr2bl w:val="nil"/>
            </w:tcBorders>
            <w:noWrap w:val="0"/>
            <w:vAlign w:val="center"/>
          </w:tcPr>
          <w:p w14:paraId="1CFF7D7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1810.5</w:t>
            </w:r>
          </w:p>
        </w:tc>
      </w:tr>
      <w:tr w14:paraId="2B7DA5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0CB3DEC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940" w:type="pct"/>
            <w:tcBorders>
              <w:tl2br w:val="nil"/>
              <w:tr2bl w:val="nil"/>
            </w:tcBorders>
            <w:shd w:val="clear" w:color="auto" w:fill="FFFFFF"/>
            <w:noWrap w:val="0"/>
            <w:vAlign w:val="center"/>
          </w:tcPr>
          <w:p w14:paraId="5E401DC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润滑油</w:t>
            </w:r>
          </w:p>
        </w:tc>
        <w:tc>
          <w:tcPr>
            <w:tcW w:w="475" w:type="pct"/>
            <w:tcBorders>
              <w:tl2br w:val="nil"/>
              <w:tr2bl w:val="nil"/>
            </w:tcBorders>
            <w:shd w:val="clear" w:color="auto" w:fill="FFFFFF"/>
            <w:noWrap w:val="0"/>
            <w:vAlign w:val="center"/>
          </w:tcPr>
          <w:p w14:paraId="05BBDCE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kg/班</w:t>
            </w:r>
          </w:p>
        </w:tc>
        <w:tc>
          <w:tcPr>
            <w:tcW w:w="535" w:type="pct"/>
            <w:tcBorders>
              <w:tl2br w:val="nil"/>
              <w:tr2bl w:val="nil"/>
            </w:tcBorders>
            <w:shd w:val="clear" w:color="auto" w:fill="FFFFFF"/>
            <w:noWrap w:val="0"/>
            <w:vAlign w:val="center"/>
          </w:tcPr>
          <w:p w14:paraId="19A6BB5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0.4</w:t>
            </w:r>
          </w:p>
        </w:tc>
        <w:tc>
          <w:tcPr>
            <w:tcW w:w="611" w:type="pct"/>
            <w:tcBorders>
              <w:tl2br w:val="nil"/>
              <w:tr2bl w:val="nil"/>
            </w:tcBorders>
            <w:noWrap w:val="0"/>
            <w:vAlign w:val="center"/>
          </w:tcPr>
          <w:p w14:paraId="120685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30</w:t>
            </w:r>
            <w:r>
              <w:rPr>
                <w:rFonts w:hint="default" w:ascii="Times New Roman" w:hAnsi="Times New Roman" w:eastAsia="宋体" w:cs="Times New Roman"/>
                <w:color w:val="auto"/>
                <w:sz w:val="21"/>
                <w:szCs w:val="21"/>
              </w:rPr>
              <w:t>0</w:t>
            </w:r>
          </w:p>
        </w:tc>
        <w:tc>
          <w:tcPr>
            <w:tcW w:w="460" w:type="pct"/>
            <w:tcBorders>
              <w:tl2br w:val="nil"/>
              <w:tr2bl w:val="nil"/>
            </w:tcBorders>
            <w:noWrap w:val="0"/>
            <w:vAlign w:val="center"/>
          </w:tcPr>
          <w:p w14:paraId="505B49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kg/班</w:t>
            </w:r>
          </w:p>
        </w:tc>
        <w:tc>
          <w:tcPr>
            <w:tcW w:w="483" w:type="pct"/>
            <w:tcBorders>
              <w:tl2br w:val="nil"/>
              <w:tr2bl w:val="nil"/>
            </w:tcBorders>
            <w:noWrap w:val="0"/>
            <w:vAlign w:val="center"/>
          </w:tcPr>
          <w:p w14:paraId="391BC8C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0.3</w:t>
            </w:r>
          </w:p>
        </w:tc>
        <w:tc>
          <w:tcPr>
            <w:tcW w:w="626" w:type="pct"/>
            <w:tcBorders>
              <w:tl2br w:val="nil"/>
              <w:tr2bl w:val="nil"/>
            </w:tcBorders>
            <w:noWrap w:val="0"/>
            <w:vAlign w:val="center"/>
          </w:tcPr>
          <w:p w14:paraId="6DE4AD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225</w:t>
            </w:r>
          </w:p>
        </w:tc>
        <w:tc>
          <w:tcPr>
            <w:tcW w:w="575" w:type="pct"/>
            <w:tcBorders>
              <w:tl2br w:val="nil"/>
              <w:tr2bl w:val="nil"/>
            </w:tcBorders>
            <w:noWrap w:val="0"/>
            <w:vAlign w:val="center"/>
          </w:tcPr>
          <w:p w14:paraId="53E330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525</w:t>
            </w:r>
          </w:p>
        </w:tc>
      </w:tr>
      <w:tr w14:paraId="0E934B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148809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940" w:type="pct"/>
            <w:tcBorders>
              <w:tl2br w:val="nil"/>
              <w:tr2bl w:val="nil"/>
            </w:tcBorders>
            <w:shd w:val="clear" w:color="auto" w:fill="FFFFFF"/>
            <w:noWrap w:val="0"/>
            <w:vAlign w:val="center"/>
          </w:tcPr>
          <w:p w14:paraId="317DB3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压风管</w:t>
            </w:r>
          </w:p>
        </w:tc>
        <w:tc>
          <w:tcPr>
            <w:tcW w:w="475" w:type="pct"/>
            <w:tcBorders>
              <w:tl2br w:val="nil"/>
              <w:tr2bl w:val="nil"/>
            </w:tcBorders>
            <w:shd w:val="clear" w:color="auto" w:fill="FFFFFF"/>
            <w:noWrap w:val="0"/>
            <w:vAlign w:val="center"/>
          </w:tcPr>
          <w:p w14:paraId="3EE3DF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m/t</w:t>
            </w:r>
          </w:p>
        </w:tc>
        <w:tc>
          <w:tcPr>
            <w:tcW w:w="535" w:type="pct"/>
            <w:tcBorders>
              <w:tl2br w:val="nil"/>
              <w:tr2bl w:val="nil"/>
            </w:tcBorders>
            <w:shd w:val="clear" w:color="auto" w:fill="FFFFFF"/>
            <w:noWrap w:val="0"/>
            <w:vAlign w:val="center"/>
          </w:tcPr>
          <w:p w14:paraId="73C2D22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c>
          <w:tcPr>
            <w:tcW w:w="611" w:type="pct"/>
            <w:tcBorders>
              <w:tl2br w:val="nil"/>
              <w:tr2bl w:val="nil"/>
            </w:tcBorders>
            <w:noWrap w:val="0"/>
            <w:vAlign w:val="center"/>
          </w:tcPr>
          <w:p w14:paraId="3C750B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570.6</w:t>
            </w:r>
          </w:p>
        </w:tc>
        <w:tc>
          <w:tcPr>
            <w:tcW w:w="460" w:type="pct"/>
            <w:tcBorders>
              <w:tl2br w:val="nil"/>
              <w:tr2bl w:val="nil"/>
            </w:tcBorders>
            <w:noWrap w:val="0"/>
            <w:vAlign w:val="center"/>
          </w:tcPr>
          <w:p w14:paraId="1D9526F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m/m</w:t>
            </w:r>
          </w:p>
        </w:tc>
        <w:tc>
          <w:tcPr>
            <w:tcW w:w="483" w:type="pct"/>
            <w:tcBorders>
              <w:tl2br w:val="nil"/>
              <w:tr2bl w:val="nil"/>
            </w:tcBorders>
            <w:noWrap w:val="0"/>
            <w:vAlign w:val="center"/>
          </w:tcPr>
          <w:p w14:paraId="62583C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0.064</w:t>
            </w:r>
          </w:p>
        </w:tc>
        <w:tc>
          <w:tcPr>
            <w:tcW w:w="626" w:type="pct"/>
            <w:tcBorders>
              <w:tl2br w:val="nil"/>
              <w:tr2bl w:val="nil"/>
            </w:tcBorders>
            <w:noWrap w:val="0"/>
            <w:vAlign w:val="center"/>
          </w:tcPr>
          <w:p w14:paraId="3F6159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614.4</w:t>
            </w:r>
          </w:p>
        </w:tc>
        <w:tc>
          <w:tcPr>
            <w:tcW w:w="575" w:type="pct"/>
            <w:tcBorders>
              <w:tl2br w:val="nil"/>
              <w:tr2bl w:val="nil"/>
            </w:tcBorders>
            <w:noWrap w:val="0"/>
            <w:vAlign w:val="center"/>
          </w:tcPr>
          <w:p w14:paraId="361D4FC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1185</w:t>
            </w:r>
          </w:p>
        </w:tc>
      </w:tr>
      <w:tr w14:paraId="23F0F5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3B56553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w:t>
            </w:r>
          </w:p>
        </w:tc>
        <w:tc>
          <w:tcPr>
            <w:tcW w:w="940" w:type="pct"/>
            <w:tcBorders>
              <w:tl2br w:val="nil"/>
              <w:tr2bl w:val="nil"/>
            </w:tcBorders>
            <w:shd w:val="clear" w:color="auto" w:fill="FFFFFF"/>
            <w:noWrap w:val="0"/>
            <w:vAlign w:val="center"/>
          </w:tcPr>
          <w:p w14:paraId="0826851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供水管</w:t>
            </w:r>
          </w:p>
        </w:tc>
        <w:tc>
          <w:tcPr>
            <w:tcW w:w="475" w:type="pct"/>
            <w:tcBorders>
              <w:tl2br w:val="nil"/>
              <w:tr2bl w:val="nil"/>
            </w:tcBorders>
            <w:shd w:val="clear" w:color="auto" w:fill="FFFFFF"/>
            <w:noWrap w:val="0"/>
            <w:vAlign w:val="center"/>
          </w:tcPr>
          <w:p w14:paraId="05A9B0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m/t</w:t>
            </w:r>
          </w:p>
        </w:tc>
        <w:tc>
          <w:tcPr>
            <w:tcW w:w="535" w:type="pct"/>
            <w:tcBorders>
              <w:tl2br w:val="nil"/>
              <w:tr2bl w:val="nil"/>
            </w:tcBorders>
            <w:shd w:val="clear" w:color="auto" w:fill="FFFFFF"/>
            <w:noWrap w:val="0"/>
            <w:vAlign w:val="center"/>
          </w:tcPr>
          <w:p w14:paraId="67075E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0.002</w:t>
            </w:r>
          </w:p>
        </w:tc>
        <w:tc>
          <w:tcPr>
            <w:tcW w:w="611" w:type="pct"/>
            <w:tcBorders>
              <w:tl2br w:val="nil"/>
              <w:tr2bl w:val="nil"/>
            </w:tcBorders>
            <w:noWrap w:val="0"/>
            <w:vAlign w:val="center"/>
          </w:tcPr>
          <w:p w14:paraId="20A42A4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570.6</w:t>
            </w:r>
          </w:p>
        </w:tc>
        <w:tc>
          <w:tcPr>
            <w:tcW w:w="460" w:type="pct"/>
            <w:tcBorders>
              <w:tl2br w:val="nil"/>
              <w:tr2bl w:val="nil"/>
            </w:tcBorders>
            <w:noWrap w:val="0"/>
            <w:vAlign w:val="center"/>
          </w:tcPr>
          <w:p w14:paraId="53934D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m/m</w:t>
            </w:r>
          </w:p>
        </w:tc>
        <w:tc>
          <w:tcPr>
            <w:tcW w:w="483" w:type="pct"/>
            <w:tcBorders>
              <w:tl2br w:val="nil"/>
              <w:tr2bl w:val="nil"/>
            </w:tcBorders>
            <w:noWrap w:val="0"/>
            <w:vAlign w:val="center"/>
          </w:tcPr>
          <w:p w14:paraId="54EE906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0.056</w:t>
            </w:r>
          </w:p>
        </w:tc>
        <w:tc>
          <w:tcPr>
            <w:tcW w:w="626" w:type="pct"/>
            <w:tcBorders>
              <w:tl2br w:val="nil"/>
              <w:tr2bl w:val="nil"/>
            </w:tcBorders>
            <w:noWrap w:val="0"/>
            <w:vAlign w:val="center"/>
          </w:tcPr>
          <w:p w14:paraId="18565B3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537.6</w:t>
            </w:r>
          </w:p>
        </w:tc>
        <w:tc>
          <w:tcPr>
            <w:tcW w:w="575" w:type="pct"/>
            <w:tcBorders>
              <w:tl2br w:val="nil"/>
              <w:tr2bl w:val="nil"/>
            </w:tcBorders>
            <w:noWrap w:val="0"/>
            <w:vAlign w:val="center"/>
          </w:tcPr>
          <w:p w14:paraId="50B7C4B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1108.2</w:t>
            </w:r>
          </w:p>
        </w:tc>
      </w:tr>
      <w:tr w14:paraId="39EB33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7EA280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w:t>
            </w:r>
          </w:p>
        </w:tc>
        <w:tc>
          <w:tcPr>
            <w:tcW w:w="940" w:type="pct"/>
            <w:tcBorders>
              <w:tl2br w:val="nil"/>
              <w:tr2bl w:val="nil"/>
            </w:tcBorders>
            <w:noWrap w:val="0"/>
            <w:vAlign w:val="center"/>
          </w:tcPr>
          <w:p w14:paraId="101DA5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柴油（kg）</w:t>
            </w:r>
          </w:p>
        </w:tc>
        <w:tc>
          <w:tcPr>
            <w:tcW w:w="475" w:type="pct"/>
            <w:tcBorders>
              <w:tl2br w:val="nil"/>
              <w:tr2bl w:val="nil"/>
            </w:tcBorders>
            <w:noWrap w:val="0"/>
            <w:vAlign w:val="center"/>
          </w:tcPr>
          <w:p w14:paraId="7E2961A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kg/t</w:t>
            </w:r>
          </w:p>
        </w:tc>
        <w:tc>
          <w:tcPr>
            <w:tcW w:w="535" w:type="pct"/>
            <w:tcBorders>
              <w:tl2br w:val="nil"/>
              <w:tr2bl w:val="nil"/>
            </w:tcBorders>
            <w:noWrap w:val="0"/>
            <w:vAlign w:val="center"/>
          </w:tcPr>
          <w:p w14:paraId="4989B2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c>
          <w:tcPr>
            <w:tcW w:w="611" w:type="pct"/>
            <w:tcBorders>
              <w:tl2br w:val="nil"/>
              <w:tr2bl w:val="nil"/>
            </w:tcBorders>
            <w:noWrap w:val="0"/>
            <w:vAlign w:val="center"/>
          </w:tcPr>
          <w:p w14:paraId="2FF4E4B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14265</w:t>
            </w:r>
          </w:p>
        </w:tc>
        <w:tc>
          <w:tcPr>
            <w:tcW w:w="460" w:type="pct"/>
            <w:tcBorders>
              <w:tl2br w:val="nil"/>
              <w:tr2bl w:val="nil"/>
            </w:tcBorders>
            <w:noWrap w:val="0"/>
            <w:vAlign w:val="center"/>
          </w:tcPr>
          <w:p w14:paraId="5E6F23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kg/m</w:t>
            </w:r>
            <w:r>
              <w:rPr>
                <w:rFonts w:hint="default" w:ascii="Times New Roman" w:hAnsi="Times New Roman" w:eastAsia="宋体" w:cs="Times New Roman"/>
                <w:color w:val="auto"/>
                <w:sz w:val="21"/>
                <w:szCs w:val="21"/>
                <w:vertAlign w:val="superscript"/>
              </w:rPr>
              <w:t>3</w:t>
            </w:r>
          </w:p>
        </w:tc>
        <w:tc>
          <w:tcPr>
            <w:tcW w:w="483" w:type="pct"/>
            <w:tcBorders>
              <w:tl2br w:val="nil"/>
              <w:tr2bl w:val="nil"/>
            </w:tcBorders>
            <w:noWrap w:val="0"/>
            <w:vAlign w:val="center"/>
          </w:tcPr>
          <w:p w14:paraId="1F993DB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626" w:type="pct"/>
            <w:tcBorders>
              <w:tl2br w:val="nil"/>
              <w:tr2bl w:val="nil"/>
            </w:tcBorders>
            <w:noWrap w:val="0"/>
            <w:vAlign w:val="center"/>
          </w:tcPr>
          <w:p w14:paraId="30ABD6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189100</w:t>
            </w:r>
          </w:p>
        </w:tc>
        <w:tc>
          <w:tcPr>
            <w:tcW w:w="575" w:type="pct"/>
            <w:tcBorders>
              <w:tl2br w:val="nil"/>
              <w:tr2bl w:val="nil"/>
            </w:tcBorders>
            <w:noWrap w:val="0"/>
            <w:vAlign w:val="center"/>
          </w:tcPr>
          <w:p w14:paraId="48B38A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203365</w:t>
            </w:r>
          </w:p>
        </w:tc>
      </w:tr>
      <w:tr w14:paraId="47FD20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6FC39E8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940" w:type="pct"/>
            <w:tcBorders>
              <w:tl2br w:val="nil"/>
              <w:tr2bl w:val="nil"/>
            </w:tcBorders>
            <w:noWrap w:val="0"/>
            <w:vAlign w:val="center"/>
          </w:tcPr>
          <w:p w14:paraId="0CBD15A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机油（kg）</w:t>
            </w:r>
          </w:p>
        </w:tc>
        <w:tc>
          <w:tcPr>
            <w:tcW w:w="475" w:type="pct"/>
            <w:tcBorders>
              <w:tl2br w:val="nil"/>
              <w:tr2bl w:val="nil"/>
            </w:tcBorders>
            <w:noWrap w:val="0"/>
            <w:vAlign w:val="center"/>
          </w:tcPr>
          <w:p w14:paraId="3B5526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kg/t</w:t>
            </w:r>
          </w:p>
        </w:tc>
        <w:tc>
          <w:tcPr>
            <w:tcW w:w="535" w:type="pct"/>
            <w:tcBorders>
              <w:tl2br w:val="nil"/>
              <w:tr2bl w:val="nil"/>
            </w:tcBorders>
            <w:noWrap w:val="0"/>
            <w:vAlign w:val="center"/>
          </w:tcPr>
          <w:p w14:paraId="3340487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0.005</w:t>
            </w:r>
          </w:p>
        </w:tc>
        <w:tc>
          <w:tcPr>
            <w:tcW w:w="611" w:type="pct"/>
            <w:tcBorders>
              <w:tl2br w:val="nil"/>
              <w:tr2bl w:val="nil"/>
            </w:tcBorders>
            <w:noWrap w:val="0"/>
            <w:vAlign w:val="center"/>
          </w:tcPr>
          <w:p w14:paraId="7FE833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1426.5</w:t>
            </w:r>
          </w:p>
        </w:tc>
        <w:tc>
          <w:tcPr>
            <w:tcW w:w="460" w:type="pct"/>
            <w:tcBorders>
              <w:tl2br w:val="nil"/>
              <w:tr2bl w:val="nil"/>
            </w:tcBorders>
            <w:noWrap w:val="0"/>
            <w:vAlign w:val="center"/>
          </w:tcPr>
          <w:p w14:paraId="02697F0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kg/m</w:t>
            </w:r>
            <w:r>
              <w:rPr>
                <w:rFonts w:hint="default" w:ascii="Times New Roman" w:hAnsi="Times New Roman" w:eastAsia="宋体" w:cs="Times New Roman"/>
                <w:color w:val="auto"/>
                <w:sz w:val="21"/>
                <w:szCs w:val="21"/>
                <w:vertAlign w:val="superscript"/>
              </w:rPr>
              <w:t>3</w:t>
            </w:r>
          </w:p>
        </w:tc>
        <w:tc>
          <w:tcPr>
            <w:tcW w:w="483" w:type="pct"/>
            <w:tcBorders>
              <w:tl2br w:val="nil"/>
              <w:tr2bl w:val="nil"/>
            </w:tcBorders>
            <w:noWrap w:val="0"/>
            <w:vAlign w:val="center"/>
          </w:tcPr>
          <w:p w14:paraId="1BBB5E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c>
          <w:tcPr>
            <w:tcW w:w="626" w:type="pct"/>
            <w:tcBorders>
              <w:tl2br w:val="nil"/>
              <w:tr2bl w:val="nil"/>
            </w:tcBorders>
            <w:noWrap w:val="0"/>
            <w:vAlign w:val="center"/>
          </w:tcPr>
          <w:p w14:paraId="400C6CB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6753.6</w:t>
            </w:r>
          </w:p>
        </w:tc>
        <w:tc>
          <w:tcPr>
            <w:tcW w:w="575" w:type="pct"/>
            <w:tcBorders>
              <w:tl2br w:val="nil"/>
              <w:tr2bl w:val="nil"/>
            </w:tcBorders>
            <w:noWrap w:val="0"/>
            <w:vAlign w:val="center"/>
          </w:tcPr>
          <w:p w14:paraId="28444A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8180.1</w:t>
            </w:r>
          </w:p>
        </w:tc>
      </w:tr>
      <w:tr w14:paraId="6B4355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36DD820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11</w:t>
            </w:r>
          </w:p>
        </w:tc>
        <w:tc>
          <w:tcPr>
            <w:tcW w:w="940" w:type="pct"/>
            <w:tcBorders>
              <w:tl2br w:val="nil"/>
              <w:tr2bl w:val="nil"/>
            </w:tcBorders>
            <w:noWrap w:val="0"/>
            <w:vAlign w:val="center"/>
          </w:tcPr>
          <w:p w14:paraId="6CE021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液压油（kg）</w:t>
            </w:r>
          </w:p>
        </w:tc>
        <w:tc>
          <w:tcPr>
            <w:tcW w:w="475" w:type="pct"/>
            <w:tcBorders>
              <w:tl2br w:val="nil"/>
              <w:tr2bl w:val="nil"/>
            </w:tcBorders>
            <w:noWrap w:val="0"/>
            <w:vAlign w:val="center"/>
          </w:tcPr>
          <w:p w14:paraId="14F170F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kg/t</w:t>
            </w:r>
          </w:p>
        </w:tc>
        <w:tc>
          <w:tcPr>
            <w:tcW w:w="535" w:type="pct"/>
            <w:tcBorders>
              <w:tl2br w:val="nil"/>
              <w:tr2bl w:val="nil"/>
            </w:tcBorders>
            <w:noWrap w:val="0"/>
            <w:vAlign w:val="center"/>
          </w:tcPr>
          <w:p w14:paraId="0287A6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0.009</w:t>
            </w:r>
          </w:p>
        </w:tc>
        <w:tc>
          <w:tcPr>
            <w:tcW w:w="611" w:type="pct"/>
            <w:tcBorders>
              <w:tl2br w:val="nil"/>
              <w:tr2bl w:val="nil"/>
            </w:tcBorders>
            <w:noWrap w:val="0"/>
            <w:vAlign w:val="center"/>
          </w:tcPr>
          <w:p w14:paraId="1F23896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2567.7</w:t>
            </w:r>
          </w:p>
        </w:tc>
        <w:tc>
          <w:tcPr>
            <w:tcW w:w="460" w:type="pct"/>
            <w:tcBorders>
              <w:tl2br w:val="nil"/>
              <w:tr2bl w:val="nil"/>
            </w:tcBorders>
            <w:noWrap w:val="0"/>
            <w:vAlign w:val="center"/>
          </w:tcPr>
          <w:p w14:paraId="1E7A3A2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kg/m</w:t>
            </w:r>
            <w:r>
              <w:rPr>
                <w:rFonts w:hint="default" w:ascii="Times New Roman" w:hAnsi="Times New Roman" w:eastAsia="宋体" w:cs="Times New Roman"/>
                <w:color w:val="auto"/>
                <w:sz w:val="21"/>
                <w:szCs w:val="21"/>
                <w:vertAlign w:val="superscript"/>
              </w:rPr>
              <w:t>3</w:t>
            </w:r>
          </w:p>
        </w:tc>
        <w:tc>
          <w:tcPr>
            <w:tcW w:w="483" w:type="pct"/>
            <w:tcBorders>
              <w:tl2br w:val="nil"/>
              <w:tr2bl w:val="nil"/>
            </w:tcBorders>
            <w:noWrap w:val="0"/>
            <w:vAlign w:val="center"/>
          </w:tcPr>
          <w:p w14:paraId="58EF9A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0.05</w:t>
            </w:r>
          </w:p>
        </w:tc>
        <w:tc>
          <w:tcPr>
            <w:tcW w:w="626" w:type="pct"/>
            <w:tcBorders>
              <w:tl2br w:val="nil"/>
              <w:tr2bl w:val="nil"/>
            </w:tcBorders>
            <w:noWrap w:val="0"/>
            <w:vAlign w:val="center"/>
          </w:tcPr>
          <w:p w14:paraId="1E44B63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6753.6</w:t>
            </w:r>
          </w:p>
        </w:tc>
        <w:tc>
          <w:tcPr>
            <w:tcW w:w="575" w:type="pct"/>
            <w:tcBorders>
              <w:tl2br w:val="nil"/>
              <w:tr2bl w:val="nil"/>
            </w:tcBorders>
            <w:noWrap w:val="0"/>
            <w:vAlign w:val="center"/>
          </w:tcPr>
          <w:p w14:paraId="67C33A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9321.3</w:t>
            </w:r>
          </w:p>
        </w:tc>
      </w:tr>
      <w:tr w14:paraId="4DFE39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289" w:type="pct"/>
            <w:tcBorders>
              <w:tl2br w:val="nil"/>
              <w:tr2bl w:val="nil"/>
            </w:tcBorders>
            <w:shd w:val="clear" w:color="auto" w:fill="FFFFFF"/>
            <w:noWrap w:val="0"/>
            <w:vAlign w:val="center"/>
          </w:tcPr>
          <w:p w14:paraId="5A2358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w:t>
            </w:r>
          </w:p>
        </w:tc>
        <w:tc>
          <w:tcPr>
            <w:tcW w:w="940" w:type="pct"/>
            <w:tcBorders>
              <w:tl2br w:val="nil"/>
              <w:tr2bl w:val="nil"/>
            </w:tcBorders>
            <w:noWrap w:val="0"/>
            <w:vAlign w:val="center"/>
          </w:tcPr>
          <w:p w14:paraId="0DC4677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轮胎（条）</w:t>
            </w:r>
          </w:p>
        </w:tc>
        <w:tc>
          <w:tcPr>
            <w:tcW w:w="475" w:type="pct"/>
            <w:tcBorders>
              <w:tl2br w:val="nil"/>
              <w:tr2bl w:val="nil"/>
            </w:tcBorders>
            <w:noWrap w:val="0"/>
            <w:vAlign w:val="center"/>
          </w:tcPr>
          <w:p w14:paraId="28D96C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条/t</w:t>
            </w:r>
          </w:p>
        </w:tc>
        <w:tc>
          <w:tcPr>
            <w:tcW w:w="535" w:type="pct"/>
            <w:tcBorders>
              <w:tl2br w:val="nil"/>
              <w:tr2bl w:val="nil"/>
            </w:tcBorders>
            <w:noWrap w:val="0"/>
            <w:vAlign w:val="center"/>
          </w:tcPr>
          <w:p w14:paraId="12938B7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0.0001</w:t>
            </w:r>
          </w:p>
        </w:tc>
        <w:tc>
          <w:tcPr>
            <w:tcW w:w="611" w:type="pct"/>
            <w:tcBorders>
              <w:tl2br w:val="nil"/>
              <w:tr2bl w:val="nil"/>
            </w:tcBorders>
            <w:noWrap w:val="0"/>
            <w:vAlign w:val="center"/>
          </w:tcPr>
          <w:p w14:paraId="3BB61B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28.53</w:t>
            </w:r>
          </w:p>
        </w:tc>
        <w:tc>
          <w:tcPr>
            <w:tcW w:w="460" w:type="pct"/>
            <w:tcBorders>
              <w:tl2br w:val="nil"/>
              <w:tr2bl w:val="nil"/>
            </w:tcBorders>
            <w:noWrap w:val="0"/>
            <w:vAlign w:val="center"/>
          </w:tcPr>
          <w:p w14:paraId="33E30BB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条/m</w:t>
            </w:r>
            <w:r>
              <w:rPr>
                <w:rFonts w:hint="default" w:ascii="Times New Roman" w:hAnsi="Times New Roman" w:eastAsia="宋体" w:cs="Times New Roman"/>
                <w:color w:val="auto"/>
                <w:sz w:val="21"/>
                <w:szCs w:val="21"/>
                <w:vertAlign w:val="superscript"/>
              </w:rPr>
              <w:t>3</w:t>
            </w:r>
          </w:p>
        </w:tc>
        <w:tc>
          <w:tcPr>
            <w:tcW w:w="483" w:type="pct"/>
            <w:tcBorders>
              <w:tl2br w:val="nil"/>
              <w:tr2bl w:val="nil"/>
            </w:tcBorders>
            <w:noWrap w:val="0"/>
            <w:vAlign w:val="center"/>
          </w:tcPr>
          <w:p w14:paraId="7EB263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0.001</w:t>
            </w:r>
          </w:p>
        </w:tc>
        <w:tc>
          <w:tcPr>
            <w:tcW w:w="626" w:type="pct"/>
            <w:tcBorders>
              <w:tl2br w:val="nil"/>
              <w:tr2bl w:val="nil"/>
            </w:tcBorders>
            <w:noWrap w:val="0"/>
            <w:vAlign w:val="center"/>
          </w:tcPr>
          <w:p w14:paraId="005016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135.072</w:t>
            </w:r>
          </w:p>
        </w:tc>
        <w:tc>
          <w:tcPr>
            <w:tcW w:w="575" w:type="pct"/>
            <w:tcBorders>
              <w:tl2br w:val="nil"/>
              <w:tr2bl w:val="nil"/>
            </w:tcBorders>
            <w:noWrap w:val="0"/>
            <w:vAlign w:val="center"/>
          </w:tcPr>
          <w:p w14:paraId="2C9DC2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163.6</w:t>
            </w:r>
          </w:p>
        </w:tc>
      </w:tr>
      <w:tr w14:paraId="4407D1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9"/>
            <w:tcBorders>
              <w:tl2br w:val="nil"/>
              <w:tr2bl w:val="nil"/>
            </w:tcBorders>
            <w:noWrap w:val="0"/>
            <w:vAlign w:val="center"/>
          </w:tcPr>
          <w:p w14:paraId="4C7D2F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备注：矿山年掘进工程量为：9600m，采场年出矿量28.53万t。</w:t>
            </w:r>
          </w:p>
        </w:tc>
      </w:tr>
    </w:tbl>
    <w:p w14:paraId="001371CB">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bookmarkStart w:id="303" w:name="_Toc293561558"/>
      <w:bookmarkStart w:id="304" w:name="_Toc293561055"/>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3.3.1.6开拓系统</w:t>
      </w:r>
    </w:p>
    <w:p w14:paraId="11AE7B2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05" w:name="_Toc13779"/>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开采移动范围的确定</w:t>
      </w:r>
      <w:bookmarkEnd w:id="305"/>
    </w:p>
    <w:p w14:paraId="421632F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各矿体（层）井下采区矿体（层）直接顶（底）板岩石主要为灰岩、二长花岗岩、花岗闪长岩、条带状大理岩化灰岩，闪长岩、矽卡岩为不等粒变晶结构，块状构造；大理岩、条带状大理岩化灰岩为粒状变晶结构，块状构造；二长花岗岩、花岗闪长岩为粒状结构，块状构造。总体岩石节理、裂隙不发育，岩体完整性评价为岩体较完整，抗剪断能力较好，整体顶底板稳固性中等。</w:t>
      </w:r>
    </w:p>
    <w:p w14:paraId="38C9E8A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矿体围岩物理力学性质及选择的采矿方法，并参照类似矿山，按类比法确定上、下盘岩石移动监测角均为65°，端部岩石移动监测角为70°。按照确定的岩石移动监测角，以最低开采标高向地表圈定岩石移动监测范围</w:t>
      </w:r>
      <w:r>
        <w:rPr>
          <w:rFonts w:hint="default" w:ascii="Times New Roman" w:hAnsi="Times New Roman" w:eastAsia="宋体" w:cs="Times New Roman"/>
          <w:color w:val="auto"/>
          <w:sz w:val="24"/>
          <w:szCs w:val="24"/>
          <w:highlight w:val="none"/>
        </w:rPr>
        <w:t>。</w:t>
      </w:r>
    </w:p>
    <w:p w14:paraId="6803886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06" w:name="_Toc31787"/>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开拓</w:t>
      </w:r>
      <w:bookmarkEnd w:id="306"/>
      <w:r>
        <w:rPr>
          <w:rFonts w:hint="default" w:ascii="Times New Roman" w:hAnsi="Times New Roman" w:eastAsia="宋体" w:cs="Times New Roman"/>
          <w:color w:val="auto"/>
          <w:sz w:val="24"/>
          <w:szCs w:val="24"/>
        </w:rPr>
        <w:t>系统</w:t>
      </w:r>
    </w:p>
    <w:p w14:paraId="7827EB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根据矿体赋存及地表地形，设计采用平硐—斜坡道联合开拓。</w:t>
      </w:r>
    </w:p>
    <w:p w14:paraId="1D57B90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主平硐：为新建工程，硐口位于矿区南部，岩石移动范围20m外。硐口中心点坐标X=4637602.94，Y=32442085.40，Z=2000m。平硐长76m，断面采用三心拱形，净断面规格为4.0m×3.8m。该平硐负责</w:t>
      </w:r>
      <w:bookmarkStart w:id="307" w:name="OLE_LINK536"/>
      <w:bookmarkStart w:id="308" w:name="OLE_LINK534"/>
      <w:bookmarkStart w:id="309" w:name="OLE_LINK535"/>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w:t>
      </w:r>
      <w:bookmarkStart w:id="310" w:name="OLE_LINK396"/>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w:t>
      </w:r>
      <w:bookmarkEnd w:id="310"/>
      <w:r>
        <w:rPr>
          <w:rFonts w:hint="default" w:ascii="Times New Roman" w:hAnsi="Times New Roman" w:eastAsia="宋体" w:cs="Times New Roman"/>
          <w:color w:val="auto"/>
          <w:sz w:val="24"/>
          <w:szCs w:val="24"/>
        </w:rPr>
        <w:t>、V</w:t>
      </w:r>
      <w:bookmarkStart w:id="311" w:name="OLE_LINK531"/>
      <w:bookmarkStart w:id="312" w:name="OLE_LINK530"/>
      <w:r>
        <w:rPr>
          <w:rFonts w:hint="default" w:ascii="Times New Roman" w:hAnsi="Times New Roman" w:eastAsia="宋体" w:cs="Times New Roman"/>
          <w:color w:val="auto"/>
          <w:sz w:val="24"/>
          <w:szCs w:val="24"/>
        </w:rPr>
        <w:t>、</w:t>
      </w:r>
      <w:bookmarkEnd w:id="307"/>
      <w:bookmarkEnd w:id="308"/>
      <w:bookmarkEnd w:id="309"/>
      <w:bookmarkEnd w:id="311"/>
      <w:bookmarkEnd w:id="312"/>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矿体开采时，矿石、废石、材料及人员运输任务，兼做安全出口。开采</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、V矿体时入新风。</w:t>
      </w:r>
    </w:p>
    <w:p w14:paraId="6AC46BB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斜坡道：为新建工程，斜坡道硐口位于主平硐内，岩石移动范围20m外。硐口中心点坐标X=4637535.63，Y=32442121.39，Z=2000m，斜坡道底标高1800m，断面采用三心拱形，净断面规格为4.0m×3.8m。直线段坡度12%，平均坡度10%，斜坡道总长2000m。该斜坡道负责</w:t>
      </w:r>
      <w:bookmarkStart w:id="313" w:name="OLE_LINK544"/>
      <w:bookmarkStart w:id="314" w:name="OLE_LINK545"/>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-1-3、V、</w:t>
      </w:r>
      <w:bookmarkEnd w:id="313"/>
      <w:bookmarkEnd w:id="314"/>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矿体开采时，矿石、废石、材料及人员运输任务。</w:t>
      </w:r>
    </w:p>
    <w:p w14:paraId="591176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北斜坡道：为新建工程，硐口位于矿区北部，岩石移动范围20m外。硐口中心点坐标X=4639033.53，Y=32442076.80，Z=2010m，设计底标高1840m，断面采用三心拱形，净断面规格为4.0m×3.8m。直线段坡度12%，平均坡度10%，斜坡道总长1700m。该斜坡道负责I、Ⅱ号矿体开采时，矿石、废石、材料及人员运输任务，入新风兼做安全出口。</w:t>
      </w:r>
    </w:p>
    <w:p w14:paraId="7921A3C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入风管缆井：为现有工程，利用原3号矿体下盘现有竖井，井筒位于矿区南部，岩石移动范围20m外。井口中心点坐标X=4637774.11，Y=32442211.54，Z=2032m。现井底标高1979m，设计将井筒延深至1800m，井筒深度232m，井筒断面为圆形，净直径4.2m，该井作为</w:t>
      </w:r>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-1-3、V、</w:t>
      </w: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矿体开采时的管缆井，兼做安全出口。开采</w:t>
      </w:r>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矿体时入新风。</w:t>
      </w:r>
    </w:p>
    <w:p w14:paraId="6D6915D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号矿体回风井：为新建工程，井筒位于矿区北部，岩石移动范围20m外。井口中心点坐标X=4638528.02，Y=32441965.99，Z=2011m，井底标高1840m。井筒深度171m，井筒断面为圆形，净直径3.0m，井口安设风机，作为</w:t>
      </w: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号矿体开采时的回风井，兼做安全出口。</w:t>
      </w:r>
    </w:p>
    <w:p w14:paraId="427E9AC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号矿体回风井：为现有工程，利用矿山原北风井，井筒位于矿区中部，岩石移动范围20m外。井口中心点坐标X=4638118.63，Y=32442253.93，Z=2027m，现井底标高1980m，</w:t>
      </w:r>
      <w:r>
        <w:rPr>
          <w:rFonts w:hint="default" w:ascii="Times New Roman" w:hAnsi="Times New Roman" w:eastAsia="宋体" w:cs="Times New Roman"/>
          <w:color w:val="auto"/>
          <w:sz w:val="24"/>
          <w:szCs w:val="24"/>
          <w:lang w:val="en-US" w:eastAsia="zh-CN"/>
        </w:rPr>
        <w:t>设计将该回风井</w:t>
      </w:r>
      <w:r>
        <w:rPr>
          <w:rFonts w:hint="default" w:ascii="Times New Roman" w:hAnsi="Times New Roman" w:cs="Times New Roman"/>
          <w:color w:val="auto"/>
          <w:sz w:val="24"/>
          <w:szCs w:val="24"/>
          <w:lang w:val="en-US" w:eastAsia="zh-CN"/>
        </w:rPr>
        <w:t>延伸</w:t>
      </w:r>
      <w:r>
        <w:rPr>
          <w:rFonts w:hint="default" w:ascii="Times New Roman" w:hAnsi="Times New Roman" w:eastAsia="宋体" w:cs="Times New Roman"/>
          <w:color w:val="auto"/>
          <w:sz w:val="24"/>
          <w:szCs w:val="24"/>
          <w:lang w:val="en-US" w:eastAsia="zh-CN"/>
        </w:rPr>
        <w:t>至1800m水平</w:t>
      </w:r>
      <w:r>
        <w:rPr>
          <w:rFonts w:hint="default" w:ascii="Times New Roman" w:hAnsi="Times New Roman" w:eastAsia="宋体" w:cs="Times New Roman"/>
          <w:color w:val="auto"/>
          <w:sz w:val="24"/>
          <w:szCs w:val="24"/>
        </w:rPr>
        <w:t>。井筒断面为圆形，净直径3.0m，井口安设风机，作为</w:t>
      </w:r>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号矿体开采时的回风井，兼做安全出口。</w:t>
      </w:r>
    </w:p>
    <w:p w14:paraId="0A59935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-1号矿体回风井：为新建工程，井筒位于矿区东南部，岩石移动范围20m外。井口中心点坐标X=4637230.22，Y=32442572.04，Z=2036m，设计井底标高</w:t>
      </w:r>
      <w:r>
        <w:rPr>
          <w:rFonts w:hint="default" w:ascii="Times New Roman" w:hAnsi="Times New Roman" w:eastAsia="宋体" w:cs="Times New Roman"/>
          <w:color w:val="auto"/>
          <w:sz w:val="24"/>
          <w:szCs w:val="24"/>
          <w:lang w:val="en-US" w:eastAsia="zh-CN"/>
        </w:rPr>
        <w:t>1900</w:t>
      </w:r>
      <w:r>
        <w:rPr>
          <w:rFonts w:hint="default" w:ascii="Times New Roman" w:hAnsi="Times New Roman" w:eastAsia="宋体" w:cs="Times New Roman"/>
          <w:color w:val="auto"/>
          <w:sz w:val="24"/>
          <w:szCs w:val="24"/>
        </w:rPr>
        <w:t>m，井筒深度</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36m。</w:t>
      </w:r>
      <w:bookmarkStart w:id="315" w:name="OLE_LINK421"/>
      <w:bookmarkStart w:id="316" w:name="OLE_LINK422"/>
      <w:r>
        <w:rPr>
          <w:rFonts w:hint="default" w:ascii="Times New Roman" w:hAnsi="Times New Roman" w:eastAsia="宋体" w:cs="Times New Roman"/>
          <w:color w:val="auto"/>
          <w:sz w:val="24"/>
          <w:szCs w:val="24"/>
        </w:rPr>
        <w:t>井筒断面为圆形，净直径3.0m</w:t>
      </w:r>
      <w:bookmarkEnd w:id="315"/>
      <w:bookmarkEnd w:id="316"/>
      <w:r>
        <w:rPr>
          <w:rFonts w:hint="default" w:ascii="Times New Roman" w:hAnsi="Times New Roman" w:eastAsia="宋体" w:cs="Times New Roman"/>
          <w:color w:val="auto"/>
          <w:sz w:val="24"/>
          <w:szCs w:val="24"/>
        </w:rPr>
        <w:t>，井口安设风机，作为</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-1-3号矿体开采时的回风井，兼做安全出口。</w:t>
      </w:r>
    </w:p>
    <w:p w14:paraId="589FB4C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号矿体回风平硐：为现有工程，利用矿山原PD54-1平硐，硐口位于矿区南部，岩石移动范围20m外。硐口中心点坐标X=4637574.30，Y=32441793.45，Z=2040m。平硐长60m，净断面规格为2.2m×2.5m。需对断面按照设计断面尺寸进行刷帮，刷帮后断面尺寸2.5m×2.5m。井口安设风机，作为V号矿体开采时的回风井，兼做安全出口。</w:t>
      </w:r>
    </w:p>
    <w:p w14:paraId="6383F6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回风井：为现有工程，利用矿山原南风井，井筒位于矿区中部，岩石移动范围20m外。井口中心点坐标X=4637495.97，Y=32442113.40，Z=2032m，现井底标高1980m，井筒深度52m。井筒断面为圆形，净直径3.0m，井口安设风机，作为</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号矿体开采时的回风井，兼做安全出口。</w:t>
      </w:r>
    </w:p>
    <w:p w14:paraId="1D7EA10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17" w:name="OLE_LINK546"/>
      <w:bookmarkStart w:id="318" w:name="OLE_LINK547"/>
      <w:r>
        <w:rPr>
          <w:rFonts w:hint="default" w:ascii="Times New Roman" w:hAnsi="Times New Roman" w:eastAsia="宋体" w:cs="Times New Roman"/>
          <w:color w:val="auto"/>
          <w:sz w:val="24"/>
          <w:szCs w:val="24"/>
        </w:rPr>
        <w:t>I、</w:t>
      </w:r>
      <w:r>
        <w:rPr>
          <w:rFonts w:hint="default" w:ascii="Times New Roman" w:hAnsi="Times New Roman" w:eastAsia="宋体" w:cs="Times New Roman"/>
          <w:color w:val="auto"/>
          <w:sz w:val="24"/>
          <w:szCs w:val="24"/>
          <w:lang w:eastAsia="zh-CN"/>
        </w:rPr>
        <w:t>Ⅱ</w:t>
      </w:r>
      <w:r>
        <w:rPr>
          <w:rFonts w:hint="default" w:ascii="Times New Roman" w:hAnsi="Times New Roman" w:eastAsia="宋体" w:cs="Times New Roman"/>
          <w:color w:val="auto"/>
          <w:sz w:val="24"/>
          <w:szCs w:val="24"/>
        </w:rPr>
        <w:t>号矿体</w:t>
      </w:r>
      <w:bookmarkEnd w:id="317"/>
      <w:bookmarkEnd w:id="318"/>
      <w:r>
        <w:rPr>
          <w:rFonts w:hint="default" w:ascii="Times New Roman" w:hAnsi="Times New Roman" w:eastAsia="宋体" w:cs="Times New Roman"/>
          <w:color w:val="auto"/>
          <w:sz w:val="24"/>
          <w:szCs w:val="24"/>
        </w:rPr>
        <w:t>回风井：为新建工程，井筒位于矿区北部，岩石移动范围20m外。井口中心点坐标X=4639357.46，Y=32442205.45，Z=2024m，设计底标高1</w:t>
      </w:r>
      <w:r>
        <w:rPr>
          <w:rFonts w:hint="default" w:ascii="Times New Roman" w:hAnsi="Times New Roman" w:eastAsia="宋体" w:cs="Times New Roman"/>
          <w:color w:val="auto"/>
          <w:sz w:val="24"/>
          <w:szCs w:val="24"/>
          <w:lang w:val="en-US" w:eastAsia="zh-CN"/>
        </w:rPr>
        <w:t>84</w:t>
      </w:r>
      <w:r>
        <w:rPr>
          <w:rFonts w:hint="default" w:ascii="Times New Roman" w:hAnsi="Times New Roman" w:eastAsia="宋体" w:cs="Times New Roman"/>
          <w:color w:val="auto"/>
          <w:sz w:val="24"/>
          <w:szCs w:val="24"/>
        </w:rPr>
        <w:t>0m，井筒深度1</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4m。井筒断面为圆形，净直径3.0m，井筒内布设管线，井口安设风机，作为I、</w:t>
      </w:r>
      <w:r>
        <w:rPr>
          <w:rFonts w:hint="default" w:ascii="Times New Roman" w:hAnsi="Times New Roman" w:eastAsia="宋体" w:cs="Times New Roman"/>
          <w:color w:val="auto"/>
          <w:sz w:val="24"/>
          <w:szCs w:val="24"/>
          <w:lang w:eastAsia="zh-CN"/>
        </w:rPr>
        <w:t>Ⅱ</w:t>
      </w:r>
      <w:r>
        <w:rPr>
          <w:rFonts w:hint="default" w:ascii="Times New Roman" w:hAnsi="Times New Roman" w:eastAsia="宋体" w:cs="Times New Roman"/>
          <w:color w:val="auto"/>
          <w:sz w:val="24"/>
          <w:szCs w:val="24"/>
        </w:rPr>
        <w:t>号矿体开采时的回风井，兼做安全出口。</w:t>
      </w:r>
    </w:p>
    <w:p w14:paraId="6270D77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中段高度</w:t>
      </w:r>
    </w:p>
    <w:p w14:paraId="2ADF9AD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19" w:name="OLE_LINK475"/>
      <w:bookmarkStart w:id="320" w:name="OLE_LINK474"/>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-1-3号矿体</w:t>
      </w:r>
      <w:bookmarkEnd w:id="319"/>
      <w:bookmarkEnd w:id="320"/>
      <w:r>
        <w:rPr>
          <w:rFonts w:hint="default" w:ascii="Times New Roman" w:hAnsi="Times New Roman" w:eastAsia="宋体" w:cs="Times New Roman"/>
          <w:color w:val="auto"/>
          <w:sz w:val="24"/>
          <w:szCs w:val="24"/>
        </w:rPr>
        <w:t>阶段高度：20m，设计中段：2000m回风中段，1980m</w:t>
      </w:r>
      <w:bookmarkStart w:id="321" w:name="OLE_LINK557"/>
      <w:bookmarkStart w:id="322" w:name="OLE_LINK556"/>
      <w:r>
        <w:rPr>
          <w:rFonts w:hint="default" w:ascii="Times New Roman" w:hAnsi="Times New Roman" w:eastAsia="宋体" w:cs="Times New Roman"/>
          <w:color w:val="auto"/>
          <w:sz w:val="24"/>
          <w:szCs w:val="24"/>
        </w:rPr>
        <w:t>运输中段</w:t>
      </w:r>
      <w:bookmarkEnd w:id="321"/>
      <w:bookmarkEnd w:id="322"/>
      <w:r>
        <w:rPr>
          <w:rFonts w:hint="default" w:ascii="Times New Roman" w:hAnsi="Times New Roman" w:eastAsia="宋体" w:cs="Times New Roman"/>
          <w:color w:val="auto"/>
          <w:sz w:val="24"/>
          <w:szCs w:val="24"/>
        </w:rPr>
        <w:t>、1960m运输中段、1940m运输中段、1920m运输中段、1900m运输中段共6个中段。</w:t>
      </w:r>
    </w:p>
    <w:p w14:paraId="03BC0ED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Ⅵ</w:t>
      </w:r>
      <w:r>
        <w:rPr>
          <w:rFonts w:hint="default" w:ascii="Times New Roman" w:hAnsi="Times New Roman" w:eastAsia="宋体" w:cs="Times New Roman"/>
          <w:color w:val="auto"/>
          <w:sz w:val="24"/>
          <w:szCs w:val="24"/>
        </w:rPr>
        <w:t>号矿体阶段高度：20m、40m，</w:t>
      </w:r>
      <w:bookmarkStart w:id="323" w:name="OLE_LINK560"/>
      <w:bookmarkStart w:id="324" w:name="OLE_LINK561"/>
      <w:r>
        <w:rPr>
          <w:rFonts w:hint="default" w:ascii="Times New Roman" w:hAnsi="Times New Roman" w:eastAsia="宋体" w:cs="Times New Roman"/>
          <w:color w:val="auto"/>
          <w:sz w:val="24"/>
          <w:szCs w:val="24"/>
        </w:rPr>
        <w:t>设计中段：</w:t>
      </w:r>
      <w:bookmarkEnd w:id="323"/>
      <w:bookmarkEnd w:id="324"/>
      <w:r>
        <w:rPr>
          <w:rFonts w:hint="default" w:ascii="Times New Roman" w:hAnsi="Times New Roman" w:eastAsia="宋体" w:cs="Times New Roman"/>
          <w:color w:val="auto"/>
          <w:sz w:val="24"/>
          <w:szCs w:val="24"/>
        </w:rPr>
        <w:t>1980m回风中段， 1960m运输中段、1920m运输中段、1880m运输中段、1840m运输中段共5个中段。</w:t>
      </w:r>
    </w:p>
    <w:p w14:paraId="503C792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25" w:name="OLE_LINK473"/>
      <w:bookmarkStart w:id="326" w:name="OLE_LINK472"/>
      <w:r>
        <w:rPr>
          <w:rFonts w:hint="default" w:ascii="Times New Roman" w:hAnsi="Times New Roman" w:eastAsia="宋体" w:cs="Times New Roman"/>
          <w:color w:val="auto"/>
          <w:sz w:val="24"/>
          <w:szCs w:val="24"/>
          <w:lang w:eastAsia="zh-CN"/>
        </w:rPr>
        <w:t>Ⅲ</w:t>
      </w:r>
      <w:r>
        <w:rPr>
          <w:rFonts w:hint="default" w:ascii="Times New Roman" w:hAnsi="Times New Roman" w:eastAsia="宋体" w:cs="Times New Roman"/>
          <w:color w:val="auto"/>
          <w:sz w:val="24"/>
          <w:szCs w:val="24"/>
        </w:rPr>
        <w:t>号矿体</w:t>
      </w:r>
      <w:bookmarkEnd w:id="325"/>
      <w:bookmarkEnd w:id="326"/>
      <w:r>
        <w:rPr>
          <w:rFonts w:hint="default" w:ascii="Times New Roman" w:hAnsi="Times New Roman" w:eastAsia="宋体" w:cs="Times New Roman"/>
          <w:color w:val="auto"/>
          <w:sz w:val="24"/>
          <w:szCs w:val="24"/>
        </w:rPr>
        <w:t>阶段高度</w:t>
      </w:r>
      <w:bookmarkStart w:id="327" w:name="OLE_LINK404"/>
      <w:bookmarkStart w:id="328" w:name="OLE_LINK403"/>
      <w:r>
        <w:rPr>
          <w:rFonts w:hint="default" w:ascii="Times New Roman" w:hAnsi="Times New Roman" w:eastAsia="宋体" w:cs="Times New Roman"/>
          <w:color w:val="auto"/>
          <w:sz w:val="24"/>
          <w:szCs w:val="24"/>
        </w:rPr>
        <w:t>：</w:t>
      </w:r>
      <w:bookmarkEnd w:id="327"/>
      <w:bookmarkEnd w:id="328"/>
      <w:r>
        <w:rPr>
          <w:rFonts w:hint="default" w:ascii="Times New Roman" w:hAnsi="Times New Roman" w:eastAsia="宋体" w:cs="Times New Roman"/>
          <w:color w:val="auto"/>
          <w:sz w:val="24"/>
          <w:szCs w:val="24"/>
        </w:rPr>
        <w:t>40m，设计中段：2000m回风中段，1960m运输中段、1920m</w:t>
      </w:r>
      <w:bookmarkStart w:id="329" w:name="OLE_LINK559"/>
      <w:bookmarkStart w:id="330" w:name="OLE_LINK558"/>
      <w:bookmarkStart w:id="331" w:name="OLE_LINK568"/>
      <w:r>
        <w:rPr>
          <w:rFonts w:hint="default" w:ascii="Times New Roman" w:hAnsi="Times New Roman" w:eastAsia="宋体" w:cs="Times New Roman"/>
          <w:color w:val="auto"/>
          <w:sz w:val="24"/>
          <w:szCs w:val="24"/>
        </w:rPr>
        <w:t>运输中段</w:t>
      </w:r>
      <w:bookmarkEnd w:id="329"/>
      <w:bookmarkEnd w:id="330"/>
      <w:bookmarkEnd w:id="331"/>
      <w:r>
        <w:rPr>
          <w:rFonts w:hint="default" w:ascii="Times New Roman" w:hAnsi="Times New Roman" w:eastAsia="宋体" w:cs="Times New Roman"/>
          <w:color w:val="auto"/>
          <w:sz w:val="24"/>
          <w:szCs w:val="24"/>
        </w:rPr>
        <w:t>、1880m运输中段、1840m运输中段、1800m运输中段共6个段。</w:t>
      </w:r>
    </w:p>
    <w:p w14:paraId="279C4F4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I、</w:t>
      </w:r>
      <w:r>
        <w:rPr>
          <w:rFonts w:hint="default" w:ascii="Times New Roman" w:hAnsi="Times New Roman" w:eastAsia="宋体" w:cs="Times New Roman"/>
          <w:color w:val="auto"/>
          <w:sz w:val="24"/>
          <w:szCs w:val="24"/>
          <w:lang w:eastAsia="zh-CN"/>
        </w:rPr>
        <w:t>Ⅱ</w:t>
      </w:r>
      <w:r>
        <w:rPr>
          <w:rFonts w:hint="default" w:ascii="Times New Roman" w:hAnsi="Times New Roman" w:eastAsia="宋体" w:cs="Times New Roman"/>
          <w:color w:val="auto"/>
          <w:sz w:val="24"/>
          <w:szCs w:val="24"/>
        </w:rPr>
        <w:t>号矿体阶段高度：40m，设计中段：2000m回风中段，1960m运输中段、1920m运输中段、1880m运输中段、1840m运输中段共5个中段。</w:t>
      </w:r>
    </w:p>
    <w:p w14:paraId="30AA7FC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号矿体阶段高度：40m，设计中段：1980m回风中段，1940m运输中段共2个中段。</w:t>
      </w:r>
    </w:p>
    <w:p w14:paraId="179C63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V号矿体阶段高度：40m，设计中段：2040m回风中段，2000m</w:t>
      </w:r>
      <w:bookmarkStart w:id="332" w:name="OLE_LINK578"/>
      <w:bookmarkStart w:id="333" w:name="OLE_LINK569"/>
      <w:r>
        <w:rPr>
          <w:rFonts w:hint="default" w:ascii="Times New Roman" w:hAnsi="Times New Roman" w:eastAsia="宋体" w:cs="Times New Roman"/>
          <w:color w:val="auto"/>
          <w:sz w:val="24"/>
          <w:szCs w:val="24"/>
        </w:rPr>
        <w:t>运输中段</w:t>
      </w:r>
      <w:bookmarkEnd w:id="332"/>
      <w:bookmarkEnd w:id="333"/>
      <w:r>
        <w:rPr>
          <w:rFonts w:hint="default" w:ascii="Times New Roman" w:hAnsi="Times New Roman" w:eastAsia="宋体" w:cs="Times New Roman"/>
          <w:color w:val="auto"/>
          <w:sz w:val="24"/>
          <w:szCs w:val="24"/>
        </w:rPr>
        <w:t>、1960m运输中段共3个中段。</w:t>
      </w:r>
    </w:p>
    <w:p w14:paraId="77F1A2F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回采顺序</w:t>
      </w:r>
    </w:p>
    <w:p w14:paraId="562E969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设计将开采的1</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条矿体划分为4个分区：Ⅰ、Ⅱ号矿体分区，</w:t>
      </w:r>
      <w:r>
        <w:rPr>
          <w:rFonts w:hint="default" w:ascii="Times New Roman" w:hAnsi="Times New Roman" w:eastAsia="宋体" w:cs="Times New Roman"/>
          <w:color w:val="auto"/>
          <w:sz w:val="24"/>
          <w:szCs w:val="24"/>
          <w:lang w:eastAsia="zh-CN"/>
        </w:rPr>
        <w:t>Ⅲ、Ⅵ号矿体</w:t>
      </w:r>
      <w:r>
        <w:rPr>
          <w:rFonts w:hint="default" w:ascii="Times New Roman" w:hAnsi="Times New Roman" w:eastAsia="宋体" w:cs="Times New Roman"/>
          <w:color w:val="auto"/>
          <w:sz w:val="24"/>
          <w:szCs w:val="24"/>
        </w:rPr>
        <w:t>分区，Ⅳ、Ⅴ号矿体分区，Ⅳ-1、Ⅳ-1-1、Ⅳ-1-2、Ⅳ-1-3号矿体分区。 4个分区同时开采。各阶段间自上而下开采，各水平采用后退式开采，同一中段内先采上盘矿体后采下盘矿体。</w:t>
      </w:r>
    </w:p>
    <w:p w14:paraId="25A936E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坑内运输</w:t>
      </w:r>
    </w:p>
    <w:p w14:paraId="2FFBD86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34" w:name="OLE_LINK588"/>
      <w:bookmarkStart w:id="335" w:name="OLE_LINK587"/>
      <w:r>
        <w:rPr>
          <w:rFonts w:hint="default" w:ascii="Times New Roman" w:hAnsi="Times New Roman" w:eastAsia="宋体" w:cs="Times New Roman"/>
          <w:color w:val="auto"/>
          <w:sz w:val="24"/>
          <w:szCs w:val="24"/>
        </w:rPr>
        <w:t>井下均采用无轨运输方式，设计选用ZL30A矿用装载机装矿，</w:t>
      </w:r>
      <w:bookmarkStart w:id="336" w:name="OLE_LINK491"/>
      <w:bookmarkStart w:id="337" w:name="OLE_LINK492"/>
      <w:r>
        <w:rPr>
          <w:rFonts w:hint="default" w:ascii="Times New Roman" w:hAnsi="Times New Roman" w:eastAsia="宋体" w:cs="Times New Roman"/>
          <w:color w:val="auto"/>
          <w:sz w:val="24"/>
          <w:szCs w:val="24"/>
        </w:rPr>
        <w:t>UQ-10</w:t>
      </w:r>
      <w:bookmarkEnd w:id="336"/>
      <w:bookmarkEnd w:id="337"/>
      <w:r>
        <w:rPr>
          <w:rFonts w:hint="default" w:ascii="Times New Roman" w:hAnsi="Times New Roman" w:eastAsia="宋体" w:cs="Times New Roman"/>
          <w:color w:val="auto"/>
          <w:sz w:val="24"/>
          <w:szCs w:val="24"/>
        </w:rPr>
        <w:t>矿用运输车运输，选用RU-9型矿用人车运输人员，RU-9型人车额定载客人数9人。</w:t>
      </w:r>
      <w:bookmarkEnd w:id="334"/>
      <w:bookmarkEnd w:id="335"/>
      <w:r>
        <w:rPr>
          <w:rFonts w:hint="default" w:ascii="Times New Roman" w:hAnsi="Times New Roman" w:eastAsia="宋体" w:cs="Times New Roman"/>
          <w:color w:val="auto"/>
          <w:sz w:val="24"/>
          <w:szCs w:val="24"/>
        </w:rPr>
        <w:t>以上设备应为矿山专用设备并具有安标。</w:t>
      </w:r>
    </w:p>
    <w:p w14:paraId="2612D8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矿山共需11台UQ-10矿用井下运输车运输矿岩，14台工作，3台备用。</w:t>
      </w:r>
    </w:p>
    <w:p w14:paraId="5DC4CDB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bookmarkStart w:id="338" w:name="OLE_LINK494"/>
      <w:bookmarkStart w:id="339" w:name="OLE_LINK493"/>
      <w:r>
        <w:rPr>
          <w:rFonts w:hint="default" w:ascii="Times New Roman" w:hAnsi="Times New Roman" w:eastAsia="宋体" w:cs="Times New Roman"/>
          <w:color w:val="auto"/>
          <w:sz w:val="24"/>
          <w:szCs w:val="24"/>
        </w:rPr>
        <w:t>矿用人车</w:t>
      </w:r>
      <w:bookmarkEnd w:id="338"/>
      <w:bookmarkEnd w:id="339"/>
      <w:bookmarkStart w:id="340" w:name="OLE_LINK495"/>
      <w:bookmarkStart w:id="341" w:name="OLE_LINK496"/>
      <w:r>
        <w:rPr>
          <w:rFonts w:hint="default" w:ascii="Times New Roman" w:hAnsi="Times New Roman" w:eastAsia="宋体" w:cs="Times New Roman"/>
          <w:color w:val="auto"/>
          <w:sz w:val="24"/>
          <w:szCs w:val="24"/>
        </w:rPr>
        <w:t>RU-9</w:t>
      </w:r>
      <w:bookmarkEnd w:id="340"/>
      <w:bookmarkEnd w:id="341"/>
      <w:r>
        <w:rPr>
          <w:rFonts w:hint="default" w:ascii="Times New Roman" w:hAnsi="Times New Roman" w:eastAsia="宋体" w:cs="Times New Roman"/>
          <w:color w:val="auto"/>
          <w:sz w:val="24"/>
          <w:szCs w:val="24"/>
        </w:rPr>
        <w:t>共需要3台，2台工作，1台备用。</w:t>
      </w:r>
    </w:p>
    <w:p w14:paraId="6EC0F0E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矿山日常柴油供应均来源于周边加油站，矿山不设油库硐室以及储油设备，矿山日常炸药均由当地民爆公司统一运送。</w:t>
      </w:r>
    </w:p>
    <w:p w14:paraId="31907EA6">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w:t>
      </w:r>
      <w:r>
        <w:rPr>
          <w:rFonts w:hint="default" w:ascii="Times New Roman" w:hAnsi="Times New Roman" w:cs="Times New Roman"/>
          <w:b/>
          <w:bCs/>
          <w:color w:val="auto"/>
          <w:spacing w:val="0"/>
          <w:w w:val="100"/>
          <w:kern w:val="2"/>
          <w:position w:val="0"/>
          <w:sz w:val="24"/>
          <w:szCs w:val="28"/>
          <w:highlight w:val="none"/>
          <w:lang w:val="en-US" w:eastAsia="zh-CN" w:bidi="ar-SA"/>
        </w:rPr>
        <w:t>7矿井通风</w:t>
      </w:r>
    </w:p>
    <w:bookmarkEnd w:id="303"/>
    <w:bookmarkEnd w:id="304"/>
    <w:p w14:paraId="79A8B10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设计采用对角抽出式通风系统。</w:t>
      </w:r>
    </w:p>
    <w:p w14:paraId="0BC168B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Ⅳ-1、Ⅳ-1-1、Ⅳ-1-2、Ⅳ-1-3</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V号矿体通风方式</w:t>
      </w:r>
    </w:p>
    <w:p w14:paraId="5EE6EAF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①Ⅳ-1、Ⅳ-1-1、Ⅳ-1-2、Ⅳ-1-3号矿体通风方式</w:t>
      </w:r>
    </w:p>
    <w:p w14:paraId="038303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采Ⅳ-1、Ⅳ-1-1、Ⅳ-1-2、Ⅳ-1-3号矿体时新风从主平硐及南斜坡道进入1900m水平、1920m水平、1940m水平、1960m水平、1980m水平，经水平运输巷道，通过采场一侧的人行通风天井进入采场内，冲洗工作面的污风由采场另一侧通风天井进入上水平巷道，由</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-1号矿体回风井井口风机房内的风机将污风抽出井外。</w:t>
      </w:r>
    </w:p>
    <w:p w14:paraId="3DF1D35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②Ⅳ号矿体通风方式</w:t>
      </w:r>
    </w:p>
    <w:p w14:paraId="4D62AC4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开采</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号矿体时，新风从主平硐及南斜坡道进入1940m水平，经水平运输巷道，通过采场一侧的人行通风天井进入采场内，冲洗工作面的污风由采场另一侧通风天井进入上水平巷道，由</w:t>
      </w:r>
      <w:r>
        <w:rPr>
          <w:rFonts w:hint="default" w:ascii="Times New Roman" w:hAnsi="Times New Roman" w:eastAsia="宋体" w:cs="Times New Roman"/>
          <w:color w:val="auto"/>
          <w:sz w:val="24"/>
          <w:szCs w:val="24"/>
          <w:lang w:eastAsia="zh-CN"/>
        </w:rPr>
        <w:t>Ⅳ</w:t>
      </w:r>
      <w:r>
        <w:rPr>
          <w:rFonts w:hint="default" w:ascii="Times New Roman" w:hAnsi="Times New Roman" w:eastAsia="宋体" w:cs="Times New Roman"/>
          <w:color w:val="auto"/>
          <w:sz w:val="24"/>
          <w:szCs w:val="24"/>
        </w:rPr>
        <w:t>号矿体回风井（原南风井）井口风机房内的风机将污风抽出井外。</w:t>
      </w:r>
    </w:p>
    <w:p w14:paraId="115BB5B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③</w:t>
      </w:r>
      <w:r>
        <w:rPr>
          <w:rFonts w:hint="default" w:ascii="Times New Roman" w:hAnsi="Times New Roman" w:eastAsia="宋体" w:cs="Times New Roman"/>
          <w:color w:val="auto"/>
          <w:sz w:val="24"/>
          <w:szCs w:val="24"/>
        </w:rPr>
        <w:t>V号矿体通风方式</w:t>
      </w:r>
    </w:p>
    <w:p w14:paraId="6D91949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开采V号矿体时，新风从主平硐及南斜坡道进入1960m水平、2000m水平，经水平运输巷道，通过采场一侧的人行通风天井进入采场内，冲洗工作面的污风由采场另一侧通风天井进入上水平巷道，经</w:t>
      </w:r>
      <w:r>
        <w:rPr>
          <w:rFonts w:hint="default" w:ascii="Times New Roman" w:hAnsi="Times New Roman" w:eastAsia="宋体" w:cs="Times New Roman"/>
          <w:color w:val="auto"/>
          <w:sz w:val="24"/>
          <w:szCs w:val="24"/>
          <w:lang w:val="en-US" w:eastAsia="zh-CN"/>
        </w:rPr>
        <w:t>盲回风</w:t>
      </w:r>
      <w:r>
        <w:rPr>
          <w:rFonts w:hint="default" w:ascii="Times New Roman" w:hAnsi="Times New Roman" w:eastAsia="宋体" w:cs="Times New Roman"/>
          <w:color w:val="auto"/>
          <w:sz w:val="24"/>
          <w:szCs w:val="24"/>
        </w:rPr>
        <w:t>井排到2040m中段，由V号矿体回风平硐（PD54-1）硐口风机房内的风机将污风抽出井外。</w:t>
      </w:r>
    </w:p>
    <w:p w14:paraId="24181F7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（2）Ⅲ、Ⅵ号矿体通风方式</w:t>
      </w:r>
    </w:p>
    <w:p w14:paraId="02B04FE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①开采Ⅲ号矿体时新风从入风管缆井进入1800m水平、1840m水平、1880m水平、1920m水平、1960m水平，经水平运输巷道，通过采场一侧的人行通风天井进入采场内，冲洗工作面的污风由采场另一侧通风天井进入上水平巷道，由Ⅲ号矿体回风井（原北风井）井口风机房内的风机将污风抽出井外。</w:t>
      </w:r>
    </w:p>
    <w:p w14:paraId="335157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②开采Ⅵ号矿体时新风从入风管缆井进入1840m水平、1880m水平、1920m水平、1960m水平，经水平运输巷道，通过采场一侧的人行通风天井进入采场内，冲洗工作面的污风由采场另一侧通风天井进入上水平巷道，由Ⅵ号矿体回风井井口风机房内的风机将污风抽出井外。</w:t>
      </w:r>
    </w:p>
    <w:p w14:paraId="3F2BE92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（3）I、Ⅱ号矿体通风方式</w:t>
      </w:r>
    </w:p>
    <w:p w14:paraId="73DBADD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新风从北斜坡道进入1840m水平、1880m水平、1920m水平、1960m水平，经水平运输巷道，通过采场一侧的人行通风天井进入采场内，冲洗工作面的污风由采场另一侧通风天井进入上水平巷道，由I、Ⅱ号矿体回风井井口风机房内的风机将污风抽出井外。</w:t>
      </w:r>
    </w:p>
    <w:p w14:paraId="28C6644E">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3.3.1.8井下排水</w:t>
      </w:r>
    </w:p>
    <w:p w14:paraId="0CCFBB5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（1）井下涌水量</w:t>
      </w:r>
    </w:p>
    <w:p w14:paraId="58505A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根据矿体赋存条件、矿床水文地质条件及井巷开采方式，根据《矿坑涌水量预测计算规程》（DZ/T0342-2020），本次选择地下水动力学法中大井法计算地下水涌水量。</w:t>
      </w:r>
    </w:p>
    <w:p w14:paraId="55529BD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大井法计算公式为</w:t>
      </w:r>
    </w:p>
    <w:p w14:paraId="068741F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m:oMathPara>
        <m:oMath>
          <m:r>
            <m:rPr>
              <m:nor/>
              <m:sty m:val="p"/>
            </m:rPr>
            <w:rPr>
              <w:rFonts w:hint="default" w:ascii="Times New Roman" w:hAnsi="Times New Roman" w:eastAsia="宋体" w:cs="Times New Roman"/>
              <w:b w:val="0"/>
              <w:i w:val="0"/>
              <w:color w:val="auto"/>
              <w:sz w:val="24"/>
              <w:szCs w:val="24"/>
              <w:lang w:val="en-US" w:eastAsia="zh-CN"/>
            </w:rPr>
            <m:t>Q=</m:t>
          </m:r>
          <m:f>
            <m:fPr>
              <m:ctrlPr>
                <w:rPr>
                  <w:rFonts w:hint="default" w:ascii="Cambria Math" w:hAnsi="Cambria Math" w:eastAsia="宋体" w:cs="Times New Roman"/>
                  <w:color w:val="auto"/>
                  <w:sz w:val="24"/>
                  <w:szCs w:val="24"/>
                  <w:lang w:val="en-US" w:eastAsia="zh-CN"/>
                </w:rPr>
              </m:ctrlPr>
            </m:fPr>
            <m:num>
              <m:r>
                <m:rPr>
                  <m:nor/>
                  <m:sty m:val="p"/>
                </m:rPr>
                <w:rPr>
                  <w:rFonts w:hint="default" w:ascii="Times New Roman" w:hAnsi="Times New Roman" w:eastAsia="宋体" w:cs="Times New Roman"/>
                  <w:b w:val="0"/>
                  <w:i w:val="0"/>
                  <w:color w:val="auto"/>
                  <w:sz w:val="24"/>
                  <w:szCs w:val="24"/>
                  <w:lang w:val="en-US" w:eastAsia="zh-CN"/>
                </w:rPr>
                <m:t>1.366KS</m:t>
              </m:r>
              <m:d>
                <m:dPr>
                  <m:ctrlPr>
                    <w:rPr>
                      <w:rFonts w:hint="default" w:ascii="Cambria Math" w:hAnsi="Cambria Math" w:eastAsia="宋体" w:cs="Times New Roman"/>
                      <w:color w:val="auto"/>
                      <w:sz w:val="24"/>
                      <w:szCs w:val="24"/>
                      <w:lang w:val="en-US" w:eastAsia="zh-CN"/>
                    </w:rPr>
                  </m:ctrlPr>
                </m:dPr>
                <m:e>
                  <m:r>
                    <m:rPr>
                      <m:nor/>
                      <m:sty m:val="p"/>
                    </m:rPr>
                    <w:rPr>
                      <w:rFonts w:hint="default" w:ascii="Times New Roman" w:hAnsi="Times New Roman" w:eastAsia="宋体" w:cs="Times New Roman"/>
                      <w:b w:val="0"/>
                      <w:i w:val="0"/>
                      <w:color w:val="auto"/>
                      <w:sz w:val="24"/>
                      <w:szCs w:val="24"/>
                      <w:lang w:val="en-US" w:eastAsia="zh-CN"/>
                    </w:rPr>
                    <m:t>2H−S</m:t>
                  </m:r>
                  <m:ctrlPr>
                    <w:rPr>
                      <w:rFonts w:hint="default" w:ascii="Cambria Math" w:hAnsi="Cambria Math" w:eastAsia="宋体" w:cs="Times New Roman"/>
                      <w:color w:val="auto"/>
                      <w:sz w:val="24"/>
                      <w:szCs w:val="24"/>
                      <w:lang w:val="en-US" w:eastAsia="zh-CN"/>
                    </w:rPr>
                  </m:ctrlPr>
                </m:e>
              </m:d>
              <m:ctrlPr>
                <w:rPr>
                  <w:rFonts w:hint="default" w:ascii="Cambria Math" w:hAnsi="Cambria Math" w:eastAsia="宋体" w:cs="Times New Roman"/>
                  <w:color w:val="auto"/>
                  <w:sz w:val="24"/>
                  <w:szCs w:val="24"/>
                  <w:lang w:val="en-US" w:eastAsia="zh-CN"/>
                </w:rPr>
              </m:ctrlPr>
            </m:num>
            <m:den>
              <m:func>
                <m:funcPr>
                  <m:ctrlPr>
                    <w:rPr>
                      <w:rFonts w:hint="default" w:ascii="Cambria Math" w:hAnsi="Cambria Math" w:eastAsia="宋体" w:cs="Times New Roman"/>
                      <w:color w:val="auto"/>
                      <w:sz w:val="24"/>
                      <w:szCs w:val="24"/>
                      <w:lang w:val="en-US" w:eastAsia="zh-CN"/>
                    </w:rPr>
                  </m:ctrlPr>
                </m:funcPr>
                <m:fName>
                  <m:r>
                    <m:rPr>
                      <m:nor/>
                      <m:sty m:val="p"/>
                    </m:rPr>
                    <w:rPr>
                      <w:rFonts w:hint="default" w:ascii="Times New Roman" w:hAnsi="Times New Roman" w:eastAsia="宋体" w:cs="Times New Roman"/>
                      <w:b w:val="0"/>
                      <w:i w:val="0"/>
                      <w:color w:val="auto"/>
                      <w:sz w:val="24"/>
                      <w:szCs w:val="24"/>
                      <w:lang w:val="en-US" w:eastAsia="zh-CN"/>
                    </w:rPr>
                    <m:t>log</m:t>
                  </m:r>
                  <m:ctrlPr>
                    <w:rPr>
                      <w:rFonts w:hint="default" w:ascii="Cambria Math" w:hAnsi="Cambria Math" w:eastAsia="宋体" w:cs="Times New Roman"/>
                      <w:color w:val="auto"/>
                      <w:sz w:val="24"/>
                      <w:szCs w:val="24"/>
                      <w:lang w:val="en-US" w:eastAsia="zh-CN"/>
                    </w:rPr>
                  </m:ctrlPr>
                </m:fName>
                <m:e>
                  <m:sSub>
                    <m:sSubPr>
                      <m:ctrlPr>
                        <w:rPr>
                          <w:rFonts w:hint="default" w:ascii="Cambria Math" w:hAnsi="Cambria Math" w:eastAsia="宋体" w:cs="Times New Roman"/>
                          <w:color w:val="auto"/>
                          <w:sz w:val="24"/>
                          <w:szCs w:val="24"/>
                          <w:lang w:val="en-US" w:eastAsia="zh-CN"/>
                        </w:rPr>
                      </m:ctrlPr>
                    </m:sSubPr>
                    <m:e>
                      <m:r>
                        <m:rPr>
                          <m:nor/>
                          <m:sty m:val="p"/>
                        </m:rPr>
                        <w:rPr>
                          <w:rFonts w:hint="default" w:ascii="Times New Roman" w:hAnsi="Times New Roman" w:eastAsia="宋体" w:cs="Times New Roman"/>
                          <w:b w:val="0"/>
                          <w:i w:val="0"/>
                          <w:color w:val="auto"/>
                          <w:sz w:val="24"/>
                          <w:szCs w:val="24"/>
                          <w:lang w:val="en-US" w:eastAsia="zh-CN"/>
                        </w:rPr>
                        <m:t>R</m:t>
                      </m:r>
                      <m:ctrlPr>
                        <w:rPr>
                          <w:rFonts w:hint="default" w:ascii="Cambria Math" w:hAnsi="Cambria Math" w:eastAsia="宋体" w:cs="Times New Roman"/>
                          <w:color w:val="auto"/>
                          <w:sz w:val="24"/>
                          <w:szCs w:val="24"/>
                          <w:lang w:val="en-US" w:eastAsia="zh-CN"/>
                        </w:rPr>
                      </m:ctrlPr>
                    </m:e>
                    <m:sub>
                      <m:r>
                        <m:rPr>
                          <m:nor/>
                          <m:sty m:val="p"/>
                        </m:rPr>
                        <w:rPr>
                          <w:rFonts w:hint="default" w:ascii="Times New Roman" w:hAnsi="Times New Roman" w:eastAsia="宋体" w:cs="Times New Roman"/>
                          <w:b w:val="0"/>
                          <w:i w:val="0"/>
                          <w:color w:val="auto"/>
                          <w:sz w:val="24"/>
                          <w:szCs w:val="24"/>
                          <w:lang w:val="en-US" w:eastAsia="zh-CN"/>
                        </w:rPr>
                        <m:t>0</m:t>
                      </m:r>
                      <m:ctrlPr>
                        <w:rPr>
                          <w:rFonts w:hint="default" w:ascii="Cambria Math" w:hAnsi="Cambria Math" w:eastAsia="宋体" w:cs="Times New Roman"/>
                          <w:color w:val="auto"/>
                          <w:sz w:val="24"/>
                          <w:szCs w:val="24"/>
                          <w:lang w:val="en-US" w:eastAsia="zh-CN"/>
                        </w:rPr>
                      </m:ctrlPr>
                    </m:sub>
                  </m:sSub>
                  <m:r>
                    <m:rPr>
                      <m:nor/>
                      <m:sty m:val="p"/>
                    </m:rPr>
                    <w:rPr>
                      <w:rFonts w:hint="default" w:ascii="Times New Roman" w:hAnsi="Times New Roman" w:eastAsia="宋体" w:cs="Times New Roman"/>
                      <w:b w:val="0"/>
                      <w:i w:val="0"/>
                      <w:color w:val="auto"/>
                      <w:sz w:val="24"/>
                      <w:szCs w:val="24"/>
                      <w:lang w:val="en-US" w:eastAsia="zh-CN"/>
                    </w:rPr>
                    <m:t>−</m:t>
                  </m:r>
                  <m:func>
                    <m:funcPr>
                      <m:ctrlPr>
                        <w:rPr>
                          <w:rFonts w:hint="default" w:ascii="Cambria Math" w:hAnsi="Cambria Math" w:eastAsia="宋体" w:cs="Times New Roman"/>
                          <w:color w:val="auto"/>
                          <w:sz w:val="24"/>
                          <w:szCs w:val="24"/>
                          <w:lang w:val="en-US" w:eastAsia="zh-CN"/>
                        </w:rPr>
                      </m:ctrlPr>
                    </m:funcPr>
                    <m:fName>
                      <m:r>
                        <m:rPr>
                          <m:nor/>
                          <m:sty m:val="p"/>
                        </m:rPr>
                        <w:rPr>
                          <w:rFonts w:hint="default" w:ascii="Times New Roman" w:hAnsi="Times New Roman" w:eastAsia="宋体" w:cs="Times New Roman"/>
                          <w:b w:val="0"/>
                          <w:i w:val="0"/>
                          <w:color w:val="auto"/>
                          <w:sz w:val="24"/>
                          <w:szCs w:val="24"/>
                          <w:lang w:val="en-US" w:eastAsia="zh-CN"/>
                        </w:rPr>
                        <m:t>log</m:t>
                      </m:r>
                      <m:ctrlPr>
                        <w:rPr>
                          <w:rFonts w:hint="default" w:ascii="Cambria Math" w:hAnsi="Cambria Math" w:eastAsia="宋体" w:cs="Times New Roman"/>
                          <w:color w:val="auto"/>
                          <w:sz w:val="24"/>
                          <w:szCs w:val="24"/>
                          <w:lang w:val="en-US" w:eastAsia="zh-CN"/>
                        </w:rPr>
                      </m:ctrlPr>
                    </m:fName>
                    <m:e>
                      <m:sSub>
                        <m:sSubPr>
                          <m:ctrlPr>
                            <w:rPr>
                              <w:rFonts w:hint="default" w:ascii="Cambria Math" w:hAnsi="Cambria Math" w:eastAsia="宋体" w:cs="Times New Roman"/>
                              <w:color w:val="auto"/>
                              <w:sz w:val="24"/>
                              <w:szCs w:val="24"/>
                              <w:lang w:val="en-US" w:eastAsia="zh-CN"/>
                            </w:rPr>
                          </m:ctrlPr>
                        </m:sSubPr>
                        <m:e>
                          <m:r>
                            <m:rPr>
                              <m:nor/>
                              <m:sty m:val="p"/>
                            </m:rPr>
                            <w:rPr>
                              <w:rFonts w:hint="default" w:ascii="Times New Roman" w:hAnsi="Times New Roman" w:eastAsia="宋体" w:cs="Times New Roman"/>
                              <w:b w:val="0"/>
                              <w:i w:val="0"/>
                              <w:color w:val="auto"/>
                              <w:sz w:val="24"/>
                              <w:szCs w:val="24"/>
                              <w:lang w:val="en-US" w:eastAsia="zh-CN"/>
                            </w:rPr>
                            <m:t>r</m:t>
                          </m:r>
                          <m:ctrlPr>
                            <w:rPr>
                              <w:rFonts w:hint="default" w:ascii="Cambria Math" w:hAnsi="Cambria Math" w:eastAsia="宋体" w:cs="Times New Roman"/>
                              <w:color w:val="auto"/>
                              <w:sz w:val="24"/>
                              <w:szCs w:val="24"/>
                              <w:lang w:val="en-US" w:eastAsia="zh-CN"/>
                            </w:rPr>
                          </m:ctrlPr>
                        </m:e>
                        <m:sub>
                          <m:r>
                            <m:rPr>
                              <m:nor/>
                              <m:sty m:val="p"/>
                            </m:rPr>
                            <w:rPr>
                              <w:rFonts w:hint="default" w:ascii="Times New Roman" w:hAnsi="Times New Roman" w:eastAsia="宋体" w:cs="Times New Roman"/>
                              <w:b w:val="0"/>
                              <w:i w:val="0"/>
                              <w:color w:val="auto"/>
                              <w:sz w:val="24"/>
                              <w:szCs w:val="24"/>
                              <w:lang w:val="en-US" w:eastAsia="zh-CN"/>
                            </w:rPr>
                            <m:t>0</m:t>
                          </m:r>
                          <m:ctrlPr>
                            <w:rPr>
                              <w:rFonts w:hint="default" w:ascii="Cambria Math" w:hAnsi="Cambria Math" w:eastAsia="宋体" w:cs="Times New Roman"/>
                              <w:color w:val="auto"/>
                              <w:sz w:val="24"/>
                              <w:szCs w:val="24"/>
                              <w:lang w:val="en-US" w:eastAsia="zh-CN"/>
                            </w:rPr>
                          </m:ctrlPr>
                        </m:sub>
                      </m:sSub>
                      <m:ctrlPr>
                        <w:rPr>
                          <w:rFonts w:hint="default" w:ascii="Cambria Math" w:hAnsi="Cambria Math" w:eastAsia="宋体" w:cs="Times New Roman"/>
                          <w:color w:val="auto"/>
                          <w:sz w:val="24"/>
                          <w:szCs w:val="24"/>
                          <w:lang w:val="en-US" w:eastAsia="zh-CN"/>
                        </w:rPr>
                      </m:ctrlPr>
                    </m:e>
                  </m:func>
                  <m:ctrlPr>
                    <w:rPr>
                      <w:rFonts w:hint="default" w:ascii="Cambria Math" w:hAnsi="Cambria Math" w:eastAsia="宋体" w:cs="Times New Roman"/>
                      <w:color w:val="auto"/>
                      <w:sz w:val="24"/>
                      <w:szCs w:val="24"/>
                      <w:lang w:val="en-US" w:eastAsia="zh-CN"/>
                    </w:rPr>
                  </m:ctrlPr>
                </m:e>
              </m:func>
              <m:ctrlPr>
                <w:rPr>
                  <w:rFonts w:hint="default" w:ascii="Cambria Math" w:hAnsi="Cambria Math" w:eastAsia="宋体" w:cs="Times New Roman"/>
                  <w:color w:val="auto"/>
                  <w:sz w:val="24"/>
                  <w:szCs w:val="24"/>
                  <w:lang w:val="en-US" w:eastAsia="zh-CN"/>
                </w:rPr>
              </m:ctrlPr>
            </m:den>
          </m:f>
        </m:oMath>
      </m:oMathPara>
    </w:p>
    <w:p w14:paraId="4ED81C4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式中：Q—矿坑涌水量（m³/d）；</w:t>
      </w:r>
    </w:p>
    <w:p w14:paraId="47880BDF">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K—基岩渗透系数（m/d）；</w:t>
      </w:r>
    </w:p>
    <w:p w14:paraId="6D587863">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H—潜水含水层厚度（m）</w:t>
      </w:r>
      <w:r>
        <w:rPr>
          <w:rFonts w:hint="eastAsia" w:ascii="Times New Roman" w:hAnsi="Times New Roman" w:cs="Times New Roman"/>
          <w:color w:val="auto"/>
          <w:sz w:val="24"/>
          <w:szCs w:val="24"/>
          <w:lang w:val="en-US" w:eastAsia="zh-CN"/>
        </w:rPr>
        <w:t>；</w:t>
      </w:r>
    </w:p>
    <w:p w14:paraId="3EEBFED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s—水位降深（m）；</w:t>
      </w:r>
    </w:p>
    <w:p w14:paraId="3A55FA3B">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r0—引用半径（m），</w:t>
      </w:r>
      <m:oMath>
        <m:sSub>
          <m:sSubPr>
            <m:ctrlPr>
              <w:rPr>
                <w:rFonts w:hint="default" w:ascii="Cambria Math" w:hAnsi="Cambria Math" w:eastAsia="宋体" w:cs="Times New Roman"/>
                <w:color w:val="auto"/>
                <w:sz w:val="24"/>
                <w:szCs w:val="24"/>
                <w:lang w:val="en-US" w:eastAsia="zh-CN"/>
              </w:rPr>
            </m:ctrlPr>
          </m:sSubPr>
          <m:e>
            <m:r>
              <m:rPr>
                <m:nor/>
                <m:sty m:val="p"/>
              </m:rPr>
              <w:rPr>
                <w:rFonts w:hint="default" w:ascii="Times New Roman" w:hAnsi="Times New Roman" w:eastAsia="宋体" w:cs="Times New Roman"/>
                <w:b w:val="0"/>
                <w:i w:val="0"/>
                <w:color w:val="auto"/>
                <w:sz w:val="24"/>
                <w:szCs w:val="24"/>
                <w:lang w:val="en-US" w:eastAsia="zh-CN"/>
              </w:rPr>
              <m:t>r</m:t>
            </m:r>
            <m:ctrlPr>
              <w:rPr>
                <w:rFonts w:hint="default" w:ascii="Cambria Math" w:hAnsi="Cambria Math" w:eastAsia="宋体" w:cs="Times New Roman"/>
                <w:color w:val="auto"/>
                <w:sz w:val="24"/>
                <w:szCs w:val="24"/>
                <w:lang w:val="en-US" w:eastAsia="zh-CN"/>
              </w:rPr>
            </m:ctrlPr>
          </m:e>
          <m:sub>
            <m:r>
              <m:rPr>
                <m:nor/>
                <m:sty m:val="p"/>
              </m:rPr>
              <w:rPr>
                <w:rFonts w:hint="default" w:ascii="Times New Roman" w:hAnsi="Times New Roman" w:eastAsia="宋体" w:cs="Times New Roman"/>
                <w:b w:val="0"/>
                <w:i w:val="0"/>
                <w:color w:val="auto"/>
                <w:sz w:val="24"/>
                <w:szCs w:val="24"/>
                <w:lang w:val="en-US" w:eastAsia="zh-CN"/>
              </w:rPr>
              <m:t>0</m:t>
            </m:r>
            <m:ctrlPr>
              <w:rPr>
                <w:rFonts w:hint="default" w:ascii="Cambria Math" w:hAnsi="Cambria Math" w:eastAsia="宋体" w:cs="Times New Roman"/>
                <w:color w:val="auto"/>
                <w:sz w:val="24"/>
                <w:szCs w:val="24"/>
                <w:lang w:val="en-US" w:eastAsia="zh-CN"/>
              </w:rPr>
            </m:ctrlPr>
          </m:sub>
        </m:sSub>
        <m:r>
          <m:rPr>
            <m:nor/>
            <m:sty m:val="p"/>
          </m:rPr>
          <w:rPr>
            <w:rFonts w:hint="default" w:ascii="Times New Roman" w:hAnsi="Times New Roman" w:eastAsia="宋体" w:cs="Times New Roman"/>
            <w:b w:val="0"/>
            <w:i w:val="0"/>
            <w:color w:val="auto"/>
            <w:sz w:val="24"/>
            <w:szCs w:val="24"/>
            <w:lang w:val="en-US" w:eastAsia="zh-CN"/>
          </w:rPr>
          <m:t>=η</m:t>
        </m:r>
        <m:f>
          <m:fPr>
            <m:ctrlPr>
              <w:rPr>
                <w:rFonts w:hint="default" w:ascii="Cambria Math" w:hAnsi="Cambria Math" w:eastAsia="宋体" w:cs="Times New Roman"/>
                <w:color w:val="auto"/>
                <w:sz w:val="24"/>
                <w:szCs w:val="24"/>
                <w:lang w:val="en-US" w:eastAsia="zh-CN"/>
              </w:rPr>
            </m:ctrlPr>
          </m:fPr>
          <m:num>
            <m:r>
              <m:rPr>
                <m:nor/>
                <m:sty m:val="p"/>
              </m:rPr>
              <w:rPr>
                <w:rFonts w:hint="default" w:ascii="Times New Roman" w:hAnsi="Times New Roman" w:eastAsia="宋体" w:cs="Times New Roman"/>
                <w:b w:val="0"/>
                <w:i w:val="0"/>
                <w:color w:val="auto"/>
                <w:sz w:val="24"/>
                <w:szCs w:val="24"/>
                <w:lang w:val="en-US" w:eastAsia="zh-CN"/>
              </w:rPr>
              <m:t>a+b</m:t>
            </m:r>
            <m:ctrlPr>
              <w:rPr>
                <w:rFonts w:hint="default" w:ascii="Cambria Math" w:hAnsi="Cambria Math" w:eastAsia="宋体" w:cs="Times New Roman"/>
                <w:color w:val="auto"/>
                <w:sz w:val="24"/>
                <w:szCs w:val="24"/>
                <w:lang w:val="en-US" w:eastAsia="zh-CN"/>
              </w:rPr>
            </m:ctrlPr>
          </m:num>
          <m:den>
            <m:r>
              <m:rPr>
                <m:nor/>
                <m:sty m:val="p"/>
              </m:rPr>
              <w:rPr>
                <w:rFonts w:hint="default" w:ascii="Times New Roman" w:hAnsi="Times New Roman" w:eastAsia="宋体" w:cs="Times New Roman"/>
                <w:b w:val="0"/>
                <w:i w:val="0"/>
                <w:color w:val="auto"/>
                <w:sz w:val="24"/>
                <w:szCs w:val="24"/>
                <w:lang w:val="en-US" w:eastAsia="zh-CN"/>
              </w:rPr>
              <m:t>4</m:t>
            </m:r>
            <m:ctrlPr>
              <w:rPr>
                <w:rFonts w:hint="default" w:ascii="Cambria Math" w:hAnsi="Cambria Math" w:eastAsia="宋体" w:cs="Times New Roman"/>
                <w:color w:val="auto"/>
                <w:sz w:val="24"/>
                <w:szCs w:val="24"/>
                <w:lang w:val="en-US" w:eastAsia="zh-CN"/>
              </w:rPr>
            </m:ctrlPr>
          </m:den>
        </m:f>
      </m:oMath>
      <w:r>
        <w:rPr>
          <w:rFonts w:hint="default" w:ascii="Times New Roman" w:hAnsi="Times New Roman" w:eastAsia="宋体" w:cs="Times New Roman"/>
          <w:color w:val="auto"/>
          <w:sz w:val="24"/>
          <w:szCs w:val="24"/>
          <w:lang w:val="en-US" w:eastAsia="zh-CN"/>
        </w:rPr>
        <w:t>，</w:t>
      </w:r>
      <m:oMath>
        <m:r>
          <m:rPr>
            <m:nor/>
            <m:sty m:val="p"/>
          </m:rPr>
          <w:rPr>
            <w:rFonts w:hint="default" w:ascii="Times New Roman" w:hAnsi="Times New Roman" w:eastAsia="宋体" w:cs="Times New Roman"/>
            <w:b w:val="0"/>
            <w:i w:val="0"/>
            <w:color w:val="auto"/>
            <w:sz w:val="24"/>
            <w:szCs w:val="24"/>
            <w:lang w:val="en-US" w:eastAsia="zh-CN"/>
          </w:rPr>
          <m:t>η</m:t>
        </m:r>
      </m:oMath>
      <w:r>
        <w:rPr>
          <w:rFonts w:hint="default" w:ascii="Times New Roman" w:hAnsi="Times New Roman" w:eastAsia="宋体" w:cs="Times New Roman"/>
          <w:color w:val="auto"/>
          <w:sz w:val="24"/>
          <w:szCs w:val="24"/>
          <w:lang w:val="en-US" w:eastAsia="zh-CN"/>
        </w:rPr>
        <w:t>为系数，查表可得，；</w:t>
      </w:r>
    </w:p>
    <w:p w14:paraId="6C8DC290">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R0—引用影响半径（m），R0=R+r0</w:t>
      </w:r>
      <m:oMath>
        <m:r>
          <m:rPr>
            <m:nor/>
            <m:sty m:val="p"/>
          </m:rPr>
          <w:rPr>
            <w:rFonts w:hint="default" w:ascii="Times New Roman" w:hAnsi="Times New Roman" w:eastAsia="宋体" w:cs="Times New Roman"/>
            <w:b w:val="0"/>
            <w:i w:val="0"/>
            <w:color w:val="auto"/>
            <w:sz w:val="24"/>
            <w:szCs w:val="24"/>
            <w:lang w:val="en-US" w:eastAsia="zh-CN"/>
          </w:rPr>
          <m:t>，R=2S</m:t>
        </m:r>
        <m:rad>
          <m:radPr>
            <m:degHide m:val="1"/>
            <m:ctrlPr>
              <w:rPr>
                <w:rFonts w:hint="default" w:ascii="Cambria Math" w:hAnsi="Cambria Math" w:eastAsia="宋体" w:cs="Times New Roman"/>
                <w:color w:val="auto"/>
                <w:sz w:val="24"/>
                <w:szCs w:val="24"/>
                <w:lang w:val="en-US" w:eastAsia="zh-CN"/>
              </w:rPr>
            </m:ctrlPr>
          </m:radPr>
          <m:deg>
            <m:ctrlPr>
              <w:rPr>
                <w:rFonts w:hint="default" w:ascii="Cambria Math" w:hAnsi="Cambria Math" w:eastAsia="宋体" w:cs="Times New Roman"/>
                <w:color w:val="auto"/>
                <w:sz w:val="24"/>
                <w:szCs w:val="24"/>
                <w:lang w:val="en-US" w:eastAsia="zh-CN"/>
              </w:rPr>
            </m:ctrlPr>
          </m:deg>
          <m:e>
            <m:r>
              <m:rPr>
                <m:nor/>
                <m:sty m:val="p"/>
              </m:rPr>
              <w:rPr>
                <w:rFonts w:hint="default" w:ascii="Times New Roman" w:hAnsi="Times New Roman" w:eastAsia="宋体" w:cs="Times New Roman"/>
                <w:b w:val="0"/>
                <w:i w:val="0"/>
                <w:color w:val="auto"/>
                <w:sz w:val="24"/>
                <w:szCs w:val="24"/>
                <w:lang w:val="en-US" w:eastAsia="zh-CN"/>
              </w:rPr>
              <m:t>HK</m:t>
            </m:r>
            <m:ctrlPr>
              <w:rPr>
                <w:rFonts w:hint="default" w:ascii="Cambria Math" w:hAnsi="Cambria Math" w:eastAsia="宋体" w:cs="Times New Roman"/>
                <w:color w:val="auto"/>
                <w:sz w:val="24"/>
                <w:szCs w:val="24"/>
                <w:lang w:val="en-US" w:eastAsia="zh-CN"/>
              </w:rPr>
            </m:ctrlPr>
          </m:e>
        </m:rad>
      </m:oMath>
      <w:r>
        <w:rPr>
          <w:rFonts w:hint="default" w:ascii="Times New Roman" w:hAnsi="Times New Roman" w:eastAsia="宋体" w:cs="Times New Roman"/>
          <w:color w:val="auto"/>
          <w:sz w:val="24"/>
          <w:szCs w:val="24"/>
          <w:lang w:val="en-US" w:eastAsia="zh-CN"/>
        </w:rPr>
        <w:t>。</w:t>
      </w:r>
    </w:p>
    <w:p w14:paraId="4BBD6FF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根据《新疆哈密市大红山北铜矿资源量核实报告（2024年12月31日）》中</w:t>
      </w:r>
      <w:r>
        <w:rPr>
          <w:rFonts w:hint="default" w:ascii="Times New Roman" w:hAnsi="Times New Roman" w:cs="Times New Roman"/>
          <w:color w:val="auto"/>
          <w:sz w:val="24"/>
          <w:szCs w:val="24"/>
          <w:lang w:val="en-US" w:eastAsia="zh-CN"/>
        </w:rPr>
        <w:t>计算结果</w:t>
      </w:r>
      <w:r>
        <w:rPr>
          <w:rFonts w:hint="default" w:ascii="Times New Roman" w:hAnsi="Times New Roman" w:eastAsia="宋体" w:cs="Times New Roman"/>
          <w:color w:val="auto"/>
          <w:sz w:val="24"/>
          <w:szCs w:val="24"/>
          <w:lang w:val="en-US" w:eastAsia="zh-CN"/>
        </w:rPr>
        <w:t>：</w:t>
      </w:r>
    </w:p>
    <w:p w14:paraId="369E5914">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矿体多位于当地侵蚀基准面和地下水位以下，矿区内无地表水体。充水含水层富水性弱，地下水补给条件差。预测Ⅰ、Ⅱ号矿体（层）正常涌水量为0.60×10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、最大涌水量为0.80×10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Ⅲ矿体（层）正常涌水量为0.90×10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、最大涌水量为1.10×10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；Ⅳ矿体（层）正常涌水量为</w:t>
      </w:r>
      <w:r>
        <w:rPr>
          <w:rFonts w:hint="default" w:ascii="Times New Roman" w:hAnsi="Times New Roman" w:cs="Times New Roman"/>
          <w:color w:val="auto"/>
          <w:spacing w:val="0"/>
          <w:sz w:val="24"/>
          <w:szCs w:val="24"/>
          <w:highlight w:val="none"/>
          <w:lang w:val="en-US" w:eastAsia="zh-CN"/>
        </w:rPr>
        <w:t>0.56</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0.83</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Ⅴ矿体（层）井下矿坑正常矿坑涌水量为0.50×10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；最大矿坑涌水量分别为0.70×1</w:t>
      </w:r>
      <w:r>
        <w:rPr>
          <w:rFonts w:hint="default" w:ascii="Times New Roman" w:hAnsi="Times New Roman" w:cs="Times New Roman"/>
          <w:color w:val="auto"/>
          <w:spacing w:val="0"/>
          <w:sz w:val="24"/>
          <w:szCs w:val="24"/>
          <w:highlight w:val="none"/>
          <w:vertAlign w:val="baseline"/>
        </w:rPr>
        <w:t>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。Ⅳ-1矿体（层）正常涌水量为1.2</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、最大涌水量为1.6</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w:t>
      </w:r>
      <w:r>
        <w:rPr>
          <w:rFonts w:hint="default" w:ascii="Times New Roman" w:hAnsi="Times New Roman" w:eastAsia="微软雅黑" w:cs="Times New Roman"/>
          <w:color w:val="auto"/>
          <w:spacing w:val="0"/>
          <w:sz w:val="24"/>
          <w:szCs w:val="24"/>
          <w:highlight w:val="none"/>
        </w:rPr>
        <w:t>Ⅵ</w:t>
      </w:r>
      <w:r>
        <w:rPr>
          <w:rFonts w:hint="default" w:ascii="Times New Roman" w:hAnsi="Times New Roman" w:cs="Times New Roman"/>
          <w:color w:val="auto"/>
          <w:spacing w:val="0"/>
          <w:sz w:val="24"/>
          <w:szCs w:val="24"/>
          <w:highlight w:val="none"/>
        </w:rPr>
        <w:t>矿体（层）正常涌水量为</w:t>
      </w:r>
      <w:r>
        <w:rPr>
          <w:rFonts w:hint="default" w:ascii="Times New Roman" w:hAnsi="Times New Roman" w:cs="Times New Roman"/>
          <w:color w:val="auto"/>
          <w:spacing w:val="0"/>
          <w:sz w:val="24"/>
          <w:szCs w:val="24"/>
          <w:highlight w:val="none"/>
          <w:lang w:val="en-US" w:eastAsia="zh-CN"/>
        </w:rPr>
        <w:t>1.32</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1.98</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；确定铜矿床属第二类以裂隙充水为主，水文地质条件中等。</w:t>
      </w:r>
    </w:p>
    <w:p w14:paraId="572EDF19">
      <w:pPr>
        <w:keepNext w:val="0"/>
        <w:keepLines w:val="0"/>
        <w:pageBreakBefore w:val="0"/>
        <w:widowControl w:val="0"/>
        <w:kinsoku/>
        <w:wordWrap/>
        <w:overflowPunct/>
        <w:topLinePunct w:val="0"/>
        <w:autoSpaceDE/>
        <w:autoSpaceDN/>
        <w:bidi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矿区地下水位各矿体涌水量之和，经计算，矿区地下水正常涌水量为513</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/d，最大涌水量为706</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p>
    <w:p w14:paraId="444030CD">
      <w:pPr>
        <w:keepNext w:val="0"/>
        <w:keepLines w:val="0"/>
        <w:pageBreakBefore w:val="0"/>
        <w:widowControl w:val="0"/>
        <w:kinsoku/>
        <w:wordWrap/>
        <w:overflowPunct/>
        <w:topLinePunct w:val="0"/>
        <w:autoSpaceDE/>
        <w:autoSpaceDN/>
        <w:bidi w:val="0"/>
        <w:spacing w:line="480" w:lineRule="exact"/>
        <w:textAlignment w:val="auto"/>
        <w:rPr>
          <w:rFonts w:hint="default" w:ascii="Times New Roman" w:hAnsi="Times New Roman" w:eastAsia="宋体" w:cs="Times New Roman"/>
          <w:color w:val="auto"/>
          <w:sz w:val="24"/>
          <w:szCs w:val="24"/>
        </w:rPr>
      </w:pPr>
      <w:bookmarkStart w:id="342" w:name="OLE_LINK437"/>
      <w:bookmarkStart w:id="343" w:name="OLE_LINK438"/>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排水方式与系统</w:t>
      </w:r>
    </w:p>
    <w:bookmarkEnd w:id="342"/>
    <w:bookmarkEnd w:id="343"/>
    <w:p w14:paraId="1979C286">
      <w:pPr>
        <w:keepNext w:val="0"/>
        <w:keepLines w:val="0"/>
        <w:pageBreakBefore w:val="0"/>
        <w:widowControl w:val="0"/>
        <w:kinsoku/>
        <w:wordWrap/>
        <w:overflowPunct/>
        <w:topLinePunct w:val="0"/>
        <w:autoSpaceDE/>
        <w:autoSpaceDN/>
        <w:bidi w:val="0"/>
        <w:spacing w:line="480" w:lineRule="exact"/>
        <w:ind w:firstLine="561"/>
        <w:textAlignment w:val="auto"/>
        <w:rPr>
          <w:rFonts w:hint="default" w:ascii="Times New Roman" w:hAnsi="Times New Roman" w:eastAsia="宋体" w:cs="Times New Roman"/>
          <w:color w:val="auto"/>
          <w:sz w:val="24"/>
          <w:szCs w:val="24"/>
        </w:rPr>
      </w:pPr>
      <w:bookmarkStart w:id="344" w:name="OLE_LINK420"/>
      <w:bookmarkStart w:id="345" w:name="OLE_LINK373"/>
      <w:bookmarkStart w:id="346" w:name="OLE_LINK405"/>
      <w:r>
        <w:rPr>
          <w:rFonts w:hint="default" w:ascii="Times New Roman" w:hAnsi="Times New Roman" w:eastAsia="宋体" w:cs="Times New Roman"/>
          <w:color w:val="auto"/>
          <w:sz w:val="24"/>
          <w:szCs w:val="24"/>
        </w:rPr>
        <w:t>各中段涌水均汇集到最低水平1800m中段水仓内，通过水泵沿入风管缆井排至地表集水池内，用于井下生产用水。</w:t>
      </w:r>
      <w:bookmarkEnd w:id="344"/>
      <w:bookmarkEnd w:id="345"/>
      <w:bookmarkEnd w:id="346"/>
    </w:p>
    <w:p w14:paraId="668BBA89">
      <w:pPr>
        <w:keepNext w:val="0"/>
        <w:keepLines w:val="0"/>
        <w:pageBreakBefore w:val="0"/>
        <w:widowControl w:val="0"/>
        <w:kinsoku/>
        <w:wordWrap/>
        <w:overflowPunct/>
        <w:topLinePunct w:val="0"/>
        <w:autoSpaceDE/>
        <w:autoSpaceDN/>
        <w:bidi w:val="0"/>
        <w:spacing w:line="480" w:lineRule="exact"/>
        <w:ind w:firstLine="561"/>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1800m中段排水系统由水沟、清理斜巷、水仓、配水井、吸水井、排水泵硐室、配电硐室等组成。</w:t>
      </w:r>
    </w:p>
    <w:p w14:paraId="380A9860">
      <w:pPr>
        <w:keepNext w:val="0"/>
        <w:keepLines w:val="0"/>
        <w:pageBreakBefore w:val="0"/>
        <w:widowControl w:val="0"/>
        <w:kinsoku/>
        <w:wordWrap/>
        <w:overflowPunct/>
        <w:topLinePunct w:val="0"/>
        <w:autoSpaceDE/>
        <w:autoSpaceDN/>
        <w:bidi w:val="0"/>
        <w:spacing w:line="480" w:lineRule="exact"/>
        <w:ind w:firstLine="561"/>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井底主要泵房设置两个出口，其中一个通往1800m中段巷道；另一个用斜巷与入风管缆井连通，斜巷上口应高出泵房地面标高7m以上。泵房地面标高高出其入口处巷道底板标高0.5m。</w:t>
      </w:r>
    </w:p>
    <w:p w14:paraId="004519BA">
      <w:pPr>
        <w:keepNext w:val="0"/>
        <w:keepLines w:val="0"/>
        <w:pageBreakBefore w:val="0"/>
        <w:widowControl w:val="0"/>
        <w:kinsoku/>
        <w:wordWrap/>
        <w:overflowPunct/>
        <w:topLinePunct w:val="0"/>
        <w:autoSpaceDE/>
        <w:autoSpaceDN/>
        <w:bidi w:val="0"/>
        <w:spacing w:line="480" w:lineRule="exac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水仓</w:t>
      </w:r>
    </w:p>
    <w:p w14:paraId="539E4AF9">
      <w:pPr>
        <w:keepNext w:val="0"/>
        <w:keepLines w:val="0"/>
        <w:pageBreakBefore w:val="0"/>
        <w:widowControl w:val="0"/>
        <w:kinsoku/>
        <w:wordWrap/>
        <w:overflowPunct/>
        <w:topLinePunct w:val="0"/>
        <w:autoSpaceDE/>
        <w:autoSpaceDN/>
        <w:bidi w:val="0"/>
        <w:spacing w:line="480" w:lineRule="exact"/>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本次设计采用巷道型水仓，由两个独立巷道组成，分为主水仓和副水仓。水仓为两段：前段为沉淀段，后段清水段。</w:t>
      </w:r>
    </w:p>
    <w:p w14:paraId="6BF1A681">
      <w:pPr>
        <w:keepNext w:val="0"/>
        <w:keepLines w:val="0"/>
        <w:pageBreakBefore w:val="0"/>
        <w:widowControl w:val="0"/>
        <w:kinsoku/>
        <w:wordWrap/>
        <w:overflowPunct/>
        <w:topLinePunct w:val="0"/>
        <w:autoSpaceDE/>
        <w:autoSpaceDN/>
        <w:bidi w:val="0"/>
        <w:spacing w:line="480" w:lineRule="exact"/>
        <w:ind w:firstLine="562"/>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1800m中段水仓容积计算：</w:t>
      </w:r>
    </w:p>
    <w:p w14:paraId="2A17591C">
      <w:pPr>
        <w:keepNext w:val="0"/>
        <w:keepLines w:val="0"/>
        <w:pageBreakBefore w:val="0"/>
        <w:widowControl w:val="0"/>
        <w:shd w:val="clear" w:color="auto" w:fill="auto"/>
        <w:kinsoku/>
        <w:wordWrap/>
        <w:overflowPunct/>
        <w:topLinePunct w:val="0"/>
        <w:autoSpaceDE/>
        <w:autoSpaceDN/>
        <w:bidi w:val="0"/>
        <w:snapToGrid w:val="0"/>
        <w:spacing w:line="480" w:lineRule="exact"/>
        <w:ind w:firstLine="480" w:firstLineChars="200"/>
        <w:textAlignment w:val="auto"/>
        <w:rPr>
          <w:rFonts w:hint="default" w:ascii="Times New Roman" w:hAnsi="Times New Roman" w:eastAsia="宋体" w:cs="Times New Roman"/>
          <w:caps w:val="0"/>
          <w:smallCaps w:val="0"/>
          <w:color w:val="auto"/>
          <w:sz w:val="24"/>
          <w:szCs w:val="24"/>
          <w:highlight w:val="none"/>
        </w:rPr>
      </w:pPr>
      <w:r>
        <w:rPr>
          <w:rFonts w:hint="default" w:ascii="Times New Roman" w:hAnsi="Times New Roman" w:eastAsia="宋体" w:cs="Times New Roman"/>
          <w:caps w:val="0"/>
          <w:smallCaps w:val="0"/>
          <w:color w:val="auto"/>
          <w:sz w:val="24"/>
          <w:szCs w:val="24"/>
          <w:highlight w:val="none"/>
        </w:rPr>
        <w:t>水仓为两段：前段为沉淀段，后段清水段。</w:t>
      </w:r>
    </w:p>
    <w:p w14:paraId="3A1F4400">
      <w:pPr>
        <w:keepNext w:val="0"/>
        <w:keepLines w:val="0"/>
        <w:pageBreakBefore w:val="0"/>
        <w:widowControl w:val="0"/>
        <w:shd w:val="clear" w:color="auto" w:fill="auto"/>
        <w:kinsoku/>
        <w:wordWrap/>
        <w:overflowPunct/>
        <w:topLinePunct w:val="0"/>
        <w:autoSpaceDE/>
        <w:autoSpaceDN/>
        <w:bidi w:val="0"/>
        <w:snapToGrid w:val="0"/>
        <w:spacing w:line="480" w:lineRule="exact"/>
        <w:ind w:firstLine="480" w:firstLineChars="200"/>
        <w:textAlignment w:val="auto"/>
        <w:rPr>
          <w:rFonts w:hint="default" w:ascii="Times New Roman" w:hAnsi="Times New Roman" w:eastAsia="宋体" w:cs="Times New Roman"/>
          <w:caps w:val="0"/>
          <w:smallCaps w:val="0"/>
          <w:color w:val="auto"/>
          <w:sz w:val="24"/>
          <w:szCs w:val="24"/>
          <w:highlight w:val="none"/>
        </w:rPr>
      </w:pPr>
      <w:r>
        <w:rPr>
          <w:rFonts w:hint="default" w:ascii="Times New Roman" w:hAnsi="Times New Roman" w:eastAsia="宋体" w:cs="Times New Roman"/>
          <w:caps w:val="0"/>
          <w:smallCaps w:val="0"/>
          <w:color w:val="auto"/>
          <w:sz w:val="24"/>
          <w:szCs w:val="24"/>
          <w:highlight w:val="none"/>
        </w:rPr>
        <w:t>水仓总容积</w:t>
      </w:r>
      <w:r>
        <w:rPr>
          <w:rFonts w:hint="default" w:ascii="Times New Roman" w:hAnsi="Times New Roman" w:eastAsia="宋体" w:cs="Times New Roman"/>
          <w:caps w:val="0"/>
          <w:smallCaps w:val="0"/>
          <w:color w:val="auto"/>
          <w:sz w:val="24"/>
          <w:szCs w:val="24"/>
          <w:highlight w:val="none"/>
          <w:lang w:val="en-US" w:eastAsia="zh-CN"/>
        </w:rPr>
        <w:t>应能</w:t>
      </w:r>
      <w:r>
        <w:rPr>
          <w:rFonts w:hint="default" w:ascii="Times New Roman" w:hAnsi="Times New Roman" w:eastAsia="宋体" w:cs="Times New Roman"/>
          <w:caps w:val="0"/>
          <w:smallCaps w:val="0"/>
          <w:color w:val="auto"/>
          <w:sz w:val="24"/>
          <w:szCs w:val="24"/>
          <w:highlight w:val="none"/>
        </w:rPr>
        <w:t>容纳</w:t>
      </w:r>
      <w:r>
        <w:rPr>
          <w:rFonts w:hint="default" w:ascii="Times New Roman" w:hAnsi="Times New Roman" w:eastAsia="宋体" w:cs="Times New Roman"/>
          <w:caps w:val="0"/>
          <w:smallCaps w:val="0"/>
          <w:color w:val="auto"/>
          <w:sz w:val="24"/>
          <w:szCs w:val="24"/>
          <w:highlight w:val="none"/>
          <w:lang w:val="en-US" w:eastAsia="zh-CN"/>
        </w:rPr>
        <w:t>4</w:t>
      </w:r>
      <w:r>
        <w:rPr>
          <w:rFonts w:hint="default" w:ascii="Times New Roman" w:hAnsi="Times New Roman" w:eastAsia="宋体" w:cs="Times New Roman"/>
          <w:caps w:val="0"/>
          <w:smallCaps w:val="0"/>
          <w:color w:val="auto"/>
          <w:sz w:val="24"/>
          <w:szCs w:val="24"/>
          <w:highlight w:val="none"/>
        </w:rPr>
        <w:t>h的正常涌水量，</w:t>
      </w:r>
    </w:p>
    <w:p w14:paraId="66D7781D">
      <w:pPr>
        <w:keepNext w:val="0"/>
        <w:keepLines w:val="0"/>
        <w:pageBreakBefore w:val="0"/>
        <w:widowControl w:val="0"/>
        <w:kinsoku/>
        <w:wordWrap/>
        <w:overflowPunct/>
        <w:topLinePunct w:val="0"/>
        <w:autoSpaceDE/>
        <w:autoSpaceDN/>
        <w:bidi w:val="0"/>
        <w:spacing w:line="480" w:lineRule="exact"/>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aps w:val="0"/>
          <w:smallCaps w:val="0"/>
          <w:color w:val="auto"/>
          <w:sz w:val="24"/>
          <w:szCs w:val="24"/>
          <w:highlight w:val="none"/>
        </w:rPr>
        <w:t>水仓容积</w:t>
      </w:r>
      <w:r>
        <w:rPr>
          <w:rFonts w:hint="default" w:ascii="Times New Roman" w:hAnsi="Times New Roman" w:eastAsia="宋体" w:cs="Times New Roman"/>
          <w:caps w:val="0"/>
          <w:smallCaps w:val="0"/>
          <w:color w:val="auto"/>
          <w:sz w:val="24"/>
          <w:szCs w:val="24"/>
          <w:highlight w:val="none"/>
          <w:lang w:val="en-US" w:eastAsia="zh-CN"/>
        </w:rPr>
        <w:t>250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aps w:val="0"/>
          <w:smallCaps w:val="0"/>
          <w:color w:val="auto"/>
          <w:sz w:val="24"/>
          <w:szCs w:val="24"/>
          <w:highlight w:val="none"/>
        </w:rPr>
        <w:t>，其中主水仓容积</w:t>
      </w:r>
      <w:r>
        <w:rPr>
          <w:rFonts w:hint="default" w:ascii="Times New Roman" w:hAnsi="Times New Roman" w:eastAsia="宋体" w:cs="Times New Roman"/>
          <w:caps w:val="0"/>
          <w:smallCaps w:val="0"/>
          <w:color w:val="auto"/>
          <w:sz w:val="24"/>
          <w:szCs w:val="24"/>
          <w:highlight w:val="none"/>
          <w:lang w:val="en-US" w:eastAsia="zh-CN"/>
        </w:rPr>
        <w:t>150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eastAsia="宋体" w:cs="Times New Roman"/>
          <w:caps w:val="0"/>
          <w:smallCaps w:val="0"/>
          <w:color w:val="auto"/>
          <w:sz w:val="24"/>
          <w:szCs w:val="24"/>
          <w:highlight w:val="none"/>
          <w:vertAlign w:val="superscript"/>
        </w:rPr>
        <w:t>3</w:t>
      </w:r>
      <w:r>
        <w:rPr>
          <w:rFonts w:hint="default" w:ascii="Times New Roman" w:hAnsi="Times New Roman" w:eastAsia="宋体" w:cs="Times New Roman"/>
          <w:caps w:val="0"/>
          <w:smallCaps w:val="0"/>
          <w:color w:val="auto"/>
          <w:sz w:val="24"/>
          <w:szCs w:val="24"/>
          <w:highlight w:val="none"/>
        </w:rPr>
        <w:t>，副水仓容积</w:t>
      </w:r>
      <w:r>
        <w:rPr>
          <w:rFonts w:hint="default" w:ascii="Times New Roman" w:hAnsi="Times New Roman" w:eastAsia="宋体" w:cs="Times New Roman"/>
          <w:caps w:val="0"/>
          <w:smallCaps w:val="0"/>
          <w:color w:val="auto"/>
          <w:sz w:val="24"/>
          <w:szCs w:val="24"/>
          <w:highlight w:val="none"/>
          <w:lang w:val="en-US" w:eastAsia="zh-CN"/>
        </w:rPr>
        <w:t>100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smallCaps w:val="0"/>
          <w:color w:val="auto"/>
          <w:sz w:val="24"/>
          <w:szCs w:val="24"/>
          <w:highlight w:val="none"/>
          <w:lang w:val="en-US" w:eastAsia="zh-CN"/>
        </w:rPr>
        <w:t>。</w:t>
      </w:r>
    </w:p>
    <w:p w14:paraId="293C651B">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3.3.1.9充填系统</w:t>
      </w:r>
    </w:p>
    <w:p w14:paraId="6C94BB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采矿方法对充填的要求</w:t>
      </w:r>
    </w:p>
    <w:p w14:paraId="7265676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在矿房回采完毕后，立即进行采场充填准备工作。充填体设计强度：4Mpa。充填材料采用碎石（或戈壁碎石）+灰砂比1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4高强度水泥砂浆。采用分层充填，一次充填最大厚度10m，每分层充填完毕后养护期5～7天，最长不超过15天，养护结束，即进行下一分层的回采，全部分层充填完毕后养护28天后，充填体强度达到4Mpa。</w:t>
      </w:r>
    </w:p>
    <w:p w14:paraId="603760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充填能力</w:t>
      </w:r>
    </w:p>
    <w:p w14:paraId="3D0FCE0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矿山在正常生产能力达到30万t/a时，本次设计充填站按最大30万t/a能力配置。</w:t>
      </w:r>
    </w:p>
    <w:p w14:paraId="52FB37B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矿山正常生产能力：30万t/a</w:t>
      </w:r>
    </w:p>
    <w:p w14:paraId="6835696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年生产天数：250天</w:t>
      </w:r>
    </w:p>
    <w:p w14:paraId="4E548C6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矿石比重：3.23t/m³</w:t>
      </w:r>
    </w:p>
    <w:p w14:paraId="0775522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根据上述已知条件，计算充填量：</w:t>
      </w:r>
    </w:p>
    <w:p w14:paraId="3E28AEA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年产生空区：9.3万m³（实体体积）</w:t>
      </w:r>
    </w:p>
    <w:p w14:paraId="467FFD8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年需充填的空区：9.3万m³/a，日需充填的空区：372m³/d（实体体积），按采充比1:1计算。</w:t>
      </w:r>
    </w:p>
    <w:p w14:paraId="59E90BC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按砂浆：碎石=1：3计算，碎石每日充填量279m³（实体体积），砂浆每日充填量93m³（实体体积）。</w:t>
      </w:r>
    </w:p>
    <w:p w14:paraId="70610AD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矿山充填日工作两班，纯充填时间8小时，考虑灌注砂浆工序的不均衡系数1.2，故充填站的设计能力设定为60m³/h合理。考虑作业地点比较分散，故考虑设置两套30m³/h充填系统。</w:t>
      </w:r>
    </w:p>
    <w:p w14:paraId="3BCF687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充填工艺</w:t>
      </w:r>
    </w:p>
    <w:p w14:paraId="5DC1FC5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1）充填材料的选择</w:t>
      </w:r>
    </w:p>
    <w:p w14:paraId="5F361CB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选用的采矿方法，为保证矿山生产安全、减少矿山废石排放、减少井下废水及充填泥浆的排放。本次设计参考国内部分矿山充填经验，选择在地表将废石破碎至粒径小于20mm碎石或筛选后的戈壁碎石作为矿山主要充填材料，水泥砂浆作为主要胶结料。</w:t>
      </w:r>
    </w:p>
    <w:p w14:paraId="4CC56A7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2）充填工艺</w:t>
      </w:r>
    </w:p>
    <w:p w14:paraId="5BB82A0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次设计参考国内类似矿山充填经验采用碎石+水泥砂浆的块石胶结充填工艺。矿房内采用嗣后充填，矿房回采结束后，采用分层充填，一次充填最大厚度10m，每分层充填完毕后养护期5～7天，最长不超过15天，养护结束，即进行下一分层的回采，全部分层充填完毕后养护28天后，充填体强度达到4Mpa。</w:t>
      </w:r>
    </w:p>
    <w:p w14:paraId="4E51078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采场的最后一分层充填，要求充满，使其接近顶板。充填接顶率要达到90%以上。</w:t>
      </w:r>
    </w:p>
    <w:p w14:paraId="7B3A7F9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充填材料消耗</w:t>
      </w:r>
    </w:p>
    <w:p w14:paraId="3E40538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按照搅拌机砂浆配比要求，浓度按89.29%，材料配比见</w:t>
      </w:r>
      <w:r>
        <w:rPr>
          <w:rFonts w:hint="default" w:ascii="Times New Roman" w:hAnsi="Times New Roman" w:cs="Times New Roman"/>
          <w:color w:val="auto"/>
          <w:sz w:val="24"/>
          <w:szCs w:val="24"/>
          <w:lang w:val="en-US" w:eastAsia="zh-CN"/>
        </w:rPr>
        <w:t>下表</w:t>
      </w:r>
      <w:r>
        <w:rPr>
          <w:rFonts w:hint="default" w:ascii="Times New Roman" w:hAnsi="Times New Roman" w:cs="Times New Roman"/>
          <w:color w:val="auto"/>
          <w:sz w:val="24"/>
          <w:szCs w:val="24"/>
        </w:rPr>
        <w:t>。</w:t>
      </w:r>
    </w:p>
    <w:p w14:paraId="4FB51842">
      <w:pPr>
        <w:ind w:left="0" w:leftChars="0" w:firstLine="0" w:firstLineChars="0"/>
        <w:jc w:val="center"/>
        <w:rPr>
          <w:rFonts w:hint="default" w:ascii="Times New Roman" w:hAnsi="Times New Roman" w:cs="Times New Roman"/>
          <w:color w:val="auto"/>
        </w:rPr>
      </w:pPr>
      <w:bookmarkStart w:id="347" w:name="_Ref7443"/>
    </w:p>
    <w:p w14:paraId="7A87E316">
      <w:pPr>
        <w:ind w:left="0" w:leftChars="0" w:firstLine="0" w:firstLineChars="0"/>
        <w:jc w:val="center"/>
        <w:rPr>
          <w:rFonts w:hint="default" w:ascii="Times New Roman" w:hAnsi="Times New Roman" w:cs="Times New Roman"/>
          <w:color w:val="auto"/>
          <w:lang w:val="en-US" w:eastAsia="zh-CN"/>
        </w:rPr>
      </w:pPr>
    </w:p>
    <w:p w14:paraId="3354CAFA">
      <w:pPr>
        <w:ind w:left="0" w:leftChars="0"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w:t>
      </w:r>
      <w:bookmarkEnd w:id="347"/>
      <w:r>
        <w:rPr>
          <w:rFonts w:hint="default" w:ascii="Times New Roman" w:hAnsi="Times New Roman" w:cs="Times New Roman" w:eastAsiaTheme="minorEastAsia"/>
          <w:b/>
          <w:bCs/>
          <w:color w:val="auto"/>
          <w:kern w:val="2"/>
          <w:sz w:val="21"/>
          <w:szCs w:val="21"/>
          <w:lang w:val="en-US" w:eastAsia="zh-CN" w:bidi="ar-SA"/>
        </w:rPr>
        <w:t>3.3-6     1m</w:t>
      </w:r>
      <w:r>
        <w:rPr>
          <w:rFonts w:hint="default" w:ascii="Times New Roman" w:hAnsi="Times New Roman" w:cs="Times New Roman" w:eastAsiaTheme="minorEastAsia"/>
          <w:b/>
          <w:bCs/>
          <w:color w:val="auto"/>
          <w:kern w:val="2"/>
          <w:sz w:val="21"/>
          <w:szCs w:val="21"/>
          <w:vertAlign w:val="superscript"/>
          <w:lang w:val="en-US" w:eastAsia="zh-CN" w:bidi="ar-SA"/>
        </w:rPr>
        <w:t>3</w:t>
      </w:r>
      <w:r>
        <w:rPr>
          <w:rFonts w:hint="default" w:ascii="Times New Roman" w:hAnsi="Times New Roman" w:cs="Times New Roman" w:eastAsiaTheme="minorEastAsia"/>
          <w:b/>
          <w:bCs/>
          <w:color w:val="auto"/>
          <w:kern w:val="2"/>
          <w:sz w:val="21"/>
          <w:szCs w:val="21"/>
          <w:lang w:val="en-US" w:eastAsia="zh-CN" w:bidi="ar-SA"/>
        </w:rPr>
        <w:t>料浆材料配比</w:t>
      </w:r>
    </w:p>
    <w:tbl>
      <w:tblPr>
        <w:tblStyle w:val="21"/>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014"/>
        <w:gridCol w:w="1537"/>
        <w:gridCol w:w="1275"/>
        <w:gridCol w:w="1168"/>
        <w:gridCol w:w="1522"/>
        <w:gridCol w:w="989"/>
      </w:tblGrid>
      <w:tr w14:paraId="12CB4B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4" w:type="pct"/>
            <w:vMerge w:val="restart"/>
            <w:tcBorders>
              <w:tl2br w:val="nil"/>
              <w:tr2bl w:val="nil"/>
            </w:tcBorders>
            <w:noWrap w:val="0"/>
            <w:vAlign w:val="center"/>
          </w:tcPr>
          <w:p w14:paraId="17448DD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灰砂比</w:t>
            </w:r>
          </w:p>
        </w:tc>
        <w:tc>
          <w:tcPr>
            <w:tcW w:w="595" w:type="pct"/>
            <w:vMerge w:val="restart"/>
            <w:tcBorders>
              <w:tl2br w:val="nil"/>
              <w:tr2bl w:val="nil"/>
            </w:tcBorders>
            <w:noWrap w:val="0"/>
            <w:vAlign w:val="center"/>
          </w:tcPr>
          <w:p w14:paraId="31FE43A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水灰比</w:t>
            </w:r>
          </w:p>
        </w:tc>
        <w:tc>
          <w:tcPr>
            <w:tcW w:w="902" w:type="pct"/>
            <w:tcBorders>
              <w:tl2br w:val="nil"/>
              <w:tr2bl w:val="nil"/>
            </w:tcBorders>
            <w:noWrap w:val="0"/>
            <w:vAlign w:val="center"/>
          </w:tcPr>
          <w:p w14:paraId="1894719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充填体体重</w:t>
            </w:r>
          </w:p>
        </w:tc>
        <w:tc>
          <w:tcPr>
            <w:tcW w:w="748" w:type="pct"/>
            <w:tcBorders>
              <w:tl2br w:val="nil"/>
              <w:tr2bl w:val="nil"/>
            </w:tcBorders>
            <w:noWrap w:val="0"/>
            <w:vAlign w:val="center"/>
          </w:tcPr>
          <w:p w14:paraId="7E20790A">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料浆浓度</w:t>
            </w:r>
          </w:p>
        </w:tc>
        <w:tc>
          <w:tcPr>
            <w:tcW w:w="685" w:type="pct"/>
            <w:tcBorders>
              <w:tl2br w:val="nil"/>
              <w:tr2bl w:val="nil"/>
            </w:tcBorders>
            <w:noWrap w:val="0"/>
            <w:vAlign w:val="center"/>
          </w:tcPr>
          <w:p w14:paraId="0D59FB6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水泥用量</w:t>
            </w:r>
          </w:p>
        </w:tc>
        <w:tc>
          <w:tcPr>
            <w:tcW w:w="893" w:type="pct"/>
            <w:tcBorders>
              <w:tl2br w:val="nil"/>
              <w:tr2bl w:val="nil"/>
            </w:tcBorders>
            <w:noWrap w:val="0"/>
            <w:vAlign w:val="center"/>
          </w:tcPr>
          <w:p w14:paraId="11B4BE2B">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戈壁砂用量</w:t>
            </w:r>
          </w:p>
        </w:tc>
        <w:tc>
          <w:tcPr>
            <w:tcW w:w="580" w:type="pct"/>
            <w:tcBorders>
              <w:tl2br w:val="nil"/>
              <w:tr2bl w:val="nil"/>
            </w:tcBorders>
            <w:noWrap w:val="0"/>
            <w:vAlign w:val="center"/>
          </w:tcPr>
          <w:p w14:paraId="19FB2D04">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水用量</w:t>
            </w:r>
          </w:p>
        </w:tc>
      </w:tr>
      <w:tr w14:paraId="70268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4" w:type="pct"/>
            <w:vMerge w:val="continue"/>
            <w:tcBorders>
              <w:tl2br w:val="nil"/>
              <w:tr2bl w:val="nil"/>
            </w:tcBorders>
            <w:noWrap w:val="0"/>
            <w:vAlign w:val="center"/>
          </w:tcPr>
          <w:p w14:paraId="480CF4A1">
            <w:pPr>
              <w:spacing w:line="240" w:lineRule="auto"/>
              <w:ind w:firstLine="0" w:firstLineChars="0"/>
              <w:jc w:val="center"/>
              <w:rPr>
                <w:rFonts w:hint="default" w:ascii="Times New Roman" w:hAnsi="Times New Roman" w:eastAsia="宋体" w:cs="Times New Roman"/>
                <w:color w:val="auto"/>
                <w:sz w:val="21"/>
                <w:szCs w:val="21"/>
              </w:rPr>
            </w:pPr>
          </w:p>
        </w:tc>
        <w:tc>
          <w:tcPr>
            <w:tcW w:w="595" w:type="pct"/>
            <w:vMerge w:val="continue"/>
            <w:tcBorders>
              <w:tl2br w:val="nil"/>
              <w:tr2bl w:val="nil"/>
            </w:tcBorders>
            <w:noWrap w:val="0"/>
            <w:vAlign w:val="center"/>
          </w:tcPr>
          <w:p w14:paraId="78190313">
            <w:pPr>
              <w:spacing w:line="240" w:lineRule="auto"/>
              <w:ind w:firstLine="0" w:firstLineChars="0"/>
              <w:jc w:val="center"/>
              <w:rPr>
                <w:rFonts w:hint="default" w:ascii="Times New Roman" w:hAnsi="Times New Roman" w:eastAsia="宋体" w:cs="Times New Roman"/>
                <w:color w:val="auto"/>
                <w:sz w:val="21"/>
                <w:szCs w:val="21"/>
              </w:rPr>
            </w:pPr>
          </w:p>
        </w:tc>
        <w:tc>
          <w:tcPr>
            <w:tcW w:w="902" w:type="pct"/>
            <w:tcBorders>
              <w:tl2br w:val="nil"/>
              <w:tr2bl w:val="nil"/>
            </w:tcBorders>
            <w:noWrap w:val="0"/>
            <w:vAlign w:val="center"/>
          </w:tcPr>
          <w:p w14:paraId="33A5E1B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t/m³</w:t>
            </w:r>
          </w:p>
        </w:tc>
        <w:tc>
          <w:tcPr>
            <w:tcW w:w="748" w:type="pct"/>
            <w:tcBorders>
              <w:tl2br w:val="nil"/>
              <w:tr2bl w:val="nil"/>
            </w:tcBorders>
            <w:noWrap w:val="0"/>
            <w:vAlign w:val="center"/>
          </w:tcPr>
          <w:p w14:paraId="1670D20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685" w:type="pct"/>
            <w:tcBorders>
              <w:tl2br w:val="nil"/>
              <w:tr2bl w:val="nil"/>
            </w:tcBorders>
            <w:noWrap w:val="0"/>
            <w:vAlign w:val="center"/>
          </w:tcPr>
          <w:p w14:paraId="48264F43">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w:t>
            </w:r>
          </w:p>
        </w:tc>
        <w:tc>
          <w:tcPr>
            <w:tcW w:w="893" w:type="pct"/>
            <w:tcBorders>
              <w:tl2br w:val="nil"/>
              <w:tr2bl w:val="nil"/>
            </w:tcBorders>
            <w:noWrap w:val="0"/>
            <w:vAlign w:val="center"/>
          </w:tcPr>
          <w:p w14:paraId="34E0BDBF">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w:t>
            </w:r>
          </w:p>
        </w:tc>
        <w:tc>
          <w:tcPr>
            <w:tcW w:w="580" w:type="pct"/>
            <w:tcBorders>
              <w:tl2br w:val="nil"/>
              <w:tr2bl w:val="nil"/>
            </w:tcBorders>
            <w:noWrap w:val="0"/>
            <w:vAlign w:val="center"/>
          </w:tcPr>
          <w:p w14:paraId="237FF700">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kg</w:t>
            </w:r>
          </w:p>
        </w:tc>
      </w:tr>
      <w:tr w14:paraId="45B95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94" w:type="pct"/>
            <w:tcBorders>
              <w:tl2br w:val="nil"/>
              <w:tr2bl w:val="nil"/>
            </w:tcBorders>
            <w:noWrap w:val="0"/>
            <w:vAlign w:val="center"/>
          </w:tcPr>
          <w:p w14:paraId="208F654E">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w:t>
            </w:r>
          </w:p>
        </w:tc>
        <w:tc>
          <w:tcPr>
            <w:tcW w:w="595" w:type="pct"/>
            <w:tcBorders>
              <w:tl2br w:val="nil"/>
              <w:tr2bl w:val="nil"/>
            </w:tcBorders>
            <w:noWrap w:val="0"/>
            <w:vAlign w:val="center"/>
          </w:tcPr>
          <w:p w14:paraId="36399BA6">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0.6</w:t>
            </w:r>
          </w:p>
        </w:tc>
        <w:tc>
          <w:tcPr>
            <w:tcW w:w="902" w:type="pct"/>
            <w:tcBorders>
              <w:tl2br w:val="nil"/>
              <w:tr2bl w:val="nil"/>
            </w:tcBorders>
            <w:noWrap w:val="0"/>
            <w:vAlign w:val="center"/>
          </w:tcPr>
          <w:p w14:paraId="71DBCB73">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w:t>
            </w:r>
          </w:p>
        </w:tc>
        <w:tc>
          <w:tcPr>
            <w:tcW w:w="748" w:type="pct"/>
            <w:tcBorders>
              <w:tl2br w:val="nil"/>
              <w:tr2bl w:val="nil"/>
            </w:tcBorders>
            <w:noWrap w:val="0"/>
            <w:vAlign w:val="center"/>
          </w:tcPr>
          <w:p w14:paraId="301C7024">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89.29</w:t>
            </w:r>
          </w:p>
        </w:tc>
        <w:tc>
          <w:tcPr>
            <w:tcW w:w="685" w:type="pct"/>
            <w:tcBorders>
              <w:tl2br w:val="nil"/>
              <w:tr2bl w:val="nil"/>
            </w:tcBorders>
            <w:noWrap w:val="0"/>
            <w:vAlign w:val="center"/>
          </w:tcPr>
          <w:p w14:paraId="078AC651">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375</w:t>
            </w:r>
          </w:p>
        </w:tc>
        <w:tc>
          <w:tcPr>
            <w:tcW w:w="893" w:type="pct"/>
            <w:tcBorders>
              <w:tl2br w:val="nil"/>
              <w:tr2bl w:val="nil"/>
            </w:tcBorders>
            <w:noWrap w:val="0"/>
            <w:vAlign w:val="center"/>
          </w:tcPr>
          <w:p w14:paraId="0DF01485">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1500</w:t>
            </w:r>
          </w:p>
        </w:tc>
        <w:tc>
          <w:tcPr>
            <w:tcW w:w="580" w:type="pct"/>
            <w:tcBorders>
              <w:tl2br w:val="nil"/>
              <w:tr2bl w:val="nil"/>
            </w:tcBorders>
            <w:noWrap w:val="0"/>
            <w:vAlign w:val="center"/>
          </w:tcPr>
          <w:p w14:paraId="69A51F9E">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225</w:t>
            </w:r>
          </w:p>
        </w:tc>
      </w:tr>
    </w:tbl>
    <w:p w14:paraId="720E578B">
      <w:pPr>
        <w:keepNext w:val="0"/>
        <w:keepLines w:val="0"/>
        <w:pageBreakBefore w:val="0"/>
        <w:widowControl w:val="0"/>
        <w:kinsoku/>
        <w:wordWrap/>
        <w:overflowPunct/>
        <w:topLinePunct w:val="0"/>
        <w:autoSpaceDE/>
        <w:autoSpaceDN/>
        <w:bidi w:val="0"/>
        <w:adjustRightInd/>
        <w:snapToGrid/>
        <w:spacing w:line="480" w:lineRule="exact"/>
        <w:ind w:firstLine="561"/>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砂浆细骨料为戈壁砂，粒度0.1～5mm，胶结料采用425号普通硅酸盐水泥，接顶层也可利用其他胶固材料代替部分水泥。</w:t>
      </w:r>
    </w:p>
    <w:p w14:paraId="3D26E57B">
      <w:pPr>
        <w:keepNext w:val="0"/>
        <w:keepLines w:val="0"/>
        <w:pageBreakBefore w:val="0"/>
        <w:widowControl w:val="0"/>
        <w:kinsoku/>
        <w:wordWrap/>
        <w:overflowPunct/>
        <w:topLinePunct w:val="0"/>
        <w:autoSpaceDE/>
        <w:autoSpaceDN/>
        <w:bidi w:val="0"/>
        <w:adjustRightInd/>
        <w:snapToGrid/>
        <w:spacing w:line="480" w:lineRule="exact"/>
        <w:ind w:firstLine="561"/>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充填体设计强度：4Mpa。充填配比是影响充填质量、充填体稳定性和充填成本的关键因素。根据所选择的充填体设计强度、类似矿山的经验和现有生产条件，设计初期配比：戈壁砂1500kg/m³，水泥375kg/m³，灰砂比1:4，水灰比0.6，砂浆：碎石=1：3，上述配比，应在生产中逐步调整完善。上述配比，应在矿山进行试块试验，达到设计强度后使用，同时应在生产中结合地表变形观测数据等参数，逐步调整完善充填材料的配比。</w:t>
      </w:r>
    </w:p>
    <w:p w14:paraId="4D6E0980">
      <w:pPr>
        <w:keepNext w:val="0"/>
        <w:keepLines w:val="0"/>
        <w:pageBreakBefore w:val="0"/>
        <w:widowControl w:val="0"/>
        <w:kinsoku/>
        <w:wordWrap/>
        <w:overflowPunct/>
        <w:topLinePunct w:val="0"/>
        <w:autoSpaceDE/>
        <w:autoSpaceDN/>
        <w:bidi w:val="0"/>
        <w:adjustRightInd/>
        <w:snapToGrid/>
        <w:spacing w:line="480" w:lineRule="exact"/>
        <w:ind w:firstLine="561"/>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根据矿山充填生产计划，为保证生产安全及矿山永久设施的安全，采用1:4高强度充填体。按以上原则计算，根据</w:t>
      </w:r>
      <w:r>
        <w:rPr>
          <w:rFonts w:hint="default" w:ascii="Times New Roman" w:hAnsi="Times New Roman" w:cs="Times New Roman"/>
          <w:color w:val="auto"/>
          <w:sz w:val="24"/>
          <w:szCs w:val="24"/>
          <w:lang w:val="en-US" w:eastAsia="zh-CN"/>
        </w:rPr>
        <w:t>表3.3-7</w:t>
      </w:r>
      <w:r>
        <w:rPr>
          <w:rFonts w:hint="default" w:ascii="Times New Roman" w:hAnsi="Times New Roman" w:cs="Times New Roman"/>
          <w:color w:val="auto"/>
          <w:sz w:val="24"/>
          <w:szCs w:val="24"/>
        </w:rPr>
        <w:t>的配比要求，充填系统需用材料量（以372m³/d计），见</w:t>
      </w:r>
      <w:r>
        <w:rPr>
          <w:rFonts w:hint="default" w:ascii="Times New Roman" w:hAnsi="Times New Roman" w:cs="Times New Roman"/>
          <w:color w:val="auto"/>
          <w:sz w:val="24"/>
          <w:szCs w:val="24"/>
          <w:lang w:val="en-US" w:eastAsia="zh-CN"/>
        </w:rPr>
        <w:t>表3.3-7</w:t>
      </w:r>
      <w:r>
        <w:rPr>
          <w:rFonts w:hint="default" w:ascii="Times New Roman" w:hAnsi="Times New Roman" w:cs="Times New Roman"/>
          <w:color w:val="auto"/>
          <w:sz w:val="24"/>
          <w:szCs w:val="24"/>
        </w:rPr>
        <w:t>。其中，碎石最大每年消耗</w:t>
      </w:r>
      <w:r>
        <w:rPr>
          <w:rFonts w:hint="default" w:ascii="Times New Roman" w:hAnsi="Times New Roman" w:cs="Times New Roman"/>
          <w:color w:val="auto"/>
          <w:sz w:val="24"/>
          <w:szCs w:val="24"/>
          <w:lang w:val="en-US" w:eastAsia="zh-CN"/>
        </w:rPr>
        <w:t>69750</w:t>
      </w:r>
      <w:r>
        <w:rPr>
          <w:rFonts w:hint="default" w:ascii="Times New Roman" w:hAnsi="Times New Roman" w:cs="Times New Roman"/>
          <w:color w:val="auto"/>
          <w:sz w:val="24"/>
          <w:szCs w:val="24"/>
        </w:rPr>
        <w:t>m³，折合</w:t>
      </w:r>
      <w:r>
        <w:rPr>
          <w:rFonts w:hint="default" w:ascii="Times New Roman" w:hAnsi="Times New Roman" w:cs="Times New Roman"/>
          <w:color w:val="auto"/>
          <w:sz w:val="24"/>
          <w:szCs w:val="24"/>
          <w:lang w:val="en-US" w:eastAsia="zh-CN"/>
        </w:rPr>
        <w:t>18</w:t>
      </w:r>
      <w:r>
        <w:rPr>
          <w:rFonts w:hint="default" w:ascii="Times New Roman" w:hAnsi="Times New Roman" w:cs="Times New Roman"/>
          <w:color w:val="auto"/>
          <w:sz w:val="24"/>
          <w:szCs w:val="24"/>
        </w:rPr>
        <w:t>万t。</w:t>
      </w:r>
      <w:r>
        <w:rPr>
          <w:rFonts w:hint="default" w:ascii="Times New Roman" w:hAnsi="Times New Roman" w:cs="Times New Roman"/>
          <w:color w:val="auto"/>
          <w:sz w:val="24"/>
          <w:szCs w:val="24"/>
          <w:lang w:val="en-US" w:eastAsia="zh-CN"/>
        </w:rPr>
        <w:t>服务期内</w:t>
      </w:r>
      <w:r>
        <w:rPr>
          <w:rFonts w:hint="default" w:ascii="Times New Roman" w:hAnsi="Times New Roman" w:cs="Times New Roman"/>
          <w:color w:val="auto"/>
          <w:sz w:val="24"/>
          <w:szCs w:val="24"/>
        </w:rPr>
        <w:t>矿山井下废石量</w:t>
      </w:r>
      <w:r>
        <w:rPr>
          <w:rFonts w:hint="default" w:ascii="Times New Roman" w:hAnsi="Times New Roman" w:cs="Times New Roman"/>
          <w:color w:val="auto"/>
          <w:sz w:val="24"/>
          <w:szCs w:val="24"/>
          <w:lang w:val="en-US" w:eastAsia="zh-CN"/>
        </w:rPr>
        <w:t>24.65</w:t>
      </w:r>
      <w:r>
        <w:rPr>
          <w:rFonts w:hint="default" w:ascii="Times New Roman" w:hAnsi="Times New Roman" w:cs="Times New Roman"/>
          <w:color w:val="auto"/>
          <w:sz w:val="24"/>
          <w:szCs w:val="24"/>
        </w:rPr>
        <w:t>万t，加基建废石量</w:t>
      </w:r>
      <w:r>
        <w:rPr>
          <w:rFonts w:hint="default" w:ascii="Times New Roman" w:hAnsi="Times New Roman" w:cs="Times New Roman"/>
          <w:color w:val="auto"/>
          <w:sz w:val="24"/>
          <w:szCs w:val="24"/>
          <w:lang w:val="en-US" w:eastAsia="zh-CN"/>
        </w:rPr>
        <w:t>22.61</w:t>
      </w:r>
      <w:r>
        <w:rPr>
          <w:rFonts w:hint="default" w:ascii="Times New Roman" w:hAnsi="Times New Roman" w:cs="Times New Roman"/>
          <w:color w:val="auto"/>
          <w:sz w:val="24"/>
          <w:szCs w:val="24"/>
        </w:rPr>
        <w:t>万t</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总计废石量为</w:t>
      </w:r>
      <w:r>
        <w:rPr>
          <w:rFonts w:hint="default" w:ascii="Times New Roman" w:hAnsi="Times New Roman" w:cs="Times New Roman"/>
          <w:color w:val="auto"/>
          <w:sz w:val="24"/>
          <w:szCs w:val="24"/>
          <w:lang w:val="en-US" w:eastAsia="zh-CN"/>
        </w:rPr>
        <w:t>47.26</w:t>
      </w:r>
      <w:r>
        <w:rPr>
          <w:rFonts w:hint="default" w:ascii="Times New Roman" w:hAnsi="Times New Roman" w:cs="Times New Roman"/>
          <w:color w:val="auto"/>
          <w:sz w:val="24"/>
          <w:szCs w:val="24"/>
        </w:rPr>
        <w:t>万t，因此，废石无法满足井下充填碎石需要，不足部分用筛选后的戈壁碎石补充。</w:t>
      </w:r>
    </w:p>
    <w:p w14:paraId="31D1AD79">
      <w:pPr>
        <w:ind w:left="0" w:leftChars="0" w:firstLine="0" w:firstLineChars="0"/>
        <w:jc w:val="center"/>
        <w:rPr>
          <w:rFonts w:hint="default" w:ascii="Times New Roman" w:hAnsi="Times New Roman" w:cs="Times New Roman" w:eastAsiaTheme="minorEastAsia"/>
          <w:b/>
          <w:bCs/>
          <w:color w:val="auto"/>
          <w:kern w:val="2"/>
          <w:sz w:val="21"/>
          <w:szCs w:val="21"/>
          <w:lang w:val="en-US" w:eastAsia="zh-CN" w:bidi="ar-SA"/>
        </w:rPr>
      </w:pPr>
      <w:bookmarkStart w:id="348" w:name="_Ref7489"/>
      <w:r>
        <w:rPr>
          <w:rFonts w:hint="default" w:ascii="Times New Roman" w:hAnsi="Times New Roman" w:cs="Times New Roman" w:eastAsiaTheme="minorEastAsia"/>
          <w:b/>
          <w:bCs/>
          <w:color w:val="auto"/>
          <w:kern w:val="2"/>
          <w:sz w:val="21"/>
          <w:szCs w:val="21"/>
          <w:lang w:val="en-US" w:eastAsia="zh-CN" w:bidi="ar-SA"/>
        </w:rPr>
        <w:t>表</w:t>
      </w:r>
      <w:bookmarkEnd w:id="348"/>
      <w:r>
        <w:rPr>
          <w:rFonts w:hint="default" w:ascii="Times New Roman" w:hAnsi="Times New Roman" w:cs="Times New Roman" w:eastAsiaTheme="minorEastAsia"/>
          <w:b/>
          <w:bCs/>
          <w:color w:val="auto"/>
          <w:kern w:val="2"/>
          <w:sz w:val="21"/>
          <w:szCs w:val="21"/>
          <w:lang w:val="en-US" w:eastAsia="zh-CN" w:bidi="ar-SA"/>
        </w:rPr>
        <w:t>3.3-7    充填系统材料消耗表</w:t>
      </w:r>
    </w:p>
    <w:tbl>
      <w:tblPr>
        <w:tblStyle w:val="21"/>
        <w:tblW w:w="4998" w:type="pct"/>
        <w:tblInd w:w="0" w:type="dxa"/>
        <w:tblLayout w:type="autofit"/>
        <w:tblCellMar>
          <w:top w:w="0" w:type="dxa"/>
          <w:left w:w="0" w:type="dxa"/>
          <w:bottom w:w="0" w:type="dxa"/>
          <w:right w:w="0" w:type="dxa"/>
        </w:tblCellMar>
      </w:tblPr>
      <w:tblGrid>
        <w:gridCol w:w="754"/>
        <w:gridCol w:w="2364"/>
        <w:gridCol w:w="1465"/>
        <w:gridCol w:w="943"/>
        <w:gridCol w:w="943"/>
        <w:gridCol w:w="754"/>
        <w:gridCol w:w="1110"/>
      </w:tblGrid>
      <w:tr w14:paraId="3C091D29">
        <w:tblPrEx>
          <w:tblCellMar>
            <w:top w:w="0" w:type="dxa"/>
            <w:left w:w="0" w:type="dxa"/>
            <w:bottom w:w="0" w:type="dxa"/>
            <w:right w:w="0" w:type="dxa"/>
          </w:tblCellMar>
        </w:tblPrEx>
        <w:trPr>
          <w:trHeight w:val="23" w:hRule="atLeast"/>
        </w:trPr>
        <w:tc>
          <w:tcPr>
            <w:tcW w:w="754" w:type="dxa"/>
            <w:tcBorders>
              <w:top w:val="single" w:color="000000" w:sz="12" w:space="0"/>
              <w:left w:val="single" w:color="000000" w:sz="12" w:space="0"/>
              <w:bottom w:val="single" w:color="000000" w:sz="4" w:space="0"/>
              <w:right w:val="single" w:color="000000" w:sz="4" w:space="0"/>
            </w:tcBorders>
            <w:noWrap w:val="0"/>
            <w:tcMar>
              <w:top w:w="15" w:type="dxa"/>
              <w:left w:w="15" w:type="dxa"/>
              <w:right w:w="15" w:type="dxa"/>
            </w:tcMar>
            <w:vAlign w:val="center"/>
          </w:tcPr>
          <w:p w14:paraId="7651E0D0">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类别</w:t>
            </w:r>
          </w:p>
        </w:tc>
        <w:tc>
          <w:tcPr>
            <w:tcW w:w="2364"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C6E3E">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充填能力</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rPr>
              <w:t>/d</w:t>
            </w:r>
            <w:r>
              <w:rPr>
                <w:rFonts w:hint="default" w:ascii="Times New Roman" w:hAnsi="Times New Roman" w:cs="Times New Roman"/>
                <w:color w:val="auto"/>
                <w:sz w:val="21"/>
                <w:szCs w:val="21"/>
                <w:lang w:eastAsia="zh-CN"/>
              </w:rPr>
              <w:t>）</w:t>
            </w:r>
          </w:p>
        </w:tc>
        <w:tc>
          <w:tcPr>
            <w:tcW w:w="1465"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5F46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料浆浓度%</w:t>
            </w:r>
          </w:p>
        </w:tc>
        <w:tc>
          <w:tcPr>
            <w:tcW w:w="943"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7043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水泥t</w:t>
            </w:r>
          </w:p>
        </w:tc>
        <w:tc>
          <w:tcPr>
            <w:tcW w:w="943"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62EEE">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戈壁砂t</w:t>
            </w:r>
          </w:p>
        </w:tc>
        <w:tc>
          <w:tcPr>
            <w:tcW w:w="754" w:type="dxa"/>
            <w:tcBorders>
              <w:top w:val="single" w:color="000000" w:sz="12"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3570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水t</w:t>
            </w:r>
          </w:p>
        </w:tc>
        <w:tc>
          <w:tcPr>
            <w:tcW w:w="1110" w:type="dxa"/>
            <w:tcBorders>
              <w:top w:val="single" w:color="000000" w:sz="12" w:space="0"/>
              <w:left w:val="single" w:color="000000" w:sz="4" w:space="0"/>
              <w:bottom w:val="single" w:color="000000" w:sz="4" w:space="0"/>
              <w:right w:val="single" w:color="000000" w:sz="12" w:space="0"/>
            </w:tcBorders>
            <w:noWrap w:val="0"/>
            <w:tcMar>
              <w:top w:w="15" w:type="dxa"/>
              <w:left w:w="15" w:type="dxa"/>
              <w:right w:w="15" w:type="dxa"/>
            </w:tcMar>
            <w:vAlign w:val="center"/>
          </w:tcPr>
          <w:p w14:paraId="44D76E3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碎石m</w:t>
            </w:r>
            <w:r>
              <w:rPr>
                <w:rFonts w:hint="default" w:ascii="Times New Roman" w:hAnsi="Times New Roman" w:cs="Times New Roman"/>
                <w:color w:val="auto"/>
                <w:sz w:val="21"/>
                <w:szCs w:val="21"/>
                <w:vertAlign w:val="superscript"/>
                <w:lang w:val="en-US" w:eastAsia="zh-CN"/>
              </w:rPr>
              <w:t>3</w:t>
            </w:r>
          </w:p>
        </w:tc>
      </w:tr>
      <w:tr w14:paraId="79D808C4">
        <w:tblPrEx>
          <w:tblCellMar>
            <w:top w:w="0" w:type="dxa"/>
            <w:left w:w="0" w:type="dxa"/>
            <w:bottom w:w="0" w:type="dxa"/>
            <w:right w:w="0" w:type="dxa"/>
          </w:tblCellMar>
        </w:tblPrEx>
        <w:trPr>
          <w:trHeight w:val="23" w:hRule="atLeast"/>
        </w:trPr>
        <w:tc>
          <w:tcPr>
            <w:tcW w:w="754" w:type="dxa"/>
            <w:tcBorders>
              <w:top w:val="single" w:color="000000" w:sz="4" w:space="0"/>
              <w:left w:val="single" w:color="000000" w:sz="12" w:space="0"/>
              <w:bottom w:val="single" w:color="000000" w:sz="4" w:space="0"/>
              <w:right w:val="single" w:color="000000" w:sz="4" w:space="0"/>
            </w:tcBorders>
            <w:noWrap w:val="0"/>
            <w:tcMar>
              <w:top w:w="15" w:type="dxa"/>
              <w:left w:w="15" w:type="dxa"/>
              <w:right w:w="15" w:type="dxa"/>
            </w:tcMar>
            <w:vAlign w:val="center"/>
          </w:tcPr>
          <w:p w14:paraId="3EBD00BE">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日</w:t>
            </w:r>
          </w:p>
        </w:tc>
        <w:tc>
          <w:tcPr>
            <w:tcW w:w="23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4BDBA9">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372</w:t>
            </w:r>
          </w:p>
        </w:tc>
        <w:tc>
          <w:tcPr>
            <w:tcW w:w="1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DE93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89.29</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F690B">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35</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88C4C">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140</w:t>
            </w:r>
          </w:p>
        </w:tc>
        <w:tc>
          <w:tcPr>
            <w:tcW w:w="75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AC163">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1110" w:type="dxa"/>
            <w:tcBorders>
              <w:top w:val="single" w:color="000000" w:sz="4" w:space="0"/>
              <w:left w:val="single" w:color="000000" w:sz="4" w:space="0"/>
              <w:bottom w:val="single" w:color="000000" w:sz="4" w:space="0"/>
              <w:right w:val="single" w:color="000000" w:sz="12" w:space="0"/>
            </w:tcBorders>
            <w:noWrap w:val="0"/>
            <w:tcMar>
              <w:top w:w="15" w:type="dxa"/>
              <w:left w:w="15" w:type="dxa"/>
              <w:right w:w="15" w:type="dxa"/>
            </w:tcMar>
            <w:vAlign w:val="center"/>
          </w:tcPr>
          <w:p w14:paraId="0A5B4FA0">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279</w:t>
            </w:r>
          </w:p>
        </w:tc>
      </w:tr>
      <w:tr w14:paraId="4F97A12F">
        <w:tblPrEx>
          <w:tblCellMar>
            <w:top w:w="0" w:type="dxa"/>
            <w:left w:w="0" w:type="dxa"/>
            <w:bottom w:w="0" w:type="dxa"/>
            <w:right w:w="0" w:type="dxa"/>
          </w:tblCellMar>
        </w:tblPrEx>
        <w:trPr>
          <w:trHeight w:val="23" w:hRule="atLeast"/>
        </w:trPr>
        <w:tc>
          <w:tcPr>
            <w:tcW w:w="754" w:type="dxa"/>
            <w:tcBorders>
              <w:top w:val="single" w:color="000000" w:sz="4" w:space="0"/>
              <w:left w:val="single" w:color="000000" w:sz="12" w:space="0"/>
              <w:bottom w:val="single" w:color="000000" w:sz="12" w:space="0"/>
              <w:right w:val="single" w:color="000000" w:sz="4" w:space="0"/>
            </w:tcBorders>
            <w:noWrap w:val="0"/>
            <w:tcMar>
              <w:top w:w="15" w:type="dxa"/>
              <w:left w:w="15" w:type="dxa"/>
              <w:right w:w="15" w:type="dxa"/>
            </w:tcMar>
            <w:vAlign w:val="center"/>
          </w:tcPr>
          <w:p w14:paraId="50EA9495">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w:t>
            </w:r>
          </w:p>
        </w:tc>
        <w:tc>
          <w:tcPr>
            <w:tcW w:w="2364"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4B66BECA">
            <w:pPr>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93000</w:t>
            </w:r>
          </w:p>
        </w:tc>
        <w:tc>
          <w:tcPr>
            <w:tcW w:w="1465"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0B19E87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89.29</w:t>
            </w:r>
          </w:p>
        </w:tc>
        <w:tc>
          <w:tcPr>
            <w:tcW w:w="943"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76C8F75B">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87</w:t>
            </w:r>
            <w:r>
              <w:rPr>
                <w:rFonts w:hint="default" w:ascii="Times New Roman" w:hAnsi="Times New Roman" w:cs="Times New Roman"/>
                <w:color w:val="auto"/>
                <w:sz w:val="21"/>
                <w:szCs w:val="21"/>
                <w:lang w:val="en-US" w:eastAsia="zh-CN"/>
              </w:rPr>
              <w:t>50</w:t>
            </w:r>
          </w:p>
        </w:tc>
        <w:tc>
          <w:tcPr>
            <w:tcW w:w="943"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144F0FD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r>
              <w:rPr>
                <w:rFonts w:hint="default" w:ascii="Times New Roman" w:hAnsi="Times New Roman" w:cs="Times New Roman"/>
                <w:color w:val="auto"/>
                <w:sz w:val="21"/>
                <w:szCs w:val="21"/>
                <w:lang w:val="en-US" w:eastAsia="zh-CN"/>
              </w:rPr>
              <w:t>5000</w:t>
            </w:r>
          </w:p>
        </w:tc>
        <w:tc>
          <w:tcPr>
            <w:tcW w:w="754" w:type="dxa"/>
            <w:tcBorders>
              <w:top w:val="single" w:color="000000" w:sz="4" w:space="0"/>
              <w:left w:val="single" w:color="000000" w:sz="4" w:space="0"/>
              <w:bottom w:val="single" w:color="000000" w:sz="12" w:space="0"/>
              <w:right w:val="single" w:color="000000" w:sz="4" w:space="0"/>
            </w:tcBorders>
            <w:noWrap w:val="0"/>
            <w:tcMar>
              <w:top w:w="15" w:type="dxa"/>
              <w:left w:w="15" w:type="dxa"/>
              <w:right w:w="15" w:type="dxa"/>
            </w:tcMar>
            <w:vAlign w:val="center"/>
          </w:tcPr>
          <w:p w14:paraId="60779D9B">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52</w:t>
            </w:r>
            <w:r>
              <w:rPr>
                <w:rFonts w:hint="default" w:ascii="Times New Roman" w:hAnsi="Times New Roman" w:cs="Times New Roman"/>
                <w:color w:val="auto"/>
                <w:sz w:val="21"/>
                <w:szCs w:val="21"/>
                <w:lang w:val="en-US" w:eastAsia="zh-CN"/>
              </w:rPr>
              <w:t>50</w:t>
            </w:r>
          </w:p>
        </w:tc>
        <w:tc>
          <w:tcPr>
            <w:tcW w:w="1110" w:type="dxa"/>
            <w:tcBorders>
              <w:top w:val="single" w:color="000000" w:sz="4" w:space="0"/>
              <w:left w:val="single" w:color="000000" w:sz="4" w:space="0"/>
              <w:bottom w:val="single" w:color="000000" w:sz="12" w:space="0"/>
              <w:right w:val="single" w:color="000000" w:sz="12" w:space="0"/>
            </w:tcBorders>
            <w:noWrap w:val="0"/>
            <w:tcMar>
              <w:top w:w="15" w:type="dxa"/>
              <w:left w:w="15" w:type="dxa"/>
              <w:right w:w="15" w:type="dxa"/>
            </w:tcMar>
            <w:vAlign w:val="center"/>
          </w:tcPr>
          <w:p w14:paraId="70A6276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69750</w:t>
            </w:r>
          </w:p>
        </w:tc>
      </w:tr>
    </w:tbl>
    <w:p w14:paraId="7547D55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（5）充填料的来源</w:t>
      </w:r>
    </w:p>
    <w:p w14:paraId="6F041CB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废石破碎至粒径小于20mm碎石或筛选后的戈壁碎石作为矿山主要充填材料。戈壁砂和水泥做胶凝材料。</w:t>
      </w:r>
    </w:p>
    <w:p w14:paraId="7EF6CF8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（6）充填料制备</w:t>
      </w:r>
    </w:p>
    <w:p w14:paraId="49833F2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1）充填站工作制度</w:t>
      </w:r>
    </w:p>
    <w:p w14:paraId="2CFEB07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充填站能力为</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1"/>
          <w:szCs w:val="21"/>
        </w:rPr>
        <w:t>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4"/>
          <w:szCs w:val="24"/>
          <w:lang w:val="en-US" w:eastAsia="zh-CN"/>
        </w:rPr>
        <w:t>/h，年工作天数250天，每天工作8小时，间断工作制。</w:t>
      </w:r>
    </w:p>
    <w:p w14:paraId="28E7C45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2）充填料制备</w:t>
      </w:r>
    </w:p>
    <w:p w14:paraId="590BEAB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充填材料由装载机安装固定配比将骨料、沙子和水泥卸至料斗内，通过皮带机送入至搅拌机内，在搅拌机料浆出口管路上依次安装浓度计、流量计和电动管夹阀，用以检测和控制充填料浆的浓度。</w:t>
      </w:r>
    </w:p>
    <w:p w14:paraId="3844F9D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3）充填搅拌站</w:t>
      </w:r>
    </w:p>
    <w:p w14:paraId="75AFF3B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充填搅拌站位于第一个运输中段巷道向采场内进行充填。搅拌站主要设备为JD1500型搅拌机和HBMG60/17-110S矿用充填泵。</w:t>
      </w:r>
    </w:p>
    <w:p w14:paraId="226840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273040" cy="2769235"/>
            <wp:effectExtent l="0" t="0" r="3810" b="12065"/>
            <wp:docPr id="35"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08"/>
                    <pic:cNvPicPr>
                      <a:picLocks noChangeAspect="1"/>
                    </pic:cNvPicPr>
                  </pic:nvPicPr>
                  <pic:blipFill>
                    <a:blip r:embed="rId55"/>
                    <a:stretch>
                      <a:fillRect/>
                    </a:stretch>
                  </pic:blipFill>
                  <pic:spPr>
                    <a:xfrm>
                      <a:off x="0" y="0"/>
                      <a:ext cx="5273040" cy="2769235"/>
                    </a:xfrm>
                    <a:prstGeom prst="rect">
                      <a:avLst/>
                    </a:prstGeom>
                    <a:noFill/>
                    <a:ln>
                      <a:noFill/>
                    </a:ln>
                  </pic:spPr>
                </pic:pic>
              </a:graphicData>
            </a:graphic>
          </wp:inline>
        </w:drawing>
      </w:r>
    </w:p>
    <w:p w14:paraId="6682185E">
      <w:pPr>
        <w:spacing w:line="360" w:lineRule="auto"/>
        <w:jc w:val="center"/>
        <w:rPr>
          <w:rFonts w:hint="default" w:ascii="Times New Roman" w:hAnsi="Times New Roman" w:cs="Times New Roman"/>
          <w:b/>
          <w:bCs/>
          <w:color w:val="auto"/>
        </w:rPr>
      </w:pPr>
      <w:r>
        <w:rPr>
          <w:rFonts w:hint="default" w:ascii="Times New Roman" w:hAnsi="Times New Roman" w:cs="Times New Roman"/>
          <w:b/>
          <w:bCs/>
          <w:color w:val="auto"/>
        </w:rPr>
        <w:t>图</w:t>
      </w:r>
      <w:r>
        <w:rPr>
          <w:rFonts w:hint="default" w:ascii="Times New Roman" w:hAnsi="Times New Roman" w:cs="Times New Roman"/>
          <w:b/>
          <w:bCs/>
          <w:color w:val="auto"/>
          <w:lang w:val="en-US" w:eastAsia="zh-CN"/>
        </w:rPr>
        <w:t xml:space="preserve">3.3-1    </w:t>
      </w:r>
      <w:r>
        <w:rPr>
          <w:rFonts w:hint="default" w:ascii="Times New Roman" w:hAnsi="Times New Roman" w:cs="Times New Roman"/>
          <w:b/>
          <w:bCs/>
          <w:color w:val="auto"/>
        </w:rPr>
        <w:t xml:space="preserve">  井下充填站工艺流程图</w:t>
      </w:r>
    </w:p>
    <w:p w14:paraId="626E12F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地表加工后的碎石或戈壁碎石以及水泥等材料由井下运输车运至充填站，搅拌机将充填材料充分搅拌后卸入矿用充填泵，管路采用φ180mm聚乙烯增强塑料管。</w:t>
      </w:r>
    </w:p>
    <w:p w14:paraId="3386DB8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（7）充填设备选型</w:t>
      </w:r>
    </w:p>
    <w:p w14:paraId="743B6EF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膏体充填料浆的制备，是通过搅拌设备完成的。搅拌得越充分料浆越均匀。如果搅拌不均匀，不仅会降低充填体的强度，而且还会影响充填料浆的顺利输送，甚至造成堵管事故。为了便于对充填料的输送，设计采用JD1500型搅拌机进行搅拌，充填材料通过矿用充填泵送</w:t>
      </w:r>
      <w:r>
        <w:rPr>
          <w:rFonts w:hint="eastAsia" w:ascii="Times New Roman" w:hAnsi="Times New Roman" w:cs="Times New Roman"/>
          <w:color w:val="auto"/>
          <w:sz w:val="24"/>
          <w:szCs w:val="24"/>
          <w:lang w:val="en-US" w:eastAsia="zh-CN"/>
        </w:rPr>
        <w:t>达</w:t>
      </w:r>
      <w:r>
        <w:rPr>
          <w:rFonts w:hint="default" w:ascii="Times New Roman" w:hAnsi="Times New Roman" w:eastAsia="宋体" w:cs="Times New Roman"/>
          <w:color w:val="auto"/>
          <w:sz w:val="24"/>
          <w:szCs w:val="24"/>
          <w:lang w:val="en-US" w:eastAsia="zh-CN"/>
        </w:rPr>
        <w:t>待充填采场。充填主要设备见表4-51。</w:t>
      </w:r>
    </w:p>
    <w:p w14:paraId="6061B59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充填设备布置在充填硐室，充填硐室尺寸（长×宽×高）：18000mm×2500mm×3200mm。</w:t>
      </w:r>
    </w:p>
    <w:p w14:paraId="6A6C7274">
      <w:pPr>
        <w:ind w:left="0" w:leftChars="0" w:firstLine="0" w:firstLineChars="0"/>
        <w:jc w:val="center"/>
        <w:rPr>
          <w:rFonts w:hint="default" w:ascii="Times New Roman" w:hAnsi="Times New Roman" w:cs="Times New Roman" w:eastAsiaTheme="minorEastAsia"/>
          <w:b/>
          <w:bCs/>
          <w:color w:val="auto"/>
          <w:kern w:val="2"/>
          <w:sz w:val="24"/>
          <w:szCs w:val="24"/>
          <w:lang w:val="en-US" w:eastAsia="zh-CN" w:bidi="ar-SA"/>
        </w:rPr>
      </w:pPr>
      <w:r>
        <w:rPr>
          <w:rFonts w:hint="default" w:ascii="Times New Roman" w:hAnsi="Times New Roman" w:cs="Times New Roman" w:eastAsiaTheme="minorEastAsia"/>
          <w:b/>
          <w:bCs/>
          <w:color w:val="auto"/>
          <w:kern w:val="2"/>
          <w:sz w:val="21"/>
          <w:szCs w:val="21"/>
          <w:lang w:val="en-US" w:eastAsia="zh-CN" w:bidi="ar-SA"/>
        </w:rPr>
        <w:t xml:space="preserve">表3.3-8    充填主要设备表 </w:t>
      </w:r>
    </w:p>
    <w:tbl>
      <w:tblPr>
        <w:tblStyle w:val="21"/>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5" w:type="dxa"/>
          <w:bottom w:w="0" w:type="dxa"/>
          <w:right w:w="15" w:type="dxa"/>
        </w:tblCellMar>
      </w:tblPr>
      <w:tblGrid>
        <w:gridCol w:w="1087"/>
        <w:gridCol w:w="5072"/>
        <w:gridCol w:w="1087"/>
        <w:gridCol w:w="1087"/>
      </w:tblGrid>
      <w:tr w14:paraId="5C44C2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blHeader/>
        </w:trPr>
        <w:tc>
          <w:tcPr>
            <w:tcW w:w="652" w:type="pct"/>
            <w:tcBorders>
              <w:tl2br w:val="nil"/>
              <w:tr2bl w:val="nil"/>
            </w:tcBorders>
            <w:noWrap w:val="0"/>
            <w:vAlign w:val="center"/>
          </w:tcPr>
          <w:p w14:paraId="6C8511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3042" w:type="pct"/>
            <w:tcBorders>
              <w:tl2br w:val="nil"/>
              <w:tr2bl w:val="nil"/>
            </w:tcBorders>
            <w:noWrap w:val="0"/>
            <w:vAlign w:val="center"/>
          </w:tcPr>
          <w:p w14:paraId="7D9F5E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设备名称</w:t>
            </w:r>
          </w:p>
        </w:tc>
        <w:tc>
          <w:tcPr>
            <w:tcW w:w="652" w:type="pct"/>
            <w:tcBorders>
              <w:tl2br w:val="nil"/>
              <w:tr2bl w:val="nil"/>
            </w:tcBorders>
            <w:noWrap w:val="0"/>
            <w:vAlign w:val="center"/>
          </w:tcPr>
          <w:p w14:paraId="6C5831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652" w:type="pct"/>
            <w:tcBorders>
              <w:tl2br w:val="nil"/>
              <w:tr2bl w:val="nil"/>
            </w:tcBorders>
            <w:noWrap w:val="0"/>
            <w:vAlign w:val="center"/>
          </w:tcPr>
          <w:p w14:paraId="1028C8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r>
      <w:tr w14:paraId="2C6BB9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7D0DF8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42" w:type="pct"/>
            <w:tcBorders>
              <w:tl2br w:val="nil"/>
              <w:tr2bl w:val="nil"/>
            </w:tcBorders>
            <w:noWrap w:val="0"/>
            <w:vAlign w:val="top"/>
          </w:tcPr>
          <w:p w14:paraId="49FE0F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HBMG60/17- 110S矿用充填泵</w:t>
            </w:r>
          </w:p>
        </w:tc>
        <w:tc>
          <w:tcPr>
            <w:tcW w:w="652" w:type="pct"/>
            <w:tcBorders>
              <w:tl2br w:val="nil"/>
              <w:tr2bl w:val="nil"/>
            </w:tcBorders>
            <w:noWrap w:val="0"/>
            <w:vAlign w:val="top"/>
          </w:tcPr>
          <w:p w14:paraId="04C3AE1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652" w:type="pct"/>
            <w:tcBorders>
              <w:tl2br w:val="nil"/>
              <w:tr2bl w:val="nil"/>
            </w:tcBorders>
            <w:noWrap w:val="0"/>
            <w:vAlign w:val="top"/>
          </w:tcPr>
          <w:p w14:paraId="64E1BAD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r>
      <w:tr w14:paraId="4DF21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251624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3042" w:type="pct"/>
            <w:tcBorders>
              <w:tl2br w:val="nil"/>
              <w:tr2bl w:val="nil"/>
            </w:tcBorders>
            <w:noWrap w:val="0"/>
            <w:vAlign w:val="top"/>
          </w:tcPr>
          <w:p w14:paraId="62FDC0D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JD1500矿用搅拌机</w:t>
            </w:r>
          </w:p>
        </w:tc>
        <w:tc>
          <w:tcPr>
            <w:tcW w:w="652" w:type="pct"/>
            <w:tcBorders>
              <w:tl2br w:val="nil"/>
              <w:tr2bl w:val="nil"/>
            </w:tcBorders>
            <w:noWrap w:val="0"/>
            <w:vAlign w:val="top"/>
          </w:tcPr>
          <w:p w14:paraId="50C823D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652" w:type="pct"/>
            <w:tcBorders>
              <w:tl2br w:val="nil"/>
              <w:tr2bl w:val="nil"/>
            </w:tcBorders>
            <w:noWrap w:val="0"/>
            <w:vAlign w:val="top"/>
          </w:tcPr>
          <w:p w14:paraId="015AA9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r>
      <w:tr w14:paraId="52B6DD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1B2547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042" w:type="pct"/>
            <w:tcBorders>
              <w:tl2br w:val="nil"/>
              <w:tr2bl w:val="nil"/>
            </w:tcBorders>
            <w:noWrap w:val="0"/>
            <w:vAlign w:val="top"/>
          </w:tcPr>
          <w:p w14:paraId="2756364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PJ800皮带输送机</w:t>
            </w:r>
          </w:p>
        </w:tc>
        <w:tc>
          <w:tcPr>
            <w:tcW w:w="652" w:type="pct"/>
            <w:tcBorders>
              <w:tl2br w:val="nil"/>
              <w:tr2bl w:val="nil"/>
            </w:tcBorders>
            <w:noWrap w:val="0"/>
            <w:vAlign w:val="top"/>
          </w:tcPr>
          <w:p w14:paraId="4BF3F2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条</w:t>
            </w:r>
          </w:p>
        </w:tc>
        <w:tc>
          <w:tcPr>
            <w:tcW w:w="652" w:type="pct"/>
            <w:tcBorders>
              <w:tl2br w:val="nil"/>
              <w:tr2bl w:val="nil"/>
            </w:tcBorders>
            <w:noWrap w:val="0"/>
            <w:vAlign w:val="top"/>
          </w:tcPr>
          <w:p w14:paraId="242464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r>
      <w:tr w14:paraId="30CB5A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6D4CD5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3042" w:type="pct"/>
            <w:tcBorders>
              <w:tl2br w:val="nil"/>
              <w:tr2bl w:val="nil"/>
            </w:tcBorders>
            <w:noWrap w:val="0"/>
            <w:vAlign w:val="top"/>
          </w:tcPr>
          <w:p w14:paraId="1333618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HBMG60/17- 110S矿用充填泵</w:t>
            </w:r>
          </w:p>
        </w:tc>
        <w:tc>
          <w:tcPr>
            <w:tcW w:w="652" w:type="pct"/>
            <w:tcBorders>
              <w:tl2br w:val="nil"/>
              <w:tr2bl w:val="nil"/>
            </w:tcBorders>
            <w:noWrap w:val="0"/>
            <w:vAlign w:val="top"/>
          </w:tcPr>
          <w:p w14:paraId="0E06D4D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652" w:type="pct"/>
            <w:tcBorders>
              <w:tl2br w:val="nil"/>
              <w:tr2bl w:val="nil"/>
            </w:tcBorders>
            <w:noWrap w:val="0"/>
            <w:vAlign w:val="top"/>
          </w:tcPr>
          <w:p w14:paraId="579561F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r>
      <w:tr w14:paraId="4C0A1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16AC9CA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3042" w:type="pct"/>
            <w:tcBorders>
              <w:tl2br w:val="nil"/>
              <w:tr2bl w:val="nil"/>
            </w:tcBorders>
            <w:noWrap w:val="0"/>
            <w:vAlign w:val="center"/>
          </w:tcPr>
          <w:p w14:paraId="768E95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照明及其他</w:t>
            </w:r>
          </w:p>
        </w:tc>
        <w:tc>
          <w:tcPr>
            <w:tcW w:w="652" w:type="pct"/>
            <w:tcBorders>
              <w:tl2br w:val="nil"/>
              <w:tr2bl w:val="nil"/>
            </w:tcBorders>
            <w:noWrap w:val="0"/>
            <w:vAlign w:val="center"/>
          </w:tcPr>
          <w:p w14:paraId="72CF38D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套</w:t>
            </w:r>
          </w:p>
        </w:tc>
        <w:tc>
          <w:tcPr>
            <w:tcW w:w="652" w:type="pct"/>
            <w:tcBorders>
              <w:tl2br w:val="nil"/>
              <w:tr2bl w:val="nil"/>
            </w:tcBorders>
            <w:noWrap w:val="0"/>
            <w:vAlign w:val="center"/>
          </w:tcPr>
          <w:p w14:paraId="03F44E8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r>
      <w:tr w14:paraId="116AD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5" w:type="dxa"/>
            <w:bottom w:w="0" w:type="dxa"/>
            <w:right w:w="15" w:type="dxa"/>
          </w:tblCellMar>
        </w:tblPrEx>
        <w:trPr>
          <w:trHeight w:val="0" w:hRule="atLeast"/>
        </w:trPr>
        <w:tc>
          <w:tcPr>
            <w:tcW w:w="652" w:type="pct"/>
            <w:tcBorders>
              <w:tl2br w:val="nil"/>
              <w:tr2bl w:val="nil"/>
            </w:tcBorders>
            <w:noWrap w:val="0"/>
            <w:vAlign w:val="center"/>
          </w:tcPr>
          <w:p w14:paraId="7B1D627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3042" w:type="pct"/>
            <w:tcBorders>
              <w:tl2br w:val="nil"/>
              <w:tr2bl w:val="nil"/>
            </w:tcBorders>
            <w:noWrap w:val="0"/>
            <w:vAlign w:val="center"/>
          </w:tcPr>
          <w:p w14:paraId="650681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合计</w:t>
            </w:r>
          </w:p>
        </w:tc>
        <w:tc>
          <w:tcPr>
            <w:tcW w:w="652" w:type="pct"/>
            <w:tcBorders>
              <w:tl2br w:val="nil"/>
              <w:tr2bl w:val="nil"/>
            </w:tcBorders>
            <w:noWrap w:val="0"/>
            <w:vAlign w:val="center"/>
          </w:tcPr>
          <w:p w14:paraId="3FC7BB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c>
          <w:tcPr>
            <w:tcW w:w="652" w:type="pct"/>
            <w:tcBorders>
              <w:tl2br w:val="nil"/>
              <w:tr2bl w:val="nil"/>
            </w:tcBorders>
            <w:noWrap w:val="0"/>
            <w:vAlign w:val="center"/>
          </w:tcPr>
          <w:p w14:paraId="249DBC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z w:val="21"/>
                <w:szCs w:val="21"/>
              </w:rPr>
            </w:pPr>
          </w:p>
        </w:tc>
      </w:tr>
    </w:tbl>
    <w:p w14:paraId="394E3E9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8）搅拌站用水</w:t>
      </w:r>
    </w:p>
    <w:p w14:paraId="5F64282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充填料制备站设计生产能力</w:t>
      </w:r>
      <w:r>
        <w:rPr>
          <w:rFonts w:hint="eastAsia"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lang w:val="en-US" w:eastAsia="zh-CN"/>
        </w:rPr>
        <w:t>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/h，充填用水为井下涌水。</w:t>
      </w:r>
    </w:p>
    <w:p w14:paraId="5158C1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每次充填前需放清水疏通管道，放水时间约10分钟，充填结束后需用清水清洗管道，清洗时间约0.5h，前后用水量约200m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，这部分水排至中段排泥坑沉淀，清水经中段水沟排至井下水仓，由排水泵排至地表。</w:t>
      </w:r>
    </w:p>
    <w:p w14:paraId="5080AB0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公辅工程</w:t>
      </w:r>
    </w:p>
    <w:p w14:paraId="7ABC3A89">
      <w:pPr>
        <w:pStyle w:val="5"/>
        <w:bidi w:val="0"/>
        <w:rPr>
          <w:rFonts w:hint="default" w:ascii="Times New Roman" w:hAnsi="Times New Roman" w:eastAsia="宋体" w:cs="Times New Roman"/>
          <w:color w:val="auto"/>
          <w:spacing w:val="0"/>
          <w:w w:val="100"/>
          <w:position w:val="0"/>
          <w:szCs w:val="24"/>
        </w:rPr>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"3.3.4.1" </w:instrText>
      </w:r>
      <w:r>
        <w:rPr>
          <w:rFonts w:hint="default" w:ascii="Times New Roman" w:hAnsi="Times New Roman" w:cs="Times New Roman"/>
          <w:color w:val="auto"/>
        </w:rPr>
        <w:fldChar w:fldCharType="separate"/>
      </w:r>
      <w:r>
        <w:rPr>
          <w:rFonts w:hint="default" w:ascii="Times New Roman" w:hAnsi="Times New Roman" w:cs="Times New Roman"/>
          <w:color w:val="auto"/>
        </w:rPr>
        <w:t>3.3.</w:t>
      </w:r>
      <w:r>
        <w:rPr>
          <w:rFonts w:hint="default" w:ascii="Times New Roman" w:hAnsi="Times New Roman" w:cs="Times New Roman"/>
          <w:color w:val="auto"/>
          <w:lang w:val="en-US" w:eastAsia="zh-CN"/>
        </w:rPr>
        <w:t>2</w:t>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cs="Times New Roman"/>
          <w:color w:val="auto"/>
        </w:rPr>
        <w:t>供电工程</w:t>
      </w:r>
    </w:p>
    <w:p w14:paraId="5FC46C1D">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采用双重电源供电，一路主供电源引自上级变电所10kV侧，由架空输电线路至本矿山变电所。由于矿山受条件限制不具备两回路供电条件，为了保证矿井在供电电源因故障或其他原因停止供电时，仍能担负矿山一级负荷的需要，以保障人员、排水等安全用电，故设置备用电源。另一路由柴油发电机组供电，为备用保安电源，以保证一级负荷的供电电源，满足要求。</w:t>
      </w:r>
    </w:p>
    <w:p w14:paraId="30CC27FF">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fldChar w:fldCharType="begin"/>
      </w:r>
      <w:r>
        <w:rPr>
          <w:rFonts w:hint="default" w:ascii="Times New Roman" w:hAnsi="Times New Roman" w:eastAsia="宋体" w:cs="Times New Roman"/>
          <w:color w:val="auto"/>
          <w:spacing w:val="0"/>
          <w:w w:val="100"/>
          <w:position w:val="0"/>
          <w:sz w:val="24"/>
          <w:szCs w:val="24"/>
        </w:rPr>
        <w:instrText xml:space="preserve"> HYPERLINK "3.3.4.2" </w:instrText>
      </w:r>
      <w:r>
        <w:rPr>
          <w:rFonts w:hint="default" w:ascii="Times New Roman" w:hAnsi="Times New Roman" w:eastAsia="宋体" w:cs="Times New Roman"/>
          <w:color w:val="auto"/>
          <w:spacing w:val="0"/>
          <w:w w:val="100"/>
          <w:position w:val="0"/>
          <w:sz w:val="24"/>
          <w:szCs w:val="24"/>
        </w:rPr>
        <w:fldChar w:fldCharType="separate"/>
      </w:r>
      <w:r>
        <w:rPr>
          <w:rFonts w:hint="default" w:ascii="Times New Roman" w:hAnsi="Times New Roman" w:eastAsia="宋体" w:cs="Times New Roman"/>
          <w:b/>
          <w:bCs/>
          <w:color w:val="auto"/>
          <w:spacing w:val="0"/>
          <w:w w:val="100"/>
          <w:position w:val="0"/>
          <w:sz w:val="24"/>
          <w:szCs w:val="24"/>
        </w:rPr>
        <w:t>3.3.</w:t>
      </w:r>
      <w:r>
        <w:rPr>
          <w:rFonts w:hint="default" w:ascii="Times New Roman" w:hAnsi="Times New Roman" w:eastAsia="宋体" w:cs="Times New Roman"/>
          <w:b/>
          <w:bCs/>
          <w:color w:val="auto"/>
          <w:spacing w:val="0"/>
          <w:w w:val="100"/>
          <w:position w:val="0"/>
          <w:sz w:val="24"/>
          <w:szCs w:val="24"/>
          <w:lang w:val="en-US" w:eastAsia="zh-CN"/>
        </w:rPr>
        <w:t>2</w:t>
      </w:r>
      <w:r>
        <w:rPr>
          <w:rFonts w:hint="default" w:ascii="Times New Roman" w:hAnsi="Times New Roman" w:eastAsia="宋体" w:cs="Times New Roman"/>
          <w:b/>
          <w:bCs/>
          <w:color w:val="auto"/>
          <w:spacing w:val="0"/>
          <w:w w:val="100"/>
          <w:position w:val="0"/>
          <w:sz w:val="24"/>
          <w:szCs w:val="24"/>
        </w:rPr>
        <w:t>.2</w:t>
      </w:r>
      <w:r>
        <w:rPr>
          <w:rFonts w:hint="default" w:ascii="Times New Roman" w:hAnsi="Times New Roman" w:eastAsia="宋体" w:cs="Times New Roman"/>
          <w:b/>
          <w:bCs/>
          <w:color w:val="auto"/>
          <w:spacing w:val="0"/>
          <w:w w:val="100"/>
          <w:position w:val="0"/>
          <w:sz w:val="24"/>
          <w:szCs w:val="24"/>
        </w:rPr>
        <w:fldChar w:fldCharType="end"/>
      </w:r>
      <w:r>
        <w:rPr>
          <w:rFonts w:hint="default" w:ascii="Times New Roman" w:hAnsi="Times New Roman" w:eastAsia="宋体" w:cs="Times New Roman"/>
          <w:b/>
          <w:bCs/>
          <w:color w:val="auto"/>
          <w:spacing w:val="0"/>
          <w:w w:val="100"/>
          <w:position w:val="0"/>
          <w:sz w:val="24"/>
          <w:szCs w:val="24"/>
        </w:rPr>
        <w:t>供水工程</w:t>
      </w:r>
    </w:p>
    <w:p w14:paraId="6B1FAAAB">
      <w:pPr>
        <w:pStyle w:val="6"/>
        <w:ind w:firstLine="56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）生活、生产供水系统</w:t>
      </w:r>
    </w:p>
    <w:p w14:paraId="5A798ECF">
      <w:pPr>
        <w:keepNext w:val="0"/>
        <w:keepLines w:val="0"/>
        <w:pageBreakBefore w:val="0"/>
        <w:widowControl w:val="0"/>
        <w:kinsoku/>
        <w:wordWrap/>
        <w:overflowPunct/>
        <w:topLinePunct w:val="0"/>
        <w:autoSpaceDE/>
        <w:autoSpaceDN/>
        <w:bidi w:val="0"/>
        <w:spacing w:line="480" w:lineRule="exact"/>
        <w:ind w:firstLine="561"/>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z w:val="24"/>
          <w:szCs w:val="24"/>
          <w:lang w:val="en-US" w:eastAsia="zh-CN"/>
        </w:rPr>
        <w:t>矿区地下水正常涌水量为513</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/d，最大涌水量为706</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eastAsia="宋体" w:cs="Times New Roman"/>
          <w:color w:val="auto"/>
          <w:spacing w:val="0"/>
          <w:w w:val="100"/>
          <w:position w:val="0"/>
          <w:sz w:val="24"/>
          <w:szCs w:val="24"/>
          <w:lang w:val="en-US" w:eastAsia="zh-CN"/>
        </w:rPr>
        <w:t>矿山井下</w:t>
      </w:r>
      <w:r>
        <w:rPr>
          <w:rFonts w:hint="default" w:ascii="Times New Roman" w:hAnsi="Times New Roman" w:eastAsia="宋体" w:cs="Times New Roman"/>
          <w:color w:val="auto"/>
          <w:sz w:val="24"/>
          <w:szCs w:val="24"/>
        </w:rPr>
        <w:t>各中段涌水均汇集到最低水平1800m中段水仓内，通过水泵沿入风管缆井排至地</w:t>
      </w:r>
      <w:r>
        <w:rPr>
          <w:rFonts w:hint="default" w:ascii="Times New Roman" w:hAnsi="Times New Roman" w:eastAsia="宋体" w:cs="Times New Roman"/>
          <w:color w:val="auto"/>
          <w:spacing w:val="0"/>
          <w:w w:val="100"/>
          <w:position w:val="0"/>
          <w:sz w:val="24"/>
          <w:szCs w:val="24"/>
          <w:lang w:val="en-US" w:eastAsia="zh-CN"/>
        </w:rPr>
        <w:t>表400m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val="en-US" w:eastAsia="zh-CN"/>
        </w:rPr>
        <w:t>高位水池内</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eastAsia="zh-CN"/>
        </w:rPr>
        <w:t>作为</w:t>
      </w:r>
      <w:r>
        <w:rPr>
          <w:rFonts w:hint="default" w:ascii="Times New Roman" w:hAnsi="Times New Roman" w:eastAsia="宋体" w:cs="Times New Roman"/>
          <w:color w:val="auto"/>
          <w:spacing w:val="0"/>
          <w:w w:val="100"/>
          <w:position w:val="0"/>
          <w:sz w:val="24"/>
          <w:szCs w:val="24"/>
          <w:lang w:val="en-US" w:eastAsia="zh-CN"/>
        </w:rPr>
        <w:t>矿山生产及消防用水水源地。高位水池设置在入风管缆井井口附近工业场地内。高位水池供水干管采用无缝钢管，环状敷设。</w:t>
      </w:r>
    </w:p>
    <w:p w14:paraId="1D8AE40A">
      <w:pPr>
        <w:keepNext w:val="0"/>
        <w:keepLines w:val="0"/>
        <w:pageBreakBefore w:val="0"/>
        <w:widowControl w:val="0"/>
        <w:kinsoku/>
        <w:wordWrap/>
        <w:overflowPunct/>
        <w:topLinePunct w:val="0"/>
        <w:autoSpaceDE/>
        <w:autoSpaceDN/>
        <w:bidi w:val="0"/>
        <w:spacing w:line="480" w:lineRule="exact"/>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本次设计采用巷道型水仓，由两个独立巷道组成，分为主水仓和副水仓。水仓为两段：前段为沉淀段，后段清水段。</w:t>
      </w:r>
      <w:r>
        <w:rPr>
          <w:rFonts w:hint="default" w:ascii="Times New Roman" w:hAnsi="Times New Roman" w:eastAsia="宋体" w:cs="Times New Roman"/>
          <w:caps w:val="0"/>
          <w:smallCaps w:val="0"/>
          <w:color w:val="auto"/>
          <w:sz w:val="24"/>
          <w:szCs w:val="24"/>
          <w:highlight w:val="none"/>
        </w:rPr>
        <w:t>水仓容积</w:t>
      </w:r>
      <w:r>
        <w:rPr>
          <w:rFonts w:hint="default" w:ascii="Times New Roman" w:hAnsi="Times New Roman" w:eastAsia="宋体" w:cs="Times New Roman"/>
          <w:caps w:val="0"/>
          <w:smallCaps w:val="0"/>
          <w:color w:val="auto"/>
          <w:sz w:val="24"/>
          <w:szCs w:val="24"/>
          <w:highlight w:val="none"/>
          <w:lang w:val="en-US" w:eastAsia="zh-CN"/>
        </w:rPr>
        <w:t>250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aps w:val="0"/>
          <w:smallCaps w:val="0"/>
          <w:color w:val="auto"/>
          <w:sz w:val="24"/>
          <w:szCs w:val="24"/>
          <w:highlight w:val="none"/>
        </w:rPr>
        <w:t>，其中主水仓容积</w:t>
      </w:r>
      <w:r>
        <w:rPr>
          <w:rFonts w:hint="default" w:ascii="Times New Roman" w:hAnsi="Times New Roman" w:eastAsia="宋体" w:cs="Times New Roman"/>
          <w:caps w:val="0"/>
          <w:smallCaps w:val="0"/>
          <w:color w:val="auto"/>
          <w:sz w:val="24"/>
          <w:szCs w:val="24"/>
          <w:highlight w:val="none"/>
          <w:lang w:val="en-US" w:eastAsia="zh-CN"/>
        </w:rPr>
        <w:t>150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eastAsia="宋体" w:cs="Times New Roman"/>
          <w:caps w:val="0"/>
          <w:smallCaps w:val="0"/>
          <w:color w:val="auto"/>
          <w:sz w:val="24"/>
          <w:szCs w:val="24"/>
          <w:highlight w:val="none"/>
          <w:vertAlign w:val="superscript"/>
        </w:rPr>
        <w:t>3</w:t>
      </w:r>
      <w:r>
        <w:rPr>
          <w:rFonts w:hint="default" w:ascii="Times New Roman" w:hAnsi="Times New Roman" w:eastAsia="宋体" w:cs="Times New Roman"/>
          <w:caps w:val="0"/>
          <w:smallCaps w:val="0"/>
          <w:color w:val="auto"/>
          <w:sz w:val="24"/>
          <w:szCs w:val="24"/>
          <w:highlight w:val="none"/>
        </w:rPr>
        <w:t>，副水仓容积</w:t>
      </w:r>
      <w:r>
        <w:rPr>
          <w:rFonts w:hint="default" w:ascii="Times New Roman" w:hAnsi="Times New Roman" w:eastAsia="宋体" w:cs="Times New Roman"/>
          <w:caps w:val="0"/>
          <w:smallCaps w:val="0"/>
          <w:color w:val="auto"/>
          <w:sz w:val="24"/>
          <w:szCs w:val="24"/>
          <w:highlight w:val="none"/>
          <w:lang w:val="en-US" w:eastAsia="zh-CN"/>
        </w:rPr>
        <w:t>100</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smallCaps w:val="0"/>
          <w:color w:val="auto"/>
          <w:sz w:val="24"/>
          <w:szCs w:val="24"/>
          <w:highlight w:val="none"/>
          <w:lang w:val="en-US" w:eastAsia="zh-CN"/>
        </w:rPr>
        <w:t>。</w:t>
      </w:r>
    </w:p>
    <w:p w14:paraId="5C5DFCB3">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生活用水采用拉运方式，设置</w:t>
      </w:r>
      <w:r>
        <w:rPr>
          <w:rFonts w:hint="default" w:ascii="Times New Roman" w:hAnsi="Times New Roman" w:eastAsia="宋体" w:cs="Times New Roman"/>
          <w:color w:val="auto"/>
          <w:spacing w:val="0"/>
          <w:w w:val="100"/>
          <w:position w:val="0"/>
          <w:sz w:val="24"/>
          <w:szCs w:val="24"/>
          <w:lang w:val="en-US" w:eastAsia="zh-CN"/>
        </w:rPr>
        <w:t>20m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val="en-US" w:eastAsia="zh-CN"/>
        </w:rPr>
        <w:t>生活辅助水池用于储备生活饮用水。</w:t>
      </w:r>
    </w:p>
    <w:p w14:paraId="1D43C054">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b w:val="0"/>
          <w:bCs w:val="0"/>
          <w:color w:val="auto"/>
          <w:spacing w:val="0"/>
          <w:w w:val="100"/>
          <w:position w:val="0"/>
          <w:sz w:val="24"/>
          <w:szCs w:val="24"/>
          <w:lang w:val="en-US" w:eastAsia="zh-CN"/>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2</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用水量</w:t>
      </w:r>
    </w:p>
    <w:p w14:paraId="42C2C5F4">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zh-CN" w:eastAsia="zh-CN"/>
        </w:rPr>
      </w:pPr>
      <w:r>
        <w:rPr>
          <w:rFonts w:hint="default" w:ascii="Times New Roman" w:hAnsi="Times New Roman" w:eastAsia="宋体" w:cs="Times New Roman"/>
          <w:color w:val="auto"/>
          <w:spacing w:val="0"/>
          <w:w w:val="100"/>
          <w:position w:val="0"/>
          <w:sz w:val="24"/>
          <w:szCs w:val="24"/>
          <w:lang w:val="en-US" w:eastAsia="zh-CN"/>
        </w:rPr>
        <w:t>1）生产</w:t>
      </w:r>
      <w:r>
        <w:rPr>
          <w:rFonts w:hint="default" w:ascii="Times New Roman" w:hAnsi="Times New Roman" w:cs="Times New Roman"/>
          <w:color w:val="auto"/>
          <w:spacing w:val="0"/>
          <w:w w:val="100"/>
          <w:position w:val="0"/>
          <w:sz w:val="24"/>
          <w:szCs w:val="24"/>
          <w:lang w:val="en-US" w:eastAsia="zh-CN"/>
        </w:rPr>
        <w:t>用水</w:t>
      </w:r>
    </w:p>
    <w:p w14:paraId="24333C48">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坑内主要用水设备为各中段凿岩机用水及喷洒、洗帮用水，用水水压为0.4～0.6Mpa。选DN80无缝钢管供水，供水管径80mm。生产用水量360m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val="en-US" w:eastAsia="zh-CN"/>
        </w:rPr>
        <w:t>/d。</w:t>
      </w:r>
    </w:p>
    <w:p w14:paraId="1431E3CF">
      <w:pPr>
        <w:pageBreakBefore w:val="0"/>
        <w:widowControl w:val="0"/>
        <w:numPr>
          <w:ilvl w:val="0"/>
          <w:numId w:val="4"/>
        </w:numPr>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道路洒水降尘</w:t>
      </w:r>
    </w:p>
    <w:p w14:paraId="5C219464">
      <w:pPr>
        <w:pStyle w:val="6"/>
        <w:spacing w:line="480" w:lineRule="exact"/>
        <w:ind w:firstLine="48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矿区道路降尘洒水定额按1.5L/m</w:t>
      </w:r>
      <w:r>
        <w:rPr>
          <w:rFonts w:hint="default" w:ascii="Times New Roman" w:hAnsi="Times New Roman" w:eastAsia="宋体" w:cs="Times New Roman"/>
          <w:color w:val="auto"/>
          <w:sz w:val="24"/>
          <w:highlight w:val="none"/>
          <w:vertAlign w:val="superscript"/>
          <w:lang w:bidi="ar"/>
        </w:rPr>
        <w:t>2</w:t>
      </w:r>
      <w:r>
        <w:rPr>
          <w:rFonts w:hint="default" w:ascii="Times New Roman" w:hAnsi="Times New Roman" w:eastAsia="宋体" w:cs="Times New Roman"/>
          <w:color w:val="auto"/>
          <w:sz w:val="24"/>
          <w:highlight w:val="none"/>
          <w:lang w:bidi="ar"/>
        </w:rPr>
        <w:t>·次计，每天两次，道路面积约</w:t>
      </w:r>
      <w:r>
        <w:rPr>
          <w:rFonts w:hint="default" w:ascii="Times New Roman" w:hAnsi="Times New Roman" w:eastAsia="宋体" w:cs="Times New Roman"/>
          <w:color w:val="auto"/>
          <w:sz w:val="24"/>
          <w:highlight w:val="none"/>
          <w:lang w:val="en-US" w:eastAsia="zh-CN" w:bidi="ar"/>
        </w:rPr>
        <w:t>11.98</w:t>
      </w:r>
      <w:r>
        <w:rPr>
          <w:rFonts w:hint="default" w:ascii="Times New Roman" w:hAnsi="Times New Roman" w:eastAsia="宋体" w:cs="Times New Roman"/>
          <w:color w:val="auto"/>
          <w:sz w:val="24"/>
          <w:highlight w:val="none"/>
          <w:lang w:bidi="ar"/>
        </w:rPr>
        <w:t>hm</w:t>
      </w:r>
      <w:r>
        <w:rPr>
          <w:rFonts w:hint="default" w:ascii="Times New Roman" w:hAnsi="Times New Roman" w:eastAsia="宋体" w:cs="Times New Roman"/>
          <w:color w:val="auto"/>
          <w:sz w:val="24"/>
          <w:highlight w:val="none"/>
          <w:vertAlign w:val="superscript"/>
          <w:lang w:bidi="ar"/>
        </w:rPr>
        <w:t>2</w:t>
      </w:r>
      <w:r>
        <w:rPr>
          <w:rFonts w:hint="default" w:ascii="Times New Roman" w:hAnsi="Times New Roman" w:eastAsia="宋体" w:cs="Times New Roman"/>
          <w:color w:val="auto"/>
          <w:sz w:val="24"/>
          <w:highlight w:val="none"/>
          <w:lang w:bidi="ar"/>
        </w:rPr>
        <w:t>，则道路抑尘用水量为</w:t>
      </w:r>
      <w:r>
        <w:rPr>
          <w:rFonts w:hint="default" w:ascii="Times New Roman" w:hAnsi="Times New Roman" w:eastAsia="宋体" w:cs="Times New Roman"/>
          <w:color w:val="auto"/>
          <w:sz w:val="24"/>
          <w:highlight w:val="none"/>
          <w:lang w:val="en-US" w:eastAsia="zh-CN" w:bidi="ar"/>
        </w:rPr>
        <w:t>359.4</w:t>
      </w:r>
      <w:r>
        <w:rPr>
          <w:rFonts w:hint="default" w:ascii="Times New Roman" w:hAnsi="Times New Roman" w:eastAsia="宋体" w:cs="Times New Roman"/>
          <w:color w:val="auto"/>
          <w:sz w:val="24"/>
          <w:highlight w:val="none"/>
          <w:lang w:bidi="ar"/>
        </w:rPr>
        <w:t>m</w:t>
      </w:r>
      <w:r>
        <w:rPr>
          <w:rFonts w:hint="default" w:ascii="Times New Roman" w:hAnsi="Times New Roman" w:eastAsia="宋体" w:cs="Times New Roman"/>
          <w:color w:val="auto"/>
          <w:sz w:val="24"/>
          <w:highlight w:val="none"/>
          <w:vertAlign w:val="superscript"/>
          <w:lang w:bidi="ar"/>
        </w:rPr>
        <w:t>3</w:t>
      </w:r>
      <w:r>
        <w:rPr>
          <w:rFonts w:hint="default" w:ascii="Times New Roman" w:hAnsi="Times New Roman" w:eastAsia="宋体" w:cs="Times New Roman"/>
          <w:color w:val="auto"/>
          <w:sz w:val="24"/>
          <w:highlight w:val="none"/>
          <w:lang w:bidi="ar"/>
        </w:rPr>
        <w:t>/d。</w:t>
      </w:r>
    </w:p>
    <w:p w14:paraId="07FD2880">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lang w:val="en-US" w:eastAsia="zh-CN"/>
        </w:rPr>
        <w:t>）生活</w:t>
      </w:r>
      <w:r>
        <w:rPr>
          <w:rFonts w:hint="default" w:ascii="Times New Roman" w:hAnsi="Times New Roman" w:cs="Times New Roman"/>
          <w:color w:val="auto"/>
          <w:spacing w:val="0"/>
          <w:w w:val="100"/>
          <w:position w:val="0"/>
          <w:sz w:val="24"/>
          <w:szCs w:val="24"/>
          <w:lang w:val="en-US" w:eastAsia="zh-CN"/>
        </w:rPr>
        <w:t>用水</w:t>
      </w:r>
    </w:p>
    <w:p w14:paraId="5E27B97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cs="Times New Roman"/>
          <w:color w:val="auto"/>
          <w:sz w:val="24"/>
          <w:szCs w:val="24"/>
          <w:highlight w:val="none"/>
          <w:lang w:eastAsia="zh-CN" w:bidi="ar"/>
        </w:rPr>
      </w:pPr>
      <w:r>
        <w:rPr>
          <w:rFonts w:hint="default" w:ascii="Times New Roman" w:hAnsi="Times New Roman" w:cs="Times New Roman"/>
          <w:color w:val="auto"/>
          <w:sz w:val="24"/>
          <w:szCs w:val="24"/>
          <w:highlight w:val="none"/>
          <w:lang w:eastAsia="zh-CN" w:bidi="ar"/>
        </w:rPr>
        <w:t>办公生活用水按80L/人</w:t>
      </w:r>
      <w:r>
        <w:rPr>
          <w:rFonts w:hint="default" w:ascii="Times New Roman" w:hAnsi="Times New Roman" w:cs="Times New Roman"/>
          <w:color w:val="auto"/>
          <w:sz w:val="24"/>
          <w:szCs w:val="24"/>
          <w:highlight w:val="none"/>
          <w:lang w:val="en-US" w:eastAsia="zh-CN" w:bidi="ar"/>
        </w:rPr>
        <w:t>·d</w:t>
      </w:r>
      <w:r>
        <w:rPr>
          <w:rFonts w:hint="default" w:ascii="Times New Roman" w:hAnsi="Times New Roman" w:cs="Times New Roman"/>
          <w:color w:val="auto"/>
          <w:sz w:val="24"/>
          <w:szCs w:val="24"/>
          <w:highlight w:val="none"/>
          <w:lang w:eastAsia="zh-CN" w:bidi="ar"/>
        </w:rPr>
        <w:t>计，职工人员按</w:t>
      </w:r>
      <w:r>
        <w:rPr>
          <w:rFonts w:hint="default" w:ascii="Times New Roman" w:hAnsi="Times New Roman" w:cs="Times New Roman"/>
          <w:color w:val="auto"/>
          <w:sz w:val="24"/>
          <w:szCs w:val="24"/>
          <w:highlight w:val="none"/>
          <w:lang w:val="en-US" w:eastAsia="zh-CN" w:bidi="ar"/>
        </w:rPr>
        <w:t>196</w:t>
      </w:r>
      <w:r>
        <w:rPr>
          <w:rFonts w:hint="default" w:ascii="Times New Roman" w:hAnsi="Times New Roman" w:cs="Times New Roman"/>
          <w:color w:val="auto"/>
          <w:sz w:val="24"/>
          <w:szCs w:val="24"/>
          <w:highlight w:val="none"/>
          <w:lang w:eastAsia="zh-CN" w:bidi="ar"/>
        </w:rPr>
        <w:t>人计，一年按</w:t>
      </w:r>
      <w:r>
        <w:rPr>
          <w:rFonts w:hint="default" w:ascii="Times New Roman" w:hAnsi="Times New Roman" w:cs="Times New Roman"/>
          <w:color w:val="auto"/>
          <w:sz w:val="24"/>
          <w:szCs w:val="24"/>
          <w:highlight w:val="none"/>
          <w:lang w:val="en-US" w:eastAsia="zh-CN" w:bidi="ar"/>
        </w:rPr>
        <w:t>250</w:t>
      </w:r>
      <w:r>
        <w:rPr>
          <w:rFonts w:hint="eastAsia" w:ascii="Times New Roman" w:hAnsi="Times New Roman" w:cs="Times New Roman"/>
          <w:color w:val="auto"/>
          <w:sz w:val="24"/>
          <w:szCs w:val="24"/>
          <w:highlight w:val="none"/>
          <w:lang w:val="en-US" w:eastAsia="zh-CN" w:bidi="ar"/>
        </w:rPr>
        <w:t>个</w:t>
      </w:r>
      <w:r>
        <w:rPr>
          <w:rFonts w:hint="default" w:ascii="Times New Roman" w:hAnsi="Times New Roman" w:cs="Times New Roman"/>
          <w:color w:val="auto"/>
          <w:sz w:val="24"/>
          <w:szCs w:val="24"/>
          <w:highlight w:val="none"/>
          <w:lang w:eastAsia="zh-CN" w:bidi="ar"/>
        </w:rPr>
        <w:t>工作日计算，则办公及生活用水量为</w:t>
      </w:r>
      <w:r>
        <w:rPr>
          <w:rFonts w:hint="default" w:ascii="Times New Roman" w:hAnsi="Times New Roman" w:cs="Times New Roman"/>
          <w:color w:val="auto"/>
          <w:sz w:val="24"/>
          <w:szCs w:val="24"/>
          <w:highlight w:val="none"/>
          <w:lang w:val="en-US" w:eastAsia="zh-CN" w:bidi="ar"/>
        </w:rPr>
        <w:t>3920</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/a（</w:t>
      </w:r>
      <w:r>
        <w:rPr>
          <w:rFonts w:hint="default" w:ascii="Times New Roman" w:hAnsi="Times New Roman" w:cs="Times New Roman"/>
          <w:color w:val="auto"/>
          <w:sz w:val="24"/>
          <w:szCs w:val="24"/>
          <w:highlight w:val="none"/>
          <w:lang w:val="en-US" w:eastAsia="zh-CN" w:bidi="ar"/>
        </w:rPr>
        <w:t>15.68</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/d）。</w:t>
      </w:r>
    </w:p>
    <w:p w14:paraId="119A3573">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fldChar w:fldCharType="begin"/>
      </w:r>
      <w:r>
        <w:rPr>
          <w:rFonts w:hint="default" w:ascii="Times New Roman" w:hAnsi="Times New Roman" w:eastAsia="宋体" w:cs="Times New Roman"/>
          <w:color w:val="auto"/>
          <w:spacing w:val="0"/>
          <w:w w:val="100"/>
          <w:position w:val="0"/>
          <w:sz w:val="24"/>
          <w:szCs w:val="24"/>
        </w:rPr>
        <w:instrText xml:space="preserve"> HYPERLINK "3.3.4.2" </w:instrText>
      </w:r>
      <w:r>
        <w:rPr>
          <w:rFonts w:hint="default" w:ascii="Times New Roman" w:hAnsi="Times New Roman" w:eastAsia="宋体" w:cs="Times New Roman"/>
          <w:color w:val="auto"/>
          <w:spacing w:val="0"/>
          <w:w w:val="100"/>
          <w:position w:val="0"/>
          <w:sz w:val="24"/>
          <w:szCs w:val="24"/>
        </w:rPr>
        <w:fldChar w:fldCharType="separate"/>
      </w:r>
      <w:r>
        <w:rPr>
          <w:rFonts w:hint="default" w:ascii="Times New Roman" w:hAnsi="Times New Roman" w:eastAsia="宋体" w:cs="Times New Roman"/>
          <w:b/>
          <w:bCs/>
          <w:color w:val="auto"/>
          <w:spacing w:val="0"/>
          <w:w w:val="100"/>
          <w:position w:val="0"/>
          <w:sz w:val="24"/>
          <w:szCs w:val="24"/>
        </w:rPr>
        <w:t>3.3.</w:t>
      </w:r>
      <w:r>
        <w:rPr>
          <w:rFonts w:hint="default" w:ascii="Times New Roman" w:hAnsi="Times New Roman" w:eastAsia="宋体" w:cs="Times New Roman"/>
          <w:b/>
          <w:bCs/>
          <w:color w:val="auto"/>
          <w:spacing w:val="0"/>
          <w:w w:val="100"/>
          <w:position w:val="0"/>
          <w:sz w:val="24"/>
          <w:szCs w:val="24"/>
          <w:lang w:val="en-US" w:eastAsia="zh-CN"/>
        </w:rPr>
        <w:t>2</w:t>
      </w:r>
      <w:r>
        <w:rPr>
          <w:rFonts w:hint="default" w:ascii="Times New Roman" w:hAnsi="Times New Roman" w:eastAsia="宋体" w:cs="Times New Roman"/>
          <w:b/>
          <w:bCs/>
          <w:color w:val="auto"/>
          <w:spacing w:val="0"/>
          <w:w w:val="100"/>
          <w:position w:val="0"/>
          <w:sz w:val="24"/>
          <w:szCs w:val="24"/>
        </w:rPr>
        <w:t>.</w:t>
      </w:r>
      <w:r>
        <w:rPr>
          <w:rFonts w:hint="default" w:ascii="Times New Roman" w:hAnsi="Times New Roman" w:cs="Times New Roman"/>
          <w:b/>
          <w:bCs/>
          <w:color w:val="auto"/>
          <w:spacing w:val="0"/>
          <w:w w:val="100"/>
          <w:position w:val="0"/>
          <w:sz w:val="24"/>
          <w:szCs w:val="24"/>
          <w:lang w:val="en-US" w:eastAsia="zh-CN"/>
        </w:rPr>
        <w:t>3</w:t>
      </w:r>
      <w:r>
        <w:rPr>
          <w:rFonts w:hint="default" w:ascii="Times New Roman" w:hAnsi="Times New Roman" w:eastAsia="宋体" w:cs="Times New Roman"/>
          <w:b/>
          <w:bCs/>
          <w:color w:val="auto"/>
          <w:spacing w:val="0"/>
          <w:w w:val="100"/>
          <w:position w:val="0"/>
          <w:sz w:val="24"/>
          <w:szCs w:val="24"/>
        </w:rPr>
        <w:fldChar w:fldCharType="end"/>
      </w:r>
      <w:r>
        <w:rPr>
          <w:rFonts w:hint="default" w:ascii="Times New Roman" w:hAnsi="Times New Roman" w:eastAsia="宋体" w:cs="Times New Roman"/>
          <w:b/>
          <w:bCs/>
          <w:color w:val="auto"/>
          <w:spacing w:val="0"/>
          <w:w w:val="100"/>
          <w:position w:val="0"/>
          <w:sz w:val="24"/>
          <w:szCs w:val="24"/>
          <w:lang w:val="en-US" w:eastAsia="zh-CN"/>
        </w:rPr>
        <w:t>排水</w:t>
      </w:r>
      <w:r>
        <w:rPr>
          <w:rFonts w:hint="default" w:ascii="Times New Roman" w:hAnsi="Times New Roman" w:eastAsia="宋体" w:cs="Times New Roman"/>
          <w:b/>
          <w:bCs/>
          <w:color w:val="auto"/>
          <w:spacing w:val="0"/>
          <w:w w:val="100"/>
          <w:position w:val="0"/>
          <w:sz w:val="24"/>
          <w:szCs w:val="24"/>
        </w:rPr>
        <w:t>工程</w:t>
      </w:r>
    </w:p>
    <w:p w14:paraId="6B81E4CC">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生产废水全部回用于采矿生产，不外排。</w:t>
      </w:r>
    </w:p>
    <w:p w14:paraId="179B100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z w:val="24"/>
          <w:szCs w:val="24"/>
          <w:highlight w:val="none"/>
          <w:lang w:eastAsia="zh-CN" w:bidi="ar"/>
        </w:rPr>
        <w:t>生活污水产生量为用水量的80%，生活污水产生量为</w:t>
      </w:r>
      <w:r>
        <w:rPr>
          <w:rFonts w:hint="default" w:ascii="Times New Roman" w:hAnsi="Times New Roman" w:cs="Times New Roman"/>
          <w:color w:val="auto"/>
          <w:sz w:val="24"/>
          <w:szCs w:val="24"/>
          <w:highlight w:val="none"/>
          <w:lang w:val="en-US" w:eastAsia="zh-CN" w:bidi="ar"/>
        </w:rPr>
        <w:t>3136</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a</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12.544</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d</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生活污水采用地埋式一体化污水处理设施处理</w:t>
      </w:r>
      <w:r>
        <w:rPr>
          <w:rFonts w:hint="default" w:ascii="Times New Roman" w:hAnsi="Times New Roman" w:eastAsia="宋体" w:cs="Times New Roman"/>
          <w:color w:val="auto"/>
          <w:spacing w:val="0"/>
          <w:w w:val="100"/>
          <w:position w:val="0"/>
          <w:sz w:val="24"/>
          <w:szCs w:val="24"/>
        </w:rPr>
        <w:t>，经处理满足《农村生活污水处理排放标准》（DB65 4275-2019）表2规定的A级排放限值以及《城市污水再生利用 城市杂用水水质》（GB/T18920-2020）中的城市绿化、道路清扫、消防、建筑施工限值后，用</w:t>
      </w:r>
      <w:r>
        <w:rPr>
          <w:rFonts w:hint="default" w:ascii="Times New Roman" w:hAnsi="Times New Roman" w:cs="Times New Roman"/>
          <w:color w:val="auto"/>
          <w:spacing w:val="0"/>
          <w:w w:val="100"/>
          <w:position w:val="0"/>
          <w:sz w:val="24"/>
          <w:szCs w:val="24"/>
          <w:lang w:val="en-US" w:eastAsia="zh-CN"/>
        </w:rPr>
        <w:t>于绿化及抑尘用水，不外排</w:t>
      </w:r>
      <w:r>
        <w:rPr>
          <w:rFonts w:hint="default" w:ascii="Times New Roman" w:hAnsi="Times New Roman" w:eastAsia="宋体" w:cs="Times New Roman"/>
          <w:color w:val="auto"/>
          <w:spacing w:val="0"/>
          <w:w w:val="100"/>
          <w:position w:val="0"/>
          <w:sz w:val="24"/>
          <w:szCs w:val="24"/>
        </w:rPr>
        <w:t>。</w:t>
      </w:r>
    </w:p>
    <w:p w14:paraId="17DC88C0">
      <w:pPr>
        <w:pStyle w:val="5"/>
        <w:bidi w:val="0"/>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fldChar w:fldCharType="begin"/>
      </w:r>
      <w:r>
        <w:rPr>
          <w:rFonts w:hint="default" w:ascii="Times New Roman" w:hAnsi="Times New Roman" w:eastAsia="宋体" w:cs="Times New Roman"/>
          <w:color w:val="auto"/>
          <w:spacing w:val="0"/>
          <w:w w:val="100"/>
          <w:position w:val="0"/>
          <w:sz w:val="24"/>
          <w:szCs w:val="24"/>
        </w:rPr>
        <w:instrText xml:space="preserve"> HYPERLINK "3.3.4.3" </w:instrText>
      </w:r>
      <w:r>
        <w:rPr>
          <w:rFonts w:hint="default" w:ascii="Times New Roman" w:hAnsi="Times New Roman" w:eastAsia="宋体" w:cs="Times New Roman"/>
          <w:color w:val="auto"/>
          <w:spacing w:val="0"/>
          <w:w w:val="100"/>
          <w:position w:val="0"/>
          <w:sz w:val="24"/>
          <w:szCs w:val="24"/>
        </w:rPr>
        <w:fldChar w:fldCharType="separate"/>
      </w:r>
      <w:r>
        <w:rPr>
          <w:rFonts w:hint="default" w:ascii="Times New Roman" w:hAnsi="Times New Roman" w:eastAsia="宋体" w:cs="Times New Roman"/>
          <w:b/>
          <w:bCs/>
          <w:color w:val="auto"/>
          <w:spacing w:val="0"/>
          <w:w w:val="100"/>
          <w:position w:val="0"/>
          <w:sz w:val="24"/>
          <w:szCs w:val="24"/>
        </w:rPr>
        <w:t>3.3.</w:t>
      </w:r>
      <w:r>
        <w:rPr>
          <w:rFonts w:hint="default" w:ascii="Times New Roman" w:hAnsi="Times New Roman" w:eastAsia="宋体" w:cs="Times New Roman"/>
          <w:b/>
          <w:bCs/>
          <w:color w:val="auto"/>
          <w:spacing w:val="0"/>
          <w:w w:val="100"/>
          <w:position w:val="0"/>
          <w:sz w:val="24"/>
          <w:szCs w:val="24"/>
          <w:lang w:val="en-US" w:eastAsia="zh-CN"/>
        </w:rPr>
        <w:t>2</w:t>
      </w:r>
      <w:r>
        <w:rPr>
          <w:rFonts w:hint="default" w:ascii="Times New Roman" w:hAnsi="Times New Roman" w:eastAsia="宋体" w:cs="Times New Roman"/>
          <w:b/>
          <w:bCs/>
          <w:color w:val="auto"/>
          <w:spacing w:val="0"/>
          <w:w w:val="100"/>
          <w:position w:val="0"/>
          <w:sz w:val="24"/>
          <w:szCs w:val="24"/>
        </w:rPr>
        <w:t>.</w:t>
      </w:r>
      <w:r>
        <w:rPr>
          <w:rFonts w:hint="default" w:ascii="Times New Roman" w:hAnsi="Times New Roman" w:cs="Times New Roman"/>
          <w:b/>
          <w:bCs/>
          <w:color w:val="auto"/>
          <w:spacing w:val="0"/>
          <w:w w:val="100"/>
          <w:position w:val="0"/>
          <w:sz w:val="24"/>
          <w:szCs w:val="24"/>
          <w:lang w:val="en-US" w:eastAsia="zh-CN"/>
        </w:rPr>
        <w:t>4</w:t>
      </w:r>
      <w:r>
        <w:rPr>
          <w:rFonts w:hint="default" w:ascii="Times New Roman" w:hAnsi="Times New Roman" w:eastAsia="宋体" w:cs="Times New Roman"/>
          <w:b/>
          <w:bCs/>
          <w:color w:val="auto"/>
          <w:spacing w:val="0"/>
          <w:w w:val="100"/>
          <w:position w:val="0"/>
          <w:sz w:val="24"/>
          <w:szCs w:val="24"/>
        </w:rPr>
        <w:fldChar w:fldCharType="end"/>
      </w:r>
      <w:r>
        <w:rPr>
          <w:rFonts w:hint="default" w:ascii="Times New Roman" w:hAnsi="Times New Roman" w:eastAsia="宋体" w:cs="Times New Roman"/>
          <w:b/>
          <w:bCs/>
          <w:color w:val="auto"/>
          <w:spacing w:val="0"/>
          <w:w w:val="100"/>
          <w:position w:val="0"/>
          <w:sz w:val="24"/>
          <w:szCs w:val="24"/>
        </w:rPr>
        <w:t>供热工程</w:t>
      </w:r>
    </w:p>
    <w:p w14:paraId="2E318CB5">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采矿工业场地热负荷较大的各建筑物采用空气源热泵机组供暖，热负荷小的建筑物直接选用电散热器供暖。</w:t>
      </w:r>
    </w:p>
    <w:p w14:paraId="2FF2A0B3">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储运工程</w:t>
      </w:r>
    </w:p>
    <w:p w14:paraId="31D7D2C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矿山日常柴油供应均来源于周边加油站，矿山不设油库硐室以及储油设备。</w:t>
      </w:r>
    </w:p>
    <w:p w14:paraId="2AD82FE2">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w:t>
      </w:r>
      <w:r>
        <w:rPr>
          <w:rFonts w:hint="default" w:ascii="Times New Roman" w:hAnsi="Times New Roman" w:cs="Times New Roman" w:eastAsiaTheme="minorEastAsia"/>
          <w:color w:val="auto"/>
          <w:sz w:val="24"/>
          <w:szCs w:val="24"/>
          <w:lang w:val="en-US" w:eastAsia="zh-CN" w:bidi="ar"/>
        </w:rPr>
        <w:t>1</w:t>
      </w:r>
      <w:r>
        <w:rPr>
          <w:rFonts w:hint="default" w:ascii="Times New Roman" w:hAnsi="Times New Roman" w:cs="Times New Roman" w:eastAsiaTheme="minorEastAsia"/>
          <w:color w:val="auto"/>
          <w:sz w:val="24"/>
          <w:szCs w:val="24"/>
          <w:lang w:bidi="ar"/>
        </w:rPr>
        <w:t>）爆破器材库</w:t>
      </w:r>
    </w:p>
    <w:p w14:paraId="6DF7B321">
      <w:pPr>
        <w:pStyle w:val="29"/>
        <w:keepNext w:val="0"/>
        <w:keepLines w:val="0"/>
        <w:pageBreakBefore w:val="0"/>
        <w:widowControl w:val="0"/>
        <w:kinsoku/>
        <w:wordWrap/>
        <w:overflowPunct/>
        <w:topLinePunct w:val="0"/>
        <w:autoSpaceDE/>
        <w:autoSpaceDN/>
        <w:bidi w:val="0"/>
        <w:adjustRightInd/>
        <w:snapToGrid/>
        <w:spacing w:line="480" w:lineRule="exact"/>
        <w:ind w:firstLineChars="200"/>
        <w:textAlignment w:val="auto"/>
        <w:rPr>
          <w:rFonts w:hint="default" w:ascii="Times New Roman" w:hAnsi="Times New Roman" w:cs="Times New Roman" w:eastAsiaTheme="minorEastAsia"/>
          <w:color w:val="auto"/>
          <w:sz w:val="24"/>
          <w:szCs w:val="24"/>
          <w:lang w:bidi="ar"/>
        </w:rPr>
      </w:pPr>
      <w:r>
        <w:rPr>
          <w:rFonts w:hint="default" w:ascii="Times New Roman" w:hAnsi="Times New Roman" w:cs="Times New Roman" w:eastAsiaTheme="minorEastAsia"/>
          <w:color w:val="auto"/>
          <w:sz w:val="24"/>
          <w:szCs w:val="24"/>
          <w:lang w:bidi="ar"/>
        </w:rPr>
        <w:t>位于办公生活区西北约1km处的独立沟谷坡脚处，远离工业场地及人员密集区。包括炸药库、雷管库、值班警卫室、消防器材棚，配套警报器、铁丝网、避雷针及接地网。建筑面积90m</w:t>
      </w:r>
      <w:r>
        <w:rPr>
          <w:rFonts w:hint="default" w:ascii="Times New Roman" w:hAnsi="Times New Roman" w:cs="Times New Roman" w:eastAsiaTheme="minorEastAsia"/>
          <w:color w:val="auto"/>
          <w:sz w:val="24"/>
          <w:szCs w:val="24"/>
          <w:vertAlign w:val="superscript"/>
          <w:lang w:bidi="ar"/>
        </w:rPr>
        <w:t>2</w:t>
      </w:r>
      <w:r>
        <w:rPr>
          <w:rFonts w:hint="default" w:ascii="Times New Roman" w:hAnsi="Times New Roman" w:cs="Times New Roman" w:eastAsiaTheme="minorEastAsia"/>
          <w:color w:val="auto"/>
          <w:sz w:val="24"/>
          <w:szCs w:val="24"/>
          <w:lang w:bidi="ar"/>
        </w:rPr>
        <w:t>（彩钢+砖混结构），占地面积</w:t>
      </w:r>
      <w:r>
        <w:rPr>
          <w:rFonts w:hint="default" w:ascii="Times New Roman" w:hAnsi="Times New Roman" w:cs="Times New Roman" w:eastAsiaTheme="minorEastAsia"/>
          <w:color w:val="auto"/>
          <w:sz w:val="24"/>
          <w:szCs w:val="24"/>
          <w:lang w:val="en-US" w:eastAsia="zh-CN" w:bidi="ar"/>
        </w:rPr>
        <w:t>800</w:t>
      </w:r>
      <w:r>
        <w:rPr>
          <w:rFonts w:hint="default" w:ascii="Times New Roman" w:hAnsi="Times New Roman" w:cs="Times New Roman" w:eastAsiaTheme="minorEastAsia"/>
          <w:color w:val="auto"/>
          <w:sz w:val="24"/>
          <w:szCs w:val="24"/>
          <w:lang w:bidi="ar"/>
        </w:rPr>
        <w:t>m</w:t>
      </w:r>
      <w:r>
        <w:rPr>
          <w:rFonts w:hint="default" w:ascii="Times New Roman" w:hAnsi="Times New Roman" w:cs="Times New Roman" w:eastAsiaTheme="minorEastAsia"/>
          <w:color w:val="auto"/>
          <w:sz w:val="24"/>
          <w:szCs w:val="24"/>
          <w:vertAlign w:val="superscript"/>
          <w:lang w:bidi="ar"/>
        </w:rPr>
        <w:t>2</w:t>
      </w:r>
      <w:r>
        <w:rPr>
          <w:rFonts w:hint="default" w:ascii="Times New Roman" w:hAnsi="Times New Roman" w:cs="Times New Roman" w:eastAsiaTheme="minorEastAsia"/>
          <w:color w:val="auto"/>
          <w:sz w:val="24"/>
          <w:szCs w:val="24"/>
          <w:lang w:bidi="ar"/>
        </w:rPr>
        <w:t>，安全距离符合《爆破安全规程》要求，占用土地类型为裸岩石砾地。</w:t>
      </w:r>
    </w:p>
    <w:p w14:paraId="7701812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矿石堆场</w:t>
      </w:r>
    </w:p>
    <w:p w14:paraId="6894EA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根据矿区周边情况，矿石设置临时堆场，堆场位置在主平硐东侧的地势低洼处。采用运输卡车运输翻卸—推土机堆排的方式，单台阶作业。</w:t>
      </w:r>
    </w:p>
    <w:p w14:paraId="57D1144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矿石临时堆场最终堆置标高为：2033m，矿石临时堆场堆置最大高度为：2m。</w:t>
      </w:r>
    </w:p>
    <w:p w14:paraId="160F647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堆置方式：矿石临时堆场沿高水平标高向低水平单台阶堆排，矿石临时堆场最终边坡角约33.7°（小于岩石自然安息角），坡比1：1.5。</w:t>
      </w:r>
    </w:p>
    <w:p w14:paraId="1BC45D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矿石临时堆场考虑矿山10天矿石量，容积7000m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，满足开采阶段采出矿石量临时堆放所需的容积。</w:t>
      </w:r>
    </w:p>
    <w:p w14:paraId="6997AE4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废石场</w:t>
      </w:r>
    </w:p>
    <w:p w14:paraId="2C7AC863">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设计三个废石场：废石场1和废石场2，废石场3。废石场1位于一期主平硐的西南侧230m处，废石场2位于一期主平硐的东南侧180m处，废石场3位于北斜坡道口的东南侧253m处。废石场1堆置顶标高2030m，分台阶堆置，每台阶高度为6m，最终边坡角约33.7°，坡比1：1.5，经计算废石堆场容积为11.2万m³。废石场2堆置顶标高2010m，堆置高度为6m，容积6000m³，最终边坡角约33.7°，坡比1：1.5。废石场3堆置顶标高2022m，分台阶堆置，每台阶高度为6m，最终边坡角约33.7°，坡比1：1.5，经计算废石堆场容积为14万m³。堆场布置护坡进行防护处理，废石堆场下游建造挡墙。废石场作业方式，采用汽车－推土机排土工艺。废石场采用多台阶覆盖式排土工艺，排土作业采用单台阶作业。</w:t>
      </w:r>
    </w:p>
    <w:p w14:paraId="5F738364">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废石场主要设计参数</w:t>
      </w:r>
    </w:p>
    <w:p w14:paraId="73E3FD1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1）废石占地面积：废石场1面积15730m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w:t>
      </w:r>
    </w:p>
    <w:p w14:paraId="42BA9141">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废石场2面积1860m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w:t>
      </w:r>
    </w:p>
    <w:p w14:paraId="799D34E0">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废石场3面积30000m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w:t>
      </w:r>
    </w:p>
    <w:p w14:paraId="1A68E0AC">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2）废石堆置平均高度：废石场1堆置24m；</w:t>
      </w:r>
    </w:p>
    <w:p w14:paraId="626EDBAB">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  废石场2堆置6m；</w:t>
      </w:r>
    </w:p>
    <w:p w14:paraId="6B95794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 xml:space="preserve">  废石场3堆置18m；</w:t>
      </w:r>
    </w:p>
    <w:p w14:paraId="511B5242">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3）废石场容积：废石场1容积为11.2万m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w:t>
      </w:r>
    </w:p>
    <w:p w14:paraId="3ADEB336">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废石场2容积为6000m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w:t>
      </w:r>
    </w:p>
    <w:p w14:paraId="525D82EC">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               废石场3容积为14万m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w:t>
      </w:r>
    </w:p>
    <w:p w14:paraId="14B9E272">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4）排土方式：运输卡车运输翻卸—推土机堆排的方式，单台阶排土；</w:t>
      </w:r>
    </w:p>
    <w:p w14:paraId="448080D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5）废石体重</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2.7t/m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w:t>
      </w:r>
    </w:p>
    <w:p w14:paraId="25F115D3">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6）废石松散系数</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1.5；</w:t>
      </w:r>
    </w:p>
    <w:p w14:paraId="75D9C6C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7）废石场岩石下沉系数</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1.17；</w:t>
      </w:r>
    </w:p>
    <w:p w14:paraId="4F1C8481">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8）最终边坡角</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33.7°。</w:t>
      </w:r>
    </w:p>
    <w:p w14:paraId="31EDAA40">
      <w:pPr>
        <w:keepNext w:val="0"/>
        <w:keepLines w:val="0"/>
        <w:pageBreakBefore w:val="0"/>
        <w:widowControl w:val="0"/>
        <w:kinsoku/>
        <w:wordWrap/>
        <w:overflowPunct/>
        <w:topLinePunct w:val="0"/>
        <w:autoSpaceDE/>
        <w:autoSpaceDN/>
        <w:bidi w:val="0"/>
        <w:adjustRightInd/>
        <w:snapToGrid/>
        <w:spacing w:line="480" w:lineRule="exact"/>
        <w:ind w:left="0" w:right="0" w:firstLine="480" w:firstLineChars="200"/>
        <w:jc w:val="both"/>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运输道路</w:t>
      </w:r>
    </w:p>
    <w:p w14:paraId="73F44BB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为满足矿山现有需要，矿山需新建4.5m宽道路约1000m，为公路型道路，碎石路面，道路最小曲率半径为15m，最大纵坡8%，限制速度10km/h。对所利用的原有道路，当不满足运输需要时，需进行修复或重新修建。</w:t>
      </w:r>
    </w:p>
    <w:p w14:paraId="259177AC">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施工期污染源分析及源强核算</w:t>
      </w:r>
    </w:p>
    <w:p w14:paraId="4DA89D31">
      <w:pPr>
        <w:pStyle w:val="5"/>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"3.3.7.1"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3.3.5.1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position w:val="0"/>
          <w:highlight w:val="none"/>
          <w:lang w:val="en-US" w:eastAsia="zh-CN"/>
        </w:rPr>
        <w:t>施工期</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污染源分布</w:t>
      </w:r>
    </w:p>
    <w:p w14:paraId="6FBDB44F">
      <w:pPr>
        <w:keepNext w:val="0"/>
        <w:keepLines w:val="0"/>
        <w:pageBreakBefore w:val="0"/>
        <w:widowControl w:val="0"/>
        <w:kinsoku/>
        <w:wordWrap/>
        <w:overflowPunct/>
        <w:topLinePunct w:val="0"/>
        <w:autoSpaceDE/>
        <w:autoSpaceDN/>
        <w:bidi w:val="0"/>
        <w:adjustRightInd/>
        <w:snapToGrid/>
        <w:spacing w:line="480" w:lineRule="exact"/>
        <w:ind w:left="0" w:right="0" w:firstLine="477"/>
        <w:jc w:val="left"/>
        <w:textAlignment w:val="auto"/>
        <w:rPr>
          <w:rFonts w:hint="default" w:ascii="Times New Roman" w:hAnsi="Times New Roman" w:eastAsia="宋体" w:cs="Times New Roman"/>
          <w:b w:val="0"/>
          <w:bCs w:val="0"/>
          <w:color w:val="auto"/>
          <w:spacing w:val="0"/>
          <w:w w:val="100"/>
          <w:position w:val="0"/>
          <w:sz w:val="24"/>
          <w:szCs w:val="24"/>
          <w:lang w:eastAsia="zh-CN"/>
        </w:rPr>
      </w:pPr>
      <w:r>
        <w:rPr>
          <w:rFonts w:hint="default" w:ascii="Times New Roman" w:hAnsi="Times New Roman" w:eastAsia="宋体" w:cs="Times New Roman"/>
          <w:b w:val="0"/>
          <w:bCs w:val="0"/>
          <w:color w:val="auto"/>
          <w:spacing w:val="0"/>
          <w:w w:val="100"/>
          <w:position w:val="0"/>
          <w:sz w:val="24"/>
          <w:szCs w:val="24"/>
        </w:rPr>
        <w:t>根据开发利用方案，地下开采基建期为2年</w:t>
      </w:r>
      <w:r>
        <w:rPr>
          <w:rFonts w:hint="default" w:ascii="Times New Roman" w:hAnsi="Times New Roman" w:eastAsia="宋体" w:cs="Times New Roman"/>
          <w:b w:val="0"/>
          <w:bCs w:val="0"/>
          <w:color w:val="auto"/>
          <w:spacing w:val="0"/>
          <w:w w:val="100"/>
          <w:position w:val="0"/>
          <w:sz w:val="24"/>
          <w:szCs w:val="24"/>
          <w:lang w:eastAsia="zh-CN"/>
        </w:rPr>
        <w:t>。</w:t>
      </w:r>
    </w:p>
    <w:p w14:paraId="1709BE51">
      <w:pPr>
        <w:keepNext w:val="0"/>
        <w:keepLines w:val="0"/>
        <w:pageBreakBefore w:val="0"/>
        <w:widowControl w:val="0"/>
        <w:kinsoku/>
        <w:wordWrap/>
        <w:overflowPunct/>
        <w:topLinePunct w:val="0"/>
        <w:autoSpaceDE/>
        <w:autoSpaceDN/>
        <w:bidi w:val="0"/>
        <w:adjustRightInd/>
        <w:snapToGrid/>
        <w:spacing w:line="480" w:lineRule="exact"/>
        <w:ind w:left="0" w:right="0"/>
        <w:jc w:val="left"/>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施工期主要污染物产生节点见图3.3-</w:t>
      </w:r>
      <w:r>
        <w:rPr>
          <w:rFonts w:hint="default" w:ascii="Times New Roman" w:hAnsi="Times New Roman" w:cs="Times New Roman"/>
          <w:b w:val="0"/>
          <w:bCs w:val="0"/>
          <w:color w:val="auto"/>
          <w:spacing w:val="0"/>
          <w:w w:val="100"/>
          <w:position w:val="0"/>
          <w:sz w:val="24"/>
          <w:szCs w:val="24"/>
          <w:lang w:val="en-US" w:eastAsia="zh-CN"/>
        </w:rPr>
        <w:t>2</w:t>
      </w:r>
      <w:r>
        <w:rPr>
          <w:rFonts w:hint="default" w:ascii="Times New Roman" w:hAnsi="Times New Roman" w:eastAsia="宋体" w:cs="Times New Roman"/>
          <w:b w:val="0"/>
          <w:bCs w:val="0"/>
          <w:color w:val="auto"/>
          <w:spacing w:val="0"/>
          <w:w w:val="100"/>
          <w:position w:val="0"/>
          <w:sz w:val="24"/>
          <w:szCs w:val="24"/>
        </w:rPr>
        <w:t>及表3.3-</w:t>
      </w:r>
      <w:r>
        <w:rPr>
          <w:rFonts w:hint="default" w:ascii="Times New Roman" w:hAnsi="Times New Roman" w:cs="Times New Roman"/>
          <w:b w:val="0"/>
          <w:bCs w:val="0"/>
          <w:color w:val="auto"/>
          <w:spacing w:val="0"/>
          <w:w w:val="100"/>
          <w:position w:val="0"/>
          <w:sz w:val="24"/>
          <w:szCs w:val="24"/>
          <w:lang w:val="en-US" w:eastAsia="zh-CN"/>
        </w:rPr>
        <w:t>9</w:t>
      </w:r>
      <w:r>
        <w:rPr>
          <w:rFonts w:hint="default" w:ascii="Times New Roman" w:hAnsi="Times New Roman" w:eastAsia="宋体" w:cs="Times New Roman"/>
          <w:b w:val="0"/>
          <w:bCs w:val="0"/>
          <w:color w:val="auto"/>
          <w:spacing w:val="0"/>
          <w:w w:val="100"/>
          <w:position w:val="0"/>
          <w:sz w:val="24"/>
          <w:szCs w:val="24"/>
        </w:rPr>
        <w:t>。</w:t>
      </w:r>
    </w:p>
    <w:p w14:paraId="5BDBD6F4">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object>
          <v:shape id="_x0000_i1025" o:spt="75" type="#_x0000_t75" style="height:335.2pt;width:407.05pt;" o:ole="t" filled="f" o:preferrelative="t" stroked="f" coordsize="21600,21600">
            <v:path/>
            <v:fill on="f" focussize="0,0"/>
            <v:stroke on="f"/>
            <v:imagedata r:id="rId57" o:title=""/>
            <o:lock v:ext="edit" aspectratio="f"/>
            <w10:wrap type="none"/>
            <w10:anchorlock/>
          </v:shape>
          <o:OLEObject Type="Embed" ProgID="Visio.Drawing.11" ShapeID="_x0000_i1025" DrawAspect="Content" ObjectID="_1468075725" r:id="rId56">
            <o:LockedField>false</o:LockedField>
          </o:OLEObject>
        </w:object>
      </w:r>
    </w:p>
    <w:p w14:paraId="2D8A0B3D">
      <w:pPr>
        <w:keepNext w:val="0"/>
        <w:keepLines w:val="0"/>
        <w:pageBreakBefore w:val="0"/>
        <w:widowControl w:val="0"/>
        <w:kinsoku/>
        <w:wordWrap/>
        <w:overflowPunct/>
        <w:topLinePunct w:val="0"/>
        <w:autoSpaceDE/>
        <w:autoSpaceDN/>
        <w:bidi w:val="0"/>
        <w:adjustRightInd/>
        <w:snapToGrid/>
        <w:spacing w:line="480" w:lineRule="exact"/>
        <w:ind w:left="0" w:leftChars="0" w:right="0" w:firstLine="0" w:firstLineChars="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bCs/>
          <w:color w:val="auto"/>
          <w:spacing w:val="0"/>
          <w:w w:val="100"/>
          <w:position w:val="0"/>
          <w:sz w:val="24"/>
          <w:szCs w:val="24"/>
        </w:rPr>
        <w:t>图3.3-</w:t>
      </w:r>
      <w:r>
        <w:rPr>
          <w:rFonts w:hint="default" w:ascii="Times New Roman" w:hAnsi="Times New Roman" w:cs="Times New Roman"/>
          <w:b/>
          <w:bCs/>
          <w:color w:val="auto"/>
          <w:spacing w:val="0"/>
          <w:w w:val="100"/>
          <w:position w:val="0"/>
          <w:sz w:val="24"/>
          <w:szCs w:val="24"/>
          <w:lang w:val="en-US" w:eastAsia="zh-CN"/>
        </w:rPr>
        <w:t>2</w:t>
      </w:r>
      <w:r>
        <w:rPr>
          <w:rFonts w:hint="default" w:ascii="Times New Roman" w:hAnsi="Times New Roman" w:eastAsia="宋体" w:cs="Times New Roman"/>
          <w:b/>
          <w:bCs/>
          <w:color w:val="auto"/>
          <w:spacing w:val="0"/>
          <w:w w:val="100"/>
          <w:position w:val="0"/>
          <w:sz w:val="24"/>
          <w:szCs w:val="24"/>
          <w:lang w:val="en-US" w:eastAsia="zh-CN"/>
        </w:rPr>
        <w:t xml:space="preserve">    </w:t>
      </w:r>
      <w:r>
        <w:rPr>
          <w:rFonts w:hint="default" w:ascii="Times New Roman" w:hAnsi="Times New Roman" w:eastAsia="宋体" w:cs="Times New Roman"/>
          <w:b/>
          <w:bCs/>
          <w:color w:val="auto"/>
          <w:spacing w:val="0"/>
          <w:w w:val="100"/>
          <w:position w:val="0"/>
          <w:sz w:val="24"/>
          <w:szCs w:val="24"/>
        </w:rPr>
        <w:t>施工期主要污染物产生节点</w:t>
      </w:r>
    </w:p>
    <w:p w14:paraId="2713E93D">
      <w:pPr>
        <w:keepNext w:val="0"/>
        <w:keepLines w:val="0"/>
        <w:pageBreakBefore w:val="0"/>
        <w:widowControl w:val="0"/>
        <w:kinsoku/>
        <w:wordWrap/>
        <w:overflowPunct/>
        <w:topLinePunct w:val="0"/>
        <w:autoSpaceDE/>
        <w:autoSpaceDN/>
        <w:bidi w:val="0"/>
        <w:adjustRightInd/>
        <w:snapToGrid/>
        <w:spacing w:line="480" w:lineRule="exact"/>
        <w:ind w:left="0" w:leftChars="0" w:right="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表3.3</w:t>
      </w:r>
      <w:r>
        <w:rPr>
          <w:rFonts w:hint="default" w:ascii="Times New Roman" w:hAnsi="Times New Roman" w:cs="Times New Roman"/>
          <w:b/>
          <w:bCs/>
          <w:color w:val="auto"/>
          <w:spacing w:val="0"/>
          <w:w w:val="100"/>
          <w:position w:val="0"/>
          <w:sz w:val="21"/>
          <w:szCs w:val="21"/>
          <w:lang w:val="en-US" w:eastAsia="zh-CN"/>
        </w:rPr>
        <w:t>-9</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施工期污染源分析</w:t>
      </w:r>
    </w:p>
    <w:tbl>
      <w:tblPr>
        <w:tblStyle w:val="31"/>
        <w:tblW w:w="512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29"/>
        <w:gridCol w:w="894"/>
        <w:gridCol w:w="6720"/>
      </w:tblGrid>
      <w:tr w14:paraId="639615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blHeader/>
        </w:trPr>
        <w:tc>
          <w:tcPr>
            <w:tcW w:w="544" w:type="pct"/>
            <w:tcBorders>
              <w:tl2br w:val="nil"/>
              <w:tr2bl w:val="nil"/>
            </w:tcBorders>
            <w:vAlign w:val="center"/>
          </w:tcPr>
          <w:p w14:paraId="17A4E40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编号</w:t>
            </w:r>
          </w:p>
        </w:tc>
        <w:tc>
          <w:tcPr>
            <w:tcW w:w="523" w:type="pct"/>
            <w:tcBorders>
              <w:tl2br w:val="nil"/>
              <w:tr2bl w:val="nil"/>
            </w:tcBorders>
            <w:vAlign w:val="center"/>
          </w:tcPr>
          <w:p w14:paraId="59CE014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污染源</w:t>
            </w:r>
          </w:p>
        </w:tc>
        <w:tc>
          <w:tcPr>
            <w:tcW w:w="3932" w:type="pct"/>
            <w:tcBorders>
              <w:tl2br w:val="nil"/>
              <w:tr2bl w:val="nil"/>
            </w:tcBorders>
            <w:vAlign w:val="center"/>
          </w:tcPr>
          <w:p w14:paraId="76A94DD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产污</w:t>
            </w:r>
            <w:r>
              <w:rPr>
                <w:rFonts w:hint="default" w:ascii="Times New Roman" w:hAnsi="Times New Roman" w:eastAsia="宋体" w:cs="Times New Roman"/>
                <w:color w:val="auto"/>
                <w:spacing w:val="0"/>
                <w:w w:val="100"/>
                <w:position w:val="0"/>
                <w:lang w:val="en-US" w:eastAsia="zh-CN"/>
              </w:rPr>
              <w:t>环节</w:t>
            </w:r>
            <w:r>
              <w:rPr>
                <w:rFonts w:hint="default" w:ascii="Times New Roman" w:hAnsi="Times New Roman" w:eastAsia="宋体" w:cs="Times New Roman"/>
                <w:color w:val="auto"/>
                <w:spacing w:val="0"/>
                <w:w w:val="100"/>
                <w:position w:val="0"/>
              </w:rPr>
              <w:t>分析</w:t>
            </w:r>
          </w:p>
        </w:tc>
      </w:tr>
      <w:tr w14:paraId="3C6004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544" w:type="pct"/>
            <w:tcBorders>
              <w:tl2br w:val="nil"/>
              <w:tr2bl w:val="nil"/>
            </w:tcBorders>
            <w:shd w:val="clear" w:color="auto" w:fill="auto"/>
            <w:vAlign w:val="center"/>
          </w:tcPr>
          <w:p w14:paraId="4471268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G</w:t>
            </w:r>
          </w:p>
        </w:tc>
        <w:tc>
          <w:tcPr>
            <w:tcW w:w="523" w:type="pct"/>
            <w:tcBorders>
              <w:tl2br w:val="nil"/>
              <w:tr2bl w:val="nil"/>
            </w:tcBorders>
            <w:shd w:val="clear" w:color="auto" w:fill="auto"/>
            <w:vAlign w:val="center"/>
          </w:tcPr>
          <w:p w14:paraId="156590E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r>
              <w:rPr>
                <w:rFonts w:hint="default" w:ascii="Times New Roman" w:hAnsi="Times New Roman" w:eastAsia="宋体" w:cs="Times New Roman"/>
                <w:color w:val="auto"/>
                <w:spacing w:val="0"/>
                <w:w w:val="100"/>
                <w:position w:val="0"/>
              </w:rPr>
              <w:t>废气</w:t>
            </w:r>
          </w:p>
        </w:tc>
        <w:tc>
          <w:tcPr>
            <w:tcW w:w="3932" w:type="pct"/>
            <w:tcBorders>
              <w:tl2br w:val="nil"/>
              <w:tr2bl w:val="nil"/>
            </w:tcBorders>
            <w:shd w:val="clear" w:color="auto" w:fill="auto"/>
            <w:vAlign w:val="center"/>
          </w:tcPr>
          <w:p w14:paraId="473191C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left"/>
              <w:textAlignment w:val="auto"/>
              <w:rPr>
                <w:rFonts w:hint="default" w:ascii="Times New Roman" w:hAnsi="Times New Roman" w:eastAsia="宋体" w:cs="Times New Roman"/>
                <w:color w:val="auto"/>
                <w:spacing w:val="0"/>
                <w:w w:val="100"/>
                <w:kern w:val="2"/>
                <w:position w:val="0"/>
                <w:sz w:val="21"/>
                <w:szCs w:val="21"/>
                <w:lang w:val="en-US" w:eastAsia="en-US" w:bidi="ar-SA"/>
              </w:rPr>
            </w:pPr>
            <w:r>
              <w:rPr>
                <w:rFonts w:hint="default" w:ascii="Times New Roman" w:hAnsi="Times New Roman" w:eastAsia="宋体" w:cs="Times New Roman"/>
                <w:color w:val="auto"/>
                <w:spacing w:val="0"/>
                <w:w w:val="100"/>
                <w:position w:val="0"/>
              </w:rPr>
              <w:t>施工作业扬尘、机械尾气、三材运输卸载粉尘、临时堆场扬尘等</w:t>
            </w:r>
          </w:p>
        </w:tc>
      </w:tr>
      <w:tr w14:paraId="51D40B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544" w:type="pct"/>
            <w:tcBorders>
              <w:tl2br w:val="nil"/>
              <w:tr2bl w:val="nil"/>
            </w:tcBorders>
            <w:vAlign w:val="center"/>
          </w:tcPr>
          <w:p w14:paraId="41C0058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w:t>
            </w:r>
          </w:p>
        </w:tc>
        <w:tc>
          <w:tcPr>
            <w:tcW w:w="523" w:type="pct"/>
            <w:tcBorders>
              <w:tl2br w:val="nil"/>
              <w:tr2bl w:val="nil"/>
            </w:tcBorders>
            <w:vAlign w:val="center"/>
          </w:tcPr>
          <w:p w14:paraId="0E568E8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废水</w:t>
            </w:r>
          </w:p>
        </w:tc>
        <w:tc>
          <w:tcPr>
            <w:tcW w:w="3932" w:type="pct"/>
            <w:tcBorders>
              <w:tl2br w:val="nil"/>
              <w:tr2bl w:val="nil"/>
            </w:tcBorders>
            <w:vAlign w:val="center"/>
          </w:tcPr>
          <w:p w14:paraId="7A70F95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①井下工程施工时产生的井下施工排水</w:t>
            </w:r>
          </w:p>
          <w:p w14:paraId="660646D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②基础建设和构筑物建设时产生的施工废水</w:t>
            </w:r>
          </w:p>
          <w:p w14:paraId="54162FC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③施工队产生的生活污水</w:t>
            </w:r>
          </w:p>
        </w:tc>
      </w:tr>
      <w:tr w14:paraId="7F08C0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56" w:hRule="atLeast"/>
        </w:trPr>
        <w:tc>
          <w:tcPr>
            <w:tcW w:w="544" w:type="pct"/>
            <w:tcBorders>
              <w:tl2br w:val="nil"/>
              <w:tr2bl w:val="nil"/>
            </w:tcBorders>
            <w:vAlign w:val="center"/>
          </w:tcPr>
          <w:p w14:paraId="3B4E248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N</w:t>
            </w:r>
          </w:p>
        </w:tc>
        <w:tc>
          <w:tcPr>
            <w:tcW w:w="523" w:type="pct"/>
            <w:tcBorders>
              <w:tl2br w:val="nil"/>
              <w:tr2bl w:val="nil"/>
            </w:tcBorders>
            <w:vAlign w:val="center"/>
          </w:tcPr>
          <w:p w14:paraId="6336E048">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噪声</w:t>
            </w:r>
          </w:p>
        </w:tc>
        <w:tc>
          <w:tcPr>
            <w:tcW w:w="3932" w:type="pct"/>
            <w:tcBorders>
              <w:tl2br w:val="nil"/>
              <w:tr2bl w:val="nil"/>
            </w:tcBorders>
            <w:vAlign w:val="center"/>
          </w:tcPr>
          <w:p w14:paraId="11F5385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①基础施工、构筑物建设产生的施工噪声</w:t>
            </w:r>
          </w:p>
          <w:p w14:paraId="009B3B4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②设备安装产生的施工噪声</w:t>
            </w:r>
          </w:p>
          <w:p w14:paraId="0326B46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③井下施工产生的施工噪声</w:t>
            </w:r>
          </w:p>
          <w:p w14:paraId="4778FD2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④爆破噪声</w:t>
            </w:r>
          </w:p>
        </w:tc>
      </w:tr>
      <w:tr w14:paraId="0591F2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15" w:hRule="atLeast"/>
        </w:trPr>
        <w:tc>
          <w:tcPr>
            <w:tcW w:w="544" w:type="pct"/>
            <w:tcBorders>
              <w:tl2br w:val="nil"/>
              <w:tr2bl w:val="nil"/>
            </w:tcBorders>
            <w:vAlign w:val="center"/>
          </w:tcPr>
          <w:p w14:paraId="7FD72AC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S</w:t>
            </w:r>
          </w:p>
        </w:tc>
        <w:tc>
          <w:tcPr>
            <w:tcW w:w="523" w:type="pct"/>
            <w:tcBorders>
              <w:tl2br w:val="nil"/>
              <w:tr2bl w:val="nil"/>
            </w:tcBorders>
            <w:vAlign w:val="center"/>
          </w:tcPr>
          <w:p w14:paraId="0899911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固废</w:t>
            </w:r>
          </w:p>
        </w:tc>
        <w:tc>
          <w:tcPr>
            <w:tcW w:w="3932" w:type="pct"/>
            <w:tcBorders>
              <w:tl2br w:val="nil"/>
              <w:tr2bl w:val="nil"/>
            </w:tcBorders>
            <w:vAlign w:val="center"/>
          </w:tcPr>
          <w:p w14:paraId="7B82CF0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①基建期废石</w:t>
            </w:r>
          </w:p>
          <w:p w14:paraId="4AF1C32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②施工作业产生的渣土</w:t>
            </w:r>
          </w:p>
          <w:p w14:paraId="7DA20ED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left"/>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②施工队生活产生的生活垃圾</w:t>
            </w:r>
          </w:p>
        </w:tc>
      </w:tr>
    </w:tbl>
    <w:p w14:paraId="1536B9A6">
      <w:pPr>
        <w:pStyle w:val="5"/>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"3.3.7.2"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3.3.5.2</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施工期主要污染物</w:t>
      </w:r>
    </w:p>
    <w:p w14:paraId="75C1183D">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1</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废气</w:t>
      </w:r>
    </w:p>
    <w:p w14:paraId="4E259EDB">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施工期的大气污染源主要是施工扬尘与机械尾气。</w:t>
      </w:r>
    </w:p>
    <w:p w14:paraId="52BC9EE3">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①</w:t>
      </w:r>
      <w:r>
        <w:rPr>
          <w:rFonts w:hint="default" w:ascii="Times New Roman" w:hAnsi="Times New Roman" w:eastAsia="宋体" w:cs="Times New Roman"/>
          <w:b w:val="0"/>
          <w:bCs w:val="0"/>
          <w:color w:val="auto"/>
          <w:spacing w:val="0"/>
          <w:w w:val="100"/>
          <w:position w:val="0"/>
          <w:sz w:val="24"/>
          <w:szCs w:val="24"/>
        </w:rPr>
        <w:t>施工扬尘</w:t>
      </w:r>
    </w:p>
    <w:p w14:paraId="23E745A4">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时工业场地平整、场内道路铺设等土石方工程阶段的挖方、填方，使表土松动从而产生一定扬尘；运输车辆在简易砂石公路上行驶也将产生一定的扬尘；临时物料堆场在大风气象条件下形成的风蚀扬尘，这些与风力、含水率等因素有关，难以定量，会对现场及周围大气环境产生一定影响。</w:t>
      </w:r>
    </w:p>
    <w:p w14:paraId="47CDF997">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②</w:t>
      </w:r>
      <w:r>
        <w:rPr>
          <w:rFonts w:hint="default" w:ascii="Times New Roman" w:hAnsi="Times New Roman" w:eastAsia="宋体" w:cs="Times New Roman"/>
          <w:b w:val="0"/>
          <w:bCs w:val="0"/>
          <w:color w:val="auto"/>
          <w:spacing w:val="0"/>
          <w:w w:val="100"/>
          <w:position w:val="0"/>
          <w:sz w:val="24"/>
          <w:szCs w:val="24"/>
        </w:rPr>
        <w:t>机械尾气</w:t>
      </w:r>
    </w:p>
    <w:p w14:paraId="16BE34F4">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施工中使用的机械，如：挖掘机、装载机及</w:t>
      </w:r>
      <w:r>
        <w:rPr>
          <w:rFonts w:hint="default" w:ascii="Times New Roman" w:hAnsi="Times New Roman" w:cs="Times New Roman"/>
          <w:b w:val="0"/>
          <w:bCs w:val="0"/>
          <w:color w:val="auto"/>
          <w:spacing w:val="0"/>
          <w:w w:val="100"/>
          <w:position w:val="0"/>
          <w:sz w:val="24"/>
          <w:szCs w:val="24"/>
          <w:lang w:eastAsia="zh-CN"/>
        </w:rPr>
        <w:t>其他</w:t>
      </w:r>
      <w:r>
        <w:rPr>
          <w:rFonts w:hint="default" w:ascii="Times New Roman" w:hAnsi="Times New Roman" w:eastAsia="宋体" w:cs="Times New Roman"/>
          <w:b w:val="0"/>
          <w:bCs w:val="0"/>
          <w:color w:val="auto"/>
          <w:spacing w:val="0"/>
          <w:w w:val="100"/>
          <w:position w:val="0"/>
          <w:sz w:val="24"/>
          <w:szCs w:val="24"/>
        </w:rPr>
        <w:t>运输车辆，在工作时将间断排放尾气，对施工场地及周围环境产生一定影响，其主要污染物为碳氢化合物、CO、颗粒物、</w:t>
      </w:r>
      <w:r>
        <w:rPr>
          <w:rFonts w:hint="eastAsia" w:ascii="Times New Roman" w:hAnsi="Times New Roman" w:cs="Times New Roman"/>
          <w:b w:val="0"/>
          <w:bCs w:val="0"/>
          <w:color w:val="auto"/>
          <w:spacing w:val="0"/>
          <w:w w:val="100"/>
          <w:position w:val="0"/>
          <w:sz w:val="24"/>
          <w:szCs w:val="24"/>
          <w:lang w:val="en-US" w:eastAsia="zh-CN"/>
        </w:rPr>
        <w:t>NOx</w:t>
      </w:r>
      <w:r>
        <w:rPr>
          <w:rFonts w:hint="default" w:ascii="Times New Roman" w:hAnsi="Times New Roman" w:eastAsia="宋体" w:cs="Times New Roman"/>
          <w:b w:val="0"/>
          <w:bCs w:val="0"/>
          <w:color w:val="auto"/>
          <w:spacing w:val="0"/>
          <w:w w:val="100"/>
          <w:position w:val="0"/>
          <w:sz w:val="24"/>
          <w:szCs w:val="24"/>
        </w:rPr>
        <w:t>等。</w:t>
      </w:r>
    </w:p>
    <w:p w14:paraId="7F6D39BA">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2</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废水</w:t>
      </w:r>
    </w:p>
    <w:p w14:paraId="15E99B1C">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①</w:t>
      </w:r>
      <w:r>
        <w:rPr>
          <w:rFonts w:hint="default" w:ascii="Times New Roman" w:hAnsi="Times New Roman" w:eastAsia="宋体" w:cs="Times New Roman"/>
          <w:b w:val="0"/>
          <w:bCs w:val="0"/>
          <w:color w:val="auto"/>
          <w:spacing w:val="0"/>
          <w:w w:val="100"/>
          <w:position w:val="0"/>
          <w:sz w:val="24"/>
          <w:szCs w:val="24"/>
        </w:rPr>
        <w:t>施工废水</w:t>
      </w:r>
    </w:p>
    <w:p w14:paraId="0C2E2F2C">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lang w:eastAsia="zh-CN"/>
        </w:rPr>
      </w:pPr>
      <w:r>
        <w:rPr>
          <w:rFonts w:hint="default" w:ascii="Times New Roman" w:hAnsi="Times New Roman" w:eastAsia="宋体" w:cs="Times New Roman"/>
          <w:b w:val="0"/>
          <w:bCs w:val="0"/>
          <w:color w:val="auto"/>
          <w:spacing w:val="0"/>
          <w:w w:val="100"/>
          <w:position w:val="0"/>
          <w:sz w:val="24"/>
          <w:szCs w:val="24"/>
        </w:rPr>
        <w:t>施工期间产生的废水主要来源于施工设备、机械设备洗涤水、建筑施工过程中的混凝土养护废水以及开拓掘进凿岩废水。凿岩废水量较少，混凝土养护废水自然蒸发后消耗，施工设备、机械设备废水中主要含有少量的泥沙、SS外，基本不含</w:t>
      </w:r>
      <w:r>
        <w:rPr>
          <w:rFonts w:hint="default" w:ascii="Times New Roman" w:hAnsi="Times New Roman" w:cs="Times New Roman"/>
          <w:b w:val="0"/>
          <w:bCs w:val="0"/>
          <w:color w:val="auto"/>
          <w:spacing w:val="0"/>
          <w:w w:val="100"/>
          <w:position w:val="0"/>
          <w:sz w:val="24"/>
          <w:szCs w:val="24"/>
          <w:lang w:eastAsia="zh-CN"/>
        </w:rPr>
        <w:t>其他</w:t>
      </w:r>
      <w:r>
        <w:rPr>
          <w:rFonts w:hint="default" w:ascii="Times New Roman" w:hAnsi="Times New Roman" w:eastAsia="宋体" w:cs="Times New Roman"/>
          <w:b w:val="0"/>
          <w:bCs w:val="0"/>
          <w:color w:val="auto"/>
          <w:spacing w:val="0"/>
          <w:w w:val="100"/>
          <w:position w:val="0"/>
          <w:sz w:val="24"/>
          <w:szCs w:val="24"/>
        </w:rPr>
        <w:t>污染指标。施工期可建设临时的沉淀池处理后回用</w:t>
      </w:r>
      <w:r>
        <w:rPr>
          <w:rFonts w:hint="default" w:ascii="Times New Roman" w:hAnsi="Times New Roman" w:eastAsia="宋体" w:cs="Times New Roman"/>
          <w:b w:val="0"/>
          <w:bCs w:val="0"/>
          <w:color w:val="auto"/>
          <w:spacing w:val="0"/>
          <w:w w:val="100"/>
          <w:position w:val="0"/>
          <w:sz w:val="24"/>
          <w:szCs w:val="24"/>
          <w:lang w:eastAsia="zh-CN"/>
        </w:rPr>
        <w:t>。</w:t>
      </w:r>
    </w:p>
    <w:p w14:paraId="587D3B95">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②</w:t>
      </w:r>
      <w:r>
        <w:rPr>
          <w:rFonts w:hint="default" w:ascii="Times New Roman" w:hAnsi="Times New Roman" w:eastAsia="宋体" w:cs="Times New Roman"/>
          <w:b w:val="0"/>
          <w:bCs w:val="0"/>
          <w:color w:val="auto"/>
          <w:spacing w:val="0"/>
          <w:w w:val="100"/>
          <w:position w:val="0"/>
          <w:sz w:val="24"/>
          <w:szCs w:val="24"/>
        </w:rPr>
        <w:t>施工人员生活污水</w:t>
      </w:r>
    </w:p>
    <w:p w14:paraId="5B6D531F">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施工现场按最大施工人员100人/天、用水指标按60L/人.d计算，污水排放量按用水的80%计，则生活污水排放量约4.8m</w:t>
      </w:r>
      <w:r>
        <w:rPr>
          <w:rFonts w:hint="default" w:ascii="Times New Roman" w:hAnsi="Times New Roman" w:eastAsia="宋体" w:cs="Times New Roman"/>
          <w:b w:val="0"/>
          <w:bCs w:val="0"/>
          <w:color w:val="auto"/>
          <w:spacing w:val="0"/>
          <w:w w:val="100"/>
          <w:position w:val="0"/>
          <w:sz w:val="24"/>
          <w:szCs w:val="24"/>
          <w:vertAlign w:val="superscript"/>
        </w:rPr>
        <w:t>3</w:t>
      </w:r>
      <w:r>
        <w:rPr>
          <w:rFonts w:hint="default" w:ascii="Times New Roman" w:hAnsi="Times New Roman" w:eastAsia="宋体" w:cs="Times New Roman"/>
          <w:b w:val="0"/>
          <w:bCs w:val="0"/>
          <w:color w:val="auto"/>
          <w:spacing w:val="0"/>
          <w:w w:val="100"/>
          <w:position w:val="0"/>
          <w:sz w:val="24"/>
          <w:szCs w:val="24"/>
        </w:rPr>
        <w:t>/d，主要污染物为COD、BOD</w:t>
      </w:r>
      <w:r>
        <w:rPr>
          <w:rFonts w:hint="default" w:ascii="Times New Roman" w:hAnsi="Times New Roman" w:eastAsia="宋体" w:cs="Times New Roman"/>
          <w:b w:val="0"/>
          <w:bCs w:val="0"/>
          <w:color w:val="auto"/>
          <w:spacing w:val="0"/>
          <w:w w:val="100"/>
          <w:position w:val="0"/>
          <w:sz w:val="24"/>
          <w:szCs w:val="24"/>
          <w:vertAlign w:val="subscript"/>
        </w:rPr>
        <w:t>5</w:t>
      </w:r>
      <w:r>
        <w:rPr>
          <w:rFonts w:hint="default" w:ascii="Times New Roman" w:hAnsi="Times New Roman" w:eastAsia="宋体" w:cs="Times New Roman"/>
          <w:b w:val="0"/>
          <w:bCs w:val="0"/>
          <w:color w:val="auto"/>
          <w:spacing w:val="0"/>
          <w:w w:val="100"/>
          <w:position w:val="0"/>
          <w:sz w:val="24"/>
          <w:szCs w:val="24"/>
        </w:rPr>
        <w:t>、SS等。生活污水采用移动式卫生厕所对施工人员产生的粪便水进行收集，由环卫部门集中处置。</w:t>
      </w:r>
    </w:p>
    <w:p w14:paraId="54B89CFE">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3</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噪声</w:t>
      </w:r>
    </w:p>
    <w:p w14:paraId="0371A2CD">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基础施工、构筑物建设产生的施工噪声，通过夜间不施工，能够大大减少噪声影响；设备安装产生的施工噪声，室内操作，影响不大；井下施工产生的施工噪声位于井下，对地表影响不大。故施工期的噪声源主要为地表工程施工期各类施工机械噪声。</w:t>
      </w:r>
    </w:p>
    <w:p w14:paraId="45657A4B">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根据类比调查可知，施工机械主要是挖掘机、装载机、推土机、凿岩机、空压机、混凝土搅拌机、压路机、起重机等施工设备。其噪声级类比调查结果见表3.3-</w:t>
      </w:r>
      <w:r>
        <w:rPr>
          <w:rFonts w:hint="default" w:ascii="Times New Roman" w:hAnsi="Times New Roman" w:cs="Times New Roman"/>
          <w:b w:val="0"/>
          <w:bCs w:val="0"/>
          <w:color w:val="auto"/>
          <w:spacing w:val="0"/>
          <w:w w:val="100"/>
          <w:position w:val="0"/>
          <w:sz w:val="24"/>
          <w:szCs w:val="24"/>
          <w:lang w:val="en-US" w:eastAsia="zh-CN"/>
        </w:rPr>
        <w:t>10</w:t>
      </w:r>
      <w:r>
        <w:rPr>
          <w:rFonts w:hint="default" w:ascii="Times New Roman" w:hAnsi="Times New Roman" w:eastAsia="宋体" w:cs="Times New Roman"/>
          <w:b w:val="0"/>
          <w:bCs w:val="0"/>
          <w:color w:val="auto"/>
          <w:spacing w:val="0"/>
          <w:w w:val="100"/>
          <w:position w:val="0"/>
          <w:sz w:val="24"/>
          <w:szCs w:val="24"/>
        </w:rPr>
        <w:t>。由于施工机械噪声值较高，施工期对现场及周围环境将产生一定影响。</w:t>
      </w:r>
    </w:p>
    <w:p w14:paraId="19EE93C2">
      <w:pPr>
        <w:spacing w:before="114" w:line="220" w:lineRule="auto"/>
        <w:ind w:left="0" w:leftChars="0" w:firstLine="0" w:firstLineChars="0"/>
        <w:jc w:val="center"/>
        <w:rPr>
          <w:rFonts w:hint="default" w:ascii="Times New Roman" w:hAnsi="Times New Roman" w:eastAsia="宋体" w:cs="Times New Roman"/>
          <w:color w:val="auto"/>
          <w:spacing w:val="0"/>
          <w:w w:val="100"/>
          <w:position w:val="0"/>
          <w:sz w:val="21"/>
          <w:szCs w:val="21"/>
        </w:rPr>
      </w:pPr>
      <w:bookmarkStart w:id="349" w:name="OLE_LINK7"/>
      <w:r>
        <w:rPr>
          <w:rFonts w:hint="default" w:ascii="Times New Roman" w:hAnsi="Times New Roman" w:eastAsia="宋体" w:cs="Times New Roman"/>
          <w:b/>
          <w:bCs/>
          <w:color w:val="auto"/>
          <w:spacing w:val="0"/>
          <w:w w:val="100"/>
          <w:position w:val="0"/>
          <w:sz w:val="21"/>
          <w:szCs w:val="21"/>
        </w:rPr>
        <w:t>表3.3-</w:t>
      </w:r>
      <w:r>
        <w:rPr>
          <w:rFonts w:hint="default" w:ascii="Times New Roman" w:hAnsi="Times New Roman" w:eastAsia="宋体" w:cs="Times New Roman"/>
          <w:b/>
          <w:bCs/>
          <w:color w:val="auto"/>
          <w:spacing w:val="0"/>
          <w:w w:val="100"/>
          <w:position w:val="0"/>
          <w:sz w:val="21"/>
          <w:szCs w:val="21"/>
          <w:lang w:val="en-US" w:eastAsia="zh-CN"/>
        </w:rPr>
        <w:t>1</w:t>
      </w:r>
      <w:r>
        <w:rPr>
          <w:rFonts w:hint="default" w:ascii="Times New Roman" w:hAnsi="Times New Roman" w:cs="Times New Roman"/>
          <w:b/>
          <w:bCs/>
          <w:color w:val="auto"/>
          <w:spacing w:val="0"/>
          <w:w w:val="100"/>
          <w:position w:val="0"/>
          <w:sz w:val="21"/>
          <w:szCs w:val="21"/>
          <w:lang w:val="en-US" w:eastAsia="zh-CN"/>
        </w:rPr>
        <w:t>0</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主要施工设备噪声源强表</w:t>
      </w:r>
    </w:p>
    <w:tbl>
      <w:tblPr>
        <w:tblStyle w:val="31"/>
        <w:tblW w:w="4999"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062"/>
        <w:gridCol w:w="2103"/>
        <w:gridCol w:w="2058"/>
        <w:gridCol w:w="2111"/>
      </w:tblGrid>
      <w:tr w14:paraId="480D5E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004DDDD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产噪设备</w:t>
            </w:r>
          </w:p>
        </w:tc>
        <w:tc>
          <w:tcPr>
            <w:tcW w:w="1261" w:type="pct"/>
            <w:tcBorders>
              <w:tl2br w:val="nil"/>
              <w:tr2bl w:val="nil"/>
            </w:tcBorders>
            <w:vAlign w:val="center"/>
          </w:tcPr>
          <w:p w14:paraId="4460E2E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声级/距离〔dB（A）/m〕</w:t>
            </w:r>
          </w:p>
        </w:tc>
        <w:tc>
          <w:tcPr>
            <w:tcW w:w="1234" w:type="pct"/>
            <w:tcBorders>
              <w:tl2br w:val="nil"/>
              <w:tr2bl w:val="nil"/>
            </w:tcBorders>
            <w:vAlign w:val="center"/>
          </w:tcPr>
          <w:p w14:paraId="366B740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产噪设备</w:t>
            </w:r>
          </w:p>
        </w:tc>
        <w:tc>
          <w:tcPr>
            <w:tcW w:w="1266" w:type="pct"/>
            <w:tcBorders>
              <w:tl2br w:val="nil"/>
              <w:tr2bl w:val="nil"/>
            </w:tcBorders>
            <w:vAlign w:val="center"/>
          </w:tcPr>
          <w:p w14:paraId="0E55383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声级/距离〔dB（A）/m〕</w:t>
            </w:r>
          </w:p>
        </w:tc>
      </w:tr>
      <w:tr w14:paraId="43AC9E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744A52F8">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挖掘机</w:t>
            </w:r>
          </w:p>
        </w:tc>
        <w:tc>
          <w:tcPr>
            <w:tcW w:w="1261" w:type="pct"/>
            <w:tcBorders>
              <w:tl2br w:val="nil"/>
              <w:tr2bl w:val="nil"/>
            </w:tcBorders>
            <w:vAlign w:val="center"/>
          </w:tcPr>
          <w:p w14:paraId="0A2A60D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91/5</w:t>
            </w:r>
          </w:p>
        </w:tc>
        <w:tc>
          <w:tcPr>
            <w:tcW w:w="1234" w:type="pct"/>
            <w:tcBorders>
              <w:tl2br w:val="nil"/>
              <w:tr2bl w:val="nil"/>
            </w:tcBorders>
            <w:vAlign w:val="center"/>
          </w:tcPr>
          <w:p w14:paraId="47A40BB9">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液压起重机</w:t>
            </w:r>
          </w:p>
        </w:tc>
        <w:tc>
          <w:tcPr>
            <w:tcW w:w="1266" w:type="pct"/>
            <w:tcBorders>
              <w:tl2br w:val="nil"/>
              <w:tr2bl w:val="nil"/>
            </w:tcBorders>
            <w:vAlign w:val="center"/>
          </w:tcPr>
          <w:p w14:paraId="52C68C2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88/5</w:t>
            </w:r>
          </w:p>
        </w:tc>
      </w:tr>
      <w:tr w14:paraId="2672BE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7DE9682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装载机</w:t>
            </w:r>
          </w:p>
        </w:tc>
        <w:tc>
          <w:tcPr>
            <w:tcW w:w="1261" w:type="pct"/>
            <w:tcBorders>
              <w:tl2br w:val="nil"/>
              <w:tr2bl w:val="nil"/>
            </w:tcBorders>
            <w:vAlign w:val="center"/>
          </w:tcPr>
          <w:p w14:paraId="1DF37E1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89/5</w:t>
            </w:r>
          </w:p>
        </w:tc>
        <w:tc>
          <w:tcPr>
            <w:tcW w:w="1234" w:type="pct"/>
            <w:tcBorders>
              <w:tl2br w:val="nil"/>
              <w:tr2bl w:val="nil"/>
            </w:tcBorders>
            <w:vAlign w:val="center"/>
          </w:tcPr>
          <w:p w14:paraId="1D78B67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摊铺机</w:t>
            </w:r>
          </w:p>
        </w:tc>
        <w:tc>
          <w:tcPr>
            <w:tcW w:w="1266" w:type="pct"/>
            <w:tcBorders>
              <w:tl2br w:val="nil"/>
              <w:tr2bl w:val="nil"/>
            </w:tcBorders>
            <w:vAlign w:val="center"/>
          </w:tcPr>
          <w:p w14:paraId="677C0A0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84/5</w:t>
            </w:r>
          </w:p>
        </w:tc>
      </w:tr>
      <w:tr w14:paraId="48E229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08D18D8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推土机</w:t>
            </w:r>
          </w:p>
        </w:tc>
        <w:tc>
          <w:tcPr>
            <w:tcW w:w="1261" w:type="pct"/>
            <w:tcBorders>
              <w:tl2br w:val="nil"/>
              <w:tr2bl w:val="nil"/>
            </w:tcBorders>
            <w:vAlign w:val="center"/>
          </w:tcPr>
          <w:p w14:paraId="64BCA0F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88/5</w:t>
            </w:r>
          </w:p>
        </w:tc>
        <w:tc>
          <w:tcPr>
            <w:tcW w:w="1234" w:type="pct"/>
            <w:tcBorders>
              <w:tl2br w:val="nil"/>
              <w:tr2bl w:val="nil"/>
            </w:tcBorders>
            <w:vAlign w:val="center"/>
          </w:tcPr>
          <w:p w14:paraId="506F4CC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拌和机</w:t>
            </w:r>
          </w:p>
        </w:tc>
        <w:tc>
          <w:tcPr>
            <w:tcW w:w="1266" w:type="pct"/>
            <w:tcBorders>
              <w:tl2br w:val="nil"/>
              <w:tr2bl w:val="nil"/>
            </w:tcBorders>
            <w:vAlign w:val="center"/>
          </w:tcPr>
          <w:p w14:paraId="3EAFB48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87/5</w:t>
            </w:r>
          </w:p>
        </w:tc>
      </w:tr>
      <w:tr w14:paraId="05ABB6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2B5B1D2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凿岩机</w:t>
            </w:r>
          </w:p>
        </w:tc>
        <w:tc>
          <w:tcPr>
            <w:tcW w:w="1261" w:type="pct"/>
            <w:tcBorders>
              <w:tl2br w:val="nil"/>
              <w:tr2bl w:val="nil"/>
            </w:tcBorders>
            <w:vAlign w:val="center"/>
          </w:tcPr>
          <w:p w14:paraId="641CCE0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100/5</w:t>
            </w:r>
          </w:p>
        </w:tc>
        <w:tc>
          <w:tcPr>
            <w:tcW w:w="1234" w:type="pct"/>
            <w:tcBorders>
              <w:tl2br w:val="nil"/>
              <w:tr2bl w:val="nil"/>
            </w:tcBorders>
            <w:vAlign w:val="center"/>
          </w:tcPr>
          <w:p w14:paraId="2D510A2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通风机</w:t>
            </w:r>
          </w:p>
        </w:tc>
        <w:tc>
          <w:tcPr>
            <w:tcW w:w="1266" w:type="pct"/>
            <w:tcBorders>
              <w:tl2br w:val="nil"/>
              <w:tr2bl w:val="nil"/>
            </w:tcBorders>
            <w:vAlign w:val="center"/>
          </w:tcPr>
          <w:p w14:paraId="5878856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105/5</w:t>
            </w:r>
          </w:p>
        </w:tc>
      </w:tr>
      <w:tr w14:paraId="05C418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1F042BC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空压机</w:t>
            </w:r>
          </w:p>
        </w:tc>
        <w:tc>
          <w:tcPr>
            <w:tcW w:w="1261" w:type="pct"/>
            <w:tcBorders>
              <w:tl2br w:val="nil"/>
              <w:tr2bl w:val="nil"/>
            </w:tcBorders>
            <w:vAlign w:val="center"/>
          </w:tcPr>
          <w:p w14:paraId="5DB4AA8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91/5</w:t>
            </w:r>
          </w:p>
        </w:tc>
        <w:tc>
          <w:tcPr>
            <w:tcW w:w="1234" w:type="pct"/>
            <w:tcBorders>
              <w:tl2br w:val="nil"/>
              <w:tr2bl w:val="nil"/>
            </w:tcBorders>
            <w:vAlign w:val="center"/>
          </w:tcPr>
          <w:p w14:paraId="0416AC4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水泵</w:t>
            </w:r>
          </w:p>
        </w:tc>
        <w:tc>
          <w:tcPr>
            <w:tcW w:w="1266" w:type="pct"/>
            <w:tcBorders>
              <w:tl2br w:val="nil"/>
              <w:tr2bl w:val="nil"/>
            </w:tcBorders>
            <w:vAlign w:val="center"/>
          </w:tcPr>
          <w:p w14:paraId="2957E66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88/5</w:t>
            </w:r>
          </w:p>
        </w:tc>
      </w:tr>
      <w:tr w14:paraId="100372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4A30684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混凝土搅拌机</w:t>
            </w:r>
          </w:p>
        </w:tc>
        <w:tc>
          <w:tcPr>
            <w:tcW w:w="1261" w:type="pct"/>
            <w:tcBorders>
              <w:tl2br w:val="nil"/>
              <w:tr2bl w:val="nil"/>
            </w:tcBorders>
            <w:vAlign w:val="center"/>
          </w:tcPr>
          <w:p w14:paraId="523CD40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87/5</w:t>
            </w:r>
          </w:p>
        </w:tc>
        <w:tc>
          <w:tcPr>
            <w:tcW w:w="1234" w:type="pct"/>
            <w:tcBorders>
              <w:tl2br w:val="nil"/>
              <w:tr2bl w:val="nil"/>
            </w:tcBorders>
            <w:vAlign w:val="center"/>
          </w:tcPr>
          <w:p w14:paraId="14DE693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平地机</w:t>
            </w:r>
          </w:p>
        </w:tc>
        <w:tc>
          <w:tcPr>
            <w:tcW w:w="1266" w:type="pct"/>
            <w:tcBorders>
              <w:tl2br w:val="nil"/>
              <w:tr2bl w:val="nil"/>
            </w:tcBorders>
            <w:vAlign w:val="center"/>
          </w:tcPr>
          <w:p w14:paraId="642F493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90/5</w:t>
            </w:r>
          </w:p>
        </w:tc>
      </w:tr>
      <w:tr w14:paraId="66B4C2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237" w:type="pct"/>
            <w:tcBorders>
              <w:tl2br w:val="nil"/>
              <w:tr2bl w:val="nil"/>
            </w:tcBorders>
            <w:vAlign w:val="center"/>
          </w:tcPr>
          <w:p w14:paraId="5F97429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压路机</w:t>
            </w:r>
          </w:p>
        </w:tc>
        <w:tc>
          <w:tcPr>
            <w:tcW w:w="1261" w:type="pct"/>
            <w:tcBorders>
              <w:tl2br w:val="nil"/>
              <w:tr2bl w:val="nil"/>
            </w:tcBorders>
            <w:vAlign w:val="center"/>
          </w:tcPr>
          <w:p w14:paraId="68B127C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86/5</w:t>
            </w:r>
          </w:p>
        </w:tc>
        <w:tc>
          <w:tcPr>
            <w:tcW w:w="1234" w:type="pct"/>
            <w:tcBorders>
              <w:tl2br w:val="nil"/>
              <w:tr2bl w:val="nil"/>
            </w:tcBorders>
            <w:vAlign w:val="center"/>
          </w:tcPr>
          <w:p w14:paraId="72336F5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电锯</w:t>
            </w:r>
          </w:p>
        </w:tc>
        <w:tc>
          <w:tcPr>
            <w:tcW w:w="1266" w:type="pct"/>
            <w:tcBorders>
              <w:tl2br w:val="nil"/>
              <w:tr2bl w:val="nil"/>
            </w:tcBorders>
            <w:vAlign w:val="center"/>
          </w:tcPr>
          <w:p w14:paraId="2FFCEC6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95/5</w:t>
            </w:r>
          </w:p>
        </w:tc>
      </w:tr>
      <w:bookmarkEnd w:id="349"/>
    </w:tbl>
    <w:p w14:paraId="1EFF6127">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（4）</w:t>
      </w:r>
      <w:r>
        <w:rPr>
          <w:rFonts w:hint="default" w:ascii="Times New Roman" w:hAnsi="Times New Roman" w:eastAsia="宋体" w:cs="Times New Roman"/>
          <w:b w:val="0"/>
          <w:bCs w:val="0"/>
          <w:color w:val="auto"/>
          <w:spacing w:val="0"/>
          <w:w w:val="100"/>
          <w:position w:val="0"/>
          <w:sz w:val="24"/>
          <w:szCs w:val="24"/>
        </w:rPr>
        <w:t>固废</w:t>
      </w:r>
    </w:p>
    <w:p w14:paraId="0EF30D27">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项目施工期间主要固废为基建废石和生活垃圾。</w:t>
      </w:r>
    </w:p>
    <w:p w14:paraId="1B029B51">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①</w:t>
      </w:r>
      <w:r>
        <w:rPr>
          <w:rFonts w:hint="default" w:ascii="Times New Roman" w:hAnsi="Times New Roman" w:eastAsia="宋体" w:cs="Times New Roman"/>
          <w:b w:val="0"/>
          <w:bCs w:val="0"/>
          <w:color w:val="auto"/>
          <w:spacing w:val="0"/>
          <w:w w:val="100"/>
          <w:position w:val="0"/>
          <w:sz w:val="24"/>
          <w:szCs w:val="24"/>
        </w:rPr>
        <w:t>基建废石</w:t>
      </w:r>
    </w:p>
    <w:p w14:paraId="04E39BCA">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highlight w:val="yellow"/>
        </w:rPr>
      </w:pPr>
      <w:r>
        <w:rPr>
          <w:rFonts w:hint="default" w:ascii="Times New Roman" w:hAnsi="Times New Roman" w:eastAsia="宋体" w:cs="Times New Roman"/>
          <w:b w:val="0"/>
          <w:bCs w:val="0"/>
          <w:color w:val="auto"/>
          <w:spacing w:val="0"/>
          <w:w w:val="100"/>
          <w:position w:val="0"/>
          <w:sz w:val="24"/>
          <w:szCs w:val="24"/>
        </w:rPr>
        <w:t>施工期基建固废主要来自场地平整、道路工程以及井巷工程等基建工程中产生的废石等</w:t>
      </w:r>
      <w:r>
        <w:rPr>
          <w:rFonts w:hint="default" w:ascii="Times New Roman" w:hAnsi="Times New Roman" w:eastAsia="宋体" w:cs="Times New Roman"/>
          <w:b w:val="0"/>
          <w:bCs w:val="0"/>
          <w:color w:val="auto"/>
          <w:spacing w:val="0"/>
          <w:w w:val="100"/>
          <w:position w:val="0"/>
          <w:sz w:val="24"/>
          <w:szCs w:val="24"/>
          <w:highlight w:val="none"/>
        </w:rPr>
        <w:t>，其产生量约为</w:t>
      </w:r>
      <w:r>
        <w:rPr>
          <w:rFonts w:hint="default" w:ascii="Times New Roman" w:hAnsi="Times New Roman" w:cs="Times New Roman"/>
          <w:b w:val="0"/>
          <w:bCs w:val="0"/>
          <w:color w:val="auto"/>
          <w:spacing w:val="0"/>
          <w:w w:val="100"/>
          <w:position w:val="0"/>
          <w:sz w:val="24"/>
          <w:szCs w:val="24"/>
          <w:highlight w:val="none"/>
          <w:lang w:val="en-US" w:eastAsia="zh-CN"/>
        </w:rPr>
        <w:t>22.61</w:t>
      </w:r>
      <w:r>
        <w:rPr>
          <w:rFonts w:hint="default" w:ascii="Times New Roman" w:hAnsi="Times New Roman" w:eastAsia="宋体" w:cs="Times New Roman"/>
          <w:b w:val="0"/>
          <w:bCs w:val="0"/>
          <w:color w:val="auto"/>
          <w:spacing w:val="0"/>
          <w:w w:val="100"/>
          <w:position w:val="0"/>
          <w:sz w:val="24"/>
          <w:szCs w:val="24"/>
          <w:highlight w:val="none"/>
        </w:rPr>
        <w:t>×10</w:t>
      </w:r>
      <w:r>
        <w:rPr>
          <w:rFonts w:hint="default" w:ascii="Times New Roman" w:hAnsi="Times New Roman" w:eastAsia="宋体" w:cs="Times New Roman"/>
          <w:b w:val="0"/>
          <w:bCs w:val="0"/>
          <w:color w:val="auto"/>
          <w:spacing w:val="0"/>
          <w:w w:val="100"/>
          <w:position w:val="0"/>
          <w:sz w:val="24"/>
          <w:szCs w:val="24"/>
          <w:highlight w:val="none"/>
          <w:vertAlign w:val="superscript"/>
        </w:rPr>
        <w:t>4</w:t>
      </w:r>
      <w:r>
        <w:rPr>
          <w:rFonts w:hint="default" w:ascii="Times New Roman" w:hAnsi="Times New Roman" w:eastAsia="宋体" w:cs="Times New Roman"/>
          <w:b w:val="0"/>
          <w:bCs w:val="0"/>
          <w:color w:val="auto"/>
          <w:spacing w:val="0"/>
          <w:w w:val="100"/>
          <w:position w:val="0"/>
          <w:sz w:val="24"/>
          <w:szCs w:val="24"/>
          <w:highlight w:val="none"/>
          <w:lang w:val="en-US" w:eastAsia="zh-CN"/>
        </w:rPr>
        <w:t>t</w:t>
      </w:r>
      <w:r>
        <w:rPr>
          <w:rFonts w:hint="default" w:ascii="Times New Roman" w:hAnsi="Times New Roman" w:eastAsia="宋体" w:cs="Times New Roman"/>
          <w:b w:val="0"/>
          <w:bCs w:val="0"/>
          <w:color w:val="auto"/>
          <w:spacing w:val="0"/>
          <w:w w:val="100"/>
          <w:position w:val="0"/>
          <w:sz w:val="24"/>
          <w:szCs w:val="24"/>
          <w:highlight w:val="none"/>
        </w:rPr>
        <w:t>。该部分固废</w:t>
      </w:r>
      <w:r>
        <w:rPr>
          <w:rFonts w:hint="default" w:ascii="Times New Roman" w:hAnsi="Times New Roman" w:cs="Times New Roman"/>
          <w:b w:val="0"/>
          <w:bCs w:val="0"/>
          <w:color w:val="auto"/>
          <w:spacing w:val="0"/>
          <w:w w:val="100"/>
          <w:position w:val="0"/>
          <w:sz w:val="24"/>
          <w:szCs w:val="24"/>
          <w:highlight w:val="none"/>
          <w:lang w:val="en-US" w:eastAsia="zh-CN"/>
        </w:rPr>
        <w:t>堆存于临时废石场内，用于充填原料充填于井下</w:t>
      </w:r>
      <w:r>
        <w:rPr>
          <w:rFonts w:hint="default" w:ascii="Times New Roman" w:hAnsi="Times New Roman" w:eastAsia="宋体" w:cs="Times New Roman"/>
          <w:b w:val="0"/>
          <w:bCs w:val="0"/>
          <w:color w:val="auto"/>
          <w:spacing w:val="0"/>
          <w:w w:val="100"/>
          <w:position w:val="0"/>
          <w:sz w:val="24"/>
          <w:szCs w:val="24"/>
          <w:highlight w:val="none"/>
        </w:rPr>
        <w:t>。</w:t>
      </w:r>
    </w:p>
    <w:p w14:paraId="479ED995">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②</w:t>
      </w:r>
      <w:r>
        <w:rPr>
          <w:rFonts w:hint="default" w:ascii="Times New Roman" w:hAnsi="Times New Roman" w:eastAsia="宋体" w:cs="Times New Roman"/>
          <w:b w:val="0"/>
          <w:bCs w:val="0"/>
          <w:color w:val="auto"/>
          <w:spacing w:val="0"/>
          <w:w w:val="100"/>
          <w:position w:val="0"/>
          <w:sz w:val="24"/>
          <w:szCs w:val="24"/>
        </w:rPr>
        <w:t>生活垃圾</w:t>
      </w:r>
    </w:p>
    <w:p w14:paraId="344AAFCE">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生活垃圾：施工期施工人员</w:t>
      </w:r>
      <w:r>
        <w:rPr>
          <w:rFonts w:hint="eastAsia" w:ascii="Times New Roman" w:hAnsi="Times New Roman" w:cs="Times New Roman"/>
          <w:color w:val="auto"/>
          <w:spacing w:val="0"/>
          <w:w w:val="100"/>
          <w:position w:val="0"/>
          <w:sz w:val="24"/>
          <w:szCs w:val="24"/>
          <w:lang w:eastAsia="zh-CN"/>
        </w:rPr>
        <w:t>预计</w:t>
      </w:r>
      <w:r>
        <w:rPr>
          <w:rFonts w:hint="default" w:ascii="Times New Roman" w:hAnsi="Times New Roman" w:eastAsia="宋体" w:cs="Times New Roman"/>
          <w:color w:val="auto"/>
          <w:spacing w:val="0"/>
          <w:w w:val="100"/>
          <w:position w:val="0"/>
          <w:sz w:val="24"/>
          <w:szCs w:val="24"/>
        </w:rPr>
        <w:t>每天100人，产生的生活垃圾按每人每天0.5kg计，则每天产生的生活垃圾约50kg，施工期按年250天计算，则施工期年产生生活垃圾12.5t。</w:t>
      </w:r>
      <w:r>
        <w:rPr>
          <w:rFonts w:hint="default" w:ascii="Times New Roman" w:hAnsi="Times New Roman" w:eastAsia="宋体" w:cs="Times New Roman"/>
          <w:b w:val="0"/>
          <w:bCs w:val="0"/>
          <w:color w:val="auto"/>
          <w:spacing w:val="0"/>
          <w:w w:val="100"/>
          <w:position w:val="0"/>
          <w:sz w:val="24"/>
          <w:szCs w:val="24"/>
          <w:lang w:val="en-US" w:eastAsia="zh-CN"/>
        </w:rPr>
        <w:t>集中收集后，</w:t>
      </w:r>
      <w:r>
        <w:rPr>
          <w:rFonts w:hint="default" w:ascii="Times New Roman" w:hAnsi="Times New Roman" w:eastAsia="宋体" w:cs="Times New Roman"/>
          <w:b w:val="0"/>
          <w:bCs w:val="0"/>
          <w:color w:val="auto"/>
          <w:spacing w:val="0"/>
          <w:w w:val="100"/>
          <w:position w:val="0"/>
          <w:sz w:val="24"/>
          <w:szCs w:val="24"/>
        </w:rPr>
        <w:t>外运至垃圾填埋场。</w:t>
      </w:r>
    </w:p>
    <w:p w14:paraId="5E8622C7">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5</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生态影响</w:t>
      </w:r>
    </w:p>
    <w:p w14:paraId="4482C931">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期包括矿区道路、矿山开采区与废石场的建设；弃土的堆放和施工期各类机械人员扰动及工程占地等都将不同程度地造成裸露地表的破坏，还对地表结皮有较大范围的扰动、破坏。项目区原地表呈现砾漠，其下还有近10cm厚的盐碱层土壤可有效</w:t>
      </w:r>
      <w:r>
        <w:rPr>
          <w:rFonts w:hint="eastAsia" w:ascii="Times New Roman" w:hAnsi="Times New Roman" w:cs="Times New Roman"/>
          <w:b w:val="0"/>
          <w:bCs w:val="0"/>
          <w:color w:val="auto"/>
          <w:spacing w:val="0"/>
          <w:w w:val="100"/>
          <w:position w:val="0"/>
          <w:sz w:val="24"/>
          <w:szCs w:val="24"/>
          <w:lang w:eastAsia="zh-CN"/>
        </w:rPr>
        <w:t>地</w:t>
      </w:r>
      <w:r>
        <w:rPr>
          <w:rFonts w:hint="default" w:ascii="Times New Roman" w:hAnsi="Times New Roman" w:eastAsia="宋体" w:cs="Times New Roman"/>
          <w:b w:val="0"/>
          <w:bCs w:val="0"/>
          <w:color w:val="auto"/>
          <w:spacing w:val="0"/>
          <w:w w:val="100"/>
          <w:position w:val="0"/>
          <w:sz w:val="24"/>
          <w:szCs w:val="24"/>
        </w:rPr>
        <w:t>防止风蚀，但由于人为的扰动，使地表保护层破坏。扰动、破坏后的地表将无法再有效的抵御该区强烈的风蚀，由此可能引发水土流失。</w:t>
      </w:r>
    </w:p>
    <w:p w14:paraId="1A891836">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运营期污染源分析及源强核算</w:t>
      </w:r>
    </w:p>
    <w:p w14:paraId="21C1C02E">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3.3.6.1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废气污染物</w:t>
      </w:r>
    </w:p>
    <w:p w14:paraId="114768A6">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lang w:val="en-US" w:eastAsia="zh-CN"/>
        </w:rPr>
      </w:pPr>
      <w:r>
        <w:rPr>
          <w:rFonts w:hint="default" w:ascii="Times New Roman" w:hAnsi="Times New Roman" w:eastAsia="宋体" w:cs="Times New Roman"/>
          <w:b w:val="0"/>
          <w:bCs w:val="0"/>
          <w:color w:val="auto"/>
          <w:spacing w:val="0"/>
          <w:w w:val="100"/>
          <w:position w:val="0"/>
          <w:sz w:val="24"/>
          <w:szCs w:val="24"/>
        </w:rPr>
        <w:t>地下开采运营期主要污染物产生节点见图3.3-</w:t>
      </w:r>
      <w:r>
        <w:rPr>
          <w:rFonts w:hint="default" w:ascii="Times New Roman" w:hAnsi="Times New Roman" w:cs="Times New Roman"/>
          <w:b w:val="0"/>
          <w:bCs w:val="0"/>
          <w:color w:val="auto"/>
          <w:spacing w:val="0"/>
          <w:w w:val="100"/>
          <w:position w:val="0"/>
          <w:sz w:val="24"/>
          <w:szCs w:val="24"/>
          <w:lang w:val="en-US" w:eastAsia="zh-CN"/>
        </w:rPr>
        <w:t>3</w:t>
      </w:r>
      <w:r>
        <w:rPr>
          <w:rFonts w:hint="default" w:ascii="Times New Roman" w:hAnsi="Times New Roman" w:eastAsia="宋体" w:cs="Times New Roman"/>
          <w:b w:val="0"/>
          <w:bCs w:val="0"/>
          <w:color w:val="auto"/>
          <w:spacing w:val="0"/>
          <w:w w:val="100"/>
          <w:position w:val="0"/>
          <w:sz w:val="24"/>
          <w:szCs w:val="24"/>
        </w:rPr>
        <w:t>。</w:t>
      </w:r>
      <w:r>
        <w:rPr>
          <w:rFonts w:hint="default" w:ascii="Times New Roman" w:hAnsi="Times New Roman" w:cs="Times New Roman"/>
          <w:b w:val="0"/>
          <w:bCs w:val="0"/>
          <w:color w:val="auto"/>
          <w:spacing w:val="0"/>
          <w:w w:val="100"/>
          <w:position w:val="0"/>
          <w:sz w:val="24"/>
          <w:szCs w:val="24"/>
          <w:lang w:val="en-US" w:eastAsia="zh-CN"/>
        </w:rPr>
        <w:t>充填</w:t>
      </w:r>
      <w:r>
        <w:rPr>
          <w:rFonts w:hint="default" w:ascii="Times New Roman" w:hAnsi="Times New Roman" w:eastAsia="宋体" w:cs="Times New Roman"/>
          <w:color w:val="auto"/>
          <w:sz w:val="24"/>
          <w:szCs w:val="24"/>
          <w:lang w:val="en-US" w:eastAsia="zh-CN"/>
        </w:rPr>
        <w:t>工艺流程及排污节点示意图见图</w:t>
      </w:r>
      <w:r>
        <w:rPr>
          <w:rFonts w:hint="default" w:ascii="Times New Roman" w:hAnsi="Times New Roman" w:eastAsia="宋体" w:cs="Times New Roman"/>
          <w:b w:val="0"/>
          <w:color w:val="auto"/>
          <w:kern w:val="0"/>
          <w:sz w:val="24"/>
          <w:szCs w:val="28"/>
          <w:lang w:val="en-US" w:eastAsia="zh-CN"/>
        </w:rPr>
        <w:t>3.3-4。</w:t>
      </w:r>
    </w:p>
    <w:p w14:paraId="14A5D0FA">
      <w:pPr>
        <w:pStyle w:val="11"/>
        <w:rPr>
          <w:rFonts w:hint="default" w:ascii="Times New Roman" w:hAnsi="Times New Roman" w:eastAsia="宋体" w:cs="Times New Roman"/>
          <w:b/>
          <w:color w:val="auto"/>
          <w:spacing w:val="0"/>
          <w:w w:val="100"/>
          <w:position w:val="0"/>
          <w:sz w:val="24"/>
          <w:highlight w:val="none"/>
        </w:rPr>
      </w:pPr>
    </w:p>
    <w:p w14:paraId="78446209">
      <w:pPr>
        <w:pStyle w:val="12"/>
        <w:rPr>
          <w:rFonts w:hint="default" w:ascii="Times New Roman" w:hAnsi="Times New Roman" w:cs="Times New Roman"/>
          <w:color w:val="auto"/>
        </w:rPr>
      </w:pPr>
    </w:p>
    <w:p w14:paraId="24F04AC6">
      <w:pPr>
        <w:pStyle w:val="9"/>
        <w:rPr>
          <w:rFonts w:hint="default" w:ascii="Times New Roman" w:hAnsi="Times New Roman" w:eastAsia="宋体" w:cs="Times New Roman"/>
          <w:color w:val="auto"/>
        </w:rPr>
      </w:pPr>
    </w:p>
    <w:p w14:paraId="130E1CB7">
      <w:pPr>
        <w:rPr>
          <w:rFonts w:hint="default" w:ascii="Times New Roman" w:hAnsi="Times New Roman" w:eastAsia="宋体" w:cs="Times New Roman"/>
          <w:b/>
          <w:color w:val="auto"/>
          <w:spacing w:val="0"/>
          <w:w w:val="100"/>
          <w:position w:val="0"/>
          <w:sz w:val="24"/>
          <w:highlight w:val="none"/>
        </w:rPr>
      </w:pPr>
    </w:p>
    <w:p w14:paraId="55AA5A62">
      <w:pPr>
        <w:ind w:left="0" w:leftChars="0" w:firstLine="0" w:firstLineChars="0"/>
        <w:jc w:val="left"/>
        <w:rPr>
          <w:rFonts w:hint="default" w:ascii="Times New Roman" w:hAnsi="Times New Roman" w:eastAsia="宋体" w:cs="Times New Roman"/>
          <w:b/>
          <w:color w:val="auto"/>
          <w:spacing w:val="0"/>
          <w:w w:val="100"/>
          <w:position w:val="0"/>
          <w:sz w:val="24"/>
          <w:highlight w:val="none"/>
        </w:rPr>
      </w:pPr>
    </w:p>
    <w:p w14:paraId="6576B73C">
      <w:pPr>
        <w:ind w:left="0" w:leftChars="0" w:firstLine="0" w:firstLineChars="0"/>
        <w:jc w:val="left"/>
        <w:rPr>
          <w:rFonts w:hint="default" w:ascii="Times New Roman" w:hAnsi="Times New Roman" w:eastAsia="宋体" w:cs="Times New Roman"/>
          <w:b/>
          <w:color w:val="auto"/>
          <w:spacing w:val="0"/>
          <w:w w:val="100"/>
          <w:position w:val="0"/>
          <w:sz w:val="24"/>
          <w:highlight w:val="none"/>
        </w:rPr>
      </w:pPr>
    </w:p>
    <w:p w14:paraId="2D43BB1B">
      <w:pPr>
        <w:pStyle w:val="9"/>
        <w:rPr>
          <w:rFonts w:hint="default" w:ascii="Times New Roman" w:hAnsi="Times New Roman" w:eastAsia="宋体" w:cs="Times New Roman"/>
          <w:color w:val="auto"/>
          <w:spacing w:val="0"/>
          <w:w w:val="100"/>
          <w:position w:val="0"/>
        </w:rPr>
      </w:pPr>
    </w:p>
    <w:p w14:paraId="1D1D4181">
      <w:pPr>
        <w:rPr>
          <w:rFonts w:hint="default" w:ascii="Times New Roman" w:hAnsi="Times New Roman" w:eastAsia="宋体" w:cs="Times New Roman"/>
          <w:b/>
          <w:color w:val="auto"/>
          <w:spacing w:val="0"/>
          <w:w w:val="100"/>
          <w:position w:val="0"/>
          <w:sz w:val="24"/>
          <w:highlight w:val="none"/>
        </w:rPr>
      </w:pPr>
      <w:r>
        <w:rPr>
          <w:rFonts w:hint="default" w:ascii="Times New Roman" w:hAnsi="Times New Roman" w:eastAsia="宋体" w:cs="Times New Roman"/>
          <w:color w:val="auto"/>
          <w:spacing w:val="0"/>
          <w:w w:val="100"/>
          <w:position w:val="0"/>
          <w:sz w:val="24"/>
        </w:rPr>
        <mc:AlternateContent>
          <mc:Choice Requires="wpg">
            <w:drawing>
              <wp:inline distT="0" distB="0" distL="114300" distR="114300">
                <wp:extent cx="5506720" cy="2545715"/>
                <wp:effectExtent l="0" t="0" r="112395" b="0"/>
                <wp:docPr id="47" name="组合 49"/>
                <wp:cNvGraphicFramePr/>
                <a:graphic xmlns:a="http://schemas.openxmlformats.org/drawingml/2006/main">
                  <a:graphicData uri="http://schemas.microsoft.com/office/word/2010/wordprocessingGroup">
                    <wpg:wgp>
                      <wpg:cNvGrpSpPr/>
                      <wpg:grpSpPr>
                        <a:xfrm>
                          <a:off x="0" y="0"/>
                          <a:ext cx="5506720" cy="2545715"/>
                          <a:chOff x="1579" y="1634699"/>
                          <a:chExt cx="9121" cy="4097"/>
                        </a:xfrm>
                      </wpg:grpSpPr>
                      <wps:wsp>
                        <wps:cNvPr id="1" name="文本框 144"/>
                        <wps:cNvSpPr txBox="1"/>
                        <wps:spPr>
                          <a:xfrm>
                            <a:off x="8488" y="1638141"/>
                            <a:ext cx="1614" cy="655"/>
                          </a:xfrm>
                          <a:prstGeom prst="rect">
                            <a:avLst/>
                          </a:prstGeom>
                          <a:solidFill>
                            <a:srgbClr val="FFFFFF">
                              <a:alpha val="0"/>
                            </a:srgbClr>
                          </a:solidFill>
                          <a:ln>
                            <a:noFill/>
                          </a:ln>
                        </wps:spPr>
                        <wps:txbx>
                          <w:txbxContent>
                            <w:p w14:paraId="4AA03F11">
                              <w:pPr>
                                <w:spacing w:line="360" w:lineRule="exact"/>
                                <w:ind w:firstLine="0" w:firstLineChars="0"/>
                                <w:jc w:val="center"/>
                                <w:rPr>
                                  <w:rFonts w:hint="eastAsia"/>
                                </w:rPr>
                              </w:pPr>
                              <w:r>
                                <w:rPr>
                                  <w:rFonts w:hint="eastAsia"/>
                                </w:rPr>
                                <w:t>扬尘、噪声</w:t>
                              </w:r>
                            </w:p>
                          </w:txbxContent>
                        </wps:txbx>
                        <wps:bodyPr vert="horz" wrap="square" anchor="ctr" anchorCtr="0" upright="1"/>
                      </wps:wsp>
                      <wps:wsp>
                        <wps:cNvPr id="2" name="文本框 139"/>
                        <wps:cNvSpPr txBox="1"/>
                        <wps:spPr>
                          <a:xfrm>
                            <a:off x="9513" y="1637471"/>
                            <a:ext cx="1187" cy="5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32726A">
                              <w:pPr>
                                <w:spacing w:line="360" w:lineRule="exact"/>
                                <w:ind w:firstLine="0" w:firstLineChars="0"/>
                                <w:jc w:val="center"/>
                                <w:rPr>
                                  <w:rFonts w:hint="eastAsia" w:eastAsia="宋体"/>
                                  <w:lang w:eastAsia="zh-CN"/>
                                </w:rPr>
                              </w:pPr>
                              <w:r>
                                <w:rPr>
                                  <w:rFonts w:hint="eastAsia"/>
                                  <w:lang w:eastAsia="zh-CN"/>
                                </w:rPr>
                                <w:t>废石场</w:t>
                              </w:r>
                            </w:p>
                          </w:txbxContent>
                        </wps:txbx>
                        <wps:bodyPr vert="horz" wrap="square" anchor="ctr" anchorCtr="0" upright="1"/>
                      </wps:wsp>
                      <wps:wsp>
                        <wps:cNvPr id="3" name="文本框 138"/>
                        <wps:cNvSpPr txBox="1"/>
                        <wps:spPr>
                          <a:xfrm>
                            <a:off x="7613" y="1637419"/>
                            <a:ext cx="1083" cy="51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6011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rPr>
                              </w:pPr>
                              <w:r>
                                <w:rPr>
                                  <w:rFonts w:hint="eastAsia"/>
                                </w:rPr>
                                <w:t>废石</w:t>
                              </w:r>
                            </w:p>
                          </w:txbxContent>
                        </wps:txbx>
                        <wps:bodyPr vert="horz" wrap="square" anchor="ctr" anchorCtr="0" upright="1"/>
                      </wps:wsp>
                      <wps:wsp>
                        <wps:cNvPr id="4" name="文本框 133"/>
                        <wps:cNvSpPr txBox="1"/>
                        <wps:spPr>
                          <a:xfrm>
                            <a:off x="3179" y="1636785"/>
                            <a:ext cx="1360" cy="5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3BD63">
                              <w:pPr>
                                <w:spacing w:line="360" w:lineRule="exact"/>
                                <w:ind w:firstLine="0" w:firstLineChars="0"/>
                                <w:jc w:val="center"/>
                                <w:rPr>
                                  <w:rFonts w:hint="eastAsia"/>
                                </w:rPr>
                              </w:pPr>
                              <w:r>
                                <w:rPr>
                                  <w:rFonts w:hint="eastAsia"/>
                                </w:rPr>
                                <w:t>凿岩</w:t>
                              </w:r>
                              <w:r>
                                <w:rPr>
                                  <w:rFonts w:hint="eastAsia"/>
                                  <w:lang w:val="en-US" w:eastAsia="zh-CN"/>
                                </w:rPr>
                                <w:t>、</w:t>
                              </w:r>
                              <w:r>
                                <w:rPr>
                                  <w:rFonts w:hint="eastAsia"/>
                                </w:rPr>
                                <w:t>爆破</w:t>
                              </w:r>
                            </w:p>
                          </w:txbxContent>
                        </wps:txbx>
                        <wps:bodyPr vert="horz" wrap="square" anchor="ctr" anchorCtr="0" upright="1"/>
                      </wps:wsp>
                      <wps:wsp>
                        <wps:cNvPr id="5" name="文本框 128"/>
                        <wps:cNvSpPr txBox="1"/>
                        <wps:spPr>
                          <a:xfrm>
                            <a:off x="8988" y="1636088"/>
                            <a:ext cx="964" cy="480"/>
                          </a:xfrm>
                          <a:prstGeom prst="rect">
                            <a:avLst/>
                          </a:prstGeom>
                          <a:noFill/>
                          <a:ln>
                            <a:noFill/>
                          </a:ln>
                        </wps:spPr>
                        <wps:txbx>
                          <w:txbxContent>
                            <w:p w14:paraId="51A72EA5">
                              <w:pPr>
                                <w:spacing w:line="360" w:lineRule="exact"/>
                                <w:ind w:firstLine="0" w:firstLineChars="0"/>
                                <w:jc w:val="center"/>
                                <w:rPr>
                                  <w:rFonts w:hint="default" w:eastAsia="宋体"/>
                                  <w:lang w:val="en-US" w:eastAsia="zh-CN"/>
                                </w:rPr>
                              </w:pPr>
                              <w:r>
                                <w:rPr>
                                  <w:rFonts w:hint="eastAsia"/>
                                  <w:lang w:val="en-US" w:eastAsia="zh-CN"/>
                                </w:rPr>
                                <w:t>外售</w:t>
                              </w:r>
                            </w:p>
                          </w:txbxContent>
                        </wps:txbx>
                        <wps:bodyPr vert="horz" wrap="square" anchor="ctr" anchorCtr="0" upright="1"/>
                      </wps:wsp>
                      <wps:wsp>
                        <wps:cNvPr id="6" name="文本框 126"/>
                        <wps:cNvSpPr txBox="1"/>
                        <wps:spPr>
                          <a:xfrm>
                            <a:off x="7617" y="1636127"/>
                            <a:ext cx="1284" cy="4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EB2E938">
                              <w:pPr>
                                <w:spacing w:line="240" w:lineRule="auto"/>
                                <w:ind w:firstLine="0" w:firstLineChars="0"/>
                                <w:jc w:val="center"/>
                                <w:rPr>
                                  <w:rFonts w:hint="eastAsia" w:eastAsia="宋体"/>
                                  <w:lang w:val="en-US" w:eastAsia="zh-CN"/>
                                </w:rPr>
                              </w:pPr>
                              <w:r>
                                <w:rPr>
                                  <w:rFonts w:hint="eastAsia"/>
                                  <w:lang w:val="en-US" w:eastAsia="zh-CN"/>
                                </w:rPr>
                                <w:t>矿石</w:t>
                              </w:r>
                            </w:p>
                          </w:txbxContent>
                        </wps:txbx>
                        <wps:bodyPr vert="horz" wrap="square" anchor="ctr" anchorCtr="0" upright="1"/>
                      </wps:wsp>
                      <wps:wsp>
                        <wps:cNvPr id="7" name="直线 140"/>
                        <wps:cNvCnPr/>
                        <wps:spPr>
                          <a:xfrm>
                            <a:off x="8710" y="1637693"/>
                            <a:ext cx="803" cy="1"/>
                          </a:xfrm>
                          <a:prstGeom prst="line">
                            <a:avLst/>
                          </a:prstGeom>
                          <a:ln w="9525" cap="flat" cmpd="sng">
                            <a:solidFill>
                              <a:srgbClr val="000000"/>
                            </a:solidFill>
                            <a:prstDash val="solid"/>
                            <a:round/>
                            <a:headEnd type="none" w="med" len="med"/>
                            <a:tailEnd type="triangle" w="med" len="med"/>
                          </a:ln>
                        </wps:spPr>
                        <wps:bodyPr anchor="ctr" anchorCtr="0"/>
                      </wps:wsp>
                      <wps:wsp>
                        <wps:cNvPr id="8" name="直线 123"/>
                        <wps:cNvCnPr/>
                        <wps:spPr>
                          <a:xfrm flipH="1" flipV="1">
                            <a:off x="4228" y="1635981"/>
                            <a:ext cx="1" cy="775"/>
                          </a:xfrm>
                          <a:prstGeom prst="line">
                            <a:avLst/>
                          </a:prstGeom>
                          <a:ln w="9525" cap="flat" cmpd="sng">
                            <a:solidFill>
                              <a:srgbClr val="000000"/>
                            </a:solidFill>
                            <a:prstDash val="dash"/>
                            <a:round/>
                            <a:headEnd type="none" w="med" len="med"/>
                            <a:tailEnd type="triangle" w="med" len="med"/>
                          </a:ln>
                        </wps:spPr>
                        <wps:bodyPr anchor="ctr" anchorCtr="0"/>
                      </wps:wsp>
                      <wps:wsp>
                        <wps:cNvPr id="9" name="直线 127"/>
                        <wps:cNvCnPr/>
                        <wps:spPr>
                          <a:xfrm>
                            <a:off x="8911" y="1636368"/>
                            <a:ext cx="313" cy="1"/>
                          </a:xfrm>
                          <a:prstGeom prst="line">
                            <a:avLst/>
                          </a:prstGeom>
                          <a:ln w="9525" cap="flat" cmpd="sng">
                            <a:solidFill>
                              <a:srgbClr val="000000"/>
                            </a:solidFill>
                            <a:prstDash val="solid"/>
                            <a:round/>
                            <a:headEnd type="none" w="med" len="med"/>
                            <a:tailEnd type="triangle" w="med" len="med"/>
                          </a:ln>
                        </wps:spPr>
                        <wps:bodyPr anchor="ctr" anchorCtr="0"/>
                      </wps:wsp>
                      <wps:wsp>
                        <wps:cNvPr id="10" name="直线 134"/>
                        <wps:cNvCnPr/>
                        <wps:spPr>
                          <a:xfrm>
                            <a:off x="7245" y="1636403"/>
                            <a:ext cx="368" cy="2"/>
                          </a:xfrm>
                          <a:prstGeom prst="line">
                            <a:avLst/>
                          </a:prstGeom>
                          <a:ln w="9525" cap="flat" cmpd="sng">
                            <a:solidFill>
                              <a:srgbClr val="000000"/>
                            </a:solidFill>
                            <a:prstDash val="solid"/>
                            <a:round/>
                            <a:headEnd type="none" w="med" len="med"/>
                            <a:tailEnd type="triangle" w="med" len="med"/>
                          </a:ln>
                        </wps:spPr>
                        <wps:bodyPr anchor="ctr" anchorCtr="0"/>
                      </wps:wsp>
                      <wps:wsp>
                        <wps:cNvPr id="11" name="直线 141"/>
                        <wps:cNvCnPr/>
                        <wps:spPr>
                          <a:xfrm>
                            <a:off x="7249" y="1637606"/>
                            <a:ext cx="364" cy="7"/>
                          </a:xfrm>
                          <a:prstGeom prst="line">
                            <a:avLst/>
                          </a:prstGeom>
                          <a:ln w="9525" cap="flat" cmpd="sng">
                            <a:solidFill>
                              <a:srgbClr val="000000"/>
                            </a:solidFill>
                            <a:prstDash val="solid"/>
                            <a:round/>
                            <a:headEnd type="none" w="med" len="med"/>
                            <a:tailEnd type="triangle" w="med" len="med"/>
                          </a:ln>
                        </wps:spPr>
                        <wps:bodyPr anchor="ctr" anchorCtr="0"/>
                      </wps:wsp>
                      <wps:wsp>
                        <wps:cNvPr id="12" name="文本框 119"/>
                        <wps:cNvSpPr txBox="1"/>
                        <wps:spPr>
                          <a:xfrm>
                            <a:off x="3739" y="1635491"/>
                            <a:ext cx="1083" cy="550"/>
                          </a:xfrm>
                          <a:prstGeom prst="rect">
                            <a:avLst/>
                          </a:prstGeom>
                          <a:solidFill>
                            <a:srgbClr val="FFFFFF">
                              <a:alpha val="0"/>
                            </a:srgbClr>
                          </a:solidFill>
                          <a:ln>
                            <a:noFill/>
                          </a:ln>
                        </wps:spPr>
                        <wps:txbx>
                          <w:txbxContent>
                            <w:p w14:paraId="690DA0E8">
                              <w:pPr>
                                <w:spacing w:line="360" w:lineRule="exact"/>
                                <w:ind w:firstLine="0" w:firstLineChars="0"/>
                                <w:jc w:val="center"/>
                                <w:rPr>
                                  <w:rFonts w:hint="eastAsia"/>
                                </w:rPr>
                              </w:pPr>
                              <w:r>
                                <w:rPr>
                                  <w:rFonts w:hint="eastAsia"/>
                                </w:rPr>
                                <w:t>噪声</w:t>
                              </w:r>
                            </w:p>
                          </w:txbxContent>
                        </wps:txbx>
                        <wps:bodyPr vert="horz" wrap="square" anchor="ctr" anchorCtr="0" upright="1"/>
                      </wps:wsp>
                      <wps:wsp>
                        <wps:cNvPr id="13" name="直线 129"/>
                        <wps:cNvCnPr/>
                        <wps:spPr>
                          <a:xfrm flipV="1">
                            <a:off x="2972" y="1636907"/>
                            <a:ext cx="270" cy="10"/>
                          </a:xfrm>
                          <a:prstGeom prst="line">
                            <a:avLst/>
                          </a:prstGeom>
                          <a:ln w="9525" cap="flat" cmpd="sng">
                            <a:solidFill>
                              <a:srgbClr val="000000"/>
                            </a:solidFill>
                            <a:prstDash val="dash"/>
                            <a:round/>
                            <a:headEnd type="none" w="med" len="med"/>
                            <a:tailEnd type="triangle" w="med" len="med"/>
                          </a:ln>
                        </wps:spPr>
                        <wps:bodyPr anchor="ctr" anchorCtr="0"/>
                      </wps:wsp>
                      <wps:wsp>
                        <wps:cNvPr id="14" name="文本框 118"/>
                        <wps:cNvSpPr txBox="1"/>
                        <wps:spPr>
                          <a:xfrm>
                            <a:off x="2139" y="1635270"/>
                            <a:ext cx="768" cy="1164"/>
                          </a:xfrm>
                          <a:prstGeom prst="rect">
                            <a:avLst/>
                          </a:prstGeom>
                          <a:solidFill>
                            <a:srgbClr val="FFFFFF">
                              <a:alpha val="0"/>
                            </a:srgbClr>
                          </a:solidFill>
                          <a:ln>
                            <a:noFill/>
                          </a:ln>
                        </wps:spPr>
                        <wps:txbx>
                          <w:txbxContent>
                            <w:p w14:paraId="3CD98C74">
                              <w:pPr>
                                <w:spacing w:line="360" w:lineRule="atLeast"/>
                                <w:ind w:firstLine="0" w:firstLineChars="0"/>
                                <w:jc w:val="center"/>
                                <w:rPr>
                                  <w:rFonts w:hint="eastAsia"/>
                                </w:rPr>
                              </w:pPr>
                              <w:r>
                                <w:rPr>
                                  <w:rFonts w:hint="eastAsia"/>
                                </w:rPr>
                                <w:t>沉淀</w:t>
                              </w:r>
                            </w:p>
                            <w:p w14:paraId="1C10CD8C">
                              <w:pPr>
                                <w:spacing w:line="360" w:lineRule="atLeast"/>
                                <w:ind w:firstLine="0" w:firstLineChars="0"/>
                                <w:jc w:val="center"/>
                                <w:rPr>
                                  <w:rFonts w:hint="eastAsia"/>
                                </w:rPr>
                              </w:pPr>
                              <w:r>
                                <w:rPr>
                                  <w:rFonts w:hint="eastAsia"/>
                                </w:rPr>
                                <w:t>回用</w:t>
                              </w:r>
                            </w:p>
                          </w:txbxContent>
                        </wps:txbx>
                        <wps:bodyPr vert="horz" wrap="square" anchor="ctr" anchorCtr="0" upright="1"/>
                      </wps:wsp>
                      <wps:wsp>
                        <wps:cNvPr id="15" name="文本框 116"/>
                        <wps:cNvSpPr txBox="1"/>
                        <wps:spPr>
                          <a:xfrm>
                            <a:off x="3383" y="1634699"/>
                            <a:ext cx="1166" cy="869"/>
                          </a:xfrm>
                          <a:prstGeom prst="rect">
                            <a:avLst/>
                          </a:prstGeom>
                          <a:noFill/>
                          <a:ln w="12700" cap="flat" cmpd="sng">
                            <a:solidFill>
                              <a:srgbClr val="000000"/>
                            </a:solidFill>
                            <a:prstDash val="solid"/>
                            <a:miter/>
                            <a:headEnd type="none" w="med" len="med"/>
                            <a:tailEnd type="none" w="med" len="med"/>
                          </a:ln>
                        </wps:spPr>
                        <wps:txbx>
                          <w:txbxContent>
                            <w:p w14:paraId="739061F3">
                              <w:pPr>
                                <w:spacing w:line="360" w:lineRule="exact"/>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矿井涌水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沉淀</w:t>
                              </w:r>
                            </w:p>
                          </w:txbxContent>
                        </wps:txbx>
                        <wps:bodyPr vert="horz" wrap="square" anchor="ctr" anchorCtr="0" upright="1"/>
                      </wps:wsp>
                      <wps:wsp>
                        <wps:cNvPr id="16" name="文本框 131"/>
                        <wps:cNvSpPr txBox="1"/>
                        <wps:spPr>
                          <a:xfrm>
                            <a:off x="7547" y="1636672"/>
                            <a:ext cx="1016" cy="611"/>
                          </a:xfrm>
                          <a:prstGeom prst="rect">
                            <a:avLst/>
                          </a:prstGeom>
                          <a:solidFill>
                            <a:srgbClr val="FFFFFF">
                              <a:alpha val="0"/>
                            </a:srgbClr>
                          </a:solidFill>
                          <a:ln>
                            <a:noFill/>
                          </a:ln>
                        </wps:spPr>
                        <wps:txbx>
                          <w:txbxContent>
                            <w:p w14:paraId="494EBA69">
                              <w:pPr>
                                <w:spacing w:line="360" w:lineRule="exact"/>
                                <w:ind w:firstLine="0" w:firstLineChars="0"/>
                                <w:jc w:val="center"/>
                                <w:rPr>
                                  <w:rFonts w:hint="eastAsia"/>
                                </w:rPr>
                              </w:pPr>
                              <w:r>
                                <w:rPr>
                                  <w:rFonts w:hint="eastAsia"/>
                                </w:rPr>
                                <w:t>扬尘</w:t>
                              </w:r>
                            </w:p>
                          </w:txbxContent>
                        </wps:txbx>
                        <wps:bodyPr vert="horz" wrap="square" anchor="ctr" anchorCtr="0" upright="1"/>
                      </wps:wsp>
                      <wps:wsp>
                        <wps:cNvPr id="17" name="文本框 142"/>
                        <wps:cNvSpPr txBox="1"/>
                        <wps:spPr>
                          <a:xfrm>
                            <a:off x="3587" y="1638002"/>
                            <a:ext cx="1332" cy="573"/>
                          </a:xfrm>
                          <a:prstGeom prst="rect">
                            <a:avLst/>
                          </a:prstGeom>
                          <a:solidFill>
                            <a:srgbClr val="FFFFFF">
                              <a:alpha val="0"/>
                            </a:srgbClr>
                          </a:solidFill>
                          <a:ln>
                            <a:noFill/>
                          </a:ln>
                        </wps:spPr>
                        <wps:txbx>
                          <w:txbxContent>
                            <w:p w14:paraId="0BD8B5E6">
                              <w:pPr>
                                <w:spacing w:line="360" w:lineRule="exact"/>
                                <w:ind w:firstLine="0" w:firstLineChars="0"/>
                                <w:jc w:val="center"/>
                                <w:rPr>
                                  <w:rFonts w:hint="eastAsia"/>
                                </w:rPr>
                              </w:pPr>
                              <w:r>
                                <w:rPr>
                                  <w:rFonts w:hint="eastAsia"/>
                                </w:rPr>
                                <w:t>噪声、粉尘</w:t>
                              </w:r>
                            </w:p>
                          </w:txbxContent>
                        </wps:txbx>
                        <wps:bodyPr vert="horz" wrap="square" anchor="ctr" anchorCtr="0" upright="1"/>
                      </wps:wsp>
                      <wps:wsp>
                        <wps:cNvPr id="18" name="直线 123"/>
                        <wps:cNvCnPr/>
                        <wps:spPr>
                          <a:xfrm flipV="1">
                            <a:off x="3751" y="1635665"/>
                            <a:ext cx="17" cy="1104"/>
                          </a:xfrm>
                          <a:prstGeom prst="line">
                            <a:avLst/>
                          </a:prstGeom>
                          <a:ln w="9525" cap="flat" cmpd="sng">
                            <a:solidFill>
                              <a:srgbClr val="000000"/>
                            </a:solidFill>
                            <a:prstDash val="dash"/>
                            <a:round/>
                            <a:headEnd type="none" w="med" len="med"/>
                            <a:tailEnd type="triangle" w="med" len="med"/>
                          </a:ln>
                        </wps:spPr>
                        <wps:bodyPr anchor="ctr" anchorCtr="0"/>
                      </wps:wsp>
                      <wps:wsp>
                        <wps:cNvPr id="19" name="文本框 130"/>
                        <wps:cNvSpPr txBox="1"/>
                        <wps:spPr>
                          <a:xfrm>
                            <a:off x="1579" y="1636813"/>
                            <a:ext cx="950" cy="53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4CC8AA3">
                              <w:pPr>
                                <w:spacing w:line="360" w:lineRule="exact"/>
                                <w:ind w:firstLine="0" w:firstLineChars="0"/>
                                <w:jc w:val="center"/>
                                <w:rPr>
                                  <w:rFonts w:hint="eastAsia"/>
                                </w:rPr>
                              </w:pPr>
                              <w:r>
                                <w:rPr>
                                  <w:rFonts w:hint="eastAsia"/>
                                </w:rPr>
                                <w:t>矿体</w:t>
                              </w:r>
                            </w:p>
                          </w:txbxContent>
                        </wps:txbx>
                        <wps:bodyPr vert="horz" wrap="square" anchor="ctr" anchorCtr="0" upright="1"/>
                      </wps:wsp>
                      <wps:wsp>
                        <wps:cNvPr id="20" name="直线 137"/>
                        <wps:cNvCnPr/>
                        <wps:spPr>
                          <a:xfrm flipV="1">
                            <a:off x="2549" y="1637083"/>
                            <a:ext cx="617" cy="15"/>
                          </a:xfrm>
                          <a:prstGeom prst="line">
                            <a:avLst/>
                          </a:prstGeom>
                          <a:ln w="9525" cap="flat" cmpd="sng">
                            <a:solidFill>
                              <a:srgbClr val="000000"/>
                            </a:solidFill>
                            <a:prstDash val="solid"/>
                            <a:round/>
                            <a:headEnd type="none" w="med" len="med"/>
                            <a:tailEnd type="triangle" w="med" len="med"/>
                          </a:ln>
                        </wps:spPr>
                        <wps:bodyPr anchor="ctr" anchorCtr="0"/>
                      </wps:wsp>
                      <wps:wsp>
                        <wps:cNvPr id="21" name="直线 132"/>
                        <wps:cNvCnPr>
                          <a:stCxn id="4" idx="3"/>
                        </wps:cNvCnPr>
                        <wps:spPr>
                          <a:xfrm flipV="1">
                            <a:off x="4539" y="1637039"/>
                            <a:ext cx="725" cy="4"/>
                          </a:xfrm>
                          <a:prstGeom prst="line">
                            <a:avLst/>
                          </a:prstGeom>
                          <a:ln w="9525" cap="flat" cmpd="sng">
                            <a:solidFill>
                              <a:srgbClr val="000000"/>
                            </a:solidFill>
                            <a:prstDash val="solid"/>
                            <a:round/>
                            <a:headEnd type="none" w="med" len="med"/>
                            <a:tailEnd type="triangle" w="med" len="med"/>
                          </a:ln>
                        </wps:spPr>
                        <wps:bodyPr anchor="ctr" anchorCtr="0"/>
                      </wps:wsp>
                      <wps:wsp>
                        <wps:cNvPr id="22" name="直线 125"/>
                        <wps:cNvCnPr/>
                        <wps:spPr>
                          <a:xfrm>
                            <a:off x="7249" y="1636401"/>
                            <a:ext cx="1" cy="1214"/>
                          </a:xfrm>
                          <a:prstGeom prst="line">
                            <a:avLst/>
                          </a:prstGeom>
                          <a:ln w="9525" cap="flat" cmpd="sng">
                            <a:solidFill>
                              <a:srgbClr val="000000"/>
                            </a:solidFill>
                            <a:prstDash val="solid"/>
                            <a:round/>
                            <a:headEnd type="none" w="med" len="med"/>
                            <a:tailEnd type="none" w="med" len="med"/>
                          </a:ln>
                        </wps:spPr>
                        <wps:bodyPr anchor="ctr" anchorCtr="0"/>
                      </wps:wsp>
                      <wps:wsp>
                        <wps:cNvPr id="23" name="直线 143"/>
                        <wps:cNvCnPr>
                          <a:stCxn id="4" idx="3"/>
                        </wps:cNvCnPr>
                        <wps:spPr>
                          <a:xfrm flipH="1">
                            <a:off x="9096" y="1637744"/>
                            <a:ext cx="5" cy="567"/>
                          </a:xfrm>
                          <a:prstGeom prst="line">
                            <a:avLst/>
                          </a:prstGeom>
                          <a:ln w="9525" cap="flat" cmpd="sng">
                            <a:solidFill>
                              <a:srgbClr val="000000"/>
                            </a:solidFill>
                            <a:prstDash val="dash"/>
                            <a:round/>
                            <a:headEnd type="none" w="med" len="med"/>
                            <a:tailEnd type="triangle" w="med" len="med"/>
                          </a:ln>
                        </wps:spPr>
                        <wps:bodyPr anchor="ctr" anchorCtr="0"/>
                      </wps:wsp>
                      <wps:wsp>
                        <wps:cNvPr id="24" name="直线 115"/>
                        <wps:cNvCnPr>
                          <a:stCxn id="4" idx="3"/>
                        </wps:cNvCnPr>
                        <wps:spPr>
                          <a:xfrm flipH="1" flipV="1">
                            <a:off x="2950" y="1635127"/>
                            <a:ext cx="433" cy="3"/>
                          </a:xfrm>
                          <a:prstGeom prst="line">
                            <a:avLst/>
                          </a:prstGeom>
                          <a:ln w="9525" cap="flat" cmpd="sng">
                            <a:solidFill>
                              <a:srgbClr val="000000"/>
                            </a:solidFill>
                            <a:prstDash val="dash"/>
                            <a:round/>
                            <a:headEnd type="none" w="med" len="med"/>
                            <a:tailEnd type="none" w="med" len="med"/>
                          </a:ln>
                        </wps:spPr>
                        <wps:bodyPr anchor="ctr" anchorCtr="0"/>
                      </wps:wsp>
                      <wps:wsp>
                        <wps:cNvPr id="25" name="直线 117"/>
                        <wps:cNvCnPr/>
                        <wps:spPr>
                          <a:xfrm>
                            <a:off x="2966" y="1635130"/>
                            <a:ext cx="4" cy="1768"/>
                          </a:xfrm>
                          <a:prstGeom prst="line">
                            <a:avLst/>
                          </a:prstGeom>
                          <a:ln w="9525" cap="flat" cmpd="sng">
                            <a:solidFill>
                              <a:srgbClr val="000000"/>
                            </a:solidFill>
                            <a:prstDash val="dash"/>
                            <a:round/>
                            <a:headEnd type="none" w="med" len="med"/>
                            <a:tailEnd type="none" w="med" len="med"/>
                          </a:ln>
                        </wps:spPr>
                        <wps:bodyPr anchor="ctr" anchorCtr="0"/>
                      </wps:wsp>
                      <wps:wsp>
                        <wps:cNvPr id="26" name="直线 136"/>
                        <wps:cNvCnPr>
                          <a:stCxn id="4" idx="3"/>
                        </wps:cNvCnPr>
                        <wps:spPr>
                          <a:xfrm>
                            <a:off x="4010" y="1637314"/>
                            <a:ext cx="17" cy="699"/>
                          </a:xfrm>
                          <a:prstGeom prst="line">
                            <a:avLst/>
                          </a:prstGeom>
                          <a:ln w="9525" cap="flat" cmpd="sng">
                            <a:solidFill>
                              <a:srgbClr val="000000"/>
                            </a:solidFill>
                            <a:prstDash val="dash"/>
                            <a:round/>
                            <a:headEnd type="none" w="med" len="med"/>
                            <a:tailEnd type="triangle" w="med" len="med"/>
                          </a:ln>
                        </wps:spPr>
                        <wps:bodyPr anchor="ctr" anchorCtr="0"/>
                      </wps:wsp>
                      <wps:wsp>
                        <wps:cNvPr id="27" name="直线 121"/>
                        <wps:cNvCnPr/>
                        <wps:spPr>
                          <a:xfrm flipV="1">
                            <a:off x="8101" y="1637126"/>
                            <a:ext cx="5" cy="297"/>
                          </a:xfrm>
                          <a:prstGeom prst="line">
                            <a:avLst/>
                          </a:prstGeom>
                          <a:ln w="9525" cap="flat" cmpd="sng">
                            <a:solidFill>
                              <a:srgbClr val="000000"/>
                            </a:solidFill>
                            <a:prstDash val="dash"/>
                            <a:round/>
                            <a:headEnd type="none" w="med" len="med"/>
                            <a:tailEnd type="triangle" w="med" len="med"/>
                          </a:ln>
                        </wps:spPr>
                        <wps:bodyPr anchor="ctr" anchorCtr="0"/>
                      </wps:wsp>
                      <wps:wsp>
                        <wps:cNvPr id="28" name="直线 121"/>
                        <wps:cNvCnPr>
                          <a:stCxn id="4" idx="3"/>
                        </wps:cNvCnPr>
                        <wps:spPr>
                          <a:xfrm flipV="1">
                            <a:off x="8106" y="1636594"/>
                            <a:ext cx="15" cy="298"/>
                          </a:xfrm>
                          <a:prstGeom prst="line">
                            <a:avLst/>
                          </a:prstGeom>
                          <a:ln w="9525" cap="flat" cmpd="sng">
                            <a:solidFill>
                              <a:srgbClr val="000000"/>
                            </a:solidFill>
                            <a:prstDash val="dash"/>
                            <a:round/>
                            <a:headEnd type="triangle" w="med" len="med"/>
                            <a:tailEnd type="none" w="med" len="med"/>
                          </a:ln>
                        </wps:spPr>
                        <wps:bodyPr anchor="ctr" anchorCtr="0"/>
                      </wps:wsp>
                      <wps:wsp>
                        <wps:cNvPr id="29" name="文本框 130"/>
                        <wps:cNvSpPr txBox="1"/>
                        <wps:spPr>
                          <a:xfrm>
                            <a:off x="5222" y="1636775"/>
                            <a:ext cx="1802" cy="54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5220D8">
                              <w:pPr>
                                <w:spacing w:line="360" w:lineRule="exact"/>
                                <w:ind w:firstLine="0" w:firstLineChars="0"/>
                                <w:jc w:val="center"/>
                                <w:rPr>
                                  <w:rFonts w:hint="default" w:eastAsia="宋体"/>
                                  <w:lang w:val="en-US" w:eastAsia="zh-CN"/>
                                </w:rPr>
                              </w:pPr>
                              <w:r>
                                <w:rPr>
                                  <w:rFonts w:hint="eastAsia"/>
                                  <w:lang w:val="en-US" w:eastAsia="zh-CN"/>
                                </w:rPr>
                                <w:t>井下开拓</w:t>
                              </w:r>
                            </w:p>
                          </w:txbxContent>
                        </wps:txbx>
                        <wps:bodyPr vert="horz" wrap="square" anchor="ctr" anchorCtr="0" upright="1"/>
                      </wps:wsp>
                      <wps:wsp>
                        <wps:cNvPr id="30" name="直线 141"/>
                        <wps:cNvCnPr/>
                        <wps:spPr>
                          <a:xfrm>
                            <a:off x="6992" y="1637057"/>
                            <a:ext cx="252" cy="11"/>
                          </a:xfrm>
                          <a:prstGeom prst="line">
                            <a:avLst/>
                          </a:prstGeom>
                          <a:ln w="9525" cap="flat" cmpd="sng">
                            <a:solidFill>
                              <a:srgbClr val="000000"/>
                            </a:solidFill>
                            <a:prstDash val="solid"/>
                            <a:round/>
                            <a:headEnd type="none" w="med" len="med"/>
                            <a:tailEnd type="triangle" w="med" len="med"/>
                          </a:ln>
                        </wps:spPr>
                        <wps:bodyPr anchor="ctr" anchorCtr="0"/>
                      </wps:wsp>
                      <wps:wsp>
                        <wps:cNvPr id="31" name="直线 121"/>
                        <wps:cNvCnPr/>
                        <wps:spPr>
                          <a:xfrm flipV="1">
                            <a:off x="6164" y="1636182"/>
                            <a:ext cx="1" cy="565"/>
                          </a:xfrm>
                          <a:prstGeom prst="line">
                            <a:avLst/>
                          </a:prstGeom>
                          <a:ln w="9525" cap="flat" cmpd="sng">
                            <a:solidFill>
                              <a:srgbClr val="000000"/>
                            </a:solidFill>
                            <a:prstDash val="dash"/>
                            <a:round/>
                            <a:headEnd type="none" w="med" len="med"/>
                            <a:tailEnd type="triangle" w="med" len="med"/>
                          </a:ln>
                        </wps:spPr>
                        <wps:bodyPr anchor="ctr" anchorCtr="0"/>
                      </wps:wsp>
                      <wps:wsp>
                        <wps:cNvPr id="32" name="文本框 120"/>
                        <wps:cNvSpPr txBox="1"/>
                        <wps:spPr>
                          <a:xfrm>
                            <a:off x="5680" y="1635772"/>
                            <a:ext cx="1316" cy="479"/>
                          </a:xfrm>
                          <a:prstGeom prst="rect">
                            <a:avLst/>
                          </a:prstGeom>
                          <a:solidFill>
                            <a:srgbClr val="FFFFFF">
                              <a:alpha val="0"/>
                            </a:srgbClr>
                          </a:solidFill>
                          <a:ln>
                            <a:noFill/>
                          </a:ln>
                        </wps:spPr>
                        <wps:txbx>
                          <w:txbxContent>
                            <w:p w14:paraId="03DEAAD0">
                              <w:pPr>
                                <w:spacing w:line="360" w:lineRule="exact"/>
                                <w:ind w:firstLine="0" w:firstLineChars="0"/>
                                <w:jc w:val="center"/>
                                <w:rPr>
                                  <w:rFonts w:hint="eastAsia"/>
                                </w:rPr>
                              </w:pPr>
                              <w:r>
                                <w:rPr>
                                  <w:rFonts w:hint="eastAsia"/>
                                </w:rPr>
                                <w:t>扬尘、噪声</w:t>
                              </w:r>
                            </w:p>
                          </w:txbxContent>
                        </wps:txbx>
                        <wps:bodyPr vert="horz" wrap="square" anchor="ctr" anchorCtr="0" upright="1"/>
                      </wps:wsp>
                      <wps:wsp>
                        <wps:cNvPr id="33" name="文本框 124"/>
                        <wps:cNvSpPr txBox="1"/>
                        <wps:spPr>
                          <a:xfrm>
                            <a:off x="4228" y="1637127"/>
                            <a:ext cx="1333" cy="553"/>
                          </a:xfrm>
                          <a:prstGeom prst="rect">
                            <a:avLst/>
                          </a:prstGeom>
                          <a:solidFill>
                            <a:srgbClr val="FFFFFF">
                              <a:alpha val="0"/>
                            </a:srgbClr>
                          </a:solidFill>
                          <a:ln>
                            <a:noFill/>
                          </a:ln>
                        </wps:spPr>
                        <wps:txbx>
                          <w:txbxContent>
                            <w:p w14:paraId="6E5C54AD">
                              <w:pPr>
                                <w:spacing w:line="360" w:lineRule="exact"/>
                                <w:ind w:firstLine="0" w:firstLineChars="0"/>
                                <w:jc w:val="center"/>
                                <w:rPr>
                                  <w:rFonts w:hint="eastAsia"/>
                                  <w:sz w:val="18"/>
                                  <w:szCs w:val="18"/>
                                </w:rPr>
                              </w:pPr>
                              <w:r>
                                <w:rPr>
                                  <w:rFonts w:hint="eastAsia"/>
                                  <w:sz w:val="18"/>
                                  <w:szCs w:val="18"/>
                                </w:rPr>
                                <w:t>提升运输</w:t>
                              </w:r>
                            </w:p>
                          </w:txbxContent>
                        </wps:txbx>
                        <wps:bodyPr vert="horz" wrap="square" anchor="ctr" anchorCtr="0" upright="1"/>
                      </wps:wsp>
                      <wps:wsp>
                        <wps:cNvPr id="34" name="文本框 118"/>
                        <wps:cNvSpPr txBox="1"/>
                        <wps:spPr>
                          <a:xfrm>
                            <a:off x="5058" y="1635064"/>
                            <a:ext cx="768" cy="1164"/>
                          </a:xfrm>
                          <a:prstGeom prst="rect">
                            <a:avLst/>
                          </a:prstGeom>
                          <a:solidFill>
                            <a:srgbClr val="FFFFFF">
                              <a:alpha val="0"/>
                            </a:srgbClr>
                          </a:solidFill>
                          <a:ln>
                            <a:noFill/>
                          </a:ln>
                        </wps:spPr>
                        <wps:txbx>
                          <w:txbxContent>
                            <w:p w14:paraId="61945396">
                              <w:pPr>
                                <w:spacing w:line="360" w:lineRule="atLeast"/>
                                <w:ind w:firstLine="0" w:firstLineChars="0"/>
                                <w:jc w:val="center"/>
                                <w:rPr>
                                  <w:rFonts w:hint="eastAsia"/>
                                </w:rPr>
                              </w:pPr>
                              <w:r>
                                <w:rPr>
                                  <w:rFonts w:hint="eastAsia"/>
                                </w:rPr>
                                <w:t>抑尘洒水</w:t>
                              </w:r>
                            </w:p>
                          </w:txbxContent>
                        </wps:txbx>
                        <wps:bodyPr vert="horz" wrap="square" anchor="ctr" anchorCtr="0" upright="1"/>
                      </wps:wsp>
                      <wps:wsp>
                        <wps:cNvPr id="36" name="文本框 118"/>
                        <wps:cNvSpPr txBox="1"/>
                        <wps:spPr>
                          <a:xfrm>
                            <a:off x="7380" y="1635073"/>
                            <a:ext cx="768" cy="1164"/>
                          </a:xfrm>
                          <a:prstGeom prst="rect">
                            <a:avLst/>
                          </a:prstGeom>
                          <a:solidFill>
                            <a:srgbClr val="FFFFFF">
                              <a:alpha val="0"/>
                            </a:srgbClr>
                          </a:solidFill>
                          <a:ln>
                            <a:noFill/>
                          </a:ln>
                        </wps:spPr>
                        <wps:txbx>
                          <w:txbxContent>
                            <w:p w14:paraId="16FC64FD">
                              <w:pPr>
                                <w:spacing w:line="360" w:lineRule="atLeast"/>
                                <w:ind w:firstLine="0" w:firstLineChars="0"/>
                                <w:jc w:val="center"/>
                                <w:rPr>
                                  <w:rFonts w:hint="eastAsia"/>
                                </w:rPr>
                              </w:pPr>
                              <w:r>
                                <w:rPr>
                                  <w:rFonts w:hint="eastAsia"/>
                                </w:rPr>
                                <w:t>抑尘洒水</w:t>
                              </w:r>
                            </w:p>
                          </w:txbxContent>
                        </wps:txbx>
                        <wps:bodyPr vert="horz" wrap="square" anchor="ctr" anchorCtr="0" upright="1"/>
                      </wps:wsp>
                      <wps:wsp>
                        <wps:cNvPr id="37" name="直接连接符 22"/>
                        <wps:cNvCnPr>
                          <a:stCxn id="15" idx="3"/>
                        </wps:cNvCnPr>
                        <wps:spPr>
                          <a:xfrm>
                            <a:off x="4549" y="1635134"/>
                            <a:ext cx="3441" cy="0"/>
                          </a:xfrm>
                          <a:prstGeom prst="line">
                            <a:avLst/>
                          </a:prstGeom>
                          <a:ln w="9525" cap="flat" cmpd="sng">
                            <a:solidFill>
                              <a:srgbClr val="000000"/>
                            </a:solidFill>
                            <a:prstDash val="dash"/>
                            <a:round/>
                            <a:headEnd type="none" w="med" len="med"/>
                            <a:tailEnd type="none" w="med" len="med"/>
                          </a:ln>
                        </wps:spPr>
                        <wps:bodyPr anchor="ctr" anchorCtr="0"/>
                      </wps:wsp>
                      <wps:wsp>
                        <wps:cNvPr id="38" name="直接箭头连接符 244"/>
                        <wps:cNvCnPr>
                          <a:stCxn id="15" idx="3"/>
                        </wps:cNvCnPr>
                        <wps:spPr>
                          <a:xfrm>
                            <a:off x="8000" y="1635137"/>
                            <a:ext cx="0" cy="1016"/>
                          </a:xfrm>
                          <a:prstGeom prst="straightConnector1">
                            <a:avLst/>
                          </a:prstGeom>
                          <a:ln w="9525" cap="flat" cmpd="sng">
                            <a:solidFill>
                              <a:srgbClr val="000000"/>
                            </a:solidFill>
                            <a:prstDash val="dash"/>
                            <a:round/>
                            <a:headEnd type="none" w="med" len="med"/>
                            <a:tailEnd type="triangle" w="med" len="med"/>
                          </a:ln>
                        </wps:spPr>
                        <wps:bodyPr anchor="ctr" anchorCtr="0"/>
                      </wps:wsp>
                      <wps:wsp>
                        <wps:cNvPr id="55" name="直接箭头连接符 249"/>
                        <wps:cNvCnPr>
                          <a:stCxn id="15" idx="3"/>
                        </wps:cNvCnPr>
                        <wps:spPr>
                          <a:xfrm>
                            <a:off x="5677" y="1635145"/>
                            <a:ext cx="0" cy="1680"/>
                          </a:xfrm>
                          <a:prstGeom prst="straightConnector1">
                            <a:avLst/>
                          </a:prstGeom>
                          <a:ln w="9525" cap="flat" cmpd="sng">
                            <a:solidFill>
                              <a:srgbClr val="000000"/>
                            </a:solidFill>
                            <a:prstDash val="dash"/>
                            <a:round/>
                            <a:headEnd type="none" w="med" len="med"/>
                            <a:tailEnd type="triangle" w="med" len="med"/>
                          </a:ln>
                        </wps:spPr>
                        <wps:bodyPr anchor="ctr" anchorCtr="0"/>
                      </wps:wsp>
                    </wpg:wgp>
                  </a:graphicData>
                </a:graphic>
              </wp:inline>
            </w:drawing>
          </mc:Choice>
          <mc:Fallback>
            <w:pict>
              <v:group id="组合 49" o:spid="_x0000_s1026" o:spt="203" style="height:200.45pt;width:433.6pt;" coordorigin="1579,1634699" coordsize="9121,4097" o:gfxdata="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">
                <o:lock v:ext="edit" aspectratio="f"/>
                <v:shape id="文本框 144" o:spid="_x0000_s1026" o:spt="202" type="#_x0000_t202" style="position:absolute;left:8488;top:1638141;height:655;width:1614;v-text-anchor:middle;" fillcolor="#FFFFFF" filled="t" stroked="f" coordsize="21600,21600" o:gfxdata="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adHNtwAAANoAAAAP&#10;AAAAAAAAAAEAIAAAACIAAABkcnMvZG93bnJldi54bWxQSwECFAAUAAAACACHTuJAMy8FnjsAAAA5&#10;AAAAEAAAAAAAAAABACAAAAAGAQAAZHJzL3NoYXBleG1sLnhtbFBLBQYAAAAABgAGAFsBAACwAwAA&#10;AAA=&#10;">
                  <v:fill on="t" opacity="0f" focussize="0,0"/>
                  <v:stroke on="f"/>
                  <v:imagedata o:title=""/>
                  <o:lock v:ext="edit" aspectratio="f"/>
                  <v:textbox>
                    <w:txbxContent>
                      <w:p w14:paraId="4AA03F11">
                        <w:pPr>
                          <w:spacing w:line="360" w:lineRule="exact"/>
                          <w:ind w:firstLine="0" w:firstLineChars="0"/>
                          <w:jc w:val="center"/>
                          <w:rPr>
                            <w:rFonts w:hint="eastAsia"/>
                          </w:rPr>
                        </w:pPr>
                        <w:r>
                          <w:rPr>
                            <w:rFonts w:hint="eastAsia"/>
                          </w:rPr>
                          <w:t>扬尘、噪声</w:t>
                        </w:r>
                      </w:p>
                    </w:txbxContent>
                  </v:textbox>
                </v:shape>
                <v:shape id="文本框 139" o:spid="_x0000_s1026" o:spt="202" type="#_x0000_t202" style="position:absolute;left:9513;top:1637471;height:531;width:1187;v-text-anchor:middle;" fillcolor="#FFFFFF" filled="t" stroked="t" coordsize="21600,21600" o:gfxdata="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iRfry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2F32726A">
                        <w:pPr>
                          <w:spacing w:line="360" w:lineRule="exact"/>
                          <w:ind w:firstLine="0" w:firstLineChars="0"/>
                          <w:jc w:val="center"/>
                          <w:rPr>
                            <w:rFonts w:hint="eastAsia" w:eastAsia="宋体"/>
                            <w:lang w:eastAsia="zh-CN"/>
                          </w:rPr>
                        </w:pPr>
                        <w:r>
                          <w:rPr>
                            <w:rFonts w:hint="eastAsia"/>
                            <w:lang w:eastAsia="zh-CN"/>
                          </w:rPr>
                          <w:t>废石场</w:t>
                        </w:r>
                      </w:p>
                    </w:txbxContent>
                  </v:textbox>
                </v:shape>
                <v:shape id="文本框 138" o:spid="_x0000_s1026" o:spt="202" type="#_x0000_t202" style="position:absolute;left:7613;top:1637419;height:519;width:1083;v-text-anchor:middle;" fillcolor="#FFFFFF" filled="t" stroked="t" coordsize="21600,21600" o:gfxdata="UEsDBAoAAAAAAIdO4kAAAAAAAAAAAAAAAAAEAAAAZHJzL1BLAwQUAAAACACHTuJAB93bJ7kAAADa&#10;AAAADwAAAGRycy9kb3ducmV2LnhtbEWPQWsCMRSE7wX/Q3iCt5pYQW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fd2ye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706011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rPr>
                        </w:pPr>
                        <w:r>
                          <w:rPr>
                            <w:rFonts w:hint="eastAsia"/>
                          </w:rPr>
                          <w:t>废石</w:t>
                        </w:r>
                      </w:p>
                    </w:txbxContent>
                  </v:textbox>
                </v:shape>
                <v:shape id="文本框 133" o:spid="_x0000_s1026" o:spt="202" type="#_x0000_t202" style="position:absolute;left:3179;top:1636785;height:515;width:1360;v-text-anchor:middle;" fillcolor="#FFFFFF" filled="t" stroked="t" coordsize="21600,21600" o:gfxdata="UEsDBAoAAAAAAIdO4kAAAAAAAAAAAAAAAAAEAAAAZHJzL1BLAwQUAAAACACHTuJAiDRDU7kAAADa&#10;AAAADwAAAGRycy9kb3ducmV2LnhtbEWPQWsCMRSE7wX/Q3iCt5pYRG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g0Q1O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1023BD63">
                        <w:pPr>
                          <w:spacing w:line="360" w:lineRule="exact"/>
                          <w:ind w:firstLine="0" w:firstLineChars="0"/>
                          <w:jc w:val="center"/>
                          <w:rPr>
                            <w:rFonts w:hint="eastAsia"/>
                          </w:rPr>
                        </w:pPr>
                        <w:r>
                          <w:rPr>
                            <w:rFonts w:hint="eastAsia"/>
                          </w:rPr>
                          <w:t>凿岩</w:t>
                        </w:r>
                        <w:r>
                          <w:rPr>
                            <w:rFonts w:hint="eastAsia"/>
                            <w:lang w:val="en-US" w:eastAsia="zh-CN"/>
                          </w:rPr>
                          <w:t>、</w:t>
                        </w:r>
                        <w:r>
                          <w:rPr>
                            <w:rFonts w:hint="eastAsia"/>
                          </w:rPr>
                          <w:t>爆破</w:t>
                        </w:r>
                      </w:p>
                    </w:txbxContent>
                  </v:textbox>
                </v:shape>
                <v:shape id="文本框 128" o:spid="_x0000_s1026" o:spt="202" type="#_x0000_t202" style="position:absolute;left:8988;top:1636088;height:480;width:964;v-text-anchor:middle;" filled="f" stroked="f" coordsize="21600,21600" o:gfxdata="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sN3q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1A72EA5">
                        <w:pPr>
                          <w:spacing w:line="360" w:lineRule="exact"/>
                          <w:ind w:firstLine="0" w:firstLineChars="0"/>
                          <w:jc w:val="center"/>
                          <w:rPr>
                            <w:rFonts w:hint="default" w:eastAsia="宋体"/>
                            <w:lang w:val="en-US" w:eastAsia="zh-CN"/>
                          </w:rPr>
                        </w:pPr>
                        <w:r>
                          <w:rPr>
                            <w:rFonts w:hint="eastAsia"/>
                            <w:lang w:val="en-US" w:eastAsia="zh-CN"/>
                          </w:rPr>
                          <w:t>外售</w:t>
                        </w:r>
                      </w:p>
                    </w:txbxContent>
                  </v:textbox>
                </v:shape>
                <v:shape id="文本框 126" o:spid="_x0000_s1026" o:spt="202" type="#_x0000_t202" style="position:absolute;left:7617;top:1636127;height:460;width:1284;v-text-anchor:middle;" fillcolor="#FFFFFF" filled="t" stroked="t" coordsize="21600,21600" o:gfxdata="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eqeL+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5EB2E938">
                        <w:pPr>
                          <w:spacing w:line="240" w:lineRule="auto"/>
                          <w:ind w:firstLine="0" w:firstLineChars="0"/>
                          <w:jc w:val="center"/>
                          <w:rPr>
                            <w:rFonts w:hint="eastAsia" w:eastAsia="宋体"/>
                            <w:lang w:val="en-US" w:eastAsia="zh-CN"/>
                          </w:rPr>
                        </w:pPr>
                        <w:r>
                          <w:rPr>
                            <w:rFonts w:hint="eastAsia"/>
                            <w:lang w:val="en-US" w:eastAsia="zh-CN"/>
                          </w:rPr>
                          <w:t>矿石</w:t>
                        </w:r>
                      </w:p>
                    </w:txbxContent>
                  </v:textbox>
                </v:shape>
                <v:line id="直线 140" o:spid="_x0000_s1026" o:spt="20" style="position:absolute;left:8710;top:1637693;height:1;width:803;" filled="f" stroked="t" coordsize="21600,21600" o:gfxdata="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fF8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线 123" o:spid="_x0000_s1026" o:spt="20" style="position:absolute;left:4228;top:1635981;flip:x y;height:775;width:1;" filled="f" stroked="t" coordsize="21600,21600" o:gfxdata="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ulZT4twAAANoAAAAP&#10;AAAAAAAAAAEAIAAAACIAAABkcnMvZG93bnJldi54bWxQSwECFAAUAAAACACHTuJAMy8FnjsAAAA5&#10;AAAAEAAAAAAAAAABACAAAAAGAQAAZHJzL3NoYXBleG1sLnhtbFBLBQYAAAAABgAGAFsBAACwAwAA&#10;AAA=&#10;">
                  <v:fill on="f" focussize="0,0"/>
                  <v:stroke color="#000000" joinstyle="round" dashstyle="dash" endarrow="block"/>
                  <v:imagedata o:title=""/>
                  <o:lock v:ext="edit" aspectratio="f"/>
                </v:line>
                <v:line id="直线 127" o:spid="_x0000_s1026" o:spt="20" style="position:absolute;left:8911;top:1636368;height:1;width:313;"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线 134" o:spid="_x0000_s1026" o:spt="20" style="position:absolute;left:7245;top:1636403;height:2;width:368;" filled="f" stroked="t" coordsize="21600,21600" o:gfxdata="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p/K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141" o:spid="_x0000_s1026" o:spt="20" style="position:absolute;left:7249;top:1637606;height:7;width:364;" filled="f" stroked="t" coordsize="21600,21600" o:gfxdata="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5Vkw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119" o:spid="_x0000_s1026" o:spt="202" type="#_x0000_t202" style="position:absolute;left:3739;top:1635491;height:550;width:1083;v-text-anchor:middle;" fillcolor="#FFFFFF" filled="t" stroked="f" coordsize="21600,21600" o:gfxdata="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11jLgAAADbAAAA&#10;DwAAAAAAAAABACAAAAAiAAAAZHJzL2Rvd25yZXYueG1sUEsBAhQAFAAAAAgAh07iQDMvBZ47AAAA&#10;OQAAABAAAAAAAAAAAQAgAAAABwEAAGRycy9zaGFwZXhtbC54bWxQSwUGAAAAAAYABgBbAQAAsQMA&#10;AAAA&#10;">
                  <v:fill on="t" opacity="0f" focussize="0,0"/>
                  <v:stroke on="f"/>
                  <v:imagedata o:title=""/>
                  <o:lock v:ext="edit" aspectratio="f"/>
                  <v:textbox>
                    <w:txbxContent>
                      <w:p w14:paraId="690DA0E8">
                        <w:pPr>
                          <w:spacing w:line="360" w:lineRule="exact"/>
                          <w:ind w:firstLine="0" w:firstLineChars="0"/>
                          <w:jc w:val="center"/>
                          <w:rPr>
                            <w:rFonts w:hint="eastAsia"/>
                          </w:rPr>
                        </w:pPr>
                        <w:r>
                          <w:rPr>
                            <w:rFonts w:hint="eastAsia"/>
                          </w:rPr>
                          <w:t>噪声</w:t>
                        </w:r>
                      </w:p>
                    </w:txbxContent>
                  </v:textbox>
                </v:shape>
                <v:line id="直线 129" o:spid="_x0000_s1026" o:spt="20" style="position:absolute;left:2972;top:1636907;flip:y;height:10;width:270;" filled="f" stroked="t" coordsize="21600,21600" o:gfxdata="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pZbXbgAAADbAAAA&#10;DwAAAAAAAAABACAAAAAiAAAAZHJzL2Rvd25yZXYueG1sUEsBAhQAFAAAAAgAh07iQDMvBZ47AAAA&#10;OQAAABAAAAAAAAAAAQAgAAAABwEAAGRycy9zaGFwZXhtbC54bWxQSwUGAAAAAAYABgBbAQAAsQMA&#10;AAAA&#10;">
                  <v:fill on="f" focussize="0,0"/>
                  <v:stroke color="#000000" joinstyle="round" dashstyle="dash" endarrow="block"/>
                  <v:imagedata o:title=""/>
                  <o:lock v:ext="edit" aspectratio="f"/>
                </v:line>
                <v:shape id="文本框 118" o:spid="_x0000_s1026" o:spt="202" type="#_x0000_t202" style="position:absolute;left:2139;top:1635270;height:1164;width:768;v-text-anchor:middle;" fillcolor="#FFFFFF" filled="t" stroked="f" coordsize="21600,21600" o:gfxdata="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QhIY7gAAADbAAAA&#10;DwAAAAAAAAABACAAAAAiAAAAZHJzL2Rvd25yZXYueG1sUEsBAhQAFAAAAAgAh07iQDMvBZ47AAAA&#10;OQAAABAAAAAAAAAAAQAgAAAABwEAAGRycy9zaGFwZXhtbC54bWxQSwUGAAAAAAYABgBbAQAAsQMA&#10;AAAA&#10;">
                  <v:fill on="t" opacity="0f" focussize="0,0"/>
                  <v:stroke on="f"/>
                  <v:imagedata o:title=""/>
                  <o:lock v:ext="edit" aspectratio="f"/>
                  <v:textbox>
                    <w:txbxContent>
                      <w:p w14:paraId="3CD98C74">
                        <w:pPr>
                          <w:spacing w:line="360" w:lineRule="atLeast"/>
                          <w:ind w:firstLine="0" w:firstLineChars="0"/>
                          <w:jc w:val="center"/>
                          <w:rPr>
                            <w:rFonts w:hint="eastAsia"/>
                          </w:rPr>
                        </w:pPr>
                        <w:r>
                          <w:rPr>
                            <w:rFonts w:hint="eastAsia"/>
                          </w:rPr>
                          <w:t>沉淀</w:t>
                        </w:r>
                      </w:p>
                      <w:p w14:paraId="1C10CD8C">
                        <w:pPr>
                          <w:spacing w:line="360" w:lineRule="atLeast"/>
                          <w:ind w:firstLine="0" w:firstLineChars="0"/>
                          <w:jc w:val="center"/>
                          <w:rPr>
                            <w:rFonts w:hint="eastAsia"/>
                          </w:rPr>
                        </w:pPr>
                        <w:r>
                          <w:rPr>
                            <w:rFonts w:hint="eastAsia"/>
                          </w:rPr>
                          <w:t>回用</w:t>
                        </w:r>
                      </w:p>
                    </w:txbxContent>
                  </v:textbox>
                </v:shape>
                <v:shape id="文本框 116" o:spid="_x0000_s1026" o:spt="202" type="#_x0000_t202" style="position:absolute;left:3383;top:1634699;height:869;width:1166;v-text-anchor:middle;" filled="f" stroked="t" coordsize="21600,21600" o:gfxdata="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UEO+rsAAADb&#10;AAAADwAAAAAAAAABACAAAAAiAAAAZHJzL2Rvd25yZXYueG1sUEsBAhQAFAAAAAgAh07iQDMvBZ47&#10;AAAAOQAAABAAAAAAAAAAAQAgAAAACgEAAGRycy9zaGFwZXhtbC54bWxQSwUGAAAAAAYABgBbAQAA&#10;tAMAAAAA&#10;">
                  <v:fill on="f" focussize="0,0"/>
                  <v:stroke weight="1pt" color="#000000" joinstyle="miter"/>
                  <v:imagedata o:title=""/>
                  <o:lock v:ext="edit" aspectratio="f"/>
                  <v:textbox>
                    <w:txbxContent>
                      <w:p w14:paraId="739061F3">
                        <w:pPr>
                          <w:spacing w:line="360" w:lineRule="exact"/>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矿井涌水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沉淀</w:t>
                        </w:r>
                      </w:p>
                    </w:txbxContent>
                  </v:textbox>
                </v:shape>
                <v:shape id="文本框 131" o:spid="_x0000_s1026" o:spt="202" type="#_x0000_t202" style="position:absolute;left:7547;top:1636672;height:611;width:1016;v-text-anchor:middle;" fillcolor="#FFFFFF" filled="t" stroked="f" coordsize="21600,21600" o:gfxdata="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ulnOPtwAAANsAAAAP&#10;AAAAAAAAAAEAIAAAACIAAABkcnMvZG93bnJldi54bWxQSwECFAAUAAAACACHTuJAMy8FnjsAAAA5&#10;AAAAEAAAAAAAAAABACAAAAAGAQAAZHJzL3NoYXBleG1sLnhtbFBLBQYAAAAABgAGAFsBAACwAwAA&#10;AAA=&#10;">
                  <v:fill on="t" opacity="0f" focussize="0,0"/>
                  <v:stroke on="f"/>
                  <v:imagedata o:title=""/>
                  <o:lock v:ext="edit" aspectratio="f"/>
                  <v:textbox>
                    <w:txbxContent>
                      <w:p w14:paraId="494EBA69">
                        <w:pPr>
                          <w:spacing w:line="360" w:lineRule="exact"/>
                          <w:ind w:firstLine="0" w:firstLineChars="0"/>
                          <w:jc w:val="center"/>
                          <w:rPr>
                            <w:rFonts w:hint="eastAsia"/>
                          </w:rPr>
                        </w:pPr>
                        <w:r>
                          <w:rPr>
                            <w:rFonts w:hint="eastAsia"/>
                          </w:rPr>
                          <w:t>扬尘</w:t>
                        </w:r>
                      </w:p>
                    </w:txbxContent>
                  </v:textbox>
                </v:shape>
                <v:shape id="文本框 142" o:spid="_x0000_s1026" o:spt="202" type="#_x0000_t202" style="position:absolute;left:3587;top:1638002;height:573;width:1332;v-text-anchor:middle;" fillcolor="#FFFFFF" filled="t" stroked="f" coordsize="21600,21600" o:gfxdata="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drWFLgAAADbAAAA&#10;DwAAAAAAAAABACAAAAAiAAAAZHJzL2Rvd25yZXYueG1sUEsBAhQAFAAAAAgAh07iQDMvBZ47AAAA&#10;OQAAABAAAAAAAAAAAQAgAAAABwEAAGRycy9zaGFwZXhtbC54bWxQSwUGAAAAAAYABgBbAQAAsQMA&#10;AAAA&#10;">
                  <v:fill on="t" opacity="0f" focussize="0,0"/>
                  <v:stroke on="f"/>
                  <v:imagedata o:title=""/>
                  <o:lock v:ext="edit" aspectratio="f"/>
                  <v:textbox>
                    <w:txbxContent>
                      <w:p w14:paraId="0BD8B5E6">
                        <w:pPr>
                          <w:spacing w:line="360" w:lineRule="exact"/>
                          <w:ind w:firstLine="0" w:firstLineChars="0"/>
                          <w:jc w:val="center"/>
                          <w:rPr>
                            <w:rFonts w:hint="eastAsia"/>
                          </w:rPr>
                        </w:pPr>
                        <w:r>
                          <w:rPr>
                            <w:rFonts w:hint="eastAsia"/>
                          </w:rPr>
                          <w:t>噪声、粉尘</w:t>
                        </w:r>
                      </w:p>
                    </w:txbxContent>
                  </v:textbox>
                </v:shape>
                <v:line id="直线 123" o:spid="_x0000_s1026" o:spt="20" style="position:absolute;left:3751;top:1635665;flip:y;height:1104;width:17;" filled="f" stroked="t" coordsize="21600,21600" o:gfxdata="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UMsks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shape id="文本框 130" o:spid="_x0000_s1026" o:spt="202" type="#_x0000_t202" style="position:absolute;left:1579;top:1636813;height:532;width:950;v-text-anchor:middle;" fillcolor="#FFFFFF" filled="t" stroked="t" coordsize="21600,21600" o:gfxdata="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1mN4b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04CC8AA3">
                        <w:pPr>
                          <w:spacing w:line="360" w:lineRule="exact"/>
                          <w:ind w:firstLine="0" w:firstLineChars="0"/>
                          <w:jc w:val="center"/>
                          <w:rPr>
                            <w:rFonts w:hint="eastAsia"/>
                          </w:rPr>
                        </w:pPr>
                        <w:r>
                          <w:rPr>
                            <w:rFonts w:hint="eastAsia"/>
                          </w:rPr>
                          <w:t>矿体</w:t>
                        </w:r>
                      </w:p>
                    </w:txbxContent>
                  </v:textbox>
                </v:shape>
                <v:line id="直线 137" o:spid="_x0000_s1026" o:spt="20" style="position:absolute;left:2549;top:1637083;flip:y;height:15;width:617;" filled="f" stroked="t" coordsize="21600,21600" o:gfxdata="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4Qy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直线 132" o:spid="_x0000_s1026" o:spt="20" style="position:absolute;left:4539;top:1637039;flip:y;height:4;width:725;" filled="f" stroked="t" coordsize="21600,21600" o:gfxdata="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K1U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线 125" o:spid="_x0000_s1026" o:spt="20" style="position:absolute;left:7249;top:1636401;height:1214;width:1;" filled="f" stroked="t" coordsize="21600,21600" o:gfxdata="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ziH5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线 143" o:spid="_x0000_s1026" o:spt="20" style="position:absolute;left:9096;top:1637744;flip:x;height:567;width:5;" filled="f" stroked="t" coordsize="21600,21600" o:gfxdata="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pHg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line id="直线 115" o:spid="_x0000_s1026" o:spt="20" style="position:absolute;left:2950;top:1635127;flip:x y;height:3;width:433;" filled="f" stroked="t" coordsize="21600,21600" o:gfxdata="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tUg7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线 117" o:spid="_x0000_s1026" o:spt="20" style="position:absolute;left:2966;top:1635130;height:1768;width:4;" filled="f" stroked="t" coordsize="21600,21600" o:gfxdata="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ZSsb4A&#10;AADbAAAADwAAAAAAAAABACAAAAAiAAAAZHJzL2Rvd25yZXYueG1sUEsBAhQAFAAAAAgAh07iQDMv&#10;BZ47AAAAOQAAABAAAAAAAAAAAQAgAAAADQEAAGRycy9zaGFwZXhtbC54bWxQSwUGAAAAAAYABgBb&#10;AQAAtwMAAAAA&#10;">
                  <v:fill on="f" focussize="0,0"/>
                  <v:stroke color="#000000" joinstyle="round" dashstyle="dash"/>
                  <v:imagedata o:title=""/>
                  <o:lock v:ext="edit" aspectratio="f"/>
                </v:line>
                <v:line id="直线 136" o:spid="_x0000_s1026" o:spt="20" style="position:absolute;left:4010;top:1637314;height:699;width:17;" filled="f" stroked="t" coordsize="21600,21600" o:gfxdata="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fnQj&#10;wAAAANsAAAAPAAAAAAAAAAEAIAAAACIAAABkcnMvZG93bnJldi54bWxQSwECFAAUAAAACACHTuJA&#10;My8FnjsAAAA5AAAAEAAAAAAAAAABACAAAAAPAQAAZHJzL3NoYXBleG1sLnhtbFBLBQYAAAAABgAG&#10;AFsBAAC5AwAAAAA=&#10;">
                  <v:fill on="f" focussize="0,0"/>
                  <v:stroke color="#000000" joinstyle="round" dashstyle="dash" endarrow="block"/>
                  <v:imagedata o:title=""/>
                  <o:lock v:ext="edit" aspectratio="f"/>
                </v:line>
                <v:line id="直线 121" o:spid="_x0000_s1026" o:spt="20" style="position:absolute;left:8101;top:1637126;flip:y;height:297;width:5;" filled="f" stroked="t" coordsize="21600,21600" o:gfxdata="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wZfj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line id="直线 121" o:spid="_x0000_s1026" o:spt="20" style="position:absolute;left:8106;top:1636594;flip:y;height:298;width:15;" filled="f" stroked="t" coordsize="21600,21600" o:gfxdata="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6FNqtwAAANsAAAAP&#10;AAAAAAAAAAEAIAAAACIAAABkcnMvZG93bnJldi54bWxQSwECFAAUAAAACACHTuJAMy8FnjsAAAA5&#10;AAAAEAAAAAAAAAABACAAAAAGAQAAZHJzL3NoYXBleG1sLnhtbFBLBQYAAAAABgAGAFsBAACwAwAA&#10;AAA=&#10;">
                  <v:fill on="f" focussize="0,0"/>
                  <v:stroke color="#000000" joinstyle="round" dashstyle="dash" startarrow="block"/>
                  <v:imagedata o:title=""/>
                  <o:lock v:ext="edit" aspectratio="f"/>
                </v:line>
                <v:shape id="文本框 130" o:spid="_x0000_s1026" o:spt="202" type="#_x0000_t202" style="position:absolute;left:5222;top:1636775;height:541;width:1802;v-text-anchor:middle;" fillcolor="#FFFFFF" filled="t" stroked="t" coordsize="21600,21600" o:gfxdata="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NUdc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005220D8">
                        <w:pPr>
                          <w:spacing w:line="360" w:lineRule="exact"/>
                          <w:ind w:firstLine="0" w:firstLineChars="0"/>
                          <w:jc w:val="center"/>
                          <w:rPr>
                            <w:rFonts w:hint="default" w:eastAsia="宋体"/>
                            <w:lang w:val="en-US" w:eastAsia="zh-CN"/>
                          </w:rPr>
                        </w:pPr>
                        <w:r>
                          <w:rPr>
                            <w:rFonts w:hint="eastAsia"/>
                            <w:lang w:val="en-US" w:eastAsia="zh-CN"/>
                          </w:rPr>
                          <w:t>井下开拓</w:t>
                        </w:r>
                      </w:p>
                    </w:txbxContent>
                  </v:textbox>
                </v:shape>
                <v:line id="直线 141" o:spid="_x0000_s1026" o:spt="20" style="position:absolute;left:6992;top:1637057;height:11;width:252;"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直线 121" o:spid="_x0000_s1026" o:spt="20" style="position:absolute;left:6164;top:1636182;flip:y;height:565;width:1;" filled="f" stroked="t" coordsize="21600,21600" o:gfxdata="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69PNG5AAAA2wAA&#10;AA8AAAAAAAAAAQAgAAAAIgAAAGRycy9kb3ducmV2LnhtbFBLAQIUABQAAAAIAIdO4kAzLwWeOwAA&#10;ADkAAAAQAAAAAAAAAAEAIAAAAAgBAABkcnMvc2hhcGV4bWwueG1sUEsFBgAAAAAGAAYAWwEAALID&#10;AAAAAA==&#10;">
                  <v:fill on="f" focussize="0,0"/>
                  <v:stroke color="#000000" joinstyle="round" dashstyle="dash" endarrow="block"/>
                  <v:imagedata o:title=""/>
                  <o:lock v:ext="edit" aspectratio="f"/>
                </v:line>
                <v:shape id="文本框 120" o:spid="_x0000_s1026" o:spt="202" type="#_x0000_t202" style="position:absolute;left:5680;top:1635772;height:479;width:1316;v-text-anchor:middle;" fillcolor="#FFFFFF" filled="t" stroked="f" coordsize="21600,21600" o:gfxdata="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hgp7LsAAADb&#10;AAAADwAAAAAAAAABACAAAAAiAAAAZHJzL2Rvd25yZXYueG1sUEsBAhQAFAAAAAgAh07iQDMvBZ47&#10;AAAAOQAAABAAAAAAAAAAAQAgAAAACgEAAGRycy9zaGFwZXhtbC54bWxQSwUGAAAAAAYABgBbAQAA&#10;tAMAAAAA&#10;">
                  <v:fill on="t" opacity="0f" focussize="0,0"/>
                  <v:stroke on="f"/>
                  <v:imagedata o:title=""/>
                  <o:lock v:ext="edit" aspectratio="f"/>
                  <v:textbox>
                    <w:txbxContent>
                      <w:p w14:paraId="03DEAAD0">
                        <w:pPr>
                          <w:spacing w:line="360" w:lineRule="exact"/>
                          <w:ind w:firstLine="0" w:firstLineChars="0"/>
                          <w:jc w:val="center"/>
                          <w:rPr>
                            <w:rFonts w:hint="eastAsia"/>
                          </w:rPr>
                        </w:pPr>
                        <w:r>
                          <w:rPr>
                            <w:rFonts w:hint="eastAsia"/>
                          </w:rPr>
                          <w:t>扬尘、噪声</w:t>
                        </w:r>
                      </w:p>
                    </w:txbxContent>
                  </v:textbox>
                </v:shape>
                <v:shape id="文本框 124" o:spid="_x0000_s1026" o:spt="202" type="#_x0000_t202" style="position:absolute;left:4228;top:1637127;height:553;width:1333;v-text-anchor:middle;" fillcolor="#FFFFFF" filled="t" stroked="f" coordsize="21600,21600" o:gfxdata="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VSMd7sAAADb&#10;AAAADwAAAAAAAAABACAAAAAiAAAAZHJzL2Rvd25yZXYueG1sUEsBAhQAFAAAAAgAh07iQDMvBZ47&#10;AAAAOQAAABAAAAAAAAAAAQAgAAAACgEAAGRycy9zaGFwZXhtbC54bWxQSwUGAAAAAAYABgBbAQAA&#10;tAMAAAAA&#10;">
                  <v:fill on="t" opacity="0f" focussize="0,0"/>
                  <v:stroke on="f"/>
                  <v:imagedata o:title=""/>
                  <o:lock v:ext="edit" aspectratio="f"/>
                  <v:textbox>
                    <w:txbxContent>
                      <w:p w14:paraId="6E5C54AD">
                        <w:pPr>
                          <w:spacing w:line="360" w:lineRule="exact"/>
                          <w:ind w:firstLine="0" w:firstLineChars="0"/>
                          <w:jc w:val="center"/>
                          <w:rPr>
                            <w:rFonts w:hint="eastAsia"/>
                            <w:sz w:val="18"/>
                            <w:szCs w:val="18"/>
                          </w:rPr>
                        </w:pPr>
                        <w:r>
                          <w:rPr>
                            <w:rFonts w:hint="eastAsia"/>
                            <w:sz w:val="18"/>
                            <w:szCs w:val="18"/>
                          </w:rPr>
                          <w:t>提升运输</w:t>
                        </w:r>
                      </w:p>
                    </w:txbxContent>
                  </v:textbox>
                </v:shape>
                <v:shape id="文本框 118" o:spid="_x0000_s1026" o:spt="202" type="#_x0000_t202" style="position:absolute;left:5058;top:1635064;height:1164;width:768;v-text-anchor:middle;" fillcolor="#FFFFFF" filled="t" stroked="f" coordsize="21600,21600" o:gfxdata="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q9FAO8AAAA&#10;2wAAAA8AAAAAAAAAAQAgAAAAIgAAAGRycy9kb3ducmV2LnhtbFBLAQIUABQAAAAIAIdO4kAzLwWe&#10;OwAAADkAAAAQAAAAAAAAAAEAIAAAAAsBAABkcnMvc2hhcGV4bWwueG1sUEsFBgAAAAAGAAYAWwEA&#10;ALUDAAAAAA==&#10;">
                  <v:fill on="t" opacity="0f" focussize="0,0"/>
                  <v:stroke on="f"/>
                  <v:imagedata o:title=""/>
                  <o:lock v:ext="edit" aspectratio="f"/>
                  <v:textbox>
                    <w:txbxContent>
                      <w:p w14:paraId="61945396">
                        <w:pPr>
                          <w:spacing w:line="360" w:lineRule="atLeast"/>
                          <w:ind w:firstLine="0" w:firstLineChars="0"/>
                          <w:jc w:val="center"/>
                          <w:rPr>
                            <w:rFonts w:hint="eastAsia"/>
                          </w:rPr>
                        </w:pPr>
                        <w:r>
                          <w:rPr>
                            <w:rFonts w:hint="eastAsia"/>
                          </w:rPr>
                          <w:t>抑尘洒水</w:t>
                        </w:r>
                      </w:p>
                    </w:txbxContent>
                  </v:textbox>
                </v:shape>
                <v:shape id="文本框 118" o:spid="_x0000_s1026" o:spt="202" type="#_x0000_t202" style="position:absolute;left:7380;top:1635073;height:1164;width:768;v-text-anchor:middle;" fillcolor="#FFFFFF" filled="t" stroked="f" coordsize="21600,21600" o:gfxdata="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SMv77sAAADb&#10;AAAADwAAAAAAAAABACAAAAAiAAAAZHJzL2Rvd25yZXYueG1sUEsBAhQAFAAAAAgAh07iQDMvBZ47&#10;AAAAOQAAABAAAAAAAAAAAQAgAAAACgEAAGRycy9zaGFwZXhtbC54bWxQSwUGAAAAAAYABgBbAQAA&#10;tAMAAAAA&#10;">
                  <v:fill on="t" opacity="0f" focussize="0,0"/>
                  <v:stroke on="f"/>
                  <v:imagedata o:title=""/>
                  <o:lock v:ext="edit" aspectratio="f"/>
                  <v:textbox>
                    <w:txbxContent>
                      <w:p w14:paraId="16FC64FD">
                        <w:pPr>
                          <w:spacing w:line="360" w:lineRule="atLeast"/>
                          <w:ind w:firstLine="0" w:firstLineChars="0"/>
                          <w:jc w:val="center"/>
                          <w:rPr>
                            <w:rFonts w:hint="eastAsia"/>
                          </w:rPr>
                        </w:pPr>
                        <w:r>
                          <w:rPr>
                            <w:rFonts w:hint="eastAsia"/>
                          </w:rPr>
                          <w:t>抑尘洒水</w:t>
                        </w:r>
                      </w:p>
                    </w:txbxContent>
                  </v:textbox>
                </v:shape>
                <v:line id="直接连接符 22" o:spid="_x0000_s1026" o:spt="20" style="position:absolute;left:4549;top:1635134;height:0;width:3441;" filled="f" stroked="t" coordsize="21600,21600" o:gfxdata="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DR/4C/&#10;AAAA2wAAAA8AAAAAAAAAAQAgAAAAIgAAAGRycy9kb3ducmV2LnhtbFBLAQIUABQAAAAIAIdO4kAz&#10;LwWeOwAAADkAAAAQAAAAAAAAAAEAIAAAAA4BAABkcnMvc2hhcGV4bWwueG1sUEsFBgAAAAAGAAYA&#10;WwEAALgDAAAAAA==&#10;">
                  <v:fill on="f" focussize="0,0"/>
                  <v:stroke color="#000000" joinstyle="round" dashstyle="dash"/>
                  <v:imagedata o:title=""/>
                  <o:lock v:ext="edit" aspectratio="f"/>
                </v:line>
                <v:shape id="直接箭头连接符 244" o:spid="_x0000_s1026" o:spt="32" type="#_x0000_t32" style="position:absolute;left:8000;top:1635137;height:1016;width:0;" filled="f" stroked="t" coordsize="21600,21600" o:gfxdata="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HRpr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shape>
                <v:shape id="直接箭头连接符 249" o:spid="_x0000_s1026" o:spt="32" type="#_x0000_t32" style="position:absolute;left:5677;top:1635145;height:1680;width:0;" filled="f" stroked="t" coordsize="21600,21600" o:gfxdata="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w1BVvQAA&#10;ANs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shape>
                <w10:wrap type="none"/>
                <w10:anchorlock/>
              </v:group>
            </w:pict>
          </mc:Fallback>
        </mc:AlternateContent>
      </w:r>
    </w:p>
    <w:p w14:paraId="3B109BD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4"/>
          <w:szCs w:val="24"/>
        </w:rPr>
      </w:pPr>
      <w:r>
        <w:rPr>
          <w:rFonts w:hint="default" w:ascii="Times New Roman" w:hAnsi="Times New Roman" w:eastAsia="宋体" w:cs="Times New Roman"/>
          <w:b/>
          <w:bCs/>
          <w:color w:val="auto"/>
          <w:spacing w:val="0"/>
          <w:w w:val="100"/>
          <w:position w:val="0"/>
          <w:sz w:val="24"/>
          <w:szCs w:val="24"/>
        </w:rPr>
        <w:t>图3.3-</w:t>
      </w:r>
      <w:r>
        <w:rPr>
          <w:rFonts w:hint="default" w:ascii="Times New Roman" w:hAnsi="Times New Roman" w:cs="Times New Roman"/>
          <w:b/>
          <w:bCs/>
          <w:color w:val="auto"/>
          <w:spacing w:val="0"/>
          <w:w w:val="100"/>
          <w:position w:val="0"/>
          <w:sz w:val="24"/>
          <w:szCs w:val="24"/>
          <w:lang w:val="en-US" w:eastAsia="zh-CN"/>
        </w:rPr>
        <w:t>3</w:t>
      </w:r>
      <w:r>
        <w:rPr>
          <w:rFonts w:hint="default" w:ascii="Times New Roman" w:hAnsi="Times New Roman" w:eastAsia="宋体" w:cs="Times New Roman"/>
          <w:b/>
          <w:bCs/>
          <w:color w:val="auto"/>
          <w:spacing w:val="0"/>
          <w:w w:val="100"/>
          <w:position w:val="0"/>
          <w:sz w:val="24"/>
          <w:szCs w:val="24"/>
          <w:lang w:val="en-US" w:eastAsia="zh-CN"/>
        </w:rPr>
        <w:t xml:space="preserve">     </w:t>
      </w:r>
      <w:r>
        <w:rPr>
          <w:rFonts w:hint="default" w:ascii="Times New Roman" w:hAnsi="Times New Roman" w:eastAsia="宋体" w:cs="Times New Roman"/>
          <w:b/>
          <w:bCs/>
          <w:color w:val="auto"/>
          <w:spacing w:val="0"/>
          <w:w w:val="100"/>
          <w:position w:val="0"/>
          <w:sz w:val="24"/>
          <w:szCs w:val="24"/>
        </w:rPr>
        <w:t>地下开采主要</w:t>
      </w:r>
      <w:r>
        <w:rPr>
          <w:rFonts w:hint="default" w:ascii="Times New Roman" w:hAnsi="Times New Roman" w:cs="Times New Roman"/>
          <w:b/>
          <w:bCs/>
          <w:color w:val="auto"/>
          <w:spacing w:val="0"/>
          <w:w w:val="100"/>
          <w:position w:val="0"/>
          <w:sz w:val="24"/>
          <w:szCs w:val="24"/>
          <w:lang w:val="en-US" w:eastAsia="zh-CN"/>
        </w:rPr>
        <w:t>产污节点</w:t>
      </w:r>
      <w:r>
        <w:rPr>
          <w:rFonts w:hint="default" w:ascii="Times New Roman" w:hAnsi="Times New Roman" w:eastAsia="宋体" w:cs="Times New Roman"/>
          <w:b/>
          <w:bCs/>
          <w:color w:val="auto"/>
          <w:spacing w:val="0"/>
          <w:w w:val="100"/>
          <w:position w:val="0"/>
          <w:sz w:val="24"/>
          <w:szCs w:val="24"/>
        </w:rPr>
        <w:t>示意图</w:t>
      </w:r>
    </w:p>
    <w:p w14:paraId="50EF88A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object>
          <v:shape id="_x0000_i1026" o:spt="75" type="#_x0000_t75" style="height:276.95pt;width:295.8pt;" o:ole="t" filled="f" o:preferrelative="t" stroked="f" coordsize="21600,21600">
            <v:path/>
            <v:fill on="f" focussize="0,0"/>
            <v:stroke on="f"/>
            <v:imagedata r:id="rId59" o:title=""/>
            <o:lock v:ext="edit" aspectratio="f"/>
            <w10:wrap type="none"/>
            <w10:anchorlock/>
          </v:shape>
          <o:OLEObject Type="Embed" ProgID="Visio.Drawing.11" ShapeID="_x0000_i1026" DrawAspect="Content" ObjectID="_1468075726" r:id="rId58">
            <o:LockedField>false</o:LockedField>
          </o:OLEObject>
        </w:object>
      </w:r>
    </w:p>
    <w:p w14:paraId="4FB70605">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bCs/>
          <w:color w:val="auto"/>
          <w:spacing w:val="0"/>
          <w:w w:val="100"/>
          <w:position w:val="0"/>
          <w:sz w:val="24"/>
          <w:szCs w:val="24"/>
        </w:rPr>
        <w:t>图3.3-</w:t>
      </w:r>
      <w:r>
        <w:rPr>
          <w:rFonts w:hint="default" w:ascii="Times New Roman" w:hAnsi="Times New Roman" w:cs="Times New Roman"/>
          <w:b/>
          <w:bCs/>
          <w:color w:val="auto"/>
          <w:spacing w:val="0"/>
          <w:w w:val="100"/>
          <w:position w:val="0"/>
          <w:sz w:val="24"/>
          <w:szCs w:val="24"/>
          <w:lang w:val="en-US" w:eastAsia="zh-CN"/>
        </w:rPr>
        <w:t>4</w:t>
      </w:r>
      <w:r>
        <w:rPr>
          <w:rFonts w:hint="default" w:ascii="Times New Roman" w:hAnsi="Times New Roman" w:eastAsia="宋体" w:cs="Times New Roman"/>
          <w:b/>
          <w:bCs/>
          <w:color w:val="auto"/>
          <w:spacing w:val="0"/>
          <w:w w:val="100"/>
          <w:position w:val="0"/>
          <w:sz w:val="24"/>
          <w:szCs w:val="24"/>
          <w:lang w:val="en-US" w:eastAsia="zh-CN"/>
        </w:rPr>
        <w:t xml:space="preserve">      </w:t>
      </w:r>
      <w:r>
        <w:rPr>
          <w:rFonts w:hint="default" w:ascii="Times New Roman" w:hAnsi="Times New Roman" w:cs="Times New Roman"/>
          <w:b/>
          <w:bCs/>
          <w:color w:val="auto"/>
          <w:spacing w:val="0"/>
          <w:w w:val="100"/>
          <w:position w:val="0"/>
          <w:sz w:val="24"/>
          <w:szCs w:val="24"/>
          <w:lang w:val="en-US" w:eastAsia="zh-CN"/>
        </w:rPr>
        <w:t>充填工艺</w:t>
      </w:r>
      <w:r>
        <w:rPr>
          <w:rFonts w:hint="default" w:ascii="Times New Roman" w:hAnsi="Times New Roman" w:eastAsia="宋体" w:cs="Times New Roman"/>
          <w:b/>
          <w:bCs/>
          <w:color w:val="auto"/>
          <w:spacing w:val="0"/>
          <w:w w:val="100"/>
          <w:position w:val="0"/>
          <w:sz w:val="24"/>
          <w:szCs w:val="24"/>
        </w:rPr>
        <w:t>主要</w:t>
      </w:r>
      <w:r>
        <w:rPr>
          <w:rFonts w:hint="default" w:ascii="Times New Roman" w:hAnsi="Times New Roman" w:cs="Times New Roman"/>
          <w:b/>
          <w:bCs/>
          <w:color w:val="auto"/>
          <w:spacing w:val="0"/>
          <w:w w:val="100"/>
          <w:position w:val="0"/>
          <w:sz w:val="24"/>
          <w:szCs w:val="24"/>
          <w:lang w:val="en-US" w:eastAsia="zh-CN"/>
        </w:rPr>
        <w:t>产污节点</w:t>
      </w:r>
      <w:r>
        <w:rPr>
          <w:rFonts w:hint="default" w:ascii="Times New Roman" w:hAnsi="Times New Roman" w:eastAsia="宋体" w:cs="Times New Roman"/>
          <w:b/>
          <w:bCs/>
          <w:color w:val="auto"/>
          <w:spacing w:val="0"/>
          <w:w w:val="100"/>
          <w:position w:val="0"/>
          <w:sz w:val="24"/>
          <w:szCs w:val="24"/>
        </w:rPr>
        <w:t>示意图</w:t>
      </w:r>
    </w:p>
    <w:p w14:paraId="02F1D18B">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由图汇总出地下采矿时段的产排污节点见表3.3-</w:t>
      </w:r>
      <w:r>
        <w:rPr>
          <w:rFonts w:hint="default" w:ascii="Times New Roman" w:hAnsi="Times New Roman" w:eastAsia="宋体" w:cs="Times New Roman"/>
          <w:b w:val="0"/>
          <w:bCs w:val="0"/>
          <w:color w:val="auto"/>
          <w:spacing w:val="0"/>
          <w:w w:val="100"/>
          <w:position w:val="0"/>
          <w:sz w:val="24"/>
          <w:szCs w:val="24"/>
          <w:lang w:val="en-US" w:eastAsia="zh-CN"/>
        </w:rPr>
        <w:t>1</w:t>
      </w:r>
      <w:r>
        <w:rPr>
          <w:rFonts w:hint="default" w:ascii="Times New Roman" w:hAnsi="Times New Roman" w:cs="Times New Roman"/>
          <w:b w:val="0"/>
          <w:bCs w:val="0"/>
          <w:color w:val="auto"/>
          <w:spacing w:val="0"/>
          <w:w w:val="100"/>
          <w:position w:val="0"/>
          <w:sz w:val="24"/>
          <w:szCs w:val="24"/>
          <w:lang w:val="en-US" w:eastAsia="zh-CN"/>
        </w:rPr>
        <w:t>1</w:t>
      </w:r>
      <w:r>
        <w:rPr>
          <w:rFonts w:hint="default" w:ascii="Times New Roman" w:hAnsi="Times New Roman" w:eastAsia="宋体" w:cs="Times New Roman"/>
          <w:b w:val="0"/>
          <w:bCs w:val="0"/>
          <w:color w:val="auto"/>
          <w:spacing w:val="0"/>
          <w:w w:val="100"/>
          <w:position w:val="0"/>
          <w:sz w:val="24"/>
          <w:szCs w:val="24"/>
        </w:rPr>
        <w:t>。</w:t>
      </w:r>
    </w:p>
    <w:p w14:paraId="3469C36E">
      <w:pPr>
        <w:spacing w:before="183" w:line="219" w:lineRule="auto"/>
        <w:ind w:left="0" w:leftChars="0" w:firstLine="0" w:firstLineChars="0"/>
        <w:jc w:val="center"/>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表3.3-</w:t>
      </w:r>
      <w:r>
        <w:rPr>
          <w:rFonts w:hint="default" w:ascii="Times New Roman" w:hAnsi="Times New Roman" w:cs="Times New Roman"/>
          <w:b/>
          <w:bCs/>
          <w:color w:val="auto"/>
          <w:spacing w:val="0"/>
          <w:w w:val="100"/>
          <w:position w:val="0"/>
          <w:sz w:val="21"/>
          <w:szCs w:val="21"/>
          <w:lang w:val="en-US" w:eastAsia="zh-CN"/>
        </w:rPr>
        <w:t>11</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地下采矿排污节点汇总表</w:t>
      </w:r>
    </w:p>
    <w:tbl>
      <w:tblPr>
        <w:tblStyle w:val="31"/>
        <w:tblW w:w="5016"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819"/>
        <w:gridCol w:w="2375"/>
        <w:gridCol w:w="2355"/>
        <w:gridCol w:w="1814"/>
      </w:tblGrid>
      <w:tr w14:paraId="51961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4" w:hRule="atLeast"/>
          <w:tblHeader/>
        </w:trPr>
        <w:tc>
          <w:tcPr>
            <w:tcW w:w="1087" w:type="pct"/>
            <w:tcBorders>
              <w:tl2br w:val="nil"/>
              <w:tr2bl w:val="nil"/>
            </w:tcBorders>
            <w:vAlign w:val="center"/>
          </w:tcPr>
          <w:p w14:paraId="1A74C2D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污染物类型</w:t>
            </w:r>
          </w:p>
        </w:tc>
        <w:tc>
          <w:tcPr>
            <w:tcW w:w="1419" w:type="pct"/>
            <w:tcBorders>
              <w:tl2br w:val="nil"/>
              <w:tr2bl w:val="nil"/>
            </w:tcBorders>
            <w:vAlign w:val="center"/>
          </w:tcPr>
          <w:p w14:paraId="58E43E99">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排污节点</w:t>
            </w:r>
          </w:p>
        </w:tc>
        <w:tc>
          <w:tcPr>
            <w:tcW w:w="1407" w:type="pct"/>
            <w:tcBorders>
              <w:tl2br w:val="nil"/>
              <w:tr2bl w:val="nil"/>
            </w:tcBorders>
            <w:vAlign w:val="center"/>
          </w:tcPr>
          <w:p w14:paraId="299239F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主要污染物</w:t>
            </w:r>
          </w:p>
        </w:tc>
        <w:tc>
          <w:tcPr>
            <w:tcW w:w="1084" w:type="pct"/>
            <w:tcBorders>
              <w:tl2br w:val="nil"/>
              <w:tr2bl w:val="nil"/>
            </w:tcBorders>
            <w:vAlign w:val="center"/>
          </w:tcPr>
          <w:p w14:paraId="7CE61CF8">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b w:val="0"/>
                <w:bCs w:val="0"/>
                <w:color w:val="auto"/>
                <w:spacing w:val="0"/>
                <w:w w:val="100"/>
                <w:position w:val="0"/>
              </w:rPr>
            </w:pPr>
            <w:r>
              <w:rPr>
                <w:rFonts w:hint="default" w:ascii="Times New Roman" w:hAnsi="Times New Roman" w:eastAsia="宋体" w:cs="Times New Roman"/>
                <w:b w:val="0"/>
                <w:bCs w:val="0"/>
                <w:color w:val="auto"/>
                <w:spacing w:val="0"/>
                <w:w w:val="100"/>
                <w:position w:val="0"/>
              </w:rPr>
              <w:t>排放特征</w:t>
            </w:r>
          </w:p>
        </w:tc>
      </w:tr>
      <w:tr w14:paraId="57FF2F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087" w:type="pct"/>
            <w:vMerge w:val="restart"/>
            <w:tcBorders>
              <w:tl2br w:val="nil"/>
              <w:tr2bl w:val="nil"/>
            </w:tcBorders>
            <w:vAlign w:val="center"/>
          </w:tcPr>
          <w:p w14:paraId="6074AAD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废气</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lang w:val="en-US" w:eastAsia="zh-CN"/>
              </w:rPr>
              <w:t>G</w:t>
            </w:r>
            <w:r>
              <w:rPr>
                <w:rFonts w:hint="default" w:ascii="Times New Roman" w:hAnsi="Times New Roman" w:eastAsia="宋体" w:cs="Times New Roman"/>
                <w:color w:val="auto"/>
                <w:spacing w:val="0"/>
                <w:w w:val="100"/>
                <w:position w:val="0"/>
                <w:lang w:eastAsia="zh-CN"/>
              </w:rPr>
              <w:t>）</w:t>
            </w:r>
          </w:p>
        </w:tc>
        <w:tc>
          <w:tcPr>
            <w:tcW w:w="1419" w:type="pct"/>
            <w:tcBorders>
              <w:tl2br w:val="nil"/>
              <w:tr2bl w:val="nil"/>
            </w:tcBorders>
            <w:vAlign w:val="center"/>
          </w:tcPr>
          <w:p w14:paraId="7A1050B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井下作业</w:t>
            </w:r>
          </w:p>
        </w:tc>
        <w:tc>
          <w:tcPr>
            <w:tcW w:w="1407" w:type="pct"/>
            <w:tcBorders>
              <w:tl2br w:val="nil"/>
              <w:tr2bl w:val="nil"/>
            </w:tcBorders>
            <w:vAlign w:val="center"/>
          </w:tcPr>
          <w:p w14:paraId="6E42331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084" w:type="pct"/>
            <w:tcBorders>
              <w:tl2br w:val="nil"/>
              <w:tr2bl w:val="nil"/>
            </w:tcBorders>
            <w:vAlign w:val="center"/>
          </w:tcPr>
          <w:p w14:paraId="3523CD69">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79FB3B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087" w:type="pct"/>
            <w:vMerge w:val="continue"/>
            <w:tcBorders>
              <w:tl2br w:val="nil"/>
              <w:tr2bl w:val="nil"/>
            </w:tcBorders>
            <w:vAlign w:val="center"/>
          </w:tcPr>
          <w:p w14:paraId="49EA5F9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473862C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爆破</w:t>
            </w:r>
          </w:p>
        </w:tc>
        <w:tc>
          <w:tcPr>
            <w:tcW w:w="1407" w:type="pct"/>
            <w:tcBorders>
              <w:tl2br w:val="nil"/>
              <w:tr2bl w:val="nil"/>
            </w:tcBorders>
            <w:vAlign w:val="center"/>
          </w:tcPr>
          <w:p w14:paraId="0064501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NO</w:t>
            </w:r>
            <w:r>
              <w:rPr>
                <w:rFonts w:hint="default" w:ascii="Times New Roman" w:hAnsi="Times New Roman" w:eastAsia="宋体" w:cs="Times New Roman"/>
                <w:color w:val="auto"/>
                <w:spacing w:val="0"/>
                <w:w w:val="100"/>
                <w:position w:val="0"/>
                <w:sz w:val="14"/>
                <w:szCs w:val="14"/>
              </w:rPr>
              <w:t>X</w:t>
            </w:r>
            <w:r>
              <w:rPr>
                <w:rFonts w:hint="default" w:ascii="Times New Roman" w:hAnsi="Times New Roman" w:eastAsia="宋体" w:cs="Times New Roman"/>
                <w:color w:val="auto"/>
                <w:spacing w:val="0"/>
                <w:w w:val="100"/>
                <w:position w:val="0"/>
                <w:sz w:val="11"/>
                <w:szCs w:val="11"/>
                <w:vertAlign w:val="baseline"/>
              </w:rPr>
              <w:t>、</w:t>
            </w:r>
            <w:r>
              <w:rPr>
                <w:rFonts w:hint="default" w:ascii="Times New Roman" w:hAnsi="Times New Roman" w:eastAsia="宋体" w:cs="Times New Roman"/>
                <w:color w:val="auto"/>
                <w:spacing w:val="0"/>
                <w:w w:val="100"/>
                <w:position w:val="0"/>
              </w:rPr>
              <w:t>CO和粉尘</w:t>
            </w:r>
          </w:p>
        </w:tc>
        <w:tc>
          <w:tcPr>
            <w:tcW w:w="1084" w:type="pct"/>
            <w:tcBorders>
              <w:tl2br w:val="nil"/>
              <w:tr2bl w:val="nil"/>
            </w:tcBorders>
            <w:vAlign w:val="center"/>
          </w:tcPr>
          <w:p w14:paraId="009C011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3B155A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087" w:type="pct"/>
            <w:vMerge w:val="continue"/>
            <w:tcBorders>
              <w:tl2br w:val="nil"/>
              <w:tr2bl w:val="nil"/>
            </w:tcBorders>
            <w:vAlign w:val="center"/>
          </w:tcPr>
          <w:p w14:paraId="1453744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3FCD11A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提升装卸</w:t>
            </w:r>
          </w:p>
        </w:tc>
        <w:tc>
          <w:tcPr>
            <w:tcW w:w="1407" w:type="pct"/>
            <w:tcBorders>
              <w:tl2br w:val="nil"/>
              <w:tr2bl w:val="nil"/>
            </w:tcBorders>
            <w:vAlign w:val="center"/>
          </w:tcPr>
          <w:p w14:paraId="12C7C3C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084" w:type="pct"/>
            <w:tcBorders>
              <w:tl2br w:val="nil"/>
              <w:tr2bl w:val="nil"/>
            </w:tcBorders>
            <w:vAlign w:val="center"/>
          </w:tcPr>
          <w:p w14:paraId="119BBBF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连续</w:t>
            </w:r>
          </w:p>
        </w:tc>
      </w:tr>
      <w:tr w14:paraId="7D1007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87" w:type="pct"/>
            <w:vMerge w:val="continue"/>
            <w:tcBorders>
              <w:tl2br w:val="nil"/>
              <w:tr2bl w:val="nil"/>
            </w:tcBorders>
            <w:vAlign w:val="center"/>
          </w:tcPr>
          <w:p w14:paraId="3BAF930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7F90597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废石场</w:t>
            </w:r>
          </w:p>
        </w:tc>
        <w:tc>
          <w:tcPr>
            <w:tcW w:w="1407" w:type="pct"/>
            <w:tcBorders>
              <w:tl2br w:val="nil"/>
              <w:tr2bl w:val="nil"/>
            </w:tcBorders>
            <w:vAlign w:val="center"/>
          </w:tcPr>
          <w:p w14:paraId="27BD78FC">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扬尘</w:t>
            </w:r>
          </w:p>
        </w:tc>
        <w:tc>
          <w:tcPr>
            <w:tcW w:w="1084" w:type="pct"/>
            <w:tcBorders>
              <w:tl2br w:val="nil"/>
              <w:tr2bl w:val="nil"/>
            </w:tcBorders>
            <w:vAlign w:val="center"/>
          </w:tcPr>
          <w:p w14:paraId="7FCC0D0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4DE1FB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87" w:type="pct"/>
            <w:vMerge w:val="continue"/>
            <w:tcBorders>
              <w:tl2br w:val="nil"/>
              <w:tr2bl w:val="nil"/>
            </w:tcBorders>
            <w:vAlign w:val="center"/>
          </w:tcPr>
          <w:p w14:paraId="0758C70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23A1284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Times New Roman" w:hAnsi="Times New Roman" w:eastAsia="宋体" w:cs="Times New Roman"/>
                <w:color w:val="auto"/>
                <w:spacing w:val="0"/>
                <w:w w:val="100"/>
                <w:position w:val="0"/>
                <w:lang w:val="en-US" w:eastAsia="zh-CN"/>
              </w:rPr>
            </w:pPr>
            <w:r>
              <w:rPr>
                <w:rFonts w:hint="eastAsia" w:ascii="Times New Roman" w:hAnsi="Times New Roman" w:cs="Times New Roman"/>
                <w:color w:val="auto"/>
                <w:spacing w:val="0"/>
                <w:w w:val="100"/>
                <w:position w:val="0"/>
                <w:lang w:val="en-US" w:eastAsia="zh-CN"/>
              </w:rPr>
              <w:t>破碎</w:t>
            </w:r>
          </w:p>
        </w:tc>
        <w:tc>
          <w:tcPr>
            <w:tcW w:w="1407" w:type="pct"/>
            <w:tcBorders>
              <w:tl2br w:val="nil"/>
              <w:tr2bl w:val="nil"/>
            </w:tcBorders>
            <w:vAlign w:val="center"/>
          </w:tcPr>
          <w:p w14:paraId="14EB99A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粉尘</w:t>
            </w:r>
          </w:p>
        </w:tc>
        <w:tc>
          <w:tcPr>
            <w:tcW w:w="1084" w:type="pct"/>
            <w:tcBorders>
              <w:tl2br w:val="nil"/>
              <w:tr2bl w:val="nil"/>
            </w:tcBorders>
            <w:vAlign w:val="center"/>
          </w:tcPr>
          <w:p w14:paraId="393AFC6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连续</w:t>
            </w:r>
          </w:p>
        </w:tc>
      </w:tr>
      <w:tr w14:paraId="6B01BC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087" w:type="pct"/>
            <w:vMerge w:val="restart"/>
            <w:tcBorders>
              <w:tl2br w:val="nil"/>
              <w:tr2bl w:val="nil"/>
            </w:tcBorders>
            <w:vAlign w:val="center"/>
          </w:tcPr>
          <w:p w14:paraId="3C752CB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废水</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W</w:t>
            </w:r>
            <w:r>
              <w:rPr>
                <w:rFonts w:hint="default" w:ascii="Times New Roman" w:hAnsi="Times New Roman" w:eastAsia="宋体" w:cs="Times New Roman"/>
                <w:color w:val="auto"/>
                <w:spacing w:val="0"/>
                <w:w w:val="100"/>
                <w:position w:val="0"/>
                <w:lang w:eastAsia="zh-CN"/>
              </w:rPr>
              <w:t>）</w:t>
            </w:r>
          </w:p>
        </w:tc>
        <w:tc>
          <w:tcPr>
            <w:tcW w:w="1419" w:type="pct"/>
            <w:tcBorders>
              <w:tl2br w:val="nil"/>
              <w:tr2bl w:val="nil"/>
            </w:tcBorders>
            <w:vAlign w:val="center"/>
          </w:tcPr>
          <w:p w14:paraId="78D7AD2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矿井涌水</w:t>
            </w:r>
          </w:p>
        </w:tc>
        <w:tc>
          <w:tcPr>
            <w:tcW w:w="1407" w:type="pct"/>
            <w:tcBorders>
              <w:tl2br w:val="nil"/>
              <w:tr2bl w:val="nil"/>
            </w:tcBorders>
            <w:vAlign w:val="center"/>
          </w:tcPr>
          <w:p w14:paraId="30623EB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SS</w:t>
            </w:r>
          </w:p>
        </w:tc>
        <w:tc>
          <w:tcPr>
            <w:tcW w:w="1084" w:type="pct"/>
            <w:tcBorders>
              <w:tl2br w:val="nil"/>
              <w:tr2bl w:val="nil"/>
            </w:tcBorders>
            <w:vAlign w:val="center"/>
          </w:tcPr>
          <w:p w14:paraId="5CD7054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4362A8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087" w:type="pct"/>
            <w:vMerge w:val="continue"/>
            <w:tcBorders>
              <w:tl2br w:val="nil"/>
              <w:tr2bl w:val="nil"/>
            </w:tcBorders>
            <w:vAlign w:val="center"/>
          </w:tcPr>
          <w:p w14:paraId="4581514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42F39749">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生产污水</w:t>
            </w:r>
          </w:p>
        </w:tc>
        <w:tc>
          <w:tcPr>
            <w:tcW w:w="1407" w:type="pct"/>
            <w:tcBorders>
              <w:tl2br w:val="nil"/>
              <w:tr2bl w:val="nil"/>
            </w:tcBorders>
            <w:vAlign w:val="center"/>
          </w:tcPr>
          <w:p w14:paraId="1D0E6AF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SS</w:t>
            </w:r>
          </w:p>
        </w:tc>
        <w:tc>
          <w:tcPr>
            <w:tcW w:w="1084" w:type="pct"/>
            <w:tcBorders>
              <w:tl2br w:val="nil"/>
              <w:tr2bl w:val="nil"/>
            </w:tcBorders>
            <w:vAlign w:val="center"/>
          </w:tcPr>
          <w:p w14:paraId="1894AA7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251EEF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087" w:type="pct"/>
            <w:vMerge w:val="continue"/>
            <w:tcBorders>
              <w:tl2br w:val="nil"/>
              <w:tr2bl w:val="nil"/>
            </w:tcBorders>
            <w:vAlign w:val="center"/>
          </w:tcPr>
          <w:p w14:paraId="5032AC9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419" w:type="pct"/>
            <w:tcBorders>
              <w:tl2br w:val="nil"/>
              <w:tr2bl w:val="nil"/>
            </w:tcBorders>
            <w:vAlign w:val="center"/>
          </w:tcPr>
          <w:p w14:paraId="37D6D501">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废石淋溶水</w:t>
            </w:r>
          </w:p>
        </w:tc>
        <w:tc>
          <w:tcPr>
            <w:tcW w:w="1407" w:type="pct"/>
            <w:tcBorders>
              <w:tl2br w:val="nil"/>
              <w:tr2bl w:val="nil"/>
            </w:tcBorders>
            <w:vAlign w:val="center"/>
          </w:tcPr>
          <w:p w14:paraId="6762E47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SS</w:t>
            </w:r>
          </w:p>
        </w:tc>
        <w:tc>
          <w:tcPr>
            <w:tcW w:w="1084" w:type="pct"/>
            <w:tcBorders>
              <w:tl2br w:val="nil"/>
              <w:tr2bl w:val="nil"/>
            </w:tcBorders>
            <w:vAlign w:val="center"/>
          </w:tcPr>
          <w:p w14:paraId="13A9AEB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间断</w:t>
            </w:r>
          </w:p>
        </w:tc>
      </w:tr>
      <w:tr w14:paraId="0C608D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087" w:type="pct"/>
            <w:tcBorders>
              <w:tl2br w:val="nil"/>
              <w:tr2bl w:val="nil"/>
            </w:tcBorders>
            <w:vAlign w:val="center"/>
          </w:tcPr>
          <w:p w14:paraId="546975F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噪声</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N</w:t>
            </w:r>
            <w:r>
              <w:rPr>
                <w:rFonts w:hint="default" w:ascii="Times New Roman" w:hAnsi="Times New Roman" w:eastAsia="宋体" w:cs="Times New Roman"/>
                <w:color w:val="auto"/>
                <w:spacing w:val="0"/>
                <w:w w:val="100"/>
                <w:position w:val="0"/>
                <w:lang w:eastAsia="zh-CN"/>
              </w:rPr>
              <w:t>）</w:t>
            </w:r>
          </w:p>
        </w:tc>
        <w:tc>
          <w:tcPr>
            <w:tcW w:w="1419" w:type="pct"/>
            <w:tcBorders>
              <w:tl2br w:val="nil"/>
              <w:tr2bl w:val="nil"/>
            </w:tcBorders>
            <w:vAlign w:val="center"/>
          </w:tcPr>
          <w:p w14:paraId="405CE5C6">
            <w:pPr>
              <w:pStyle w:val="30"/>
              <w:keepNext w:val="0"/>
              <w:keepLines w:val="0"/>
              <w:pageBreakBefore w:val="0"/>
              <w:widowControl w:val="0"/>
              <w:kinsoku/>
              <w:wordWrap/>
              <w:overflowPunct/>
              <w:topLinePunct w:val="0"/>
              <w:autoSpaceDE/>
              <w:autoSpaceDN/>
              <w:bidi w:val="0"/>
              <w:adjustRightInd/>
              <w:snapToGrid/>
              <w:spacing w:line="360" w:lineRule="exact"/>
              <w:ind w:left="0" w:right="13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地面空压机、风机等</w:t>
            </w:r>
          </w:p>
        </w:tc>
        <w:tc>
          <w:tcPr>
            <w:tcW w:w="1407" w:type="pct"/>
            <w:tcBorders>
              <w:tl2br w:val="nil"/>
              <w:tr2bl w:val="nil"/>
            </w:tcBorders>
            <w:vAlign w:val="center"/>
          </w:tcPr>
          <w:p w14:paraId="404E8AD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噪声</w:t>
            </w:r>
          </w:p>
        </w:tc>
        <w:tc>
          <w:tcPr>
            <w:tcW w:w="1084" w:type="pct"/>
            <w:tcBorders>
              <w:tl2br w:val="nil"/>
              <w:tr2bl w:val="nil"/>
            </w:tcBorders>
            <w:vAlign w:val="center"/>
          </w:tcPr>
          <w:p w14:paraId="0A1A36B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间歇性</w:t>
            </w:r>
          </w:p>
        </w:tc>
      </w:tr>
      <w:tr w14:paraId="7C9949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087" w:type="pct"/>
            <w:tcBorders>
              <w:tl2br w:val="nil"/>
              <w:tr2bl w:val="nil"/>
            </w:tcBorders>
            <w:vAlign w:val="center"/>
          </w:tcPr>
          <w:p w14:paraId="29B0D57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固废（</w:t>
            </w:r>
            <w:r>
              <w:rPr>
                <w:rFonts w:hint="default" w:ascii="Times New Roman" w:hAnsi="Times New Roman" w:eastAsia="宋体" w:cs="Times New Roman"/>
                <w:color w:val="auto"/>
                <w:spacing w:val="0"/>
                <w:w w:val="100"/>
                <w:position w:val="0"/>
                <w:lang w:val="en-US" w:eastAsia="zh-CN"/>
              </w:rPr>
              <w:t>S</w:t>
            </w:r>
            <w:r>
              <w:rPr>
                <w:rFonts w:hint="default" w:ascii="Times New Roman" w:hAnsi="Times New Roman" w:eastAsia="宋体" w:cs="Times New Roman"/>
                <w:color w:val="auto"/>
                <w:spacing w:val="0"/>
                <w:w w:val="100"/>
                <w:position w:val="0"/>
              </w:rPr>
              <w:t>）</w:t>
            </w:r>
          </w:p>
        </w:tc>
        <w:tc>
          <w:tcPr>
            <w:tcW w:w="1419" w:type="pct"/>
            <w:tcBorders>
              <w:tl2br w:val="nil"/>
              <w:tr2bl w:val="nil"/>
            </w:tcBorders>
            <w:vAlign w:val="center"/>
          </w:tcPr>
          <w:p w14:paraId="62CA9EEC">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掘进、开采</w:t>
            </w:r>
          </w:p>
        </w:tc>
        <w:tc>
          <w:tcPr>
            <w:tcW w:w="1407" w:type="pct"/>
            <w:tcBorders>
              <w:tl2br w:val="nil"/>
              <w:tr2bl w:val="nil"/>
            </w:tcBorders>
            <w:vAlign w:val="center"/>
          </w:tcPr>
          <w:p w14:paraId="797D730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采矿废石</w:t>
            </w:r>
          </w:p>
        </w:tc>
        <w:tc>
          <w:tcPr>
            <w:tcW w:w="1084" w:type="pct"/>
            <w:tcBorders>
              <w:tl2br w:val="nil"/>
              <w:tr2bl w:val="nil"/>
            </w:tcBorders>
            <w:vAlign w:val="center"/>
          </w:tcPr>
          <w:p w14:paraId="1B6647AF">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间歇性</w:t>
            </w:r>
          </w:p>
        </w:tc>
      </w:tr>
    </w:tbl>
    <w:p w14:paraId="53FC9F59">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cs="Times New Roman"/>
          <w:b w:val="0"/>
          <w:bCs w:val="0"/>
          <w:color w:val="auto"/>
          <w:spacing w:val="0"/>
          <w:w w:val="100"/>
          <w:position w:val="0"/>
          <w:sz w:val="24"/>
          <w:szCs w:val="24"/>
          <w:lang w:val="en-US" w:eastAsia="zh-CN"/>
        </w:rPr>
        <w:t>综上，</w:t>
      </w:r>
      <w:r>
        <w:rPr>
          <w:rFonts w:hint="default" w:ascii="Times New Roman" w:hAnsi="Times New Roman" w:eastAsia="宋体" w:cs="Times New Roman"/>
          <w:b w:val="0"/>
          <w:bCs w:val="0"/>
          <w:color w:val="auto"/>
          <w:spacing w:val="0"/>
          <w:w w:val="100"/>
          <w:position w:val="0"/>
          <w:sz w:val="24"/>
          <w:szCs w:val="24"/>
        </w:rPr>
        <w:t>井下废气主要为凿岩等作业粉尘</w:t>
      </w:r>
      <w:r>
        <w:rPr>
          <w:rFonts w:hint="default" w:ascii="Times New Roman" w:hAnsi="Times New Roman"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爆破产生的炮烟。主要污染物为颗粒物、NO</w:t>
      </w:r>
      <w:r>
        <w:rPr>
          <w:rFonts w:hint="default" w:ascii="Times New Roman" w:hAnsi="Times New Roman" w:eastAsia="宋体" w:cs="Times New Roman"/>
          <w:b w:val="0"/>
          <w:bCs w:val="0"/>
          <w:color w:val="auto"/>
          <w:spacing w:val="0"/>
          <w:w w:val="100"/>
          <w:position w:val="0"/>
          <w:sz w:val="24"/>
          <w:szCs w:val="24"/>
          <w:vertAlign w:val="subscript"/>
        </w:rPr>
        <w:t>X</w:t>
      </w:r>
      <w:r>
        <w:rPr>
          <w:rFonts w:hint="default" w:ascii="Times New Roman" w:hAnsi="Times New Roman" w:eastAsia="宋体" w:cs="Times New Roman"/>
          <w:b w:val="0"/>
          <w:bCs w:val="0"/>
          <w:color w:val="auto"/>
          <w:spacing w:val="0"/>
          <w:w w:val="100"/>
          <w:position w:val="0"/>
          <w:sz w:val="24"/>
          <w:szCs w:val="24"/>
        </w:rPr>
        <w:t>等。</w:t>
      </w:r>
    </w:p>
    <w:p w14:paraId="5D739A94">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生产期废气污染源主要为</w:t>
      </w:r>
      <w:r>
        <w:rPr>
          <w:rFonts w:hint="default" w:ascii="Times New Roman" w:hAnsi="Times New Roman" w:cs="Times New Roman"/>
          <w:color w:val="auto"/>
          <w:spacing w:val="0"/>
          <w:position w:val="0"/>
          <w:sz w:val="24"/>
          <w:szCs w:val="24"/>
          <w:lang w:val="en-US" w:eastAsia="zh-CN"/>
        </w:rPr>
        <w:t>井下废气</w:t>
      </w:r>
      <w:r>
        <w:rPr>
          <w:rFonts w:hint="default" w:ascii="Times New Roman" w:hAnsi="Times New Roman" w:eastAsia="宋体" w:cs="Times New Roman"/>
          <w:color w:val="auto"/>
          <w:spacing w:val="0"/>
          <w:position w:val="0"/>
          <w:sz w:val="24"/>
          <w:szCs w:val="24"/>
        </w:rPr>
        <w:t>、运输扬尘、装载车粉尘、</w:t>
      </w:r>
      <w:r>
        <w:rPr>
          <w:rFonts w:hint="default" w:ascii="Times New Roman" w:hAnsi="Times New Roman" w:cs="Times New Roman"/>
          <w:color w:val="auto"/>
          <w:spacing w:val="0"/>
          <w:position w:val="0"/>
          <w:sz w:val="24"/>
          <w:szCs w:val="24"/>
          <w:lang w:val="en-US" w:eastAsia="zh-CN"/>
        </w:rPr>
        <w:t>堆场</w:t>
      </w:r>
      <w:r>
        <w:rPr>
          <w:rFonts w:hint="default" w:ascii="Times New Roman" w:hAnsi="Times New Roman" w:eastAsia="宋体" w:cs="Times New Roman"/>
          <w:color w:val="auto"/>
          <w:spacing w:val="0"/>
          <w:position w:val="0"/>
          <w:sz w:val="24"/>
          <w:szCs w:val="24"/>
        </w:rPr>
        <w:t>扬尘、柴油发电机废气等。</w:t>
      </w:r>
    </w:p>
    <w:p w14:paraId="572850CD">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（1）井下废气</w:t>
      </w:r>
    </w:p>
    <w:p w14:paraId="5C656258">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采矿井下凿岩、爆破、铲装、遛（放）矿等生产环节产生无组织粉尘和爆破烟气，通过采取湿式作业、洒水喷雾降尘、局部通风、系统通风等措施，由回风井抽出地表。</w:t>
      </w:r>
    </w:p>
    <w:p w14:paraId="237D2451">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井下除采用辅扇和局扇进行机械通风以外，回采工作面和掘进工作面均须采用湿式凿岩，出矿工作面进行喷雾洒水，装卸矿地点采取净化措施。</w:t>
      </w:r>
    </w:p>
    <w:p w14:paraId="6DCCAC0F">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①采矿粉尘</w:t>
      </w:r>
    </w:p>
    <w:p w14:paraId="515A0201">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井下凿岩、爆破、铲装、遛（放）矿等生产环节产生无组织粉尘，采掘巷道内各作业面粉尘产生浓度一般&lt;50mg/m</w:t>
      </w:r>
      <w:r>
        <w:rPr>
          <w:rFonts w:hint="default" w:ascii="Times New Roman" w:hAnsi="Times New Roman" w:eastAsia="宋体" w:cs="Times New Roman"/>
          <w:color w:val="auto"/>
          <w:spacing w:val="0"/>
          <w:position w:val="0"/>
          <w:sz w:val="24"/>
          <w:szCs w:val="24"/>
          <w:vertAlign w:val="superscript"/>
        </w:rPr>
        <w:t>3</w:t>
      </w:r>
      <w:r>
        <w:rPr>
          <w:rFonts w:hint="default" w:ascii="Times New Roman" w:hAnsi="Times New Roman" w:eastAsia="宋体" w:cs="Times New Roman"/>
          <w:color w:val="auto"/>
          <w:spacing w:val="0"/>
          <w:position w:val="0"/>
          <w:sz w:val="24"/>
          <w:szCs w:val="24"/>
        </w:rPr>
        <w:t>，以凿岩爆破时的粉尘浓度最高，爆破有两种形式，一种是深孔松动爆破（深孔爆破），一种是解小爆破（浅孔爆破）。深孔松动爆破在岩石层中进行，粉尘产生量较小，后者在短时间内可产生较强粉尘污染，可达1000mg/m</w:t>
      </w:r>
      <w:r>
        <w:rPr>
          <w:rFonts w:hint="default" w:ascii="Times New Roman" w:hAnsi="Times New Roman" w:eastAsia="宋体" w:cs="Times New Roman"/>
          <w:color w:val="auto"/>
          <w:spacing w:val="0"/>
          <w:position w:val="0"/>
          <w:sz w:val="24"/>
          <w:szCs w:val="24"/>
          <w:vertAlign w:val="superscript"/>
        </w:rPr>
        <w:t>3</w:t>
      </w:r>
      <w:r>
        <w:rPr>
          <w:rFonts w:hint="default" w:ascii="Times New Roman" w:hAnsi="Times New Roman" w:eastAsia="宋体" w:cs="Times New Roman"/>
          <w:color w:val="auto"/>
          <w:spacing w:val="0"/>
          <w:position w:val="0"/>
          <w:sz w:val="24"/>
          <w:szCs w:val="24"/>
        </w:rPr>
        <w:t>。</w:t>
      </w:r>
    </w:p>
    <w:p w14:paraId="0604972F">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参考《排放源统计调查产排污核算方法和系数手册》中0911铜矿采选行业系数手册—0.0038千克/吨-产品（坑采），</w:t>
      </w:r>
      <w:r>
        <w:rPr>
          <w:rFonts w:hint="default" w:ascii="Times New Roman" w:hAnsi="Times New Roman" w:eastAsia="宋体" w:cs="Times New Roman"/>
          <w:color w:val="auto"/>
          <w:spacing w:val="0"/>
          <w:position w:val="0"/>
          <w:sz w:val="24"/>
          <w:szCs w:val="24"/>
          <w:highlight w:val="none"/>
        </w:rPr>
        <w:t>本项目铜矿开采规模为</w:t>
      </w:r>
      <w:r>
        <w:rPr>
          <w:rFonts w:hint="default" w:ascii="Times New Roman" w:hAnsi="Times New Roman" w:cs="Times New Roman"/>
          <w:color w:val="auto"/>
          <w:spacing w:val="0"/>
          <w:position w:val="0"/>
          <w:sz w:val="24"/>
          <w:szCs w:val="24"/>
          <w:highlight w:val="none"/>
          <w:lang w:val="en-US" w:eastAsia="zh-CN"/>
        </w:rPr>
        <w:t>30</w:t>
      </w:r>
      <w:r>
        <w:rPr>
          <w:rFonts w:hint="default" w:ascii="Times New Roman" w:hAnsi="Times New Roman" w:eastAsia="宋体" w:cs="Times New Roman"/>
          <w:color w:val="auto"/>
          <w:spacing w:val="0"/>
          <w:position w:val="0"/>
          <w:sz w:val="24"/>
          <w:szCs w:val="24"/>
          <w:highlight w:val="none"/>
        </w:rPr>
        <w:t>万t/a，则采矿粉尘产生量</w:t>
      </w:r>
      <w:r>
        <w:rPr>
          <w:rFonts w:hint="default" w:ascii="Times New Roman" w:hAnsi="Times New Roman" w:eastAsia="宋体" w:cs="Times New Roman"/>
          <w:color w:val="auto"/>
          <w:spacing w:val="0"/>
          <w:position w:val="0"/>
          <w:sz w:val="24"/>
          <w:szCs w:val="24"/>
          <w:highlight w:val="none"/>
          <w:lang w:val="en-US" w:eastAsia="zh-CN"/>
        </w:rPr>
        <w:t>为</w:t>
      </w:r>
      <w:r>
        <w:rPr>
          <w:rFonts w:hint="default" w:ascii="Times New Roman" w:hAnsi="Times New Roman" w:cs="Times New Roman"/>
          <w:color w:val="auto"/>
          <w:spacing w:val="0"/>
          <w:position w:val="0"/>
          <w:sz w:val="24"/>
          <w:szCs w:val="24"/>
          <w:highlight w:val="none"/>
          <w:lang w:val="en-US" w:eastAsia="zh-CN"/>
        </w:rPr>
        <w:t>1.14</w:t>
      </w:r>
      <w:r>
        <w:rPr>
          <w:rFonts w:hint="default" w:ascii="Times New Roman" w:hAnsi="Times New Roman" w:eastAsia="宋体" w:cs="Times New Roman"/>
          <w:color w:val="auto"/>
          <w:spacing w:val="0"/>
          <w:position w:val="0"/>
          <w:sz w:val="24"/>
          <w:szCs w:val="24"/>
          <w:highlight w:val="none"/>
        </w:rPr>
        <w:t>t/a。</w:t>
      </w:r>
    </w:p>
    <w:p w14:paraId="1E709F7B">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为保障井下作业环境，降低粉尘和废气对环境空气的污染，要求采用湿式凿岩；水封炮眼；采装时，采用向矿（岩）爆堆喷雾注水增湿；爆破后（装矿前）、凿岩前（装矿岩后）对工作面坑道表面进行清洗；装矿时喷雾洒水；在</w:t>
      </w:r>
      <w:r>
        <w:rPr>
          <w:rFonts w:hint="default" w:ascii="Times New Roman" w:hAnsi="Times New Roman" w:cs="Times New Roman"/>
          <w:color w:val="auto"/>
          <w:spacing w:val="0"/>
          <w:position w:val="0"/>
          <w:sz w:val="24"/>
          <w:szCs w:val="24"/>
          <w:lang w:eastAsia="zh-CN"/>
        </w:rPr>
        <w:t>溜</w:t>
      </w:r>
      <w:r>
        <w:rPr>
          <w:rFonts w:hint="default" w:ascii="Times New Roman" w:hAnsi="Times New Roman" w:eastAsia="宋体" w:cs="Times New Roman"/>
          <w:color w:val="auto"/>
          <w:spacing w:val="0"/>
          <w:position w:val="0"/>
          <w:sz w:val="24"/>
          <w:szCs w:val="24"/>
        </w:rPr>
        <w:t>井口、放矿口安装喷雾器等措施减少井下粉尘产生量。并采用机械与自然通风输送新鲜风的稀释方式，以降低井下空气中的粉尘和废气浓度。类比同类矿山实测数据，采取上述措施后可确保矿坑通风口粉尘排放降低80%以上，则采矿粉尘排放量</w:t>
      </w:r>
      <w:r>
        <w:rPr>
          <w:rFonts w:hint="default" w:ascii="Times New Roman" w:hAnsi="Times New Roman" w:cs="Times New Roman"/>
          <w:color w:val="auto"/>
          <w:spacing w:val="0"/>
          <w:position w:val="0"/>
          <w:sz w:val="24"/>
          <w:szCs w:val="24"/>
          <w:lang w:val="en-US" w:eastAsia="zh-CN"/>
        </w:rPr>
        <w:t>0.228</w:t>
      </w:r>
      <w:r>
        <w:rPr>
          <w:rFonts w:hint="default" w:ascii="Times New Roman" w:hAnsi="Times New Roman" w:eastAsia="宋体" w:cs="Times New Roman"/>
          <w:color w:val="auto"/>
          <w:spacing w:val="0"/>
          <w:position w:val="0"/>
          <w:sz w:val="24"/>
          <w:szCs w:val="24"/>
        </w:rPr>
        <w:t>t/a。</w:t>
      </w:r>
    </w:p>
    <w:p w14:paraId="6CA158EA">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②爆破烟气</w:t>
      </w:r>
    </w:p>
    <w:p w14:paraId="3F24FCE9">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采矿生产爆破使用硝铵炸药等，炸药主要成分为NH</w:t>
      </w:r>
      <w:r>
        <w:rPr>
          <w:rFonts w:hint="default" w:ascii="Times New Roman" w:hAnsi="Times New Roman" w:eastAsia="宋体" w:cs="Times New Roman"/>
          <w:color w:val="auto"/>
          <w:spacing w:val="0"/>
          <w:position w:val="0"/>
          <w:sz w:val="24"/>
          <w:szCs w:val="24"/>
          <w:vertAlign w:val="subscript"/>
        </w:rPr>
        <w:t>4</w:t>
      </w:r>
      <w:r>
        <w:rPr>
          <w:rFonts w:hint="default" w:ascii="Times New Roman" w:hAnsi="Times New Roman" w:eastAsia="宋体" w:cs="Times New Roman"/>
          <w:color w:val="auto"/>
          <w:spacing w:val="0"/>
          <w:position w:val="0"/>
          <w:sz w:val="24"/>
          <w:szCs w:val="24"/>
        </w:rPr>
        <w:t>N</w:t>
      </w:r>
      <w:r>
        <w:rPr>
          <w:rFonts w:hint="default" w:ascii="Times New Roman" w:hAnsi="Times New Roman" w:cs="Times New Roman"/>
          <w:color w:val="auto"/>
          <w:spacing w:val="0"/>
          <w:position w:val="0"/>
          <w:sz w:val="24"/>
          <w:szCs w:val="24"/>
          <w:lang w:val="en-US" w:eastAsia="zh-CN"/>
        </w:rPr>
        <w:t>O</w:t>
      </w:r>
      <w:r>
        <w:rPr>
          <w:rFonts w:hint="default" w:ascii="Times New Roman" w:hAnsi="Times New Roman" w:eastAsia="宋体" w:cs="Times New Roman"/>
          <w:color w:val="auto"/>
          <w:spacing w:val="0"/>
          <w:position w:val="0"/>
          <w:sz w:val="24"/>
          <w:szCs w:val="24"/>
          <w:vertAlign w:val="subscript"/>
        </w:rPr>
        <w:t>3</w:t>
      </w:r>
      <w:r>
        <w:rPr>
          <w:rFonts w:hint="default" w:ascii="Times New Roman" w:hAnsi="Times New Roman" w:eastAsia="宋体" w:cs="Times New Roman"/>
          <w:color w:val="auto"/>
          <w:spacing w:val="0"/>
          <w:position w:val="0"/>
          <w:sz w:val="24"/>
          <w:szCs w:val="24"/>
        </w:rPr>
        <w:t>、NaN</w:t>
      </w:r>
      <w:r>
        <w:rPr>
          <w:rFonts w:hint="default" w:ascii="Times New Roman" w:hAnsi="Times New Roman" w:cs="Times New Roman"/>
          <w:color w:val="auto"/>
          <w:spacing w:val="0"/>
          <w:position w:val="0"/>
          <w:sz w:val="24"/>
          <w:szCs w:val="24"/>
          <w:lang w:val="en-US" w:eastAsia="zh-CN"/>
        </w:rPr>
        <w:t>O</w:t>
      </w:r>
      <w:r>
        <w:rPr>
          <w:rFonts w:hint="default" w:ascii="Times New Roman" w:hAnsi="Times New Roman" w:eastAsia="宋体" w:cs="Times New Roman"/>
          <w:color w:val="auto"/>
          <w:spacing w:val="0"/>
          <w:position w:val="0"/>
          <w:sz w:val="24"/>
          <w:szCs w:val="24"/>
          <w:vertAlign w:val="subscript"/>
        </w:rPr>
        <w:t>3</w:t>
      </w:r>
      <w:r>
        <w:rPr>
          <w:rFonts w:hint="default" w:ascii="Times New Roman" w:hAnsi="Times New Roman" w:eastAsia="宋体" w:cs="Times New Roman"/>
          <w:color w:val="auto"/>
          <w:spacing w:val="0"/>
          <w:position w:val="0"/>
          <w:sz w:val="24"/>
          <w:szCs w:val="24"/>
        </w:rPr>
        <w:t>等，绝大部分炸药随着爆炸转化进入空气，少量拒爆炸药散火在作业面上。爆破炮烟中含CO、NOx、CO</w:t>
      </w:r>
      <w:r>
        <w:rPr>
          <w:rFonts w:hint="default" w:ascii="Times New Roman" w:hAnsi="Times New Roman" w:eastAsia="宋体" w:cs="Times New Roman"/>
          <w:color w:val="auto"/>
          <w:spacing w:val="0"/>
          <w:position w:val="0"/>
          <w:sz w:val="24"/>
          <w:szCs w:val="24"/>
          <w:vertAlign w:val="subscript"/>
        </w:rPr>
        <w:t>2</w:t>
      </w:r>
      <w:r>
        <w:rPr>
          <w:rFonts w:hint="default" w:ascii="Times New Roman" w:hAnsi="Times New Roman" w:eastAsia="宋体" w:cs="Times New Roman"/>
          <w:color w:val="auto"/>
          <w:spacing w:val="0"/>
          <w:position w:val="0"/>
          <w:sz w:val="24"/>
          <w:szCs w:val="24"/>
        </w:rPr>
        <w:t>、CH</w:t>
      </w:r>
      <w:r>
        <w:rPr>
          <w:rFonts w:hint="default" w:ascii="Times New Roman" w:hAnsi="Times New Roman" w:eastAsia="宋体" w:cs="Times New Roman"/>
          <w:color w:val="auto"/>
          <w:spacing w:val="0"/>
          <w:position w:val="0"/>
          <w:sz w:val="24"/>
          <w:szCs w:val="24"/>
          <w:vertAlign w:val="subscript"/>
        </w:rPr>
        <w:t>4</w:t>
      </w:r>
      <w:r>
        <w:rPr>
          <w:rFonts w:hint="default" w:ascii="Times New Roman" w:hAnsi="Times New Roman" w:eastAsia="宋体" w:cs="Times New Roman"/>
          <w:color w:val="auto"/>
          <w:spacing w:val="0"/>
          <w:position w:val="0"/>
          <w:sz w:val="24"/>
          <w:szCs w:val="24"/>
        </w:rPr>
        <w:t>等有害气体，以CO和NOx为主，其产生量与炸药使用量有关。依据《环境统计手册》，每吨炸药爆炸时产生CO为44.7kg，NOx为2.1kg，</w:t>
      </w:r>
      <w:r>
        <w:rPr>
          <w:rFonts w:hint="default" w:ascii="Times New Roman" w:hAnsi="Times New Roman" w:eastAsia="宋体" w:cs="Times New Roman"/>
          <w:color w:val="auto"/>
          <w:spacing w:val="0"/>
          <w:position w:val="0"/>
          <w:sz w:val="24"/>
          <w:szCs w:val="24"/>
          <w:highlight w:val="none"/>
        </w:rPr>
        <w:t>粉尘0.026kg。本矿炸药年消耗量为</w:t>
      </w:r>
      <w:r>
        <w:rPr>
          <w:rFonts w:hint="default" w:ascii="Times New Roman" w:hAnsi="Times New Roman" w:cs="Times New Roman"/>
          <w:color w:val="auto"/>
          <w:spacing w:val="0"/>
          <w:position w:val="0"/>
          <w:sz w:val="24"/>
          <w:szCs w:val="24"/>
          <w:highlight w:val="none"/>
          <w:lang w:val="en-US" w:eastAsia="zh-CN"/>
        </w:rPr>
        <w:t>272.39</w:t>
      </w:r>
      <w:r>
        <w:rPr>
          <w:rFonts w:hint="default" w:ascii="Times New Roman" w:hAnsi="Times New Roman" w:eastAsia="宋体" w:cs="Times New Roman"/>
          <w:color w:val="auto"/>
          <w:spacing w:val="0"/>
          <w:position w:val="0"/>
          <w:sz w:val="24"/>
          <w:szCs w:val="24"/>
          <w:highlight w:val="none"/>
        </w:rPr>
        <w:t>t，则工程粉尘、CO、NOx产生量分别为</w:t>
      </w:r>
      <w:r>
        <w:rPr>
          <w:rFonts w:hint="default" w:ascii="Times New Roman" w:hAnsi="Times New Roman" w:cs="Times New Roman"/>
          <w:color w:val="auto"/>
          <w:spacing w:val="0"/>
          <w:position w:val="0"/>
          <w:sz w:val="24"/>
          <w:szCs w:val="24"/>
          <w:highlight w:val="none"/>
          <w:lang w:val="en-US" w:eastAsia="zh-CN"/>
        </w:rPr>
        <w:t>12.18</w:t>
      </w:r>
      <w:r>
        <w:rPr>
          <w:rFonts w:hint="default" w:ascii="Times New Roman" w:hAnsi="Times New Roman" w:eastAsia="宋体" w:cs="Times New Roman"/>
          <w:color w:val="auto"/>
          <w:spacing w:val="0"/>
          <w:position w:val="0"/>
          <w:sz w:val="24"/>
          <w:szCs w:val="24"/>
          <w:highlight w:val="none"/>
        </w:rPr>
        <w:t>t/a、</w:t>
      </w:r>
      <w:r>
        <w:rPr>
          <w:rFonts w:hint="default" w:ascii="Times New Roman" w:hAnsi="Times New Roman" w:eastAsia="宋体" w:cs="Times New Roman"/>
          <w:color w:val="auto"/>
          <w:spacing w:val="0"/>
          <w:position w:val="0"/>
          <w:sz w:val="24"/>
          <w:szCs w:val="24"/>
          <w:highlight w:val="none"/>
          <w:lang w:val="en-US" w:eastAsia="zh-CN"/>
        </w:rPr>
        <w:t>0.57</w:t>
      </w:r>
      <w:r>
        <w:rPr>
          <w:rFonts w:hint="default" w:ascii="Times New Roman" w:hAnsi="Times New Roman" w:eastAsia="宋体" w:cs="Times New Roman"/>
          <w:color w:val="auto"/>
          <w:spacing w:val="0"/>
          <w:position w:val="0"/>
          <w:sz w:val="24"/>
          <w:szCs w:val="24"/>
          <w:highlight w:val="none"/>
        </w:rPr>
        <w:t>t/a和</w:t>
      </w:r>
      <w:r>
        <w:rPr>
          <w:rFonts w:hint="default" w:ascii="Times New Roman" w:hAnsi="Times New Roman" w:cs="Times New Roman"/>
          <w:color w:val="auto"/>
          <w:spacing w:val="0"/>
          <w:position w:val="0"/>
          <w:sz w:val="24"/>
          <w:szCs w:val="24"/>
          <w:highlight w:val="none"/>
          <w:lang w:val="en-US" w:eastAsia="zh-CN"/>
        </w:rPr>
        <w:t>0.007</w:t>
      </w:r>
      <w:r>
        <w:rPr>
          <w:rFonts w:hint="default" w:ascii="Times New Roman" w:hAnsi="Times New Roman" w:eastAsia="宋体" w:cs="Times New Roman"/>
          <w:color w:val="auto"/>
          <w:spacing w:val="0"/>
          <w:position w:val="0"/>
          <w:sz w:val="24"/>
          <w:szCs w:val="24"/>
          <w:highlight w:val="none"/>
        </w:rPr>
        <w:t>t/a。根据矿山爆破的有关资料，井下爆破时有害气体CO、NOx的短时浓度可达到39.4mg/m</w:t>
      </w:r>
      <w:r>
        <w:rPr>
          <w:rFonts w:hint="default" w:ascii="Times New Roman" w:hAnsi="Times New Roman" w:eastAsia="宋体" w:cs="Times New Roman"/>
          <w:color w:val="auto"/>
          <w:spacing w:val="0"/>
          <w:position w:val="0"/>
          <w:sz w:val="24"/>
          <w:szCs w:val="24"/>
          <w:highlight w:val="none"/>
          <w:vertAlign w:val="superscript"/>
        </w:rPr>
        <w:t>3</w:t>
      </w:r>
      <w:r>
        <w:rPr>
          <w:rFonts w:hint="default" w:ascii="Times New Roman" w:hAnsi="Times New Roman" w:eastAsia="宋体" w:cs="Times New Roman"/>
          <w:color w:val="auto"/>
          <w:spacing w:val="0"/>
          <w:position w:val="0"/>
          <w:sz w:val="24"/>
          <w:szCs w:val="24"/>
          <w:highlight w:val="none"/>
        </w:rPr>
        <w:t>和</w:t>
      </w:r>
      <w:r>
        <w:rPr>
          <w:rFonts w:hint="default" w:ascii="Times New Roman" w:hAnsi="Times New Roman" w:eastAsia="宋体" w:cs="Times New Roman"/>
          <w:color w:val="auto"/>
          <w:spacing w:val="0"/>
          <w:position w:val="0"/>
          <w:sz w:val="24"/>
          <w:szCs w:val="24"/>
        </w:rPr>
        <w:t>24.4mg/m</w:t>
      </w:r>
      <w:r>
        <w:rPr>
          <w:rFonts w:hint="default" w:ascii="Times New Roman" w:hAnsi="Times New Roman" w:eastAsia="宋体" w:cs="Times New Roman"/>
          <w:color w:val="auto"/>
          <w:spacing w:val="0"/>
          <w:position w:val="0"/>
          <w:sz w:val="24"/>
          <w:szCs w:val="24"/>
          <w:vertAlign w:val="superscript"/>
        </w:rPr>
        <w:t>3</w:t>
      </w:r>
      <w:r>
        <w:rPr>
          <w:rFonts w:hint="default" w:ascii="Times New Roman" w:hAnsi="Times New Roman" w:eastAsia="宋体" w:cs="Times New Roman"/>
          <w:color w:val="auto"/>
          <w:spacing w:val="0"/>
          <w:position w:val="0"/>
          <w:sz w:val="24"/>
          <w:szCs w:val="24"/>
        </w:rPr>
        <w:t>，不符合《工作场所有害因素职业接触限值》</w:t>
      </w:r>
      <w:r>
        <w:rPr>
          <w:rFonts w:hint="default" w:ascii="Times New Roman" w:hAnsi="Times New Roman"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GBZ2-2007</w:t>
      </w:r>
      <w:r>
        <w:rPr>
          <w:rFonts w:hint="default" w:ascii="Times New Roman" w:hAnsi="Times New Roman"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中相关规定。但爆炸污染物的排放属于瞬时间歇排放，炮烟通过系统通风由风井排出地表，且随着时间推移运行，污染物在井下环境空气中不断扩散和稀释。经估算，回风井爆破烟气主要污染物排放量见表</w:t>
      </w:r>
      <w:r>
        <w:rPr>
          <w:rFonts w:hint="default" w:ascii="Times New Roman" w:hAnsi="Times New Roman" w:cs="Times New Roman"/>
          <w:color w:val="auto"/>
          <w:spacing w:val="0"/>
          <w:position w:val="0"/>
          <w:sz w:val="24"/>
          <w:szCs w:val="24"/>
          <w:lang w:val="en-US" w:eastAsia="zh-CN"/>
        </w:rPr>
        <w:t>3.3-12</w:t>
      </w:r>
      <w:r>
        <w:rPr>
          <w:rFonts w:hint="default" w:ascii="Times New Roman" w:hAnsi="Times New Roman" w:eastAsia="宋体" w:cs="Times New Roman"/>
          <w:color w:val="auto"/>
          <w:spacing w:val="0"/>
          <w:position w:val="0"/>
          <w:sz w:val="24"/>
          <w:szCs w:val="24"/>
        </w:rPr>
        <w:t>。</w:t>
      </w:r>
    </w:p>
    <w:p w14:paraId="335FCD5D">
      <w:pPr>
        <w:tabs>
          <w:tab w:val="left" w:pos="4003"/>
        </w:tabs>
        <w:spacing w:before="0" w:line="250" w:lineRule="exact"/>
        <w:ind w:left="0" w:leftChars="0" w:right="240" w:firstLine="0" w:firstLineChars="0"/>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表</w:t>
      </w:r>
      <w:r>
        <w:rPr>
          <w:rFonts w:hint="default" w:ascii="Times New Roman" w:hAnsi="Times New Roman" w:cs="Times New Roman"/>
          <w:b/>
          <w:color w:val="auto"/>
          <w:kern w:val="0"/>
          <w:sz w:val="21"/>
          <w:szCs w:val="21"/>
          <w:highlight w:val="none"/>
          <w:lang w:val="en-US" w:eastAsia="zh-CN" w:bidi="ar-SA"/>
        </w:rPr>
        <w:t>3.3-12</w:t>
      </w:r>
      <w:r>
        <w:rPr>
          <w:rFonts w:hint="default" w:ascii="Times New Roman" w:hAnsi="Times New Roman" w:eastAsia="宋体" w:cs="Times New Roman"/>
          <w:b/>
          <w:color w:val="auto"/>
          <w:kern w:val="0"/>
          <w:sz w:val="21"/>
          <w:szCs w:val="21"/>
          <w:highlight w:val="none"/>
          <w:lang w:val="en-US" w:eastAsia="zh-CN" w:bidi="ar-SA"/>
        </w:rPr>
        <w:t xml:space="preserve">   爆破作业有害物质产生量</w:t>
      </w:r>
    </w:p>
    <w:tbl>
      <w:tblPr>
        <w:tblStyle w:val="21"/>
        <w:tblW w:w="8330" w:type="dxa"/>
        <w:tblInd w:w="-15" w:type="dxa"/>
        <w:tblLayout w:type="fixed"/>
        <w:tblCellMar>
          <w:top w:w="0" w:type="dxa"/>
          <w:left w:w="0" w:type="dxa"/>
          <w:bottom w:w="0" w:type="dxa"/>
          <w:right w:w="0" w:type="dxa"/>
        </w:tblCellMar>
      </w:tblPr>
      <w:tblGrid>
        <w:gridCol w:w="1122"/>
        <w:gridCol w:w="1169"/>
        <w:gridCol w:w="1432"/>
        <w:gridCol w:w="1431"/>
        <w:gridCol w:w="1432"/>
        <w:gridCol w:w="1744"/>
      </w:tblGrid>
      <w:tr w14:paraId="6D904FDF">
        <w:tblPrEx>
          <w:tblCellMar>
            <w:top w:w="0" w:type="dxa"/>
            <w:left w:w="0" w:type="dxa"/>
            <w:bottom w:w="0" w:type="dxa"/>
            <w:right w:w="0" w:type="dxa"/>
          </w:tblCellMar>
        </w:tblPrEx>
        <w:trPr>
          <w:trHeight w:val="23" w:hRule="atLeast"/>
        </w:trPr>
        <w:tc>
          <w:tcPr>
            <w:tcW w:w="1122" w:type="dxa"/>
            <w:tcBorders>
              <w:top w:val="single" w:color="000000" w:sz="12" w:space="0"/>
              <w:left w:val="single" w:color="000000" w:sz="12" w:space="0"/>
              <w:bottom w:val="single" w:color="000000" w:sz="6" w:space="0"/>
              <w:right w:val="single" w:color="000000" w:sz="6" w:space="0"/>
            </w:tcBorders>
            <w:vAlign w:val="center"/>
          </w:tcPr>
          <w:p w14:paraId="4CE32C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阶段</w:t>
            </w:r>
          </w:p>
        </w:tc>
        <w:tc>
          <w:tcPr>
            <w:tcW w:w="1169" w:type="dxa"/>
            <w:tcBorders>
              <w:top w:val="single" w:color="000000" w:sz="12" w:space="0"/>
              <w:left w:val="single" w:color="000000" w:sz="6" w:space="0"/>
              <w:bottom w:val="single" w:color="000000" w:sz="6" w:space="0"/>
              <w:right w:val="single" w:color="000000" w:sz="6" w:space="0"/>
            </w:tcBorders>
            <w:vAlign w:val="center"/>
          </w:tcPr>
          <w:p w14:paraId="0070D37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污染物</w:t>
            </w:r>
          </w:p>
        </w:tc>
        <w:tc>
          <w:tcPr>
            <w:tcW w:w="1432" w:type="dxa"/>
            <w:tcBorders>
              <w:top w:val="single" w:color="000000" w:sz="12" w:space="0"/>
              <w:left w:val="single" w:color="000000" w:sz="6" w:space="0"/>
              <w:bottom w:val="single" w:color="000000" w:sz="6" w:space="0"/>
              <w:right w:val="single" w:color="000000" w:sz="6" w:space="0"/>
            </w:tcBorders>
            <w:vAlign w:val="center"/>
          </w:tcPr>
          <w:p w14:paraId="2418C3C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单位产生量</w:t>
            </w:r>
          </w:p>
        </w:tc>
        <w:tc>
          <w:tcPr>
            <w:tcW w:w="1431" w:type="dxa"/>
            <w:tcBorders>
              <w:top w:val="single" w:color="000000" w:sz="12" w:space="0"/>
              <w:left w:val="single" w:color="000000" w:sz="6" w:space="0"/>
              <w:bottom w:val="single" w:color="000000" w:sz="6" w:space="0"/>
              <w:right w:val="single" w:color="000000" w:sz="6" w:space="0"/>
            </w:tcBorders>
            <w:vAlign w:val="center"/>
          </w:tcPr>
          <w:p w14:paraId="0457254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炸药量</w:t>
            </w:r>
            <w:r>
              <w:rPr>
                <w:rFonts w:hint="default" w:ascii="Times New Roman" w:hAnsi="Times New Roman"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t/a</w:t>
            </w:r>
            <w:r>
              <w:rPr>
                <w:rFonts w:hint="default" w:ascii="Times New Roman" w:hAnsi="Times New Roman" w:cs="Times New Roman"/>
                <w:b w:val="0"/>
                <w:bCs w:val="0"/>
                <w:color w:val="auto"/>
                <w:sz w:val="21"/>
                <w:szCs w:val="21"/>
                <w:lang w:eastAsia="zh-CN"/>
              </w:rPr>
              <w:t>）</w:t>
            </w:r>
          </w:p>
        </w:tc>
        <w:tc>
          <w:tcPr>
            <w:tcW w:w="1432" w:type="dxa"/>
            <w:tcBorders>
              <w:top w:val="single" w:color="000000" w:sz="12" w:space="0"/>
              <w:left w:val="single" w:color="000000" w:sz="6" w:space="0"/>
              <w:bottom w:val="single" w:color="000000" w:sz="6" w:space="0"/>
              <w:right w:val="single" w:color="000000" w:sz="6" w:space="0"/>
            </w:tcBorders>
            <w:vAlign w:val="center"/>
          </w:tcPr>
          <w:p w14:paraId="2EA45A4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产生量</w:t>
            </w:r>
            <w:r>
              <w:rPr>
                <w:rFonts w:hint="default" w:ascii="Times New Roman" w:hAnsi="Times New Roman"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t/a</w:t>
            </w:r>
            <w:r>
              <w:rPr>
                <w:rFonts w:hint="default" w:ascii="Times New Roman" w:hAnsi="Times New Roman" w:cs="Times New Roman"/>
                <w:b w:val="0"/>
                <w:bCs w:val="0"/>
                <w:color w:val="auto"/>
                <w:sz w:val="21"/>
                <w:szCs w:val="21"/>
                <w:lang w:eastAsia="zh-CN"/>
              </w:rPr>
              <w:t>）</w:t>
            </w:r>
          </w:p>
        </w:tc>
        <w:tc>
          <w:tcPr>
            <w:tcW w:w="1744" w:type="dxa"/>
            <w:tcBorders>
              <w:top w:val="single" w:color="000000" w:sz="12" w:space="0"/>
              <w:left w:val="single" w:color="000000" w:sz="6" w:space="0"/>
              <w:bottom w:val="single" w:color="000000" w:sz="6" w:space="0"/>
              <w:right w:val="single" w:color="000000" w:sz="12" w:space="0"/>
            </w:tcBorders>
            <w:vAlign w:val="center"/>
          </w:tcPr>
          <w:p w14:paraId="02180C6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排放方式</w:t>
            </w:r>
          </w:p>
        </w:tc>
      </w:tr>
      <w:tr w14:paraId="67226BBB">
        <w:tblPrEx>
          <w:tblCellMar>
            <w:top w:w="0" w:type="dxa"/>
            <w:left w:w="0" w:type="dxa"/>
            <w:bottom w:w="0" w:type="dxa"/>
            <w:right w:w="0" w:type="dxa"/>
          </w:tblCellMar>
        </w:tblPrEx>
        <w:trPr>
          <w:trHeight w:val="23" w:hRule="atLeast"/>
        </w:trPr>
        <w:tc>
          <w:tcPr>
            <w:tcW w:w="1122" w:type="dxa"/>
            <w:vMerge w:val="restart"/>
            <w:tcBorders>
              <w:top w:val="single" w:color="000000" w:sz="6" w:space="0"/>
              <w:left w:val="single" w:color="000000" w:sz="12" w:space="0"/>
              <w:right w:val="single" w:color="000000" w:sz="6" w:space="0"/>
            </w:tcBorders>
            <w:vAlign w:val="center"/>
          </w:tcPr>
          <w:p w14:paraId="012934B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采矿过程</w:t>
            </w:r>
          </w:p>
        </w:tc>
        <w:tc>
          <w:tcPr>
            <w:tcW w:w="1169" w:type="dxa"/>
            <w:tcBorders>
              <w:top w:val="single" w:color="000000" w:sz="6" w:space="0"/>
              <w:left w:val="single" w:color="000000" w:sz="6" w:space="0"/>
              <w:bottom w:val="single" w:color="000000" w:sz="6" w:space="0"/>
              <w:right w:val="single" w:color="000000" w:sz="6" w:space="0"/>
            </w:tcBorders>
            <w:vAlign w:val="center"/>
          </w:tcPr>
          <w:p w14:paraId="5CC89DF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w:t>
            </w:r>
          </w:p>
        </w:tc>
        <w:tc>
          <w:tcPr>
            <w:tcW w:w="1432" w:type="dxa"/>
            <w:tcBorders>
              <w:top w:val="single" w:color="000000" w:sz="6" w:space="0"/>
              <w:left w:val="single" w:color="000000" w:sz="6" w:space="0"/>
              <w:bottom w:val="single" w:color="000000" w:sz="6" w:space="0"/>
              <w:right w:val="single" w:color="000000" w:sz="6" w:space="0"/>
            </w:tcBorders>
            <w:vAlign w:val="center"/>
          </w:tcPr>
          <w:p w14:paraId="6B7B901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44.7kg/t</w:t>
            </w:r>
          </w:p>
        </w:tc>
        <w:tc>
          <w:tcPr>
            <w:tcW w:w="1431" w:type="dxa"/>
            <w:vMerge w:val="restart"/>
            <w:tcBorders>
              <w:top w:val="single" w:color="000000" w:sz="6" w:space="0"/>
              <w:left w:val="single" w:color="000000" w:sz="6" w:space="0"/>
              <w:right w:val="single" w:color="000000" w:sz="6" w:space="0"/>
            </w:tcBorders>
            <w:vAlign w:val="center"/>
          </w:tcPr>
          <w:p w14:paraId="1FD24C1F">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272.39</w:t>
            </w:r>
          </w:p>
        </w:tc>
        <w:tc>
          <w:tcPr>
            <w:tcW w:w="1432" w:type="dxa"/>
            <w:tcBorders>
              <w:top w:val="single" w:color="000000" w:sz="6" w:space="0"/>
              <w:left w:val="single" w:color="000000" w:sz="6" w:space="0"/>
              <w:bottom w:val="single" w:color="000000" w:sz="6" w:space="0"/>
              <w:right w:val="single" w:color="000000" w:sz="6" w:space="0"/>
            </w:tcBorders>
            <w:vAlign w:val="center"/>
          </w:tcPr>
          <w:p w14:paraId="5EA706E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12.18</w:t>
            </w:r>
          </w:p>
        </w:tc>
        <w:tc>
          <w:tcPr>
            <w:tcW w:w="1744" w:type="dxa"/>
            <w:vMerge w:val="restart"/>
            <w:tcBorders>
              <w:top w:val="single" w:color="000000" w:sz="6" w:space="0"/>
              <w:left w:val="single" w:color="000000" w:sz="6" w:space="0"/>
              <w:right w:val="single" w:color="000000" w:sz="12" w:space="0"/>
            </w:tcBorders>
            <w:vAlign w:val="center"/>
          </w:tcPr>
          <w:p w14:paraId="2A8792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随污风从风井排出，不连续排放</w:t>
            </w:r>
          </w:p>
        </w:tc>
      </w:tr>
      <w:tr w14:paraId="394649BF">
        <w:tblPrEx>
          <w:tblCellMar>
            <w:top w:w="0" w:type="dxa"/>
            <w:left w:w="0" w:type="dxa"/>
            <w:bottom w:w="0" w:type="dxa"/>
            <w:right w:w="0" w:type="dxa"/>
          </w:tblCellMar>
        </w:tblPrEx>
        <w:trPr>
          <w:trHeight w:val="23" w:hRule="atLeast"/>
        </w:trPr>
        <w:tc>
          <w:tcPr>
            <w:tcW w:w="1122" w:type="dxa"/>
            <w:vMerge w:val="continue"/>
            <w:tcBorders>
              <w:left w:val="single" w:color="000000" w:sz="12" w:space="0"/>
              <w:right w:val="single" w:color="000000" w:sz="6" w:space="0"/>
            </w:tcBorders>
            <w:vAlign w:val="center"/>
          </w:tcPr>
          <w:p w14:paraId="7D361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169" w:type="dxa"/>
            <w:tcBorders>
              <w:top w:val="single" w:color="000000" w:sz="6" w:space="0"/>
              <w:left w:val="single" w:color="000000" w:sz="6" w:space="0"/>
              <w:bottom w:val="single" w:color="000000" w:sz="6" w:space="0"/>
              <w:right w:val="single" w:color="000000" w:sz="6" w:space="0"/>
            </w:tcBorders>
            <w:vAlign w:val="center"/>
          </w:tcPr>
          <w:p w14:paraId="1F7C118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2"/>
                <w:sz w:val="21"/>
                <w:szCs w:val="21"/>
              </w:rPr>
              <w:t>NO</w:t>
            </w:r>
            <w:r>
              <w:rPr>
                <w:rFonts w:hint="default" w:ascii="Times New Roman" w:hAnsi="Times New Roman" w:cs="Times New Roman"/>
                <w:color w:val="auto"/>
                <w:position w:val="2"/>
                <w:sz w:val="21"/>
                <w:szCs w:val="21"/>
                <w:lang w:val="en-US" w:eastAsia="zh-CN"/>
              </w:rPr>
              <w:t>x</w:t>
            </w:r>
          </w:p>
        </w:tc>
        <w:tc>
          <w:tcPr>
            <w:tcW w:w="1432" w:type="dxa"/>
            <w:tcBorders>
              <w:top w:val="single" w:color="000000" w:sz="6" w:space="0"/>
              <w:left w:val="single" w:color="000000" w:sz="6" w:space="0"/>
              <w:bottom w:val="single" w:color="000000" w:sz="6" w:space="0"/>
              <w:right w:val="single" w:color="000000" w:sz="6" w:space="0"/>
            </w:tcBorders>
            <w:vAlign w:val="center"/>
          </w:tcPr>
          <w:p w14:paraId="0A52274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2.1kg/t</w:t>
            </w:r>
          </w:p>
        </w:tc>
        <w:tc>
          <w:tcPr>
            <w:tcW w:w="1431" w:type="dxa"/>
            <w:vMerge w:val="continue"/>
            <w:tcBorders>
              <w:left w:val="single" w:color="000000" w:sz="6" w:space="0"/>
              <w:right w:val="single" w:color="000000" w:sz="6" w:space="0"/>
            </w:tcBorders>
            <w:vAlign w:val="center"/>
          </w:tcPr>
          <w:p w14:paraId="02621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432" w:type="dxa"/>
            <w:tcBorders>
              <w:top w:val="single" w:color="000000" w:sz="6" w:space="0"/>
              <w:left w:val="single" w:color="000000" w:sz="6" w:space="0"/>
              <w:bottom w:val="single" w:color="000000" w:sz="6" w:space="0"/>
              <w:right w:val="single" w:color="000000" w:sz="6" w:space="0"/>
            </w:tcBorders>
            <w:vAlign w:val="center"/>
          </w:tcPr>
          <w:p w14:paraId="085096D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0.57</w:t>
            </w:r>
          </w:p>
        </w:tc>
        <w:tc>
          <w:tcPr>
            <w:tcW w:w="1744" w:type="dxa"/>
            <w:vMerge w:val="continue"/>
            <w:tcBorders>
              <w:left w:val="single" w:color="000000" w:sz="6" w:space="0"/>
              <w:right w:val="single" w:color="000000" w:sz="12" w:space="0"/>
            </w:tcBorders>
            <w:vAlign w:val="center"/>
          </w:tcPr>
          <w:p w14:paraId="24CFD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r>
      <w:tr w14:paraId="1A9BB99E">
        <w:tblPrEx>
          <w:tblCellMar>
            <w:top w:w="0" w:type="dxa"/>
            <w:left w:w="0" w:type="dxa"/>
            <w:bottom w:w="0" w:type="dxa"/>
            <w:right w:w="0" w:type="dxa"/>
          </w:tblCellMar>
        </w:tblPrEx>
        <w:trPr>
          <w:trHeight w:val="23" w:hRule="atLeast"/>
        </w:trPr>
        <w:tc>
          <w:tcPr>
            <w:tcW w:w="1122" w:type="dxa"/>
            <w:vMerge w:val="continue"/>
            <w:tcBorders>
              <w:left w:val="single" w:color="000000" w:sz="12" w:space="0"/>
              <w:bottom w:val="single" w:color="000000" w:sz="12" w:space="0"/>
              <w:right w:val="single" w:color="000000" w:sz="6" w:space="0"/>
            </w:tcBorders>
            <w:vAlign w:val="center"/>
          </w:tcPr>
          <w:p w14:paraId="71A12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169" w:type="dxa"/>
            <w:tcBorders>
              <w:top w:val="single" w:color="000000" w:sz="6" w:space="0"/>
              <w:left w:val="single" w:color="000000" w:sz="6" w:space="0"/>
              <w:bottom w:val="single" w:color="000000" w:sz="12" w:space="0"/>
              <w:right w:val="single" w:color="000000" w:sz="6" w:space="0"/>
            </w:tcBorders>
            <w:vAlign w:val="center"/>
          </w:tcPr>
          <w:p w14:paraId="443214A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粉尘</w:t>
            </w:r>
          </w:p>
        </w:tc>
        <w:tc>
          <w:tcPr>
            <w:tcW w:w="1432" w:type="dxa"/>
            <w:tcBorders>
              <w:top w:val="single" w:color="000000" w:sz="6" w:space="0"/>
              <w:left w:val="single" w:color="000000" w:sz="6" w:space="0"/>
              <w:bottom w:val="single" w:color="000000" w:sz="12" w:space="0"/>
              <w:right w:val="single" w:color="000000" w:sz="6" w:space="0"/>
            </w:tcBorders>
            <w:vAlign w:val="center"/>
          </w:tcPr>
          <w:p w14:paraId="641BDC1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0.026kg/t</w:t>
            </w:r>
          </w:p>
        </w:tc>
        <w:tc>
          <w:tcPr>
            <w:tcW w:w="1431" w:type="dxa"/>
            <w:vMerge w:val="continue"/>
            <w:tcBorders>
              <w:left w:val="single" w:color="000000" w:sz="6" w:space="0"/>
              <w:bottom w:val="single" w:color="000000" w:sz="12" w:space="0"/>
              <w:right w:val="single" w:color="000000" w:sz="6" w:space="0"/>
            </w:tcBorders>
            <w:vAlign w:val="center"/>
          </w:tcPr>
          <w:p w14:paraId="07DD1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432" w:type="dxa"/>
            <w:tcBorders>
              <w:top w:val="single" w:color="000000" w:sz="6" w:space="0"/>
              <w:left w:val="single" w:color="000000" w:sz="6" w:space="0"/>
              <w:bottom w:val="single" w:color="000000" w:sz="12" w:space="0"/>
              <w:right w:val="single" w:color="000000" w:sz="6" w:space="0"/>
            </w:tcBorders>
            <w:vAlign w:val="center"/>
          </w:tcPr>
          <w:p w14:paraId="230920E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0.007</w:t>
            </w:r>
          </w:p>
        </w:tc>
        <w:tc>
          <w:tcPr>
            <w:tcW w:w="1744" w:type="dxa"/>
            <w:vMerge w:val="continue"/>
            <w:tcBorders>
              <w:left w:val="single" w:color="000000" w:sz="6" w:space="0"/>
              <w:bottom w:val="single" w:color="000000" w:sz="12" w:space="0"/>
              <w:right w:val="single" w:color="000000" w:sz="12" w:space="0"/>
            </w:tcBorders>
            <w:vAlign w:val="center"/>
          </w:tcPr>
          <w:p w14:paraId="56771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r>
    </w:tbl>
    <w:p w14:paraId="1B700E75">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运输扬尘</w:t>
      </w:r>
    </w:p>
    <w:p w14:paraId="26D0F4EE">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输道路扬尘属无组织排放，其产生量的大小与道路清洁程度、车辆行驶速度及运输车辆数量等因素有关，采用车辆运输道路扬尘经验公式对单位车辆在不同车速、不同路面清洁度下的道路扬尘进行计算。车辆道路扬尘产生量选用上海港环境保护中心和武汉水运工程学院提出的经验公式计算：</w:t>
      </w:r>
    </w:p>
    <w:p w14:paraId="43C544B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outlineLvl w:val="9"/>
        <w:rPr>
          <w:rFonts w:hint="default" w:ascii="Times New Roman" w:hAnsi="Times New Roman" w:eastAsia="宋体" w:cs="Times New Roman"/>
          <w:color w:val="auto"/>
          <w:spacing w:val="-1"/>
          <w:kern w:val="10"/>
          <w:position w:val="2"/>
          <w:sz w:val="24"/>
          <w:szCs w:val="24"/>
          <w:highlight w:val="none"/>
        </w:rPr>
      </w:pPr>
      <w:r>
        <w:rPr>
          <w:rFonts w:hint="default" w:ascii="Times New Roman" w:hAnsi="Times New Roman" w:eastAsia="宋体" w:cs="Times New Roman"/>
          <w:color w:val="auto"/>
          <w:spacing w:val="-1"/>
          <w:kern w:val="10"/>
          <w:position w:val="2"/>
          <w:sz w:val="24"/>
          <w:szCs w:val="24"/>
          <w:highlight w:val="none"/>
        </w:rPr>
        <w:t>Q</w:t>
      </w:r>
      <w:r>
        <w:rPr>
          <w:rFonts w:hint="default" w:ascii="Times New Roman" w:hAnsi="Times New Roman" w:eastAsia="宋体" w:cs="Times New Roman"/>
          <w:color w:val="auto"/>
          <w:spacing w:val="-1"/>
          <w:kern w:val="10"/>
          <w:sz w:val="24"/>
          <w:szCs w:val="24"/>
          <w:highlight w:val="none"/>
        </w:rPr>
        <w:t>p</w:t>
      </w:r>
      <w:r>
        <w:rPr>
          <w:rFonts w:hint="default" w:ascii="Times New Roman" w:hAnsi="Times New Roman" w:eastAsia="宋体" w:cs="Times New Roman"/>
          <w:color w:val="auto"/>
          <w:spacing w:val="-1"/>
          <w:kern w:val="10"/>
          <w:position w:val="2"/>
          <w:sz w:val="24"/>
          <w:szCs w:val="24"/>
          <w:highlight w:val="none"/>
        </w:rPr>
        <w:t>=0</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123</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（V</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5）</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（M</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6</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8）</w:t>
      </w:r>
      <w:r>
        <w:rPr>
          <w:rFonts w:hint="default" w:ascii="Times New Roman" w:hAnsi="Times New Roman" w:eastAsia="宋体" w:cs="Times New Roman"/>
          <w:color w:val="auto"/>
          <w:spacing w:val="-1"/>
          <w:kern w:val="10"/>
          <w:position w:val="2"/>
          <w:sz w:val="24"/>
          <w:szCs w:val="24"/>
          <w:highlight w:val="none"/>
          <w:vertAlign w:val="superscript"/>
        </w:rPr>
        <w:t>0.85</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（P</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0</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5）</w:t>
      </w:r>
      <w:r>
        <w:rPr>
          <w:rFonts w:hint="default" w:ascii="Times New Roman" w:hAnsi="Times New Roman" w:eastAsia="宋体" w:cs="Times New Roman"/>
          <w:color w:val="auto"/>
          <w:spacing w:val="-1"/>
          <w:kern w:val="10"/>
          <w:position w:val="2"/>
          <w:sz w:val="24"/>
          <w:szCs w:val="24"/>
          <w:highlight w:val="none"/>
          <w:vertAlign w:val="superscript"/>
        </w:rPr>
        <w:t>0.72</w:t>
      </w:r>
    </w:p>
    <w:p w14:paraId="734FB353">
      <w:pPr>
        <w:keepNext w:val="0"/>
        <w:keepLines w:val="0"/>
        <w:pageBreakBefore w:val="0"/>
        <w:widowControl w:val="0"/>
        <w:kinsoku/>
        <w:wordWrap/>
        <w:overflowPunct/>
        <w:topLinePunct w:val="0"/>
        <w:autoSpaceDE/>
        <w:autoSpaceDN/>
        <w:bidi w:val="0"/>
        <w:adjustRightInd/>
        <w:snapToGrid/>
        <w:spacing w:line="480" w:lineRule="exact"/>
        <w:ind w:left="0" w:leftChars="0" w:right="1369"/>
        <w:jc w:val="center"/>
        <w:textAlignment w:val="auto"/>
        <w:outlineLvl w:val="9"/>
        <w:rPr>
          <w:rFonts w:hint="default" w:ascii="Times New Roman" w:hAnsi="Times New Roman" w:eastAsia="Times New Roman" w:cs="Times New Roman"/>
          <w:color w:val="auto"/>
          <w:sz w:val="24"/>
          <w:szCs w:val="24"/>
        </w:rPr>
      </w:pPr>
      <w:r>
        <w:rPr>
          <w:rFonts w:hint="default" w:ascii="Times New Roman" w:hAnsi="Times New Roman" w:eastAsia="宋体" w:cs="Times New Roman"/>
          <w:color w:val="auto"/>
          <w:spacing w:val="-1"/>
          <w:kern w:val="10"/>
          <w:position w:val="2"/>
          <w:sz w:val="24"/>
          <w:szCs w:val="24"/>
          <w:highlight w:val="none"/>
        </w:rPr>
        <w:t>Q</w:t>
      </w:r>
      <w:r>
        <w:rPr>
          <w:rFonts w:hint="default" w:ascii="Times New Roman" w:hAnsi="Times New Roman" w:eastAsia="宋体" w:cs="Times New Roman"/>
          <w:b/>
          <w:bCs/>
          <w:color w:val="auto"/>
          <w:spacing w:val="-1"/>
          <w:kern w:val="10"/>
          <w:sz w:val="24"/>
          <w:szCs w:val="24"/>
          <w:highlight w:val="none"/>
          <w:vertAlign w:val="subscript"/>
        </w:rPr>
        <w:t>p0</w:t>
      </w:r>
      <w:r>
        <w:rPr>
          <w:rFonts w:hint="default" w:ascii="Times New Roman" w:hAnsi="Times New Roman" w:eastAsia="宋体" w:cs="Times New Roman"/>
          <w:color w:val="auto"/>
          <w:spacing w:val="-1"/>
          <w:kern w:val="10"/>
          <w:position w:val="2"/>
          <w:sz w:val="24"/>
          <w:szCs w:val="24"/>
          <w:highlight w:val="none"/>
        </w:rPr>
        <w:t>=Q</w:t>
      </w:r>
      <w:r>
        <w:rPr>
          <w:rFonts w:hint="default" w:ascii="Times New Roman" w:hAnsi="Times New Roman" w:eastAsia="宋体" w:cs="Times New Roman"/>
          <w:color w:val="auto"/>
          <w:spacing w:val="-1"/>
          <w:kern w:val="10"/>
          <w:position w:val="2"/>
          <w:sz w:val="24"/>
          <w:szCs w:val="24"/>
          <w:highlight w:val="none"/>
          <w:vertAlign w:val="subscript"/>
        </w:rPr>
        <w:t>p</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L</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Q</w:t>
      </w:r>
      <w:r>
        <w:rPr>
          <w:rFonts w:hint="default" w:ascii="Times New Roman" w:hAnsi="Times New Roman" w:eastAsia="宋体" w:cs="Times New Roman"/>
          <w:color w:val="auto"/>
          <w:spacing w:val="-2"/>
          <w:kern w:val="10"/>
          <w:position w:val="2"/>
          <w:sz w:val="24"/>
          <w:szCs w:val="24"/>
          <w:highlight w:val="none"/>
        </w:rPr>
        <w:t>/</w:t>
      </w:r>
      <w:r>
        <w:rPr>
          <w:rFonts w:hint="default" w:ascii="Times New Roman" w:hAnsi="Times New Roman" w:eastAsia="宋体" w:cs="Times New Roman"/>
          <w:color w:val="auto"/>
          <w:spacing w:val="-1"/>
          <w:kern w:val="10"/>
          <w:position w:val="2"/>
          <w:sz w:val="24"/>
          <w:szCs w:val="24"/>
          <w:highlight w:val="none"/>
        </w:rPr>
        <w:t>M</w:t>
      </w:r>
    </w:p>
    <w:p w14:paraId="2A624651">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cs="Times New Roman"/>
          <w:color w:val="auto"/>
        </w:rPr>
      </w:pPr>
      <w:r>
        <w:rPr>
          <w:rFonts w:hint="default" w:ascii="Times New Roman" w:hAnsi="Times New Roman" w:cs="Times New Roman"/>
          <w:color w:val="auto"/>
          <w:position w:val="2"/>
        </w:rPr>
        <w:t>计算参数：</w:t>
      </w:r>
      <w:r>
        <w:rPr>
          <w:rFonts w:hint="default" w:ascii="Times New Roman" w:hAnsi="Times New Roman" w:eastAsia="Times New Roman" w:cs="Times New Roman"/>
          <w:color w:val="auto"/>
          <w:position w:val="2"/>
        </w:rPr>
        <w:t>Q</w:t>
      </w:r>
      <w:r>
        <w:rPr>
          <w:rFonts w:hint="default" w:ascii="Times New Roman" w:hAnsi="Times New Roman" w:eastAsia="Times New Roman" w:cs="Times New Roman"/>
          <w:color w:val="auto"/>
          <w:sz w:val="15"/>
          <w:szCs w:val="15"/>
        </w:rPr>
        <w:t>p</w:t>
      </w:r>
      <w:r>
        <w:rPr>
          <w:rFonts w:hint="default" w:ascii="Times New Roman" w:hAnsi="Times New Roman" w:eastAsia="Times New Roman" w:cs="Times New Roman"/>
          <w:color w:val="auto"/>
          <w:position w:val="2"/>
        </w:rPr>
        <w:t>——</w:t>
      </w:r>
      <w:r>
        <w:rPr>
          <w:rFonts w:hint="default" w:ascii="Times New Roman" w:hAnsi="Times New Roman" w:cs="Times New Roman"/>
          <w:color w:val="auto"/>
          <w:position w:val="2"/>
        </w:rPr>
        <w:t>道路扬尘量，</w:t>
      </w:r>
      <w:r>
        <w:rPr>
          <w:rFonts w:hint="default" w:ascii="Times New Roman" w:hAnsi="Times New Roman" w:cs="Times New Roman"/>
          <w:color w:val="auto"/>
          <w:position w:val="2"/>
          <w:lang w:eastAsia="zh-CN"/>
        </w:rPr>
        <w:t>（</w:t>
      </w:r>
      <w:r>
        <w:rPr>
          <w:rFonts w:hint="default" w:ascii="Times New Roman" w:hAnsi="Times New Roman" w:eastAsia="Times New Roman" w:cs="Times New Roman"/>
          <w:color w:val="auto"/>
          <w:position w:val="2"/>
        </w:rPr>
        <w:t>kg/km•</w:t>
      </w:r>
      <w:r>
        <w:rPr>
          <w:rFonts w:hint="default" w:ascii="Times New Roman" w:hAnsi="Times New Roman" w:cs="Times New Roman"/>
          <w:color w:val="auto"/>
          <w:position w:val="2"/>
        </w:rPr>
        <w:t>辆</w:t>
      </w:r>
      <w:r>
        <w:rPr>
          <w:rFonts w:hint="default" w:ascii="Times New Roman" w:hAnsi="Times New Roman" w:cs="Times New Roman"/>
          <w:color w:val="auto"/>
          <w:position w:val="2"/>
          <w:lang w:eastAsia="zh-CN"/>
        </w:rPr>
        <w:t>）</w:t>
      </w:r>
      <w:r>
        <w:rPr>
          <w:rFonts w:hint="default" w:ascii="Times New Roman" w:hAnsi="Times New Roman" w:cs="Times New Roman"/>
          <w:color w:val="auto"/>
          <w:position w:val="2"/>
        </w:rPr>
        <w:t>；</w:t>
      </w:r>
    </w:p>
    <w:p w14:paraId="37414B1E">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80" w:firstLineChars="700"/>
        <w:jc w:val="left"/>
        <w:textAlignment w:val="auto"/>
        <w:outlineLvl w:val="9"/>
        <w:rPr>
          <w:rFonts w:hint="default" w:ascii="Times New Roman" w:hAnsi="Times New Roman" w:eastAsia="Times New Roman" w:cs="Times New Roman"/>
          <w:color w:val="auto"/>
        </w:rPr>
      </w:pPr>
      <w:r>
        <w:rPr>
          <w:rFonts w:hint="default" w:ascii="Times New Roman" w:hAnsi="Times New Roman" w:eastAsia="Times New Roman" w:cs="Times New Roman"/>
          <w:color w:val="auto"/>
        </w:rPr>
        <w:t>Q′</w:t>
      </w:r>
      <w:r>
        <w:rPr>
          <w:rFonts w:hint="default" w:ascii="Times New Roman" w:hAnsi="Times New Roman" w:eastAsia="Times New Roman" w:cs="Times New Roman"/>
          <w:color w:val="auto"/>
          <w:vertAlign w:val="subscript"/>
        </w:rPr>
        <w:t>p</w:t>
      </w:r>
      <w:r>
        <w:rPr>
          <w:rFonts w:hint="default" w:ascii="Times New Roman" w:hAnsi="Times New Roman" w:eastAsia="Times New Roman" w:cs="Times New Roman"/>
          <w:color w:val="auto"/>
        </w:rPr>
        <w:t>——总扬尘量，</w:t>
      </w:r>
      <w:r>
        <w:rPr>
          <w:rFonts w:hint="default" w:ascii="Times New Roman" w:hAnsi="Times New Roman" w:eastAsia="宋体" w:cs="Times New Roman"/>
          <w:color w:val="auto"/>
          <w:lang w:eastAsia="zh-CN"/>
        </w:rPr>
        <w:t>（</w:t>
      </w:r>
      <w:r>
        <w:rPr>
          <w:rFonts w:hint="default" w:ascii="Times New Roman" w:hAnsi="Times New Roman" w:eastAsia="Times New Roman" w:cs="Times New Roman"/>
          <w:color w:val="auto"/>
        </w:rPr>
        <w:t>kg/a</w:t>
      </w:r>
      <w:r>
        <w:rPr>
          <w:rFonts w:hint="default" w:ascii="Times New Roman" w:hAnsi="Times New Roman" w:eastAsia="宋体" w:cs="Times New Roman"/>
          <w:color w:val="auto"/>
          <w:lang w:eastAsia="zh-CN"/>
        </w:rPr>
        <w:t>）</w:t>
      </w:r>
      <w:r>
        <w:rPr>
          <w:rFonts w:hint="default" w:ascii="Times New Roman" w:hAnsi="Times New Roman" w:eastAsia="Times New Roman" w:cs="Times New Roman"/>
          <w:color w:val="auto"/>
        </w:rPr>
        <w:t>；</w:t>
      </w:r>
    </w:p>
    <w:p w14:paraId="555B2F77">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80" w:firstLineChars="700"/>
        <w:jc w:val="left"/>
        <w:textAlignment w:val="auto"/>
        <w:outlineLvl w:val="9"/>
        <w:rPr>
          <w:rFonts w:hint="default" w:ascii="Times New Roman" w:hAnsi="Times New Roman" w:cs="Times New Roman"/>
          <w:color w:val="auto"/>
        </w:rPr>
      </w:pPr>
      <w:r>
        <w:rPr>
          <w:rFonts w:hint="default" w:ascii="Times New Roman" w:hAnsi="Times New Roman" w:eastAsia="Times New Roman" w:cs="Times New Roman"/>
          <w:color w:val="auto"/>
        </w:rPr>
        <w:t>V——</w:t>
      </w:r>
      <w:r>
        <w:rPr>
          <w:rFonts w:hint="default" w:ascii="Times New Roman" w:hAnsi="Times New Roman" w:cs="Times New Roman"/>
          <w:color w:val="auto"/>
        </w:rPr>
        <w:t>车辆速度，</w:t>
      </w:r>
      <w:r>
        <w:rPr>
          <w:rFonts w:hint="default" w:ascii="Times New Roman" w:hAnsi="Times New Roman" w:cs="Times New Roman"/>
          <w:color w:val="auto"/>
          <w:lang w:eastAsia="zh-CN"/>
        </w:rPr>
        <w:t>（</w:t>
      </w:r>
      <w:r>
        <w:rPr>
          <w:rFonts w:hint="default" w:ascii="Times New Roman" w:hAnsi="Times New Roman" w:eastAsia="Times New Roman" w:cs="Times New Roman"/>
          <w:color w:val="auto"/>
        </w:rPr>
        <w:t>20km/h</w:t>
      </w:r>
      <w:r>
        <w:rPr>
          <w:rFonts w:hint="default" w:ascii="Times New Roman" w:hAnsi="Times New Roman" w:cs="Times New Roman"/>
          <w:color w:val="auto"/>
          <w:lang w:eastAsia="zh-CN"/>
        </w:rPr>
        <w:t>）</w:t>
      </w:r>
      <w:r>
        <w:rPr>
          <w:rFonts w:hint="default" w:ascii="Times New Roman" w:hAnsi="Times New Roman" w:cs="Times New Roman"/>
          <w:color w:val="auto"/>
        </w:rPr>
        <w:t>；</w:t>
      </w:r>
    </w:p>
    <w:p w14:paraId="2C96532A">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80" w:firstLineChars="700"/>
        <w:jc w:val="left"/>
        <w:textAlignment w:val="auto"/>
        <w:outlineLvl w:val="9"/>
        <w:rPr>
          <w:rFonts w:hint="default" w:ascii="Times New Roman" w:hAnsi="Times New Roman" w:cs="Times New Roman"/>
          <w:color w:val="auto"/>
        </w:rPr>
      </w:pPr>
      <w:r>
        <w:rPr>
          <w:rFonts w:hint="default" w:ascii="Times New Roman" w:hAnsi="Times New Roman" w:eastAsia="Times New Roman" w:cs="Times New Roman"/>
          <w:color w:val="auto"/>
        </w:rPr>
        <w:t>M——</w:t>
      </w:r>
      <w:r>
        <w:rPr>
          <w:rFonts w:hint="default" w:ascii="Times New Roman" w:hAnsi="Times New Roman" w:cs="Times New Roman"/>
          <w:color w:val="auto"/>
        </w:rPr>
        <w:t>车辆载重，（</w:t>
      </w:r>
      <w:r>
        <w:rPr>
          <w:rFonts w:hint="default" w:ascii="Times New Roman" w:hAnsi="Times New Roman" w:eastAsia="Times New Roman" w:cs="Times New Roman"/>
          <w:color w:val="auto"/>
        </w:rPr>
        <w:t>20t/</w:t>
      </w:r>
      <w:r>
        <w:rPr>
          <w:rFonts w:hint="default" w:ascii="Times New Roman" w:hAnsi="Times New Roman" w:cs="Times New Roman"/>
          <w:color w:val="auto"/>
        </w:rPr>
        <w:t>辆）；</w:t>
      </w:r>
    </w:p>
    <w:p w14:paraId="54D44E78">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66" w:firstLineChars="700"/>
        <w:jc w:val="left"/>
        <w:textAlignment w:val="auto"/>
        <w:outlineLvl w:val="9"/>
        <w:rPr>
          <w:rFonts w:hint="default" w:ascii="Times New Roman" w:hAnsi="Times New Roman" w:eastAsia="宋体" w:cs="Times New Roman"/>
          <w:color w:val="auto"/>
          <w:sz w:val="10"/>
          <w:szCs w:val="10"/>
        </w:rPr>
      </w:pPr>
      <w:r>
        <w:rPr>
          <w:rFonts w:hint="default" w:ascii="Times New Roman" w:hAnsi="Times New Roman" w:eastAsia="Times New Roman" w:cs="Times New Roman"/>
          <w:color w:val="auto"/>
          <w:spacing w:val="-1"/>
        </w:rPr>
        <w:t>P——</w:t>
      </w:r>
      <w:r>
        <w:rPr>
          <w:rFonts w:hint="default" w:ascii="Times New Roman" w:hAnsi="Times New Roman" w:cs="Times New Roman"/>
          <w:color w:val="auto"/>
          <w:spacing w:val="-1"/>
        </w:rPr>
        <w:t>路面灰尘覆盖率，（</w:t>
      </w:r>
      <w:r>
        <w:rPr>
          <w:rFonts w:hint="default" w:ascii="Times New Roman" w:hAnsi="Times New Roman" w:eastAsia="Times New Roman" w:cs="Times New Roman"/>
          <w:color w:val="auto"/>
          <w:spacing w:val="-1"/>
        </w:rPr>
        <w:t>0.</w:t>
      </w:r>
      <w:r>
        <w:rPr>
          <w:rFonts w:hint="default" w:ascii="Times New Roman" w:hAnsi="Times New Roman" w:eastAsia="宋体" w:cs="Times New Roman"/>
          <w:color w:val="auto"/>
          <w:spacing w:val="-1"/>
          <w:lang w:val="en-US" w:eastAsia="zh-CN"/>
        </w:rPr>
        <w:t>2</w:t>
      </w:r>
      <w:r>
        <w:rPr>
          <w:rFonts w:hint="default" w:ascii="Times New Roman" w:hAnsi="Times New Roman" w:eastAsia="Times New Roman" w:cs="Times New Roman"/>
          <w:color w:val="auto"/>
          <w:spacing w:val="-1"/>
        </w:rPr>
        <w:t>kg/m</w:t>
      </w:r>
      <w:r>
        <w:rPr>
          <w:rFonts w:hint="default" w:ascii="Times New Roman" w:hAnsi="Times New Roman" w:eastAsia="Times New Roman" w:cs="Times New Roman"/>
          <w:color w:val="auto"/>
          <w:spacing w:val="-1"/>
          <w:position w:val="8"/>
          <w:sz w:val="15"/>
          <w:szCs w:val="15"/>
        </w:rPr>
        <w:t>2</w:t>
      </w:r>
      <w:r>
        <w:rPr>
          <w:rFonts w:hint="default" w:ascii="Times New Roman" w:hAnsi="Times New Roman" w:cs="Times New Roman"/>
          <w:color w:val="auto"/>
          <w:spacing w:val="-1"/>
        </w:rPr>
        <w:t>）；</w:t>
      </w:r>
    </w:p>
    <w:p w14:paraId="397D95C5">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80" w:firstLineChars="700"/>
        <w:jc w:val="left"/>
        <w:textAlignment w:val="auto"/>
        <w:outlineLvl w:val="9"/>
        <w:rPr>
          <w:rFonts w:hint="default" w:ascii="Times New Roman" w:hAnsi="Times New Roman" w:cs="Times New Roman"/>
          <w:color w:val="auto"/>
        </w:rPr>
      </w:pPr>
      <w:r>
        <w:rPr>
          <w:rFonts w:hint="default" w:ascii="Times New Roman" w:hAnsi="Times New Roman" w:eastAsia="Times New Roman" w:cs="Times New Roman"/>
          <w:color w:val="auto"/>
        </w:rPr>
        <w:t>L——</w:t>
      </w:r>
      <w:r>
        <w:rPr>
          <w:rFonts w:hint="default" w:ascii="Times New Roman" w:hAnsi="Times New Roman" w:cs="Times New Roman"/>
          <w:color w:val="auto"/>
        </w:rPr>
        <w:t>运距（</w:t>
      </w:r>
      <w:r>
        <w:rPr>
          <w:rFonts w:hint="default" w:ascii="Times New Roman" w:hAnsi="Times New Roman" w:cs="Times New Roman"/>
          <w:color w:val="auto"/>
          <w:lang w:val="en-US" w:eastAsia="zh-CN"/>
        </w:rPr>
        <w:t>9.6</w:t>
      </w:r>
      <w:r>
        <w:rPr>
          <w:rFonts w:hint="default" w:ascii="Times New Roman" w:hAnsi="Times New Roman" w:eastAsia="Times New Roman" w:cs="Times New Roman"/>
          <w:color w:val="auto"/>
        </w:rPr>
        <w:t>km</w:t>
      </w:r>
      <w:r>
        <w:rPr>
          <w:rFonts w:hint="default" w:ascii="Times New Roman" w:hAnsi="Times New Roman" w:cs="Times New Roman"/>
          <w:color w:val="auto"/>
        </w:rPr>
        <w:t>）；</w:t>
      </w:r>
    </w:p>
    <w:p w14:paraId="55768A0C">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1680" w:firstLineChars="700"/>
        <w:jc w:val="left"/>
        <w:textAlignment w:val="auto"/>
        <w:outlineLvl w:val="9"/>
        <w:rPr>
          <w:rFonts w:hint="default" w:ascii="Times New Roman" w:hAnsi="Times New Roman" w:cs="Times New Roman"/>
          <w:color w:val="auto"/>
        </w:rPr>
      </w:pPr>
      <w:r>
        <w:rPr>
          <w:rFonts w:hint="default" w:ascii="Times New Roman" w:hAnsi="Times New Roman" w:eastAsia="Times New Roman" w:cs="Times New Roman"/>
          <w:color w:val="auto"/>
        </w:rPr>
        <w:t>Q——</w:t>
      </w:r>
      <w:r>
        <w:rPr>
          <w:rFonts w:hint="default" w:ascii="Times New Roman" w:hAnsi="Times New Roman" w:cs="Times New Roman"/>
          <w:color w:val="auto"/>
        </w:rPr>
        <w:t>运输量（</w:t>
      </w:r>
      <w:r>
        <w:rPr>
          <w:rFonts w:hint="default" w:ascii="Times New Roman" w:hAnsi="Times New Roman" w:eastAsia="Times New Roman" w:cs="Times New Roman"/>
          <w:color w:val="auto"/>
        </w:rPr>
        <w:t>t/a</w:t>
      </w:r>
      <w:r>
        <w:rPr>
          <w:rFonts w:hint="default" w:ascii="Times New Roman" w:hAnsi="Times New Roman" w:cs="Times New Roman"/>
          <w:color w:val="auto"/>
        </w:rPr>
        <w:t>）。</w:t>
      </w:r>
    </w:p>
    <w:p w14:paraId="6932321B">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废石</w:t>
      </w:r>
      <w:r>
        <w:rPr>
          <w:rFonts w:hint="default" w:ascii="Times New Roman" w:hAnsi="Times New Roman" w:eastAsia="宋体" w:cs="Times New Roman"/>
          <w:color w:val="auto"/>
          <w:sz w:val="24"/>
          <w:szCs w:val="24"/>
          <w:highlight w:val="none"/>
          <w:lang w:val="en-US" w:eastAsia="zh-CN"/>
        </w:rPr>
        <w:t>由电机车拉运出平硐口至地表工业场地卸入</w:t>
      </w:r>
      <w:r>
        <w:rPr>
          <w:rFonts w:hint="default" w:ascii="Times New Roman" w:hAnsi="Times New Roman"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t自卸车拉运至废石堆场</w:t>
      </w:r>
      <w:r>
        <w:rPr>
          <w:rFonts w:hint="default" w:ascii="Times New Roman" w:hAnsi="Times New Roman" w:eastAsia="宋体" w:cs="Times New Roman"/>
          <w:color w:val="auto"/>
          <w:sz w:val="24"/>
          <w:szCs w:val="24"/>
        </w:rPr>
        <w:t>；矿石运输拟采用自卸汽车，车辆有效载重量20t。运输车辆时速按20km/h计，经计算，</w:t>
      </w:r>
      <w:r>
        <w:rPr>
          <w:rFonts w:hint="default" w:ascii="Times New Roman" w:hAnsi="Times New Roman" w:eastAsia="宋体" w:cs="Times New Roman"/>
          <w:color w:val="auto"/>
          <w:sz w:val="24"/>
          <w:szCs w:val="24"/>
          <w:highlight w:val="none"/>
        </w:rPr>
        <w:t>矿区道路运输扬尘产生量为</w:t>
      </w:r>
      <w:r>
        <w:rPr>
          <w:rFonts w:hint="default" w:ascii="Times New Roman" w:hAnsi="Times New Roman" w:cs="Times New Roman"/>
          <w:color w:val="auto"/>
          <w:sz w:val="24"/>
          <w:szCs w:val="24"/>
          <w:highlight w:val="none"/>
          <w:lang w:val="en-US" w:eastAsia="zh-CN"/>
        </w:rPr>
        <w:t>91.63</w:t>
      </w:r>
      <w:r>
        <w:rPr>
          <w:rFonts w:hint="default" w:ascii="Times New Roman" w:hAnsi="Times New Roman" w:eastAsia="宋体" w:cs="Times New Roman"/>
          <w:color w:val="auto"/>
          <w:sz w:val="24"/>
          <w:szCs w:val="24"/>
          <w:highlight w:val="none"/>
        </w:rPr>
        <w:t>t/a。</w:t>
      </w:r>
    </w:p>
    <w:p w14:paraId="00115C1A">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要求配备清扫洒水车定时进行道路洒水，以减少道路表面起尘量。洒水作业每2〜3小时1次，夏季、干旱季节应增加洒水的频次。同时，严禁车辆超高、超载、超速运输，防止洒落；且矿区道路应派专人负责，经常维护以保持良好的路面状况，并及时清扫洒在路面上的散状物料。经采取一系列措施后可削减约85%粉尘排放量，则矿区道路粉尘排放量为</w:t>
      </w:r>
      <w:r>
        <w:rPr>
          <w:rFonts w:hint="default" w:ascii="Times New Roman" w:hAnsi="Times New Roman" w:cs="Times New Roman"/>
          <w:color w:val="auto"/>
          <w:sz w:val="24"/>
          <w:szCs w:val="24"/>
          <w:highlight w:val="none"/>
          <w:lang w:val="en-US" w:eastAsia="zh-CN"/>
        </w:rPr>
        <w:t>13.75</w:t>
      </w:r>
      <w:r>
        <w:rPr>
          <w:rFonts w:hint="default" w:ascii="Times New Roman" w:hAnsi="Times New Roman" w:eastAsia="宋体" w:cs="Times New Roman"/>
          <w:color w:val="auto"/>
          <w:sz w:val="24"/>
          <w:szCs w:val="24"/>
          <w:highlight w:val="none"/>
        </w:rPr>
        <w:t>t/a。</w:t>
      </w:r>
    </w:p>
    <w:p w14:paraId="40DD4B5E">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lang w:val="en-US" w:eastAsia="zh-CN"/>
        </w:rPr>
      </w:pP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3</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lang w:val="en-US" w:eastAsia="zh-CN"/>
        </w:rPr>
        <w:t>废石场扬尘</w:t>
      </w:r>
    </w:p>
    <w:p w14:paraId="7E8AE682">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color w:val="auto"/>
          <w:sz w:val="24"/>
          <w:szCs w:val="24"/>
        </w:rPr>
        <w:t>本次设计三个废石场：废石场1和废石场2，废石场3。废石场1位于主平硐的西南侧230m处，废石场2位于主平硐的东南侧180m处，废石场3位于北斜坡道口的东南侧253m处。废石场1面积15730m²；废石场2面积1860m²；废石场3面积30000m²；</w:t>
      </w:r>
    </w:p>
    <w:p w14:paraId="3E8A04D4">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废石场的大气无组织排放主要为汽车装卸废石时产生的扬尘和在大风天气下产生的扬尘。</w:t>
      </w:r>
    </w:p>
    <w:p w14:paraId="7D6AEF72">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本次评价采用生态环境部2021年第24号公告发布的《排放源统计调查产排污核算方法和系数手册》中附录2“固体物料堆存颗粒物产排污核算系数手册”核算了拟建工程废石场堆存中产生的无组织源。根据手册，工业企业固体物料堆存颗粒物包括装卸</w:t>
      </w:r>
      <w:r>
        <w:rPr>
          <w:rFonts w:hint="default" w:ascii="Times New Roman" w:hAnsi="Times New Roman" w:cs="Times New Roman"/>
          <w:b w:val="0"/>
          <w:bCs w:val="0"/>
          <w:color w:val="auto"/>
          <w:spacing w:val="0"/>
          <w:w w:val="100"/>
          <w:position w:val="0"/>
          <w:sz w:val="24"/>
          <w:szCs w:val="24"/>
          <w:lang w:eastAsia="zh-CN"/>
        </w:rPr>
        <w:t>扬</w:t>
      </w:r>
      <w:r>
        <w:rPr>
          <w:rFonts w:hint="default" w:ascii="Times New Roman" w:hAnsi="Times New Roman" w:eastAsia="宋体" w:cs="Times New Roman"/>
          <w:b w:val="0"/>
          <w:bCs w:val="0"/>
          <w:color w:val="auto"/>
          <w:spacing w:val="0"/>
          <w:w w:val="100"/>
          <w:position w:val="0"/>
          <w:sz w:val="24"/>
          <w:szCs w:val="24"/>
        </w:rPr>
        <w:t>尘和风蚀扬尘，颗粒物产生量核算公式如下：</w:t>
      </w:r>
    </w:p>
    <w:p w14:paraId="28682978">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P=ZC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+FC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={N</w:t>
      </w:r>
      <w:r>
        <w:rPr>
          <w:rFonts w:hint="default" w:ascii="Times New Roman" w:hAnsi="Times New Roman" w:eastAsia="宋体" w:cs="Times New Roman"/>
          <w:b w:val="0"/>
          <w:bCs w:val="0"/>
          <w:color w:val="auto"/>
          <w:spacing w:val="0"/>
          <w:w w:val="100"/>
          <w:position w:val="0"/>
          <w:sz w:val="24"/>
          <w:szCs w:val="24"/>
          <w:vertAlign w:val="subscript"/>
        </w:rPr>
        <w:t>C</w:t>
      </w:r>
      <w:r>
        <w:rPr>
          <w:rFonts w:hint="default" w:ascii="Times New Roman" w:hAnsi="Times New Roman" w:eastAsia="宋体" w:cs="Times New Roman"/>
          <w:b w:val="0"/>
          <w:bCs w:val="0"/>
          <w:color w:val="auto"/>
          <w:spacing w:val="0"/>
          <w:w w:val="100"/>
          <w:position w:val="0"/>
          <w:sz w:val="24"/>
          <w:szCs w:val="24"/>
        </w:rPr>
        <w:t>×D×</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a</w:t>
      </w:r>
      <w:r>
        <w:rPr>
          <w:rFonts w:hint="default" w:ascii="Times New Roman" w:hAnsi="Times New Roman" w:eastAsia="宋体" w:cs="Times New Roman"/>
          <w:b w:val="0"/>
          <w:bCs w:val="0"/>
          <w:color w:val="auto"/>
          <w:spacing w:val="0"/>
          <w:w w:val="100"/>
          <w:position w:val="0"/>
          <w:sz w:val="24"/>
          <w:szCs w:val="24"/>
          <w:lang w:val="en-US" w:eastAsia="zh-CN"/>
        </w:rPr>
        <w:t>/</w:t>
      </w:r>
      <w:r>
        <w:rPr>
          <w:rFonts w:hint="default" w:ascii="Times New Roman" w:hAnsi="Times New Roman" w:eastAsia="宋体" w:cs="Times New Roman"/>
          <w:b w:val="0"/>
          <w:bCs w:val="0"/>
          <w:color w:val="auto"/>
          <w:spacing w:val="0"/>
          <w:w w:val="100"/>
          <w:position w:val="0"/>
          <w:sz w:val="24"/>
          <w:szCs w:val="24"/>
        </w:rPr>
        <w:t>b</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+2×E</w:t>
      </w:r>
      <w:r>
        <w:rPr>
          <w:rFonts w:hint="default" w:ascii="Times New Roman" w:hAnsi="Times New Roman" w:eastAsia="宋体" w:cs="Times New Roman"/>
          <w:b w:val="0"/>
          <w:bCs w:val="0"/>
          <w:color w:val="auto"/>
          <w:spacing w:val="0"/>
          <w:w w:val="100"/>
          <w:position w:val="0"/>
          <w:sz w:val="24"/>
          <w:szCs w:val="24"/>
          <w:vertAlign w:val="subscript"/>
        </w:rPr>
        <w:t>f</w:t>
      </w:r>
      <w:r>
        <w:rPr>
          <w:rFonts w:hint="default" w:ascii="Times New Roman" w:hAnsi="Times New Roman" w:eastAsia="宋体" w:cs="Times New Roman"/>
          <w:b w:val="0"/>
          <w:bCs w:val="0"/>
          <w:color w:val="auto"/>
          <w:spacing w:val="0"/>
          <w:w w:val="100"/>
          <w:position w:val="0"/>
          <w:sz w:val="24"/>
          <w:szCs w:val="24"/>
        </w:rPr>
        <w:t>×S}×10</w:t>
      </w:r>
      <w:r>
        <w:rPr>
          <w:rFonts w:hint="default" w:ascii="Times New Roman" w:hAnsi="Times New Roman" w:eastAsia="宋体" w:cs="Times New Roman"/>
          <w:b w:val="0"/>
          <w:bCs w:val="0"/>
          <w:color w:val="auto"/>
          <w:spacing w:val="0"/>
          <w:w w:val="100"/>
          <w:position w:val="0"/>
          <w:sz w:val="24"/>
          <w:szCs w:val="24"/>
          <w:vertAlign w:val="superscript"/>
        </w:rPr>
        <w:t>−3</w:t>
      </w:r>
    </w:p>
    <w:p w14:paraId="535BE1AA">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式中：</w:t>
      </w:r>
    </w:p>
    <w:p w14:paraId="19795938">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P——指颗粒物产生量（单位：t）；</w:t>
      </w:r>
    </w:p>
    <w:p w14:paraId="45872551">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ZC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——指装卸扬尘产生量（单位：t）；</w:t>
      </w:r>
    </w:p>
    <w:p w14:paraId="65E9D446">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FC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——指风蚀扬尘产生量（单位：t）；</w:t>
      </w:r>
    </w:p>
    <w:p w14:paraId="6C0AD062">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Nc——指年物料运载车次（单位：车）；</w:t>
      </w:r>
    </w:p>
    <w:p w14:paraId="3FA96DF3">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D——指单车平均运载量（单位：t/车</w:t>
      </w:r>
      <w:r>
        <w:rPr>
          <w:rFonts w:hint="default" w:ascii="Times New Roman" w:hAnsi="Times New Roman"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取20t</w:t>
      </w:r>
      <w:r>
        <w:rPr>
          <w:rFonts w:hint="default" w:ascii="Times New Roman" w:hAnsi="Times New Roman" w:eastAsia="宋体" w:cs="Times New Roman"/>
          <w:b w:val="0"/>
          <w:bCs w:val="0"/>
          <w:color w:val="auto"/>
          <w:spacing w:val="0"/>
          <w:w w:val="100"/>
          <w:position w:val="0"/>
          <w:sz w:val="24"/>
          <w:szCs w:val="24"/>
        </w:rPr>
        <w:t>）；</w:t>
      </w:r>
    </w:p>
    <w:p w14:paraId="3901A9F0">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a</w:t>
      </w:r>
      <w:r>
        <w:rPr>
          <w:rFonts w:hint="default" w:ascii="Times New Roman" w:hAnsi="Times New Roman" w:eastAsia="宋体" w:cs="Times New Roman"/>
          <w:b w:val="0"/>
          <w:bCs w:val="0"/>
          <w:color w:val="auto"/>
          <w:spacing w:val="0"/>
          <w:w w:val="100"/>
          <w:position w:val="0"/>
          <w:sz w:val="24"/>
          <w:szCs w:val="24"/>
          <w:lang w:val="en-US" w:eastAsia="zh-CN"/>
        </w:rPr>
        <w:t>/</w:t>
      </w:r>
      <w:r>
        <w:rPr>
          <w:rFonts w:hint="default" w:ascii="Times New Roman" w:hAnsi="Times New Roman" w:eastAsia="宋体" w:cs="Times New Roman"/>
          <w:b w:val="0"/>
          <w:bCs w:val="0"/>
          <w:color w:val="auto"/>
          <w:spacing w:val="0"/>
          <w:w w:val="100"/>
          <w:position w:val="0"/>
          <w:sz w:val="24"/>
          <w:szCs w:val="24"/>
        </w:rPr>
        <w:t>b——指装卸扬尘概化系数（单位：kg/t），a指各省风速概化系数，新疆取0.0</w:t>
      </w:r>
      <w:r>
        <w:rPr>
          <w:rFonts w:hint="default" w:ascii="Times New Roman" w:hAnsi="Times New Roman" w:eastAsia="宋体" w:cs="Times New Roman"/>
          <w:b w:val="0"/>
          <w:bCs w:val="0"/>
          <w:color w:val="auto"/>
          <w:spacing w:val="0"/>
          <w:w w:val="100"/>
          <w:position w:val="0"/>
          <w:sz w:val="24"/>
          <w:szCs w:val="24"/>
          <w:lang w:val="en-US" w:eastAsia="zh-CN"/>
        </w:rPr>
        <w:t>0</w:t>
      </w:r>
      <w:r>
        <w:rPr>
          <w:rFonts w:hint="default" w:ascii="Times New Roman" w:hAnsi="Times New Roman" w:eastAsia="宋体" w:cs="Times New Roman"/>
          <w:b w:val="0"/>
          <w:bCs w:val="0"/>
          <w:color w:val="auto"/>
          <w:spacing w:val="0"/>
          <w:w w:val="100"/>
          <w:position w:val="0"/>
          <w:sz w:val="24"/>
          <w:szCs w:val="24"/>
        </w:rPr>
        <w:t>11，b指物料含水率概化系数，此处取0.0074；</w:t>
      </w:r>
    </w:p>
    <w:p w14:paraId="1241473A">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E</w:t>
      </w:r>
      <w:r>
        <w:rPr>
          <w:rFonts w:hint="default" w:ascii="Times New Roman" w:hAnsi="Times New Roman" w:eastAsia="宋体" w:cs="Times New Roman"/>
          <w:b w:val="0"/>
          <w:bCs w:val="0"/>
          <w:color w:val="auto"/>
          <w:spacing w:val="0"/>
          <w:w w:val="100"/>
          <w:position w:val="0"/>
          <w:sz w:val="24"/>
          <w:szCs w:val="24"/>
          <w:vertAlign w:val="subscript"/>
        </w:rPr>
        <w:t>f</w:t>
      </w:r>
      <w:r>
        <w:rPr>
          <w:rFonts w:hint="default" w:ascii="Times New Roman" w:hAnsi="Times New Roman" w:eastAsia="宋体" w:cs="Times New Roman"/>
          <w:b w:val="0"/>
          <w:bCs w:val="0"/>
          <w:color w:val="auto"/>
          <w:spacing w:val="0"/>
          <w:w w:val="100"/>
          <w:position w:val="0"/>
          <w:sz w:val="24"/>
          <w:szCs w:val="24"/>
        </w:rPr>
        <w:t>——指堆场风蚀扬尘概化系数，见附录3（单位：kg/m</w:t>
      </w:r>
      <w:r>
        <w:rPr>
          <w:rFonts w:hint="default" w:ascii="Times New Roman" w:hAnsi="Times New Roman" w:eastAsia="宋体" w:cs="Times New Roman"/>
          <w:b w:val="0"/>
          <w:bCs w:val="0"/>
          <w:color w:val="auto"/>
          <w:spacing w:val="0"/>
          <w:w w:val="100"/>
          <w:position w:val="0"/>
          <w:sz w:val="24"/>
          <w:szCs w:val="24"/>
          <w:vertAlign w:val="superscript"/>
        </w:rPr>
        <w:t>2</w:t>
      </w:r>
      <w:r>
        <w:rPr>
          <w:rFonts w:hint="default" w:ascii="Times New Roman" w:hAnsi="Times New Roman" w:eastAsia="宋体" w:cs="Times New Roman"/>
          <w:b w:val="0"/>
          <w:bCs w:val="0"/>
          <w:color w:val="auto"/>
          <w:spacing w:val="0"/>
          <w:w w:val="100"/>
          <w:position w:val="0"/>
          <w:sz w:val="24"/>
          <w:szCs w:val="24"/>
        </w:rPr>
        <w:t>），此处取0；</w:t>
      </w:r>
    </w:p>
    <w:p w14:paraId="0B2D84FF">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S——指堆场占地面积（单位：m</w:t>
      </w:r>
      <w:r>
        <w:rPr>
          <w:rFonts w:hint="default" w:ascii="Times New Roman" w:hAnsi="Times New Roman" w:eastAsia="宋体" w:cs="Times New Roman"/>
          <w:b w:val="0"/>
          <w:bCs w:val="0"/>
          <w:color w:val="auto"/>
          <w:spacing w:val="0"/>
          <w:w w:val="100"/>
          <w:position w:val="0"/>
          <w:sz w:val="24"/>
          <w:szCs w:val="24"/>
          <w:vertAlign w:val="superscript"/>
        </w:rPr>
        <w:t>2</w:t>
      </w:r>
      <w:r>
        <w:rPr>
          <w:rFonts w:hint="default" w:ascii="Times New Roman" w:hAnsi="Times New Roman" w:eastAsia="宋体" w:cs="Times New Roman"/>
          <w:b w:val="0"/>
          <w:bCs w:val="0"/>
          <w:color w:val="auto"/>
          <w:spacing w:val="0"/>
          <w:w w:val="100"/>
          <w:position w:val="0"/>
          <w:sz w:val="24"/>
          <w:szCs w:val="24"/>
        </w:rPr>
        <w:t>）。</w:t>
      </w:r>
    </w:p>
    <w:p w14:paraId="4B6B7DF0">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由此求得</w:t>
      </w:r>
      <w:r>
        <w:rPr>
          <w:rFonts w:hint="default" w:ascii="Times New Roman" w:hAnsi="Times New Roman" w:cs="Times New Roman"/>
          <w:b w:val="0"/>
          <w:bCs w:val="0"/>
          <w:color w:val="auto"/>
          <w:spacing w:val="0"/>
          <w:w w:val="100"/>
          <w:position w:val="0"/>
          <w:sz w:val="24"/>
          <w:szCs w:val="24"/>
          <w:lang w:val="en-US" w:eastAsia="zh-CN"/>
        </w:rPr>
        <w:t>1号废石场</w:t>
      </w:r>
      <w:r>
        <w:rPr>
          <w:rFonts w:hint="default" w:ascii="Times New Roman" w:hAnsi="Times New Roman" w:eastAsia="宋体" w:cs="Times New Roman"/>
          <w:b w:val="0"/>
          <w:bCs w:val="0"/>
          <w:color w:val="auto"/>
          <w:spacing w:val="0"/>
          <w:w w:val="100"/>
          <w:position w:val="0"/>
          <w:sz w:val="24"/>
          <w:szCs w:val="24"/>
        </w:rPr>
        <w:t>颗粒物的</w:t>
      </w:r>
      <w:r>
        <w:rPr>
          <w:rFonts w:hint="default" w:ascii="Times New Roman" w:hAnsi="Times New Roman" w:eastAsia="宋体" w:cs="Times New Roman"/>
          <w:b w:val="0"/>
          <w:bCs w:val="0"/>
          <w:color w:val="auto"/>
          <w:spacing w:val="0"/>
          <w:w w:val="100"/>
          <w:position w:val="0"/>
          <w:sz w:val="24"/>
          <w:szCs w:val="24"/>
          <w:lang w:val="en-US" w:eastAsia="zh-CN"/>
        </w:rPr>
        <w:t>产生</w:t>
      </w:r>
      <w:r>
        <w:rPr>
          <w:rFonts w:hint="default" w:ascii="Times New Roman" w:hAnsi="Times New Roman" w:eastAsia="宋体" w:cs="Times New Roman"/>
          <w:b w:val="0"/>
          <w:bCs w:val="0"/>
          <w:color w:val="auto"/>
          <w:spacing w:val="0"/>
          <w:w w:val="100"/>
          <w:position w:val="0"/>
          <w:sz w:val="24"/>
          <w:szCs w:val="24"/>
        </w:rPr>
        <w:t>量为</w:t>
      </w:r>
      <w:r>
        <w:rPr>
          <w:rFonts w:hint="default" w:ascii="Times New Roman" w:hAnsi="Times New Roman" w:eastAsia="宋体" w:cs="Times New Roman"/>
          <w:b w:val="0"/>
          <w:bCs w:val="0"/>
          <w:color w:val="auto"/>
          <w:spacing w:val="0"/>
          <w:w w:val="100"/>
          <w:position w:val="0"/>
          <w:sz w:val="24"/>
          <w:szCs w:val="24"/>
          <w:lang w:val="en-US" w:eastAsia="zh-CN"/>
        </w:rPr>
        <w:t>1.53</w:t>
      </w:r>
      <w:r>
        <w:rPr>
          <w:rFonts w:hint="default" w:ascii="Times New Roman" w:hAnsi="Times New Roman" w:eastAsia="宋体" w:cs="Times New Roman"/>
          <w:b w:val="0"/>
          <w:bCs w:val="0"/>
          <w:color w:val="auto"/>
          <w:spacing w:val="0"/>
          <w:w w:val="100"/>
          <w:position w:val="0"/>
          <w:sz w:val="24"/>
          <w:szCs w:val="24"/>
        </w:rPr>
        <w:t>t/a</w:t>
      </w:r>
      <w:r>
        <w:rPr>
          <w:rFonts w:hint="default" w:ascii="Times New Roman" w:hAnsi="Times New Roman"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2号废石场</w:t>
      </w:r>
      <w:r>
        <w:rPr>
          <w:rFonts w:hint="default" w:ascii="Times New Roman" w:hAnsi="Times New Roman" w:eastAsia="宋体" w:cs="Times New Roman"/>
          <w:b w:val="0"/>
          <w:bCs w:val="0"/>
          <w:color w:val="auto"/>
          <w:spacing w:val="0"/>
          <w:w w:val="100"/>
          <w:position w:val="0"/>
          <w:sz w:val="24"/>
          <w:szCs w:val="24"/>
        </w:rPr>
        <w:t>颗粒物的</w:t>
      </w:r>
      <w:r>
        <w:rPr>
          <w:rFonts w:hint="default" w:ascii="Times New Roman" w:hAnsi="Times New Roman" w:eastAsia="宋体" w:cs="Times New Roman"/>
          <w:b w:val="0"/>
          <w:bCs w:val="0"/>
          <w:color w:val="auto"/>
          <w:spacing w:val="0"/>
          <w:w w:val="100"/>
          <w:position w:val="0"/>
          <w:sz w:val="24"/>
          <w:szCs w:val="24"/>
          <w:lang w:val="en-US" w:eastAsia="zh-CN"/>
        </w:rPr>
        <w:t>产生</w:t>
      </w:r>
      <w:r>
        <w:rPr>
          <w:rFonts w:hint="default" w:ascii="Times New Roman" w:hAnsi="Times New Roman" w:eastAsia="宋体" w:cs="Times New Roman"/>
          <w:b w:val="0"/>
          <w:bCs w:val="0"/>
          <w:color w:val="auto"/>
          <w:spacing w:val="0"/>
          <w:w w:val="100"/>
          <w:position w:val="0"/>
          <w:sz w:val="24"/>
          <w:szCs w:val="24"/>
        </w:rPr>
        <w:t>量为</w:t>
      </w:r>
      <w:r>
        <w:rPr>
          <w:rFonts w:hint="default" w:ascii="Times New Roman" w:hAnsi="Times New Roman" w:eastAsia="宋体" w:cs="Times New Roman"/>
          <w:b w:val="0"/>
          <w:bCs w:val="0"/>
          <w:color w:val="auto"/>
          <w:spacing w:val="0"/>
          <w:w w:val="100"/>
          <w:position w:val="0"/>
          <w:sz w:val="24"/>
          <w:szCs w:val="24"/>
          <w:lang w:val="en-US" w:eastAsia="zh-CN"/>
        </w:rPr>
        <w:t>0.08</w:t>
      </w:r>
      <w:r>
        <w:rPr>
          <w:rFonts w:hint="default" w:ascii="Times New Roman" w:hAnsi="Times New Roman" w:eastAsia="宋体" w:cs="Times New Roman"/>
          <w:b w:val="0"/>
          <w:bCs w:val="0"/>
          <w:color w:val="auto"/>
          <w:spacing w:val="0"/>
          <w:w w:val="100"/>
          <w:position w:val="0"/>
          <w:sz w:val="24"/>
          <w:szCs w:val="24"/>
        </w:rPr>
        <w:t>t/a</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3号废石场</w:t>
      </w:r>
      <w:r>
        <w:rPr>
          <w:rFonts w:hint="default" w:ascii="Times New Roman" w:hAnsi="Times New Roman" w:eastAsia="宋体" w:cs="Times New Roman"/>
          <w:b w:val="0"/>
          <w:bCs w:val="0"/>
          <w:color w:val="auto"/>
          <w:spacing w:val="0"/>
          <w:w w:val="100"/>
          <w:position w:val="0"/>
          <w:sz w:val="24"/>
          <w:szCs w:val="24"/>
        </w:rPr>
        <w:t>颗粒物的</w:t>
      </w:r>
      <w:r>
        <w:rPr>
          <w:rFonts w:hint="default" w:ascii="Times New Roman" w:hAnsi="Times New Roman" w:eastAsia="宋体" w:cs="Times New Roman"/>
          <w:b w:val="0"/>
          <w:bCs w:val="0"/>
          <w:color w:val="auto"/>
          <w:spacing w:val="0"/>
          <w:w w:val="100"/>
          <w:position w:val="0"/>
          <w:sz w:val="24"/>
          <w:szCs w:val="24"/>
          <w:lang w:val="en-US" w:eastAsia="zh-CN"/>
        </w:rPr>
        <w:t>产生</w:t>
      </w:r>
      <w:r>
        <w:rPr>
          <w:rFonts w:hint="default" w:ascii="Times New Roman" w:hAnsi="Times New Roman" w:eastAsia="宋体" w:cs="Times New Roman"/>
          <w:b w:val="0"/>
          <w:bCs w:val="0"/>
          <w:color w:val="auto"/>
          <w:spacing w:val="0"/>
          <w:w w:val="100"/>
          <w:position w:val="0"/>
          <w:sz w:val="24"/>
          <w:szCs w:val="24"/>
        </w:rPr>
        <w:t>量为</w:t>
      </w:r>
      <w:r>
        <w:rPr>
          <w:rFonts w:hint="default" w:ascii="Times New Roman" w:hAnsi="Times New Roman" w:eastAsia="宋体" w:cs="Times New Roman"/>
          <w:b w:val="0"/>
          <w:bCs w:val="0"/>
          <w:color w:val="auto"/>
          <w:spacing w:val="0"/>
          <w:w w:val="100"/>
          <w:position w:val="0"/>
          <w:sz w:val="24"/>
          <w:szCs w:val="24"/>
          <w:lang w:val="en-US" w:eastAsia="zh-CN"/>
        </w:rPr>
        <w:t>1.91</w:t>
      </w:r>
      <w:r>
        <w:rPr>
          <w:rFonts w:hint="default" w:ascii="Times New Roman" w:hAnsi="Times New Roman" w:eastAsia="宋体" w:cs="Times New Roman"/>
          <w:b w:val="0"/>
          <w:bCs w:val="0"/>
          <w:color w:val="auto"/>
          <w:spacing w:val="0"/>
          <w:w w:val="100"/>
          <w:position w:val="0"/>
          <w:sz w:val="24"/>
          <w:szCs w:val="24"/>
        </w:rPr>
        <w:t>t/a。</w:t>
      </w:r>
    </w:p>
    <w:p w14:paraId="2B910CAB">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颗粒物排放量核算公式为：</w:t>
      </w:r>
    </w:p>
    <w:p w14:paraId="5D078AA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val="0"/>
          <w:bCs w:val="0"/>
          <w:color w:val="auto"/>
          <w:spacing w:val="0"/>
          <w:w w:val="100"/>
          <w:position w:val="0"/>
          <w:sz w:val="24"/>
          <w:szCs w:val="24"/>
          <w:lang w:eastAsia="zh-CN"/>
        </w:rPr>
      </w:pPr>
      <w:r>
        <w:rPr>
          <w:rFonts w:hint="default" w:ascii="Times New Roman" w:hAnsi="Times New Roman" w:eastAsia="宋体" w:cs="Times New Roman"/>
          <w:b w:val="0"/>
          <w:bCs w:val="0"/>
          <w:color w:val="auto"/>
          <w:spacing w:val="0"/>
          <w:w w:val="100"/>
          <w:position w:val="0"/>
          <w:sz w:val="24"/>
          <w:szCs w:val="24"/>
        </w:rPr>
        <w:t>U</w:t>
      </w:r>
      <w:r>
        <w:rPr>
          <w:rFonts w:hint="default" w:ascii="Times New Roman" w:hAnsi="Times New Roman" w:eastAsia="宋体" w:cs="Times New Roman"/>
          <w:b w:val="0"/>
          <w:bCs w:val="0"/>
          <w:color w:val="auto"/>
          <w:spacing w:val="0"/>
          <w:w w:val="100"/>
          <w:position w:val="0"/>
          <w:sz w:val="24"/>
          <w:szCs w:val="24"/>
          <w:vertAlign w:val="subscript"/>
        </w:rPr>
        <w:t>C</w:t>
      </w:r>
      <w:r>
        <w:rPr>
          <w:rFonts w:hint="default" w:ascii="Times New Roman" w:hAnsi="Times New Roman" w:eastAsia="宋体" w:cs="Times New Roman"/>
          <w:b w:val="0"/>
          <w:bCs w:val="0"/>
          <w:color w:val="auto"/>
          <w:spacing w:val="0"/>
          <w:w w:val="100"/>
          <w:position w:val="0"/>
          <w:sz w:val="24"/>
          <w:szCs w:val="24"/>
        </w:rPr>
        <w:t>=P×</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1−Cm</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1−Tm</w:t>
      </w:r>
      <w:r>
        <w:rPr>
          <w:rFonts w:hint="default" w:ascii="Times New Roman" w:hAnsi="Times New Roman" w:eastAsia="宋体" w:cs="Times New Roman"/>
          <w:b w:val="0"/>
          <w:bCs w:val="0"/>
          <w:color w:val="auto"/>
          <w:spacing w:val="0"/>
          <w:w w:val="100"/>
          <w:position w:val="0"/>
          <w:sz w:val="24"/>
          <w:szCs w:val="24"/>
          <w:lang w:eastAsia="zh-CN"/>
        </w:rPr>
        <w:t>）</w:t>
      </w:r>
    </w:p>
    <w:p w14:paraId="02F04BF3">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式中：</w:t>
      </w:r>
    </w:p>
    <w:p w14:paraId="5C72A890">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P——指颗粒物产生量（单位：t）；</w:t>
      </w:r>
    </w:p>
    <w:p w14:paraId="10BAB2C1">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Uc——指颗粒物排放量（单位：t）；</w:t>
      </w:r>
    </w:p>
    <w:p w14:paraId="60B59291">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Cm——指颗粒物控制措施控制效率（单位：%），见附录4；</w:t>
      </w:r>
    </w:p>
    <w:p w14:paraId="21F5DA2E">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Tm——指堆场类型控制效率（单位：%），见附录5，此处取0。</w:t>
      </w:r>
    </w:p>
    <w:p w14:paraId="2A98206A">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项目区气候干燥，拟采用洒水降尘方式，对颗粒物的控制效率η可取0.74，由此求得</w:t>
      </w:r>
      <w:r>
        <w:rPr>
          <w:rFonts w:hint="default" w:ascii="Times New Roman" w:hAnsi="Times New Roman" w:cs="Times New Roman"/>
          <w:b w:val="0"/>
          <w:bCs w:val="0"/>
          <w:color w:val="auto"/>
          <w:spacing w:val="0"/>
          <w:w w:val="100"/>
          <w:position w:val="0"/>
          <w:sz w:val="24"/>
          <w:szCs w:val="24"/>
          <w:lang w:val="en-US" w:eastAsia="zh-CN"/>
        </w:rPr>
        <w:t>1号废石场</w:t>
      </w:r>
      <w:r>
        <w:rPr>
          <w:rFonts w:hint="default" w:ascii="Times New Roman" w:hAnsi="Times New Roman" w:eastAsia="宋体" w:cs="Times New Roman"/>
          <w:b w:val="0"/>
          <w:bCs w:val="0"/>
          <w:color w:val="auto"/>
          <w:spacing w:val="0"/>
          <w:w w:val="100"/>
          <w:position w:val="0"/>
          <w:sz w:val="24"/>
          <w:szCs w:val="24"/>
        </w:rPr>
        <w:t>颗粒物的排放量为</w:t>
      </w:r>
      <w:r>
        <w:rPr>
          <w:rFonts w:hint="default" w:ascii="Times New Roman" w:hAnsi="Times New Roman" w:cs="Times New Roman"/>
          <w:b w:val="0"/>
          <w:bCs w:val="0"/>
          <w:color w:val="auto"/>
          <w:spacing w:val="0"/>
          <w:w w:val="100"/>
          <w:position w:val="0"/>
          <w:sz w:val="24"/>
          <w:szCs w:val="24"/>
          <w:lang w:val="en-US" w:eastAsia="zh-CN"/>
        </w:rPr>
        <w:t>0.40</w:t>
      </w:r>
      <w:r>
        <w:rPr>
          <w:rFonts w:hint="default" w:ascii="Times New Roman" w:hAnsi="Times New Roman" w:eastAsia="宋体" w:cs="Times New Roman"/>
          <w:b w:val="0"/>
          <w:bCs w:val="0"/>
          <w:color w:val="auto"/>
          <w:spacing w:val="0"/>
          <w:w w:val="100"/>
          <w:position w:val="0"/>
          <w:sz w:val="24"/>
          <w:szCs w:val="24"/>
        </w:rPr>
        <w:t>t/a</w:t>
      </w:r>
      <w:r>
        <w:rPr>
          <w:rFonts w:hint="default" w:ascii="Times New Roman" w:hAnsi="Times New Roman"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2号废石场</w:t>
      </w:r>
      <w:r>
        <w:rPr>
          <w:rFonts w:hint="default" w:ascii="Times New Roman" w:hAnsi="Times New Roman" w:eastAsia="宋体" w:cs="Times New Roman"/>
          <w:b w:val="0"/>
          <w:bCs w:val="0"/>
          <w:color w:val="auto"/>
          <w:spacing w:val="0"/>
          <w:w w:val="100"/>
          <w:position w:val="0"/>
          <w:sz w:val="24"/>
          <w:szCs w:val="24"/>
        </w:rPr>
        <w:t>颗粒物的排放量为</w:t>
      </w:r>
      <w:r>
        <w:rPr>
          <w:rFonts w:hint="default" w:ascii="Times New Roman" w:hAnsi="Times New Roman" w:eastAsia="宋体" w:cs="Times New Roman"/>
          <w:b w:val="0"/>
          <w:bCs w:val="0"/>
          <w:color w:val="auto"/>
          <w:spacing w:val="0"/>
          <w:w w:val="100"/>
          <w:position w:val="0"/>
          <w:sz w:val="24"/>
          <w:szCs w:val="24"/>
          <w:lang w:val="en-US" w:eastAsia="zh-CN"/>
        </w:rPr>
        <w:t>0.02</w:t>
      </w:r>
      <w:r>
        <w:rPr>
          <w:rFonts w:hint="default" w:ascii="Times New Roman" w:hAnsi="Times New Roman" w:eastAsia="宋体" w:cs="Times New Roman"/>
          <w:b w:val="0"/>
          <w:bCs w:val="0"/>
          <w:color w:val="auto"/>
          <w:spacing w:val="0"/>
          <w:w w:val="100"/>
          <w:position w:val="0"/>
          <w:sz w:val="24"/>
          <w:szCs w:val="24"/>
        </w:rPr>
        <w:t>t/a</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cs="Times New Roman"/>
          <w:b w:val="0"/>
          <w:bCs w:val="0"/>
          <w:color w:val="auto"/>
          <w:spacing w:val="0"/>
          <w:w w:val="100"/>
          <w:position w:val="0"/>
          <w:sz w:val="24"/>
          <w:szCs w:val="24"/>
          <w:lang w:val="en-US" w:eastAsia="zh-CN"/>
        </w:rPr>
        <w:t>3号废石场</w:t>
      </w:r>
      <w:r>
        <w:rPr>
          <w:rFonts w:hint="default" w:ascii="Times New Roman" w:hAnsi="Times New Roman" w:eastAsia="宋体" w:cs="Times New Roman"/>
          <w:b w:val="0"/>
          <w:bCs w:val="0"/>
          <w:color w:val="auto"/>
          <w:spacing w:val="0"/>
          <w:w w:val="100"/>
          <w:position w:val="0"/>
          <w:sz w:val="24"/>
          <w:szCs w:val="24"/>
        </w:rPr>
        <w:t>颗粒物的排放量为</w:t>
      </w:r>
      <w:r>
        <w:rPr>
          <w:rFonts w:hint="default" w:ascii="Times New Roman" w:hAnsi="Times New Roman" w:eastAsia="宋体" w:cs="Times New Roman"/>
          <w:b w:val="0"/>
          <w:bCs w:val="0"/>
          <w:color w:val="auto"/>
          <w:spacing w:val="0"/>
          <w:w w:val="100"/>
          <w:position w:val="0"/>
          <w:sz w:val="24"/>
          <w:szCs w:val="24"/>
          <w:lang w:val="en-US" w:eastAsia="zh-CN"/>
        </w:rPr>
        <w:t>0.50</w:t>
      </w:r>
      <w:r>
        <w:rPr>
          <w:rFonts w:hint="default" w:ascii="Times New Roman" w:hAnsi="Times New Roman" w:eastAsia="宋体" w:cs="Times New Roman"/>
          <w:b w:val="0"/>
          <w:bCs w:val="0"/>
          <w:color w:val="auto"/>
          <w:spacing w:val="0"/>
          <w:w w:val="100"/>
          <w:position w:val="0"/>
          <w:sz w:val="24"/>
          <w:szCs w:val="24"/>
        </w:rPr>
        <w:t>t/a。</w:t>
      </w:r>
    </w:p>
    <w:p w14:paraId="4EA9E9F1">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cs="Times New Roman"/>
          <w:b w:val="0"/>
          <w:bCs w:val="0"/>
          <w:color w:val="auto"/>
          <w:spacing w:val="0"/>
          <w:w w:val="100"/>
          <w:position w:val="0"/>
          <w:sz w:val="24"/>
          <w:szCs w:val="24"/>
          <w:lang w:val="en-US" w:eastAsia="zh-CN"/>
        </w:rPr>
        <w:t>（4）</w:t>
      </w:r>
      <w:r>
        <w:rPr>
          <w:rFonts w:hint="default" w:ascii="Times New Roman" w:hAnsi="Times New Roman" w:eastAsia="宋体" w:cs="Times New Roman"/>
          <w:b w:val="0"/>
          <w:bCs w:val="0"/>
          <w:color w:val="auto"/>
          <w:spacing w:val="0"/>
          <w:w w:val="100"/>
          <w:position w:val="0"/>
          <w:sz w:val="24"/>
          <w:szCs w:val="24"/>
          <w:lang w:val="en-US" w:eastAsia="zh-CN"/>
        </w:rPr>
        <w:t>矿石堆场</w:t>
      </w:r>
      <w:r>
        <w:rPr>
          <w:rFonts w:hint="default" w:ascii="Times New Roman" w:hAnsi="Times New Roman" w:eastAsia="宋体" w:cs="Times New Roman"/>
          <w:b w:val="0"/>
          <w:bCs w:val="0"/>
          <w:color w:val="auto"/>
          <w:spacing w:val="0"/>
          <w:w w:val="100"/>
          <w:position w:val="0"/>
          <w:sz w:val="24"/>
          <w:szCs w:val="24"/>
        </w:rPr>
        <w:t>扬尘</w:t>
      </w:r>
    </w:p>
    <w:p w14:paraId="465D5331">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矿石堆场用于临时堆存矿石，占地</w:t>
      </w:r>
      <w:r>
        <w:rPr>
          <w:rFonts w:hint="default" w:ascii="Times New Roman" w:hAnsi="Times New Roman" w:cs="Times New Roman"/>
          <w:b w:val="0"/>
          <w:bCs w:val="0"/>
          <w:color w:val="auto"/>
          <w:spacing w:val="0"/>
          <w:w w:val="100"/>
          <w:position w:val="0"/>
          <w:sz w:val="24"/>
          <w:szCs w:val="24"/>
          <w:lang w:val="en-US" w:eastAsia="zh-CN"/>
        </w:rPr>
        <w:t>0.5</w:t>
      </w:r>
      <w:r>
        <w:rPr>
          <w:rFonts w:hint="default" w:ascii="Times New Roman" w:hAnsi="Times New Roman" w:eastAsia="宋体" w:cs="Times New Roman"/>
          <w:b w:val="0"/>
          <w:bCs w:val="0"/>
          <w:color w:val="auto"/>
          <w:spacing w:val="0"/>
          <w:w w:val="100"/>
          <w:position w:val="0"/>
          <w:sz w:val="24"/>
          <w:szCs w:val="24"/>
        </w:rPr>
        <w:t>hm</w:t>
      </w:r>
      <w:r>
        <w:rPr>
          <w:rFonts w:hint="default" w:ascii="Times New Roman" w:hAnsi="Times New Roman" w:eastAsia="宋体" w:cs="Times New Roman"/>
          <w:b w:val="0"/>
          <w:bCs w:val="0"/>
          <w:color w:val="auto"/>
          <w:spacing w:val="0"/>
          <w:w w:val="100"/>
          <w:position w:val="0"/>
          <w:sz w:val="24"/>
          <w:szCs w:val="24"/>
          <w:vertAlign w:val="superscript"/>
        </w:rPr>
        <w:t>2</w:t>
      </w:r>
      <w:r>
        <w:rPr>
          <w:rFonts w:hint="default" w:ascii="Times New Roman" w:hAnsi="Times New Roman" w:eastAsia="宋体" w:cs="Times New Roman"/>
          <w:b w:val="0"/>
          <w:bCs w:val="0"/>
          <w:color w:val="auto"/>
          <w:spacing w:val="0"/>
          <w:w w:val="100"/>
          <w:position w:val="0"/>
          <w:sz w:val="24"/>
          <w:szCs w:val="24"/>
        </w:rPr>
        <w:t>，最大堆置顶标高730m</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最大堆置高度约</w:t>
      </w:r>
      <w:r>
        <w:rPr>
          <w:rFonts w:hint="default" w:ascii="Times New Roman" w:hAnsi="Times New Roman" w:eastAsia="宋体" w:cs="Times New Roman"/>
          <w:b w:val="0"/>
          <w:bCs w:val="0"/>
          <w:color w:val="auto"/>
          <w:spacing w:val="0"/>
          <w:w w:val="100"/>
          <w:position w:val="0"/>
          <w:sz w:val="24"/>
          <w:szCs w:val="24"/>
          <w:lang w:val="en-US" w:eastAsia="zh-CN"/>
        </w:rPr>
        <w:t>32</w:t>
      </w:r>
      <w:r>
        <w:rPr>
          <w:rFonts w:hint="default" w:ascii="Times New Roman" w:hAnsi="Times New Roman" w:eastAsia="宋体" w:cs="Times New Roman"/>
          <w:b w:val="0"/>
          <w:bCs w:val="0"/>
          <w:color w:val="auto"/>
          <w:spacing w:val="0"/>
          <w:w w:val="100"/>
          <w:position w:val="0"/>
          <w:sz w:val="24"/>
          <w:szCs w:val="24"/>
        </w:rPr>
        <w:t>m。</w:t>
      </w:r>
    </w:p>
    <w:p w14:paraId="54925E59">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本次评价采用生态环境部2021年第24号公告发布的《排放源统计调查产排污核算方法和系数手册》中附录2“固体物料堆存颗粒物产排污核算系数手册”核算了拟建工程废石场堆存中产生的无组织源。根据手册，工业企业固体物料堆存颗粒物包括装卸</w:t>
      </w:r>
      <w:r>
        <w:rPr>
          <w:rFonts w:hint="default" w:ascii="Times New Roman" w:hAnsi="Times New Roman" w:cs="Times New Roman"/>
          <w:b w:val="0"/>
          <w:bCs w:val="0"/>
          <w:color w:val="auto"/>
          <w:spacing w:val="0"/>
          <w:w w:val="100"/>
          <w:position w:val="0"/>
          <w:sz w:val="24"/>
          <w:szCs w:val="24"/>
          <w:lang w:eastAsia="zh-CN"/>
        </w:rPr>
        <w:t>扬</w:t>
      </w:r>
      <w:r>
        <w:rPr>
          <w:rFonts w:hint="default" w:ascii="Times New Roman" w:hAnsi="Times New Roman" w:eastAsia="宋体" w:cs="Times New Roman"/>
          <w:b w:val="0"/>
          <w:bCs w:val="0"/>
          <w:color w:val="auto"/>
          <w:spacing w:val="0"/>
          <w:w w:val="100"/>
          <w:position w:val="0"/>
          <w:sz w:val="24"/>
          <w:szCs w:val="24"/>
        </w:rPr>
        <w:t>尘和风蚀扬尘，颗粒物产生量核算公式如下：</w:t>
      </w:r>
    </w:p>
    <w:p w14:paraId="61A36873">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P=ZC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+FC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={N</w:t>
      </w:r>
      <w:r>
        <w:rPr>
          <w:rFonts w:hint="default" w:ascii="Times New Roman" w:hAnsi="Times New Roman" w:eastAsia="宋体" w:cs="Times New Roman"/>
          <w:b w:val="0"/>
          <w:bCs w:val="0"/>
          <w:color w:val="auto"/>
          <w:spacing w:val="0"/>
          <w:w w:val="100"/>
          <w:position w:val="0"/>
          <w:sz w:val="24"/>
          <w:szCs w:val="24"/>
          <w:vertAlign w:val="subscript"/>
        </w:rPr>
        <w:t>C</w:t>
      </w:r>
      <w:r>
        <w:rPr>
          <w:rFonts w:hint="default" w:ascii="Times New Roman" w:hAnsi="Times New Roman" w:eastAsia="宋体" w:cs="Times New Roman"/>
          <w:b w:val="0"/>
          <w:bCs w:val="0"/>
          <w:color w:val="auto"/>
          <w:spacing w:val="0"/>
          <w:w w:val="100"/>
          <w:position w:val="0"/>
          <w:sz w:val="24"/>
          <w:szCs w:val="24"/>
        </w:rPr>
        <w:t>×D×</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a</w:t>
      </w:r>
      <w:r>
        <w:rPr>
          <w:rFonts w:hint="default" w:ascii="Times New Roman" w:hAnsi="Times New Roman" w:eastAsia="宋体" w:cs="Times New Roman"/>
          <w:b w:val="0"/>
          <w:bCs w:val="0"/>
          <w:color w:val="auto"/>
          <w:spacing w:val="0"/>
          <w:w w:val="100"/>
          <w:position w:val="0"/>
          <w:sz w:val="24"/>
          <w:szCs w:val="24"/>
          <w:lang w:val="en-US" w:eastAsia="zh-CN"/>
        </w:rPr>
        <w:t>/</w:t>
      </w:r>
      <w:r>
        <w:rPr>
          <w:rFonts w:hint="default" w:ascii="Times New Roman" w:hAnsi="Times New Roman" w:eastAsia="宋体" w:cs="Times New Roman"/>
          <w:b w:val="0"/>
          <w:bCs w:val="0"/>
          <w:color w:val="auto"/>
          <w:spacing w:val="0"/>
          <w:w w:val="100"/>
          <w:position w:val="0"/>
          <w:sz w:val="24"/>
          <w:szCs w:val="24"/>
        </w:rPr>
        <w:t>b</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+2×E</w:t>
      </w:r>
      <w:r>
        <w:rPr>
          <w:rFonts w:hint="default" w:ascii="Times New Roman" w:hAnsi="Times New Roman" w:eastAsia="宋体" w:cs="Times New Roman"/>
          <w:b w:val="0"/>
          <w:bCs w:val="0"/>
          <w:color w:val="auto"/>
          <w:spacing w:val="0"/>
          <w:w w:val="100"/>
          <w:position w:val="0"/>
          <w:sz w:val="24"/>
          <w:szCs w:val="24"/>
          <w:vertAlign w:val="subscript"/>
        </w:rPr>
        <w:t>f</w:t>
      </w:r>
      <w:r>
        <w:rPr>
          <w:rFonts w:hint="default" w:ascii="Times New Roman" w:hAnsi="Times New Roman" w:eastAsia="宋体" w:cs="Times New Roman"/>
          <w:b w:val="0"/>
          <w:bCs w:val="0"/>
          <w:color w:val="auto"/>
          <w:spacing w:val="0"/>
          <w:w w:val="100"/>
          <w:position w:val="0"/>
          <w:sz w:val="24"/>
          <w:szCs w:val="24"/>
        </w:rPr>
        <w:t>×S}×10</w:t>
      </w:r>
      <w:r>
        <w:rPr>
          <w:rFonts w:hint="default" w:ascii="Times New Roman" w:hAnsi="Times New Roman" w:eastAsia="宋体" w:cs="Times New Roman"/>
          <w:b w:val="0"/>
          <w:bCs w:val="0"/>
          <w:color w:val="auto"/>
          <w:spacing w:val="0"/>
          <w:w w:val="100"/>
          <w:position w:val="0"/>
          <w:sz w:val="24"/>
          <w:szCs w:val="24"/>
          <w:vertAlign w:val="superscript"/>
        </w:rPr>
        <w:t>−3</w:t>
      </w:r>
    </w:p>
    <w:p w14:paraId="54FC1E87">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式中：</w:t>
      </w:r>
    </w:p>
    <w:p w14:paraId="14E7FCB2">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P——指颗粒物产生量（单位：t）；</w:t>
      </w:r>
    </w:p>
    <w:p w14:paraId="14C1D726">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ZC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——指装卸扬尘产生量（单位：t）；</w:t>
      </w:r>
    </w:p>
    <w:p w14:paraId="792E0B60">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FC</w:t>
      </w:r>
      <w:r>
        <w:rPr>
          <w:rFonts w:hint="default" w:ascii="Times New Roman" w:hAnsi="Times New Roman" w:eastAsia="宋体" w:cs="Times New Roman"/>
          <w:b w:val="0"/>
          <w:bCs w:val="0"/>
          <w:color w:val="auto"/>
          <w:spacing w:val="0"/>
          <w:w w:val="100"/>
          <w:position w:val="0"/>
          <w:sz w:val="24"/>
          <w:szCs w:val="24"/>
          <w:vertAlign w:val="subscript"/>
          <w:lang w:val="en-US" w:eastAsia="zh-CN"/>
        </w:rPr>
        <w:t>y</w:t>
      </w:r>
      <w:r>
        <w:rPr>
          <w:rFonts w:hint="default" w:ascii="Times New Roman" w:hAnsi="Times New Roman" w:eastAsia="宋体" w:cs="Times New Roman"/>
          <w:b w:val="0"/>
          <w:bCs w:val="0"/>
          <w:color w:val="auto"/>
          <w:spacing w:val="0"/>
          <w:w w:val="100"/>
          <w:position w:val="0"/>
          <w:sz w:val="24"/>
          <w:szCs w:val="24"/>
        </w:rPr>
        <w:t>——指风蚀扬尘产生量（单位：t）；</w:t>
      </w:r>
    </w:p>
    <w:p w14:paraId="6230F61D">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Nc——指年物料运载车次（单位：车）；</w:t>
      </w:r>
    </w:p>
    <w:p w14:paraId="49C344DF">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D——指单车平均运载量（单位：t/车）；</w:t>
      </w:r>
    </w:p>
    <w:p w14:paraId="4EAFE0B8">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a</w:t>
      </w:r>
      <w:r>
        <w:rPr>
          <w:rFonts w:hint="default" w:ascii="Times New Roman" w:hAnsi="Times New Roman" w:eastAsia="宋体" w:cs="Times New Roman"/>
          <w:b w:val="0"/>
          <w:bCs w:val="0"/>
          <w:color w:val="auto"/>
          <w:spacing w:val="0"/>
          <w:w w:val="100"/>
          <w:position w:val="0"/>
          <w:sz w:val="24"/>
          <w:szCs w:val="24"/>
          <w:lang w:val="en-US" w:eastAsia="zh-CN"/>
        </w:rPr>
        <w:t>/</w:t>
      </w:r>
      <w:r>
        <w:rPr>
          <w:rFonts w:hint="default" w:ascii="Times New Roman" w:hAnsi="Times New Roman" w:eastAsia="宋体" w:cs="Times New Roman"/>
          <w:b w:val="0"/>
          <w:bCs w:val="0"/>
          <w:color w:val="auto"/>
          <w:spacing w:val="0"/>
          <w:w w:val="100"/>
          <w:position w:val="0"/>
          <w:sz w:val="24"/>
          <w:szCs w:val="24"/>
        </w:rPr>
        <w:t>b——指装卸扬尘概化系数（单位：kg/t），a指各省风速概化系数，新疆取0.0</w:t>
      </w:r>
      <w:r>
        <w:rPr>
          <w:rFonts w:hint="default" w:ascii="Times New Roman" w:hAnsi="Times New Roman" w:eastAsia="宋体" w:cs="Times New Roman"/>
          <w:b w:val="0"/>
          <w:bCs w:val="0"/>
          <w:color w:val="auto"/>
          <w:spacing w:val="0"/>
          <w:w w:val="100"/>
          <w:position w:val="0"/>
          <w:sz w:val="24"/>
          <w:szCs w:val="24"/>
          <w:lang w:val="en-US" w:eastAsia="zh-CN"/>
        </w:rPr>
        <w:t>0</w:t>
      </w:r>
      <w:r>
        <w:rPr>
          <w:rFonts w:hint="default" w:ascii="Times New Roman" w:hAnsi="Times New Roman" w:eastAsia="宋体" w:cs="Times New Roman"/>
          <w:b w:val="0"/>
          <w:bCs w:val="0"/>
          <w:color w:val="auto"/>
          <w:spacing w:val="0"/>
          <w:w w:val="100"/>
          <w:position w:val="0"/>
          <w:sz w:val="24"/>
          <w:szCs w:val="24"/>
        </w:rPr>
        <w:t>11，b指物料含水率概化系数，此处取0.0074；</w:t>
      </w:r>
    </w:p>
    <w:p w14:paraId="56AC093D">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E</w:t>
      </w:r>
      <w:r>
        <w:rPr>
          <w:rFonts w:hint="default" w:ascii="Times New Roman" w:hAnsi="Times New Roman" w:eastAsia="宋体" w:cs="Times New Roman"/>
          <w:b w:val="0"/>
          <w:bCs w:val="0"/>
          <w:color w:val="auto"/>
          <w:spacing w:val="0"/>
          <w:w w:val="100"/>
          <w:position w:val="0"/>
          <w:sz w:val="24"/>
          <w:szCs w:val="24"/>
          <w:vertAlign w:val="subscript"/>
        </w:rPr>
        <w:t>f</w:t>
      </w:r>
      <w:r>
        <w:rPr>
          <w:rFonts w:hint="default" w:ascii="Times New Roman" w:hAnsi="Times New Roman" w:eastAsia="宋体" w:cs="Times New Roman"/>
          <w:b w:val="0"/>
          <w:bCs w:val="0"/>
          <w:color w:val="auto"/>
          <w:spacing w:val="0"/>
          <w:w w:val="100"/>
          <w:position w:val="0"/>
          <w:sz w:val="24"/>
          <w:szCs w:val="24"/>
        </w:rPr>
        <w:t>——指堆场风蚀扬尘概化系数，见附录3（单位：kg/m</w:t>
      </w:r>
      <w:r>
        <w:rPr>
          <w:rFonts w:hint="default" w:ascii="Times New Roman" w:hAnsi="Times New Roman" w:eastAsia="宋体" w:cs="Times New Roman"/>
          <w:b w:val="0"/>
          <w:bCs w:val="0"/>
          <w:color w:val="auto"/>
          <w:spacing w:val="0"/>
          <w:w w:val="100"/>
          <w:position w:val="0"/>
          <w:sz w:val="24"/>
          <w:szCs w:val="24"/>
          <w:vertAlign w:val="superscript"/>
        </w:rPr>
        <w:t>2</w:t>
      </w:r>
      <w:r>
        <w:rPr>
          <w:rFonts w:hint="default" w:ascii="Times New Roman" w:hAnsi="Times New Roman" w:eastAsia="宋体" w:cs="Times New Roman"/>
          <w:b w:val="0"/>
          <w:bCs w:val="0"/>
          <w:color w:val="auto"/>
          <w:spacing w:val="0"/>
          <w:w w:val="100"/>
          <w:position w:val="0"/>
          <w:sz w:val="24"/>
          <w:szCs w:val="24"/>
        </w:rPr>
        <w:t>），此处取0；</w:t>
      </w:r>
    </w:p>
    <w:p w14:paraId="696AD72E">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S——指堆场占地面积（单位：m</w:t>
      </w:r>
      <w:r>
        <w:rPr>
          <w:rFonts w:hint="default" w:ascii="Times New Roman" w:hAnsi="Times New Roman" w:eastAsia="宋体" w:cs="Times New Roman"/>
          <w:b w:val="0"/>
          <w:bCs w:val="0"/>
          <w:color w:val="auto"/>
          <w:spacing w:val="0"/>
          <w:w w:val="100"/>
          <w:position w:val="0"/>
          <w:sz w:val="24"/>
          <w:szCs w:val="24"/>
          <w:vertAlign w:val="superscript"/>
        </w:rPr>
        <w:t>2</w:t>
      </w:r>
      <w:r>
        <w:rPr>
          <w:rFonts w:hint="default" w:ascii="Times New Roman" w:hAnsi="Times New Roman" w:eastAsia="宋体" w:cs="Times New Roman"/>
          <w:b w:val="0"/>
          <w:bCs w:val="0"/>
          <w:color w:val="auto"/>
          <w:spacing w:val="0"/>
          <w:w w:val="100"/>
          <w:position w:val="0"/>
          <w:sz w:val="24"/>
          <w:szCs w:val="24"/>
        </w:rPr>
        <w:t>）。</w:t>
      </w:r>
    </w:p>
    <w:p w14:paraId="320B4422">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val="0"/>
          <w:bCs w:val="0"/>
          <w:color w:val="auto"/>
          <w:spacing w:val="0"/>
          <w:w w:val="100"/>
          <w:position w:val="0"/>
          <w:sz w:val="24"/>
          <w:szCs w:val="24"/>
          <w:lang w:val="en-US" w:eastAsia="zh-CN"/>
        </w:rPr>
      </w:pPr>
      <w:r>
        <w:rPr>
          <w:rFonts w:hint="default" w:ascii="Times New Roman" w:hAnsi="Times New Roman" w:cs="Times New Roman"/>
          <w:b w:val="0"/>
          <w:bCs w:val="0"/>
          <w:color w:val="auto"/>
          <w:spacing w:val="0"/>
          <w:w w:val="100"/>
          <w:position w:val="0"/>
          <w:sz w:val="24"/>
          <w:szCs w:val="24"/>
          <w:lang w:val="en-US" w:eastAsia="zh-CN"/>
        </w:rPr>
        <w:t>计算得出，颗粒物产生量为44.59</w:t>
      </w:r>
      <w:r>
        <w:rPr>
          <w:rFonts w:hint="default" w:ascii="Times New Roman" w:hAnsi="Times New Roman" w:eastAsia="宋体" w:cs="Times New Roman"/>
          <w:b w:val="0"/>
          <w:bCs w:val="0"/>
          <w:color w:val="auto"/>
          <w:spacing w:val="0"/>
          <w:w w:val="100"/>
          <w:position w:val="0"/>
          <w:sz w:val="24"/>
          <w:szCs w:val="24"/>
        </w:rPr>
        <w:t>t/a。</w:t>
      </w:r>
    </w:p>
    <w:p w14:paraId="3C4636C7">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颗粒物排放量核算公式为：</w:t>
      </w:r>
    </w:p>
    <w:p w14:paraId="5E9F23E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val="0"/>
          <w:bCs w:val="0"/>
          <w:color w:val="auto"/>
          <w:spacing w:val="0"/>
          <w:w w:val="100"/>
          <w:position w:val="0"/>
          <w:sz w:val="24"/>
          <w:szCs w:val="24"/>
          <w:lang w:eastAsia="zh-CN"/>
        </w:rPr>
      </w:pPr>
      <w:r>
        <w:rPr>
          <w:rFonts w:hint="default" w:ascii="Times New Roman" w:hAnsi="Times New Roman" w:eastAsia="宋体" w:cs="Times New Roman"/>
          <w:b w:val="0"/>
          <w:bCs w:val="0"/>
          <w:color w:val="auto"/>
          <w:spacing w:val="0"/>
          <w:w w:val="100"/>
          <w:position w:val="0"/>
          <w:sz w:val="24"/>
          <w:szCs w:val="24"/>
        </w:rPr>
        <w:t>U</w:t>
      </w:r>
      <w:r>
        <w:rPr>
          <w:rFonts w:hint="default" w:ascii="Times New Roman" w:hAnsi="Times New Roman" w:eastAsia="宋体" w:cs="Times New Roman"/>
          <w:b w:val="0"/>
          <w:bCs w:val="0"/>
          <w:color w:val="auto"/>
          <w:spacing w:val="0"/>
          <w:w w:val="100"/>
          <w:position w:val="0"/>
          <w:sz w:val="24"/>
          <w:szCs w:val="24"/>
          <w:vertAlign w:val="subscript"/>
        </w:rPr>
        <w:t>C</w:t>
      </w:r>
      <w:r>
        <w:rPr>
          <w:rFonts w:hint="default" w:ascii="Times New Roman" w:hAnsi="Times New Roman" w:eastAsia="宋体" w:cs="Times New Roman"/>
          <w:b w:val="0"/>
          <w:bCs w:val="0"/>
          <w:color w:val="auto"/>
          <w:spacing w:val="0"/>
          <w:w w:val="100"/>
          <w:position w:val="0"/>
          <w:sz w:val="24"/>
          <w:szCs w:val="24"/>
        </w:rPr>
        <w:t>=P×</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1−Cm</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w:t>
      </w:r>
      <w:r>
        <w:rPr>
          <w:rFonts w:hint="default" w:ascii="Times New Roman" w:hAnsi="Times New Roman" w:eastAsia="宋体" w:cs="Times New Roman"/>
          <w:b w:val="0"/>
          <w:bCs w:val="0"/>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1−Tm</w:t>
      </w:r>
      <w:r>
        <w:rPr>
          <w:rFonts w:hint="default" w:ascii="Times New Roman" w:hAnsi="Times New Roman" w:eastAsia="宋体" w:cs="Times New Roman"/>
          <w:b w:val="0"/>
          <w:bCs w:val="0"/>
          <w:color w:val="auto"/>
          <w:spacing w:val="0"/>
          <w:w w:val="100"/>
          <w:position w:val="0"/>
          <w:sz w:val="24"/>
          <w:szCs w:val="24"/>
          <w:lang w:eastAsia="zh-CN"/>
        </w:rPr>
        <w:t>）</w:t>
      </w:r>
    </w:p>
    <w:p w14:paraId="22BCC8D5">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式中：</w:t>
      </w:r>
    </w:p>
    <w:p w14:paraId="6C9A27C5">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P——指颗粒物产生量（单位：t）；</w:t>
      </w:r>
    </w:p>
    <w:p w14:paraId="790B8D36">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Uc——指颗粒物排放量（单位：t）；</w:t>
      </w:r>
    </w:p>
    <w:p w14:paraId="41C8DD42">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Cm——指颗粒物控制措施控制效率（单位：%），见附录4；</w:t>
      </w:r>
    </w:p>
    <w:p w14:paraId="22A1EA7B">
      <w:pPr>
        <w:keepNext w:val="0"/>
        <w:keepLines w:val="0"/>
        <w:pageBreakBefore w:val="0"/>
        <w:widowControl w:val="0"/>
        <w:kinsoku/>
        <w:wordWrap/>
        <w:overflowPunct/>
        <w:topLinePunct w:val="0"/>
        <w:autoSpaceDE/>
        <w:autoSpaceDN/>
        <w:bidi w:val="0"/>
        <w:adjustRightInd/>
        <w:snapToGrid/>
        <w:spacing w:line="480" w:lineRule="exact"/>
        <w:ind w:left="0" w:firstLine="960" w:firstLineChars="4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Tm——指堆场类型控制效率（单位：%），见附录5。</w:t>
      </w:r>
    </w:p>
    <w:p w14:paraId="4F1F424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项目区气候干燥，</w:t>
      </w:r>
      <w:r>
        <w:rPr>
          <w:rFonts w:hint="default" w:ascii="Times New Roman" w:hAnsi="Times New Roman" w:cs="Times New Roman"/>
          <w:b w:val="0"/>
          <w:bCs w:val="0"/>
          <w:color w:val="auto"/>
          <w:spacing w:val="0"/>
          <w:w w:val="100"/>
          <w:position w:val="0"/>
          <w:sz w:val="24"/>
          <w:szCs w:val="24"/>
          <w:lang w:val="en-US" w:eastAsia="zh-CN"/>
        </w:rPr>
        <w:t>堆场半敞开式设置，并</w:t>
      </w:r>
      <w:r>
        <w:rPr>
          <w:rFonts w:hint="default" w:ascii="Times New Roman" w:hAnsi="Times New Roman" w:eastAsia="宋体" w:cs="Times New Roman"/>
          <w:b w:val="0"/>
          <w:bCs w:val="0"/>
          <w:color w:val="auto"/>
          <w:spacing w:val="0"/>
          <w:w w:val="100"/>
          <w:position w:val="0"/>
          <w:sz w:val="24"/>
          <w:szCs w:val="24"/>
        </w:rPr>
        <w:t>采用洒水降尘方式，对颗粒物的控制效率η可取0.74。根据计算，</w:t>
      </w:r>
      <w:r>
        <w:rPr>
          <w:rFonts w:hint="default" w:ascii="Times New Roman" w:hAnsi="Times New Roman" w:eastAsia="宋体" w:cs="Times New Roman"/>
          <w:b w:val="0"/>
          <w:bCs w:val="0"/>
          <w:color w:val="auto"/>
          <w:spacing w:val="0"/>
          <w:w w:val="100"/>
          <w:position w:val="0"/>
          <w:sz w:val="24"/>
          <w:szCs w:val="24"/>
          <w:lang w:val="en-US" w:eastAsia="zh-CN"/>
        </w:rPr>
        <w:t>矿石堆场</w:t>
      </w:r>
      <w:r>
        <w:rPr>
          <w:rFonts w:hint="default" w:ascii="Times New Roman" w:hAnsi="Times New Roman" w:cs="Times New Roman"/>
          <w:b w:val="0"/>
          <w:bCs w:val="0"/>
          <w:color w:val="auto"/>
          <w:spacing w:val="0"/>
          <w:w w:val="100"/>
          <w:position w:val="0"/>
          <w:sz w:val="24"/>
          <w:szCs w:val="24"/>
          <w:lang w:val="en-US" w:eastAsia="zh-CN"/>
        </w:rPr>
        <w:t>颗粒物</w:t>
      </w:r>
      <w:r>
        <w:rPr>
          <w:rFonts w:hint="default" w:ascii="Times New Roman" w:hAnsi="Times New Roman" w:eastAsia="宋体" w:cs="Times New Roman"/>
          <w:b w:val="0"/>
          <w:bCs w:val="0"/>
          <w:color w:val="auto"/>
          <w:spacing w:val="0"/>
          <w:w w:val="100"/>
          <w:position w:val="0"/>
          <w:sz w:val="24"/>
          <w:szCs w:val="24"/>
        </w:rPr>
        <w:t>无组织排放量为</w:t>
      </w:r>
      <w:r>
        <w:rPr>
          <w:rFonts w:hint="default" w:ascii="Times New Roman" w:hAnsi="Times New Roman" w:cs="Times New Roman"/>
          <w:b w:val="0"/>
          <w:bCs w:val="0"/>
          <w:color w:val="auto"/>
          <w:spacing w:val="0"/>
          <w:w w:val="100"/>
          <w:position w:val="0"/>
          <w:sz w:val="24"/>
          <w:szCs w:val="24"/>
          <w:lang w:val="en-US" w:eastAsia="zh-CN"/>
        </w:rPr>
        <w:t>4.64</w:t>
      </w:r>
      <w:r>
        <w:rPr>
          <w:rFonts w:hint="default" w:ascii="Times New Roman" w:hAnsi="Times New Roman" w:eastAsia="宋体" w:cs="Times New Roman"/>
          <w:b w:val="0"/>
          <w:bCs w:val="0"/>
          <w:color w:val="auto"/>
          <w:spacing w:val="0"/>
          <w:w w:val="100"/>
          <w:position w:val="0"/>
          <w:sz w:val="24"/>
          <w:szCs w:val="24"/>
        </w:rPr>
        <w:t>t/a。</w:t>
      </w:r>
    </w:p>
    <w:p w14:paraId="12CE85A4">
      <w:pPr>
        <w:pStyle w:val="9"/>
        <w:keepNext w:val="0"/>
        <w:keepLines w:val="0"/>
        <w:pageBreakBefore w:val="0"/>
        <w:widowControl/>
        <w:numPr>
          <w:ilvl w:val="0"/>
          <w:numId w:val="0"/>
        </w:numPr>
        <w:kinsoku/>
        <w:wordWrap/>
        <w:overflowPunct/>
        <w:topLinePunct w:val="0"/>
        <w:autoSpaceDE/>
        <w:autoSpaceDN/>
        <w:bidi w:val="0"/>
        <w:adjustRightInd/>
        <w:snapToGrid/>
        <w:spacing w:after="0" w:line="480" w:lineRule="exact"/>
        <w:ind w:leftChars="0" w:right="0" w:rightChars="0" w:firstLine="480" w:firstLineChars="200"/>
        <w:jc w:val="left"/>
        <w:textAlignment w:val="auto"/>
        <w:outlineLvl w:val="9"/>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（5）废石破碎粉尘</w:t>
      </w:r>
    </w:p>
    <w:p w14:paraId="1F6947ED">
      <w:pPr>
        <w:keepNext w:val="0"/>
        <w:keepLines w:val="0"/>
        <w:pageBreakBefore w:val="0"/>
        <w:widowControl/>
        <w:suppressLineNumbers w:val="0"/>
        <w:kinsoku/>
        <w:wordWrap/>
        <w:overflowPunct/>
        <w:topLinePunct w:val="0"/>
        <w:autoSpaceDE/>
        <w:autoSpaceDN/>
        <w:bidi w:val="0"/>
        <w:adjustRightInd/>
        <w:snapToGrid/>
        <w:ind w:leftChars="0" w:firstLine="480" w:firstLineChars="200"/>
        <w:jc w:val="left"/>
        <w:textAlignment w:val="auto"/>
        <w:rPr>
          <w:rFonts w:hint="default" w:ascii="Times New Roman" w:hAnsi="Times New Roman" w:eastAsia="宋体" w:cs="Times New Roman"/>
          <w:b w:val="0"/>
          <w:bCs w:val="0"/>
          <w:color w:val="auto"/>
          <w:spacing w:val="0"/>
          <w:w w:val="100"/>
          <w:position w:val="0"/>
          <w:sz w:val="24"/>
          <w:szCs w:val="24"/>
          <w:lang w:val="en-US" w:eastAsia="zh-CN"/>
        </w:rPr>
      </w:pPr>
      <w:r>
        <w:rPr>
          <w:rFonts w:hint="eastAsia" w:ascii="Times New Roman" w:hAnsi="Times New Roman" w:cs="Times New Roman"/>
          <w:b w:val="0"/>
          <w:bCs w:val="0"/>
          <w:color w:val="auto"/>
          <w:spacing w:val="0"/>
          <w:w w:val="100"/>
          <w:position w:val="0"/>
          <w:sz w:val="24"/>
          <w:szCs w:val="24"/>
          <w:lang w:val="en-US" w:eastAsia="zh-CN"/>
        </w:rPr>
        <w:t>本项目破碎站封闭式设置，每天运行时间按8h计，</w:t>
      </w:r>
      <w:r>
        <w:rPr>
          <w:rFonts w:hint="default" w:ascii="Times New Roman" w:hAnsi="Times New Roman" w:eastAsia="宋体" w:cs="Times New Roman"/>
          <w:color w:val="auto"/>
          <w:spacing w:val="0"/>
          <w:w w:val="100"/>
          <w:position w:val="0"/>
          <w:sz w:val="24"/>
          <w:szCs w:val="24"/>
        </w:rPr>
        <w:t>生态环境部2021年第24号公告发布的《排放源统计调查产排污核算方法和系数手册》</w:t>
      </w:r>
      <w:r>
        <w:rPr>
          <w:rFonts w:hint="default" w:ascii="Times New Roman" w:hAnsi="Times New Roman" w:eastAsia="宋体" w:cs="Times New Roman"/>
          <w:color w:val="auto"/>
          <w:spacing w:val="0"/>
          <w:w w:val="100"/>
          <w:position w:val="0"/>
          <w:sz w:val="24"/>
          <w:szCs w:val="24"/>
          <w:lang w:val="en-US" w:eastAsia="zh-CN"/>
        </w:rPr>
        <w:t>中并未给出</w:t>
      </w:r>
      <w:r>
        <w:rPr>
          <w:rFonts w:hint="default" w:ascii="Times New Roman" w:hAnsi="Times New Roman" w:cs="Times New Roman"/>
          <w:color w:val="auto"/>
          <w:spacing w:val="0"/>
          <w:w w:val="100"/>
          <w:position w:val="0"/>
          <w:sz w:val="24"/>
          <w:szCs w:val="24"/>
          <w:lang w:val="en-US" w:eastAsia="zh-CN"/>
        </w:rPr>
        <w:t>破</w:t>
      </w:r>
      <w:r>
        <w:rPr>
          <w:rFonts w:hint="default" w:ascii="Times New Roman" w:hAnsi="Times New Roman" w:eastAsia="宋体" w:cs="Times New Roman"/>
          <w:color w:val="auto"/>
          <w:spacing w:val="0"/>
          <w:w w:val="100"/>
          <w:position w:val="0"/>
          <w:sz w:val="24"/>
          <w:szCs w:val="24"/>
          <w:lang w:val="en-US" w:eastAsia="zh-CN"/>
        </w:rPr>
        <w:t>碎工段的颗粒物产污系数。</w:t>
      </w:r>
      <w:r>
        <w:rPr>
          <w:rFonts w:hint="default" w:ascii="Times New Roman" w:hAnsi="Times New Roman" w:eastAsia="宋体" w:cs="Times New Roman"/>
          <w:color w:val="auto"/>
          <w:spacing w:val="0"/>
          <w:w w:val="100"/>
          <w:kern w:val="0"/>
          <w:position w:val="0"/>
          <w:sz w:val="24"/>
          <w:szCs w:val="24"/>
          <w:lang w:val="en-US" w:eastAsia="zh-CN" w:bidi="ar"/>
        </w:rPr>
        <w:t>参照《逸散性工业粉尘控制技术》，一级破碎产生逸散尘的排放因子为0.25kg/t（破碎料），</w:t>
      </w:r>
      <w:r>
        <w:rPr>
          <w:rFonts w:hint="default" w:ascii="Times New Roman" w:hAnsi="Times New Roman" w:cs="Times New Roman"/>
          <w:color w:val="auto"/>
          <w:spacing w:val="0"/>
          <w:w w:val="100"/>
          <w:kern w:val="0"/>
          <w:position w:val="0"/>
          <w:sz w:val="24"/>
          <w:szCs w:val="24"/>
          <w:lang w:val="en-US" w:eastAsia="zh-CN" w:bidi="ar"/>
        </w:rPr>
        <w:t>本项目废石量2.37万t/a，</w:t>
      </w:r>
      <w:r>
        <w:rPr>
          <w:rFonts w:hint="default" w:ascii="Times New Roman" w:hAnsi="Times New Roman" w:eastAsia="宋体" w:cs="Times New Roman"/>
          <w:color w:val="auto"/>
          <w:spacing w:val="0"/>
          <w:w w:val="100"/>
          <w:position w:val="0"/>
          <w:sz w:val="24"/>
          <w:szCs w:val="24"/>
        </w:rPr>
        <w:t>由此计算</w:t>
      </w:r>
      <w:r>
        <w:rPr>
          <w:rFonts w:hint="default" w:ascii="Times New Roman" w:hAnsi="Times New Roman" w:cs="Times New Roman"/>
          <w:color w:val="auto"/>
          <w:spacing w:val="0"/>
          <w:w w:val="100"/>
          <w:position w:val="0"/>
          <w:sz w:val="24"/>
          <w:szCs w:val="24"/>
          <w:lang w:val="en-US" w:eastAsia="zh-CN"/>
        </w:rPr>
        <w:t>破碎</w:t>
      </w:r>
      <w:r>
        <w:rPr>
          <w:rFonts w:hint="default" w:ascii="Times New Roman" w:hAnsi="Times New Roman" w:eastAsia="宋体" w:cs="Times New Roman"/>
          <w:color w:val="auto"/>
          <w:spacing w:val="0"/>
          <w:w w:val="100"/>
          <w:position w:val="0"/>
          <w:sz w:val="24"/>
          <w:szCs w:val="24"/>
          <w:lang w:val="en-US" w:eastAsia="zh-CN"/>
        </w:rPr>
        <w:t>环节</w:t>
      </w:r>
      <w:r>
        <w:rPr>
          <w:rFonts w:hint="default" w:ascii="Times New Roman" w:hAnsi="Times New Roman" w:eastAsia="宋体" w:cs="Times New Roman"/>
          <w:color w:val="auto"/>
          <w:spacing w:val="0"/>
          <w:w w:val="100"/>
          <w:position w:val="0"/>
          <w:sz w:val="24"/>
          <w:szCs w:val="24"/>
        </w:rPr>
        <w:t>颗粒物产生</w:t>
      </w:r>
      <w:r>
        <w:rPr>
          <w:rFonts w:hint="default" w:ascii="Times New Roman" w:hAnsi="Times New Roman" w:eastAsia="宋体" w:cs="Times New Roman"/>
          <w:color w:val="auto"/>
          <w:spacing w:val="0"/>
          <w:w w:val="100"/>
          <w:position w:val="0"/>
          <w:sz w:val="24"/>
          <w:szCs w:val="24"/>
          <w:lang w:val="en-US" w:eastAsia="zh-CN"/>
        </w:rPr>
        <w:t>量</w:t>
      </w:r>
      <w:r>
        <w:rPr>
          <w:rFonts w:hint="default" w:ascii="Times New Roman" w:hAnsi="Times New Roman" w:eastAsia="宋体" w:cs="Times New Roman"/>
          <w:color w:val="auto"/>
          <w:spacing w:val="0"/>
          <w:w w:val="100"/>
          <w:position w:val="0"/>
          <w:sz w:val="24"/>
          <w:szCs w:val="24"/>
        </w:rPr>
        <w:t>为</w:t>
      </w:r>
      <w:r>
        <w:rPr>
          <w:rFonts w:hint="default" w:ascii="Times New Roman" w:hAnsi="Times New Roman" w:cs="Times New Roman"/>
          <w:color w:val="auto"/>
          <w:spacing w:val="0"/>
          <w:w w:val="100"/>
          <w:position w:val="0"/>
          <w:sz w:val="24"/>
          <w:szCs w:val="24"/>
          <w:lang w:val="en-US" w:eastAsia="zh-CN"/>
        </w:rPr>
        <w:t>5.925</w:t>
      </w:r>
      <w:r>
        <w:rPr>
          <w:rFonts w:hint="default" w:ascii="Times New Roman" w:hAnsi="Times New Roman" w:eastAsia="宋体" w:cs="Times New Roman"/>
          <w:color w:val="auto"/>
          <w:spacing w:val="0"/>
          <w:w w:val="100"/>
          <w:position w:val="0"/>
          <w:sz w:val="24"/>
          <w:szCs w:val="24"/>
          <w:lang w:val="en-US" w:eastAsia="zh-CN"/>
        </w:rPr>
        <w:t>t/a</w:t>
      </w:r>
      <w:r>
        <w:rPr>
          <w:rFonts w:hint="default" w:ascii="Times New Roman" w:hAnsi="Times New Roman" w:eastAsia="宋体" w:cs="Times New Roman"/>
          <w:color w:val="auto"/>
          <w:spacing w:val="0"/>
          <w:w w:val="100"/>
          <w:position w:val="0"/>
          <w:sz w:val="24"/>
          <w:szCs w:val="24"/>
        </w:rPr>
        <w:t>；</w:t>
      </w:r>
      <w:r>
        <w:rPr>
          <w:rFonts w:hint="eastAsia" w:ascii="Times New Roman" w:hAnsi="Times New Roman" w:cs="Times New Roman"/>
          <w:color w:val="auto"/>
          <w:spacing w:val="0"/>
          <w:w w:val="100"/>
          <w:position w:val="0"/>
          <w:sz w:val="24"/>
          <w:szCs w:val="24"/>
          <w:lang w:val="en-US" w:eastAsia="zh-CN"/>
        </w:rPr>
        <w:t>破碎工段安装有</w:t>
      </w:r>
      <w:r>
        <w:rPr>
          <w:rFonts w:hint="default" w:ascii="Times New Roman" w:hAnsi="Times New Roman" w:cs="Times New Roman"/>
          <w:color w:val="auto"/>
          <w:spacing w:val="0"/>
          <w:w w:val="100"/>
          <w:position w:val="0"/>
          <w:sz w:val="24"/>
          <w:szCs w:val="24"/>
          <w:lang w:val="en-US" w:eastAsia="zh-CN"/>
        </w:rPr>
        <w:t>布袋</w:t>
      </w:r>
      <w:r>
        <w:rPr>
          <w:rFonts w:hint="eastAsia" w:ascii="Times New Roman" w:hAnsi="Times New Roman" w:cs="Times New Roman"/>
          <w:color w:val="auto"/>
          <w:spacing w:val="0"/>
          <w:w w:val="100"/>
          <w:position w:val="0"/>
          <w:sz w:val="24"/>
          <w:szCs w:val="24"/>
          <w:lang w:val="en-US" w:eastAsia="zh-CN"/>
        </w:rPr>
        <w:t>收尘</w:t>
      </w:r>
      <w:r>
        <w:rPr>
          <w:rFonts w:hint="default" w:ascii="Times New Roman" w:hAnsi="Times New Roman" w:eastAsia="宋体" w:cs="Times New Roman"/>
          <w:color w:val="auto"/>
          <w:spacing w:val="0"/>
          <w:w w:val="100"/>
          <w:position w:val="0"/>
          <w:sz w:val="24"/>
          <w:szCs w:val="24"/>
        </w:rPr>
        <w:t>器，风量</w:t>
      </w:r>
      <w:r>
        <w:rPr>
          <w:rFonts w:hint="default" w:ascii="Times New Roman" w:hAnsi="Times New Roman"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000m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rPr>
        <w:t>/h，除尘效率&gt;99%，</w:t>
      </w:r>
      <w:r>
        <w:rPr>
          <w:rFonts w:hint="eastAsia" w:ascii="Times New Roman" w:hAnsi="Times New Roman" w:cs="Times New Roman"/>
          <w:color w:val="auto"/>
          <w:spacing w:val="0"/>
          <w:w w:val="100"/>
          <w:position w:val="0"/>
          <w:sz w:val="24"/>
          <w:szCs w:val="24"/>
          <w:lang w:val="en-US" w:eastAsia="zh-CN"/>
        </w:rPr>
        <w:t>捕集的粉尘就地回用于充填站作为原料。剩余粉尘排放量</w:t>
      </w:r>
      <w:r>
        <w:rPr>
          <w:rFonts w:hint="default" w:ascii="Times New Roman" w:hAnsi="Times New Roman" w:eastAsia="宋体" w:cs="Times New Roman"/>
          <w:color w:val="auto"/>
          <w:spacing w:val="0"/>
          <w:w w:val="100"/>
          <w:position w:val="0"/>
          <w:sz w:val="24"/>
          <w:szCs w:val="24"/>
        </w:rPr>
        <w:t>为</w:t>
      </w:r>
      <w:r>
        <w:rPr>
          <w:rFonts w:hint="default" w:ascii="Times New Roman" w:hAnsi="Times New Roman" w:cs="Times New Roman"/>
          <w:color w:val="auto"/>
          <w:spacing w:val="0"/>
          <w:w w:val="100"/>
          <w:position w:val="0"/>
          <w:sz w:val="24"/>
          <w:szCs w:val="24"/>
          <w:lang w:val="en-US" w:eastAsia="zh-CN"/>
        </w:rPr>
        <w:t>0.05</w:t>
      </w:r>
      <w:r>
        <w:rPr>
          <w:rFonts w:hint="eastAsia" w:ascii="Times New Roman" w:hAnsi="Times New Roman" w:cs="Times New Roman"/>
          <w:color w:val="auto"/>
          <w:spacing w:val="0"/>
          <w:w w:val="100"/>
          <w:position w:val="0"/>
          <w:sz w:val="24"/>
          <w:szCs w:val="24"/>
          <w:lang w:val="en-US" w:eastAsia="zh-CN"/>
        </w:rPr>
        <w:t>9</w:t>
      </w:r>
      <w:r>
        <w:rPr>
          <w:rFonts w:hint="default" w:ascii="Times New Roman" w:hAnsi="Times New Roman" w:eastAsia="宋体" w:cs="Times New Roman"/>
          <w:color w:val="auto"/>
          <w:spacing w:val="0"/>
          <w:w w:val="100"/>
          <w:position w:val="0"/>
          <w:sz w:val="24"/>
          <w:szCs w:val="24"/>
          <w:lang w:val="en-US" w:eastAsia="zh-CN"/>
        </w:rPr>
        <w:t>t/a，排放速率</w:t>
      </w:r>
      <w:r>
        <w:rPr>
          <w:rFonts w:hint="eastAsia" w:ascii="Times New Roman" w:hAnsi="Times New Roman" w:cs="Times New Roman"/>
          <w:color w:val="auto"/>
          <w:spacing w:val="0"/>
          <w:w w:val="100"/>
          <w:position w:val="0"/>
          <w:sz w:val="24"/>
          <w:szCs w:val="24"/>
          <w:lang w:val="en-US" w:eastAsia="zh-CN"/>
        </w:rPr>
        <w:t>0.03</w:t>
      </w:r>
      <w:r>
        <w:rPr>
          <w:rFonts w:hint="default" w:ascii="Times New Roman" w:hAnsi="Times New Roman" w:eastAsia="宋体" w:cs="Times New Roman"/>
          <w:color w:val="auto"/>
          <w:spacing w:val="0"/>
          <w:w w:val="100"/>
          <w:position w:val="0"/>
          <w:sz w:val="24"/>
          <w:szCs w:val="24"/>
          <w:lang w:val="en-US" w:eastAsia="zh-CN"/>
        </w:rPr>
        <w:t>kg/h</w:t>
      </w:r>
      <w:r>
        <w:rPr>
          <w:rFonts w:hint="eastAsia" w:ascii="Times New Roman" w:hAnsi="Times New Roman" w:cs="Times New Roman"/>
          <w:b w:val="0"/>
          <w:bCs w:val="0"/>
          <w:color w:val="auto"/>
          <w:spacing w:val="0"/>
          <w:w w:val="100"/>
          <w:position w:val="0"/>
          <w:sz w:val="24"/>
          <w:szCs w:val="24"/>
          <w:lang w:eastAsia="zh-CN"/>
        </w:rPr>
        <w:t>，</w:t>
      </w:r>
      <w:r>
        <w:rPr>
          <w:rFonts w:hint="eastAsia" w:ascii="Times New Roman" w:hAnsi="Times New Roman" w:cs="Times New Roman"/>
          <w:b w:val="0"/>
          <w:bCs w:val="0"/>
          <w:color w:val="auto"/>
          <w:spacing w:val="0"/>
          <w:w w:val="100"/>
          <w:position w:val="0"/>
          <w:sz w:val="24"/>
          <w:szCs w:val="24"/>
          <w:lang w:val="en-US" w:eastAsia="zh-CN"/>
        </w:rPr>
        <w:t>以无组织形式排放。</w:t>
      </w:r>
    </w:p>
    <w:p w14:paraId="747FF929">
      <w:pPr>
        <w:pStyle w:val="9"/>
        <w:keepNext w:val="0"/>
        <w:keepLines w:val="0"/>
        <w:pageBreakBefore w:val="0"/>
        <w:widowControl/>
        <w:numPr>
          <w:ilvl w:val="0"/>
          <w:numId w:val="0"/>
        </w:numPr>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（6）水泥筒仓粉尘</w:t>
      </w:r>
    </w:p>
    <w:p w14:paraId="1ADA7080">
      <w:pPr>
        <w:keepNext w:val="0"/>
        <w:keepLines w:val="0"/>
        <w:pageBreakBefore w:val="0"/>
        <w:kinsoku/>
        <w:wordWrap/>
        <w:overflowPunct w:val="0"/>
        <w:topLinePunct/>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color w:val="auto"/>
          <w:kern w:val="0"/>
          <w:sz w:val="24"/>
          <w:szCs w:val="28"/>
          <w:lang w:val="en-US" w:eastAsia="zh-CN"/>
        </w:rPr>
      </w:pPr>
      <w:r>
        <w:rPr>
          <w:rFonts w:hint="default" w:ascii="Times New Roman" w:hAnsi="Times New Roman" w:cs="Times New Roman"/>
          <w:color w:val="auto"/>
          <w:sz w:val="24"/>
          <w:szCs w:val="24"/>
          <w:lang w:val="en-US" w:eastAsia="zh-CN"/>
        </w:rPr>
        <w:t>充填站内设计布置1座水泥仓，水泥仓直径均为φ4.5m，圆筒段高18.6m，锥角60°。水泥仓有效容积160m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，可储存水泥约176.8t。水泥仓总计可存储约5d水泥消耗量。</w:t>
      </w:r>
      <w:r>
        <w:rPr>
          <w:rFonts w:hint="default" w:ascii="Times New Roman" w:hAnsi="Times New Roman" w:eastAsia="宋体" w:cs="Times New Roman"/>
          <w:b w:val="0"/>
          <w:color w:val="auto"/>
          <w:kern w:val="0"/>
          <w:sz w:val="24"/>
          <w:szCs w:val="28"/>
          <w:lang w:val="en-US" w:eastAsia="zh-CN"/>
        </w:rPr>
        <w:t>水泥由密闭罐车运输，采用全封闭式进料方式。筒仓仓顶设置1台</w:t>
      </w:r>
      <w:r>
        <w:rPr>
          <w:rFonts w:hint="default" w:ascii="Times New Roman" w:hAnsi="Times New Roman" w:cs="Times New Roman"/>
          <w:b w:val="0"/>
          <w:color w:val="auto"/>
          <w:kern w:val="0"/>
          <w:sz w:val="24"/>
          <w:szCs w:val="28"/>
          <w:lang w:val="en-US" w:eastAsia="zh-CN"/>
        </w:rPr>
        <w:t>仓顶</w:t>
      </w:r>
      <w:r>
        <w:rPr>
          <w:rFonts w:hint="default" w:ascii="Times New Roman" w:hAnsi="Times New Roman" w:eastAsia="宋体" w:cs="Times New Roman"/>
          <w:b w:val="0"/>
          <w:color w:val="auto"/>
          <w:kern w:val="0"/>
          <w:sz w:val="24"/>
          <w:szCs w:val="28"/>
          <w:lang w:val="en-US" w:eastAsia="zh-CN"/>
        </w:rPr>
        <w:t>脉冲布袋除尘器，处理效率大于99.</w:t>
      </w:r>
      <w:r>
        <w:rPr>
          <w:rFonts w:hint="default" w:ascii="Times New Roman" w:hAnsi="Times New Roman" w:cs="Times New Roman"/>
          <w:b w:val="0"/>
          <w:color w:val="auto"/>
          <w:kern w:val="0"/>
          <w:sz w:val="24"/>
          <w:szCs w:val="28"/>
          <w:lang w:val="en-US" w:eastAsia="zh-CN"/>
        </w:rPr>
        <w:t>7</w:t>
      </w:r>
      <w:r>
        <w:rPr>
          <w:rFonts w:hint="default" w:ascii="Times New Roman" w:hAnsi="Times New Roman" w:eastAsia="宋体" w:cs="Times New Roman"/>
          <w:b w:val="0"/>
          <w:color w:val="auto"/>
          <w:kern w:val="0"/>
          <w:sz w:val="24"/>
          <w:szCs w:val="28"/>
          <w:lang w:val="en-US" w:eastAsia="zh-CN"/>
        </w:rPr>
        <w:t>%。将除尘器收集的水泥灰直接落入水泥仓内，同时水泥仓与加料设备密封连接，避免粉尘外溢。</w:t>
      </w:r>
    </w:p>
    <w:p w14:paraId="12993226">
      <w:pPr>
        <w:keepNext w:val="0"/>
        <w:keepLines w:val="0"/>
        <w:pageBreakBefore w:val="0"/>
        <w:kinsoku/>
        <w:wordWrap/>
        <w:overflowPunct w:val="0"/>
        <w:topLinePunct/>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color w:val="auto"/>
          <w:kern w:val="0"/>
          <w:sz w:val="24"/>
          <w:szCs w:val="28"/>
          <w:lang w:val="en-US" w:eastAsia="zh-CN"/>
        </w:rPr>
      </w:pPr>
      <w:r>
        <w:rPr>
          <w:rFonts w:hint="default" w:ascii="Times New Roman" w:hAnsi="Times New Roman" w:eastAsia="宋体" w:cs="Times New Roman"/>
          <w:b w:val="0"/>
          <w:color w:val="auto"/>
          <w:kern w:val="0"/>
          <w:sz w:val="24"/>
          <w:szCs w:val="28"/>
          <w:lang w:val="en-US" w:eastAsia="zh-CN"/>
        </w:rPr>
        <w:t>进料时粉尘产生量参考《逸散性工业粉尘控制技术》“表22-1混凝土分批搅拌厂的散逸尘排放因子”中“卸水泥至高架贮仓”排污系数为0.12kg/t粉料，根据本项目可行性研究报告，水泥年消耗水泥量约</w:t>
      </w:r>
      <w:r>
        <w:rPr>
          <w:rFonts w:hint="default" w:ascii="Times New Roman" w:hAnsi="Times New Roman" w:cs="Times New Roman"/>
          <w:b w:val="0"/>
          <w:color w:val="auto"/>
          <w:kern w:val="0"/>
          <w:sz w:val="24"/>
          <w:szCs w:val="28"/>
          <w:lang w:val="en-US" w:eastAsia="zh-CN"/>
        </w:rPr>
        <w:t>8750</w:t>
      </w:r>
      <w:r>
        <w:rPr>
          <w:rFonts w:hint="default" w:ascii="Times New Roman" w:hAnsi="Times New Roman" w:eastAsia="宋体" w:cs="Times New Roman"/>
          <w:b w:val="0"/>
          <w:color w:val="auto"/>
          <w:kern w:val="0"/>
          <w:sz w:val="24"/>
          <w:szCs w:val="28"/>
          <w:lang w:val="en-US" w:eastAsia="zh-CN"/>
        </w:rPr>
        <w:t>t，预计每天运输一次水泥，装卸料工作时间按4h/d计算，则年卸料</w:t>
      </w:r>
      <w:r>
        <w:rPr>
          <w:rFonts w:hint="default" w:ascii="Times New Roman" w:hAnsi="Times New Roman" w:cs="Times New Roman"/>
          <w:b w:val="0"/>
          <w:color w:val="auto"/>
          <w:kern w:val="0"/>
          <w:sz w:val="24"/>
          <w:szCs w:val="28"/>
          <w:lang w:val="en-US" w:eastAsia="zh-CN"/>
        </w:rPr>
        <w:t>1000</w:t>
      </w:r>
      <w:r>
        <w:rPr>
          <w:rFonts w:hint="default" w:ascii="Times New Roman" w:hAnsi="Times New Roman" w:eastAsia="宋体" w:cs="Times New Roman"/>
          <w:b w:val="0"/>
          <w:color w:val="auto"/>
          <w:kern w:val="0"/>
          <w:sz w:val="24"/>
          <w:szCs w:val="28"/>
          <w:lang w:val="en-US" w:eastAsia="zh-CN"/>
        </w:rPr>
        <w:t>h，则装卸过程中颗粒物产生量为</w:t>
      </w:r>
      <w:r>
        <w:rPr>
          <w:rFonts w:hint="default" w:ascii="Times New Roman" w:hAnsi="Times New Roman" w:cs="Times New Roman"/>
          <w:b w:val="0"/>
          <w:color w:val="auto"/>
          <w:kern w:val="0"/>
          <w:sz w:val="24"/>
          <w:szCs w:val="28"/>
          <w:lang w:val="en-US" w:eastAsia="zh-CN"/>
        </w:rPr>
        <w:t>1.05</w:t>
      </w:r>
      <w:r>
        <w:rPr>
          <w:rFonts w:hint="default" w:ascii="Times New Roman" w:hAnsi="Times New Roman" w:eastAsia="宋体" w:cs="Times New Roman"/>
          <w:b w:val="0"/>
          <w:color w:val="auto"/>
          <w:kern w:val="0"/>
          <w:sz w:val="24"/>
          <w:szCs w:val="28"/>
          <w:lang w:val="en-US" w:eastAsia="zh-CN"/>
        </w:rPr>
        <w:t>t/a，粉尘的产生速率为</w:t>
      </w:r>
      <w:r>
        <w:rPr>
          <w:rFonts w:hint="default" w:ascii="Times New Roman" w:hAnsi="Times New Roman" w:cs="Times New Roman"/>
          <w:b w:val="0"/>
          <w:color w:val="auto"/>
          <w:kern w:val="0"/>
          <w:sz w:val="24"/>
          <w:szCs w:val="28"/>
          <w:lang w:val="en-US" w:eastAsia="zh-CN"/>
        </w:rPr>
        <w:t>1.05</w:t>
      </w:r>
      <w:r>
        <w:rPr>
          <w:rFonts w:hint="default" w:ascii="Times New Roman" w:hAnsi="Times New Roman" w:eastAsia="宋体" w:cs="Times New Roman"/>
          <w:b w:val="0"/>
          <w:color w:val="auto"/>
          <w:kern w:val="0"/>
          <w:sz w:val="24"/>
          <w:szCs w:val="28"/>
          <w:lang w:val="en-US" w:eastAsia="zh-CN"/>
        </w:rPr>
        <w:t>kg/h。水泥输送采用密闭螺旋机输送。</w:t>
      </w:r>
    </w:p>
    <w:p w14:paraId="45D1A7A3">
      <w:pPr>
        <w:keepNext w:val="0"/>
        <w:keepLines w:val="0"/>
        <w:pageBreakBefore w:val="0"/>
        <w:kinsoku/>
        <w:wordWrap/>
        <w:overflowPunct w:val="0"/>
        <w:topLinePunct/>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color w:val="auto"/>
          <w:kern w:val="0"/>
          <w:sz w:val="24"/>
          <w:szCs w:val="28"/>
          <w:lang w:val="en-US" w:eastAsia="zh-CN"/>
        </w:rPr>
      </w:pPr>
      <w:r>
        <w:rPr>
          <w:rFonts w:hint="default" w:ascii="Times New Roman" w:hAnsi="Times New Roman" w:eastAsia="宋体" w:cs="Times New Roman"/>
          <w:b w:val="0"/>
          <w:color w:val="auto"/>
          <w:kern w:val="0"/>
          <w:sz w:val="24"/>
          <w:szCs w:val="28"/>
          <w:lang w:val="en-US" w:eastAsia="zh-CN"/>
        </w:rPr>
        <w:t>经采取脉冲布袋除尘器治理后，水泥仓粉尘通过仓顶排气孔无组织排放，经计算，无组织排放量为0.0</w:t>
      </w:r>
      <w:r>
        <w:rPr>
          <w:rFonts w:hint="default" w:ascii="Times New Roman" w:hAnsi="Times New Roman" w:cs="Times New Roman"/>
          <w:b w:val="0"/>
          <w:color w:val="auto"/>
          <w:kern w:val="0"/>
          <w:sz w:val="24"/>
          <w:szCs w:val="28"/>
          <w:lang w:val="en-US" w:eastAsia="zh-CN"/>
        </w:rPr>
        <w:t>03</w:t>
      </w:r>
      <w:r>
        <w:rPr>
          <w:rFonts w:hint="default" w:ascii="Times New Roman" w:hAnsi="Times New Roman" w:eastAsia="宋体" w:cs="Times New Roman"/>
          <w:b w:val="0"/>
          <w:color w:val="auto"/>
          <w:kern w:val="0"/>
          <w:sz w:val="24"/>
          <w:szCs w:val="28"/>
          <w:lang w:val="en-US" w:eastAsia="zh-CN"/>
        </w:rPr>
        <w:t>t/a，排放速率为</w:t>
      </w:r>
      <w:r>
        <w:rPr>
          <w:rFonts w:hint="default" w:ascii="Times New Roman" w:hAnsi="Times New Roman" w:cs="Times New Roman"/>
          <w:b w:val="0"/>
          <w:color w:val="auto"/>
          <w:kern w:val="0"/>
          <w:sz w:val="24"/>
          <w:szCs w:val="28"/>
          <w:lang w:val="en-US" w:eastAsia="zh-CN"/>
        </w:rPr>
        <w:t>0.003</w:t>
      </w:r>
      <w:r>
        <w:rPr>
          <w:rFonts w:hint="default" w:ascii="Times New Roman" w:hAnsi="Times New Roman" w:eastAsia="宋体" w:cs="Times New Roman"/>
          <w:b w:val="0"/>
          <w:color w:val="auto"/>
          <w:kern w:val="0"/>
          <w:sz w:val="24"/>
          <w:szCs w:val="28"/>
          <w:lang w:val="en-US" w:eastAsia="zh-CN"/>
        </w:rPr>
        <w:t>kg/h。</w:t>
      </w:r>
    </w:p>
    <w:p w14:paraId="625B60CA">
      <w:pPr>
        <w:keepNext w:val="0"/>
        <w:keepLines w:val="0"/>
        <w:pageBreakBefore w:val="0"/>
        <w:kinsoku/>
        <w:wordWrap/>
        <w:overflowPunct w:val="0"/>
        <w:topLinePunct/>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color w:val="auto"/>
          <w:kern w:val="0"/>
          <w:sz w:val="24"/>
          <w:szCs w:val="28"/>
          <w:lang w:val="en-US" w:eastAsia="zh-CN"/>
        </w:rPr>
      </w:pPr>
      <w:r>
        <w:rPr>
          <w:rFonts w:hint="default" w:ascii="Times New Roman" w:hAnsi="Times New Roman" w:cs="Times New Roman"/>
          <w:b w:val="0"/>
          <w:color w:val="auto"/>
          <w:kern w:val="0"/>
          <w:sz w:val="24"/>
          <w:szCs w:val="28"/>
          <w:lang w:val="en-US" w:eastAsia="zh-CN"/>
        </w:rPr>
        <w:t>（7）</w:t>
      </w:r>
      <w:r>
        <w:rPr>
          <w:rFonts w:hint="default" w:ascii="Times New Roman" w:hAnsi="Times New Roman" w:eastAsia="宋体" w:cs="Times New Roman"/>
          <w:b w:val="0"/>
          <w:color w:val="auto"/>
          <w:kern w:val="0"/>
          <w:sz w:val="24"/>
          <w:szCs w:val="28"/>
          <w:lang w:val="en-US" w:eastAsia="zh-CN"/>
        </w:rPr>
        <w:t>充填站搅拌机进料粉尘</w:t>
      </w:r>
    </w:p>
    <w:p w14:paraId="1791CC20">
      <w:pPr>
        <w:keepNext w:val="0"/>
        <w:keepLines w:val="0"/>
        <w:pageBreakBefore w:val="0"/>
        <w:kinsoku/>
        <w:wordWrap/>
        <w:overflowPunct w:val="0"/>
        <w:topLinePunct/>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b w:val="0"/>
          <w:color w:val="auto"/>
          <w:kern w:val="0"/>
          <w:sz w:val="24"/>
          <w:szCs w:val="28"/>
          <w:lang w:val="en-US" w:eastAsia="zh-CN"/>
        </w:rPr>
      </w:pPr>
      <w:r>
        <w:rPr>
          <w:rFonts w:hint="default" w:ascii="Times New Roman" w:hAnsi="Times New Roman" w:cs="Times New Roman"/>
          <w:b w:val="0"/>
          <w:color w:val="auto"/>
          <w:kern w:val="0"/>
          <w:sz w:val="24"/>
          <w:szCs w:val="28"/>
          <w:lang w:val="en-US" w:eastAsia="zh-CN"/>
        </w:rPr>
        <w:t>原料</w:t>
      </w:r>
      <w:r>
        <w:rPr>
          <w:rFonts w:hint="default" w:ascii="Times New Roman" w:hAnsi="Times New Roman" w:eastAsia="宋体" w:cs="Times New Roman"/>
          <w:b w:val="0"/>
          <w:color w:val="auto"/>
          <w:kern w:val="0"/>
          <w:sz w:val="24"/>
          <w:szCs w:val="28"/>
          <w:lang w:val="en-US" w:eastAsia="zh-CN"/>
        </w:rPr>
        <w:t>通过密闭管道输送至搅拌机，水泥通过密闭螺旋管道输送进入搅拌机，水通过计量泵进入搅拌机。搅拌机内原料搅拌有水掺入，</w:t>
      </w:r>
      <w:r>
        <w:rPr>
          <w:rFonts w:hint="default" w:ascii="Times New Roman" w:hAnsi="Times New Roman" w:cs="Times New Roman"/>
          <w:b w:val="0"/>
          <w:color w:val="auto"/>
          <w:kern w:val="0"/>
          <w:sz w:val="24"/>
          <w:szCs w:val="28"/>
          <w:lang w:val="en-US" w:eastAsia="zh-CN"/>
        </w:rPr>
        <w:t>而且本项目充填搅拌系统位于井下，</w:t>
      </w:r>
      <w:r>
        <w:rPr>
          <w:rFonts w:hint="default" w:ascii="Times New Roman" w:hAnsi="Times New Roman" w:eastAsia="宋体" w:cs="Times New Roman"/>
          <w:b w:val="0"/>
          <w:color w:val="auto"/>
          <w:kern w:val="0"/>
          <w:sz w:val="24"/>
          <w:szCs w:val="28"/>
          <w:lang w:val="en-US" w:eastAsia="zh-CN"/>
        </w:rPr>
        <w:t>搅拌进料粉尘产生量极少。</w:t>
      </w:r>
    </w:p>
    <w:p w14:paraId="1CD551EB">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）柴油发电机废气</w:t>
      </w:r>
    </w:p>
    <w:p w14:paraId="09918753">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工程考虑一级负荷的供电需要，在新建井口建设柴油电站一座，根据一级负荷装机容量及满足提升机启动要求，柴油电站设计装机容量1500kW，设置1500kW高速柴油发电机组一套，作为备用电源。一年柴油发电机消耗柴油量约3t，发电机燃油采用含硫量不大于0.2%的优质0＃柴油。根据《环评工程师注册培训教材—社会区域》给出的计算参数：柴油发电机运行污染物排放系数为：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4g/L，烟尘0.714g/L，NOx2.56g/L。柴油燃烧废气产生量见表</w:t>
      </w:r>
      <w:r>
        <w:rPr>
          <w:rFonts w:hint="default" w:ascii="Times New Roman" w:hAnsi="Times New Roman" w:cs="Times New Roman"/>
          <w:color w:val="auto"/>
          <w:sz w:val="24"/>
          <w:szCs w:val="24"/>
          <w:highlight w:val="none"/>
          <w:lang w:val="en-US" w:eastAsia="zh-CN"/>
        </w:rPr>
        <w:t>3.3-13</w:t>
      </w:r>
      <w:r>
        <w:rPr>
          <w:rFonts w:hint="default" w:ascii="Times New Roman" w:hAnsi="Times New Roman" w:eastAsia="宋体" w:cs="Times New Roman"/>
          <w:color w:val="auto"/>
          <w:sz w:val="24"/>
          <w:szCs w:val="24"/>
          <w:highlight w:val="none"/>
        </w:rPr>
        <w:t>。</w:t>
      </w:r>
    </w:p>
    <w:p w14:paraId="6EA80C09">
      <w:pPr>
        <w:tabs>
          <w:tab w:val="left" w:pos="4095"/>
        </w:tabs>
        <w:spacing w:before="0" w:line="242" w:lineRule="exact"/>
        <w:ind w:left="0" w:leftChars="0" w:right="0" w:firstLine="0" w:firstLineChars="0"/>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表</w:t>
      </w:r>
      <w:r>
        <w:rPr>
          <w:rFonts w:hint="default" w:ascii="Times New Roman" w:hAnsi="Times New Roman" w:cs="Times New Roman"/>
          <w:b/>
          <w:color w:val="auto"/>
          <w:kern w:val="0"/>
          <w:sz w:val="21"/>
          <w:szCs w:val="21"/>
          <w:highlight w:val="none"/>
          <w:lang w:val="en-US" w:eastAsia="zh-CN" w:bidi="ar-SA"/>
        </w:rPr>
        <w:t>3.3-13</w:t>
      </w:r>
      <w:r>
        <w:rPr>
          <w:rFonts w:hint="default" w:ascii="Times New Roman" w:hAnsi="Times New Roman" w:eastAsia="宋体" w:cs="Times New Roman"/>
          <w:b/>
          <w:color w:val="auto"/>
          <w:kern w:val="0"/>
          <w:sz w:val="21"/>
          <w:szCs w:val="21"/>
          <w:highlight w:val="none"/>
          <w:lang w:val="en-US" w:eastAsia="zh-CN" w:bidi="ar-SA"/>
        </w:rPr>
        <w:t xml:space="preserve">   发电机燃油废气污染负荷表</w:t>
      </w:r>
    </w:p>
    <w:tbl>
      <w:tblPr>
        <w:tblStyle w:val="21"/>
        <w:tblW w:w="8330" w:type="dxa"/>
        <w:tblInd w:w="-17" w:type="dxa"/>
        <w:tblLayout w:type="fixed"/>
        <w:tblCellMar>
          <w:top w:w="0" w:type="dxa"/>
          <w:left w:w="0" w:type="dxa"/>
          <w:bottom w:w="0" w:type="dxa"/>
          <w:right w:w="0" w:type="dxa"/>
        </w:tblCellMar>
      </w:tblPr>
      <w:tblGrid>
        <w:gridCol w:w="2678"/>
        <w:gridCol w:w="1485"/>
        <w:gridCol w:w="2084"/>
        <w:gridCol w:w="2083"/>
      </w:tblGrid>
      <w:tr w14:paraId="13F30F6A">
        <w:tblPrEx>
          <w:tblCellMar>
            <w:top w:w="0" w:type="dxa"/>
            <w:left w:w="0" w:type="dxa"/>
            <w:bottom w:w="0" w:type="dxa"/>
            <w:right w:w="0" w:type="dxa"/>
          </w:tblCellMar>
        </w:tblPrEx>
        <w:trPr>
          <w:trHeight w:val="23" w:hRule="atLeast"/>
        </w:trPr>
        <w:tc>
          <w:tcPr>
            <w:tcW w:w="2678" w:type="dxa"/>
            <w:tcBorders>
              <w:top w:val="single" w:color="000000" w:sz="12" w:space="0"/>
              <w:left w:val="single" w:color="000000" w:sz="12" w:space="0"/>
              <w:bottom w:val="single" w:color="000000" w:sz="4" w:space="0"/>
              <w:right w:val="single" w:color="000000" w:sz="4" w:space="0"/>
            </w:tcBorders>
            <w:vAlign w:val="center"/>
          </w:tcPr>
          <w:p w14:paraId="311D56F7">
            <w:pPr>
              <w:pStyle w:val="32"/>
              <w:keepNext w:val="0"/>
              <w:keepLines w:val="0"/>
              <w:pageBreakBefore w:val="0"/>
              <w:widowControl w:val="0"/>
              <w:suppressLineNumbers w:val="0"/>
              <w:kinsoku/>
              <w:wordWrap/>
              <w:overflowPunct/>
              <w:topLinePunct w:val="0"/>
              <w:autoSpaceDE/>
              <w:autoSpaceDN/>
              <w:bidi w:val="0"/>
              <w:adjustRightInd/>
              <w:snapToGrid/>
              <w:spacing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1485" w:type="dxa"/>
            <w:tcBorders>
              <w:top w:val="single" w:color="000000" w:sz="12" w:space="0"/>
              <w:left w:val="single" w:color="000000" w:sz="4" w:space="0"/>
              <w:bottom w:val="single" w:color="000000" w:sz="4" w:space="0"/>
              <w:right w:val="single" w:color="000000" w:sz="4" w:space="0"/>
            </w:tcBorders>
            <w:vAlign w:val="center"/>
          </w:tcPr>
          <w:p w14:paraId="51DC26F5">
            <w:pPr>
              <w:pStyle w:val="32"/>
              <w:keepNext w:val="0"/>
              <w:keepLines w:val="0"/>
              <w:pageBreakBefore w:val="0"/>
              <w:widowControl w:val="0"/>
              <w:suppressLineNumbers w:val="0"/>
              <w:kinsoku/>
              <w:wordWrap/>
              <w:overflowPunct/>
              <w:topLinePunct w:val="0"/>
              <w:autoSpaceDE/>
              <w:autoSpaceDN/>
              <w:bidi w:val="0"/>
              <w:adjustRightInd/>
              <w:snapToGrid/>
              <w:spacing w:before="33"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2084" w:type="dxa"/>
            <w:tcBorders>
              <w:top w:val="single" w:color="000000" w:sz="12" w:space="0"/>
              <w:left w:val="single" w:color="000000" w:sz="4" w:space="0"/>
              <w:bottom w:val="single" w:color="000000" w:sz="4" w:space="0"/>
              <w:right w:val="single" w:color="000000" w:sz="4" w:space="0"/>
            </w:tcBorders>
            <w:vAlign w:val="center"/>
          </w:tcPr>
          <w:p w14:paraId="7770A8AF">
            <w:pPr>
              <w:pStyle w:val="32"/>
              <w:keepNext w:val="0"/>
              <w:keepLines w:val="0"/>
              <w:pageBreakBefore w:val="0"/>
              <w:widowControl w:val="0"/>
              <w:suppressLineNumbers w:val="0"/>
              <w:kinsoku/>
              <w:wordWrap/>
              <w:overflowPunct/>
              <w:topLinePunct w:val="0"/>
              <w:autoSpaceDE/>
              <w:autoSpaceDN/>
              <w:bidi w:val="0"/>
              <w:adjustRightInd/>
              <w:snapToGrid/>
              <w:spacing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烟尘</w:t>
            </w:r>
          </w:p>
        </w:tc>
        <w:tc>
          <w:tcPr>
            <w:tcW w:w="2083" w:type="dxa"/>
            <w:tcBorders>
              <w:top w:val="single" w:color="000000" w:sz="12" w:space="0"/>
              <w:left w:val="single" w:color="000000" w:sz="4" w:space="0"/>
              <w:bottom w:val="single" w:color="000000" w:sz="4" w:space="0"/>
              <w:right w:val="single" w:color="000000" w:sz="12" w:space="0"/>
            </w:tcBorders>
            <w:vAlign w:val="center"/>
          </w:tcPr>
          <w:p w14:paraId="6658718F">
            <w:pPr>
              <w:pStyle w:val="32"/>
              <w:keepNext w:val="0"/>
              <w:keepLines w:val="0"/>
              <w:pageBreakBefore w:val="0"/>
              <w:widowControl w:val="0"/>
              <w:suppressLineNumbers w:val="0"/>
              <w:kinsoku/>
              <w:wordWrap/>
              <w:overflowPunct/>
              <w:topLinePunct w:val="0"/>
              <w:autoSpaceDE/>
              <w:autoSpaceDN/>
              <w:bidi w:val="0"/>
              <w:adjustRightInd/>
              <w:snapToGrid/>
              <w:spacing w:before="37"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NOx</w:t>
            </w:r>
          </w:p>
        </w:tc>
      </w:tr>
      <w:tr w14:paraId="60D9DB7A">
        <w:tblPrEx>
          <w:tblCellMar>
            <w:top w:w="0" w:type="dxa"/>
            <w:left w:w="0" w:type="dxa"/>
            <w:bottom w:w="0" w:type="dxa"/>
            <w:right w:w="0" w:type="dxa"/>
          </w:tblCellMar>
        </w:tblPrEx>
        <w:trPr>
          <w:trHeight w:val="23" w:hRule="atLeast"/>
        </w:trPr>
        <w:tc>
          <w:tcPr>
            <w:tcW w:w="2678" w:type="dxa"/>
            <w:tcBorders>
              <w:top w:val="single" w:color="000000" w:sz="4" w:space="0"/>
              <w:left w:val="single" w:color="000000" w:sz="12" w:space="0"/>
              <w:bottom w:val="single" w:color="000000" w:sz="4" w:space="0"/>
              <w:right w:val="single" w:color="000000" w:sz="4" w:space="0"/>
            </w:tcBorders>
            <w:vAlign w:val="center"/>
          </w:tcPr>
          <w:p w14:paraId="4CAE62F8">
            <w:pPr>
              <w:pStyle w:val="32"/>
              <w:keepNext w:val="0"/>
              <w:keepLines w:val="0"/>
              <w:pageBreakBefore w:val="0"/>
              <w:widowControl w:val="0"/>
              <w:suppressLineNumbers w:val="0"/>
              <w:kinsoku/>
              <w:wordWrap/>
              <w:overflowPunct/>
              <w:topLinePunct w:val="0"/>
              <w:autoSpaceDE/>
              <w:autoSpaceDN/>
              <w:bidi w:val="0"/>
              <w:adjustRightInd/>
              <w:snapToGrid/>
              <w:spacing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污染物排放系数（g/L油）</w:t>
            </w:r>
          </w:p>
        </w:tc>
        <w:tc>
          <w:tcPr>
            <w:tcW w:w="1485" w:type="dxa"/>
            <w:tcBorders>
              <w:top w:val="single" w:color="000000" w:sz="4" w:space="0"/>
              <w:left w:val="single" w:color="000000" w:sz="4" w:space="0"/>
              <w:bottom w:val="single" w:color="000000" w:sz="4" w:space="0"/>
              <w:right w:val="single" w:color="000000" w:sz="4" w:space="0"/>
            </w:tcBorders>
            <w:vAlign w:val="center"/>
          </w:tcPr>
          <w:p w14:paraId="38C54EE8">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2084" w:type="dxa"/>
            <w:tcBorders>
              <w:top w:val="single" w:color="000000" w:sz="4" w:space="0"/>
              <w:left w:val="single" w:color="000000" w:sz="4" w:space="0"/>
              <w:bottom w:val="single" w:color="000000" w:sz="4" w:space="0"/>
              <w:right w:val="single" w:color="000000" w:sz="4" w:space="0"/>
            </w:tcBorders>
            <w:vAlign w:val="center"/>
          </w:tcPr>
          <w:p w14:paraId="3093839F">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0.714</w:t>
            </w:r>
          </w:p>
        </w:tc>
        <w:tc>
          <w:tcPr>
            <w:tcW w:w="2083" w:type="dxa"/>
            <w:tcBorders>
              <w:top w:val="single" w:color="000000" w:sz="4" w:space="0"/>
              <w:left w:val="single" w:color="000000" w:sz="4" w:space="0"/>
              <w:bottom w:val="single" w:color="000000" w:sz="4" w:space="0"/>
              <w:right w:val="single" w:color="000000" w:sz="12" w:space="0"/>
            </w:tcBorders>
            <w:vAlign w:val="center"/>
          </w:tcPr>
          <w:p w14:paraId="45C0524C">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2.56</w:t>
            </w:r>
          </w:p>
        </w:tc>
      </w:tr>
      <w:tr w14:paraId="750467A4">
        <w:tblPrEx>
          <w:tblCellMar>
            <w:top w:w="0" w:type="dxa"/>
            <w:left w:w="0" w:type="dxa"/>
            <w:bottom w:w="0" w:type="dxa"/>
            <w:right w:w="0" w:type="dxa"/>
          </w:tblCellMar>
        </w:tblPrEx>
        <w:trPr>
          <w:trHeight w:val="23" w:hRule="atLeast"/>
        </w:trPr>
        <w:tc>
          <w:tcPr>
            <w:tcW w:w="2678" w:type="dxa"/>
            <w:tcBorders>
              <w:top w:val="single" w:color="000000" w:sz="4" w:space="0"/>
              <w:left w:val="single" w:color="000000" w:sz="12" w:space="0"/>
              <w:bottom w:val="single" w:color="000000" w:sz="12" w:space="0"/>
              <w:right w:val="single" w:color="000000" w:sz="4" w:space="0"/>
            </w:tcBorders>
            <w:vAlign w:val="center"/>
          </w:tcPr>
          <w:p w14:paraId="34897919">
            <w:pPr>
              <w:pStyle w:val="32"/>
              <w:keepNext w:val="0"/>
              <w:keepLines w:val="0"/>
              <w:pageBreakBefore w:val="0"/>
              <w:widowControl w:val="0"/>
              <w:suppressLineNumbers w:val="0"/>
              <w:kinsoku/>
              <w:wordWrap/>
              <w:overflowPunct/>
              <w:topLinePunct w:val="0"/>
              <w:autoSpaceDE/>
              <w:autoSpaceDN/>
              <w:bidi w:val="0"/>
              <w:adjustRightInd/>
              <w:snapToGrid/>
              <w:spacing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年排放量（t/a）</w:t>
            </w:r>
          </w:p>
        </w:tc>
        <w:tc>
          <w:tcPr>
            <w:tcW w:w="1485" w:type="dxa"/>
            <w:tcBorders>
              <w:top w:val="single" w:color="000000" w:sz="4" w:space="0"/>
              <w:left w:val="single" w:color="000000" w:sz="4" w:space="0"/>
              <w:bottom w:val="single" w:color="000000" w:sz="12" w:space="0"/>
              <w:right w:val="single" w:color="000000" w:sz="4" w:space="0"/>
            </w:tcBorders>
            <w:vAlign w:val="center"/>
          </w:tcPr>
          <w:p w14:paraId="32B5E083">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0.01428</w:t>
            </w:r>
          </w:p>
        </w:tc>
        <w:tc>
          <w:tcPr>
            <w:tcW w:w="2084" w:type="dxa"/>
            <w:tcBorders>
              <w:top w:val="single" w:color="000000" w:sz="4" w:space="0"/>
              <w:left w:val="single" w:color="000000" w:sz="4" w:space="0"/>
              <w:bottom w:val="single" w:color="000000" w:sz="12" w:space="0"/>
              <w:right w:val="single" w:color="000000" w:sz="4" w:space="0"/>
            </w:tcBorders>
            <w:vAlign w:val="center"/>
          </w:tcPr>
          <w:p w14:paraId="21BAED7A">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0.0024</w:t>
            </w:r>
          </w:p>
        </w:tc>
        <w:tc>
          <w:tcPr>
            <w:tcW w:w="2083" w:type="dxa"/>
            <w:tcBorders>
              <w:top w:val="single" w:color="000000" w:sz="4" w:space="0"/>
              <w:left w:val="single" w:color="000000" w:sz="4" w:space="0"/>
              <w:bottom w:val="single" w:color="000000" w:sz="12" w:space="0"/>
              <w:right w:val="single" w:color="000000" w:sz="12" w:space="0"/>
            </w:tcBorders>
            <w:vAlign w:val="center"/>
          </w:tcPr>
          <w:p w14:paraId="76F3C51D">
            <w:pPr>
              <w:pStyle w:val="32"/>
              <w:keepNext w:val="0"/>
              <w:keepLines w:val="0"/>
              <w:pageBreakBefore w:val="0"/>
              <w:widowControl w:val="0"/>
              <w:suppressLineNumbers w:val="0"/>
              <w:kinsoku/>
              <w:wordWrap/>
              <w:overflowPunct/>
              <w:topLinePunct w:val="0"/>
              <w:autoSpaceDE/>
              <w:autoSpaceDN/>
              <w:bidi w:val="0"/>
              <w:adjustRightInd/>
              <w:snapToGrid/>
              <w:spacing w:before="35"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0.009</w:t>
            </w:r>
          </w:p>
        </w:tc>
      </w:tr>
    </w:tbl>
    <w:p w14:paraId="3E2FB659">
      <w:pPr>
        <w:pStyle w:val="12"/>
        <w:keepNext w:val="0"/>
        <w:keepLines w:val="0"/>
        <w:pageBreakBefore w:val="0"/>
        <w:widowControl w:val="0"/>
        <w:kinsoku/>
        <w:wordWrap/>
        <w:overflowPunct/>
        <w:topLinePunct w:val="0"/>
        <w:autoSpaceDE/>
        <w:autoSpaceDN/>
        <w:bidi w:val="0"/>
        <w:adjustRightInd/>
        <w:snapToGrid/>
        <w:spacing w:after="0" w:line="480" w:lineRule="exact"/>
        <w:ind w:lef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本项目柴油燃烧废气产生量很小，以无组织形式排放，而且露天环境面源排放有利于废气扩散，对区域环境空气质量影响较小。</w:t>
      </w:r>
    </w:p>
    <w:p w14:paraId="0FC5E063">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"3.3.8.2"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3.3.6.2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废水污染物</w:t>
      </w:r>
    </w:p>
    <w:p w14:paraId="648D8F6A">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项目废水主要为矿坑水（矿井涌水和井下作业废水）和生活污水。</w:t>
      </w:r>
    </w:p>
    <w:p w14:paraId="7F9F7058">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生产废水</w:t>
      </w:r>
    </w:p>
    <w:p w14:paraId="360C6477">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根据详查报告中的矿区水文地质资料，预计矿山正常涌水量井下排水量为</w:t>
      </w:r>
      <w:r>
        <w:rPr>
          <w:rFonts w:hint="default" w:ascii="Times New Roman" w:hAnsi="Times New Roman" w:cs="Times New Roman"/>
          <w:color w:val="auto"/>
          <w:sz w:val="24"/>
          <w:szCs w:val="24"/>
          <w:highlight w:val="none"/>
          <w:lang w:val="en-US" w:eastAsia="zh-CN"/>
        </w:rPr>
        <w:t>513</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/d，涌水无毒无害，悬浮物浓度一般为300～3000mg/l。矿坑涌水</w:t>
      </w:r>
      <w:r>
        <w:rPr>
          <w:rFonts w:hint="default" w:ascii="Times New Roman" w:hAnsi="Times New Roman" w:eastAsia="宋体" w:cs="Times New Roman"/>
          <w:color w:val="auto"/>
          <w:sz w:val="24"/>
          <w:szCs w:val="24"/>
          <w:highlight w:val="none"/>
          <w:shd w:val="clear" w:color="auto" w:fill="auto"/>
          <w:lang w:val="en-US" w:eastAsia="zh-CN"/>
        </w:rPr>
        <w:t>采用沉淀处理后，满足《污水综合排放标准》（GB8978-1996）表1第一类污染物最高允许排放浓度限值、</w:t>
      </w:r>
      <w:r>
        <w:rPr>
          <w:rFonts w:hint="default" w:ascii="Times New Roman" w:hAnsi="Times New Roman" w:eastAsia="宋体" w:cs="Times New Roman"/>
          <w:color w:val="auto"/>
          <w:kern w:val="0"/>
          <w:sz w:val="24"/>
          <w:szCs w:val="24"/>
          <w:highlight w:val="none"/>
          <w:lang w:val="en-US" w:eastAsia="zh-CN" w:bidi="ar-SA"/>
        </w:rPr>
        <w:t>《铜、镍、钴工业污染物排放标准》（GB25467-2010）</w:t>
      </w:r>
      <w:r>
        <w:rPr>
          <w:rFonts w:hint="default" w:ascii="Times New Roman" w:hAnsi="Times New Roman" w:eastAsia="宋体" w:cs="Times New Roman"/>
          <w:color w:val="auto"/>
          <w:sz w:val="24"/>
          <w:szCs w:val="24"/>
          <w:highlight w:val="none"/>
          <w:shd w:val="clear" w:color="auto" w:fill="auto"/>
          <w:lang w:val="en-US" w:eastAsia="zh-CN"/>
        </w:rPr>
        <w:t>新建企业水污染物排放浓度限值要求后，并且满足《城市污水再生利用 城市杂用水水质》（GB/T18920</w:t>
      </w:r>
      <w:r>
        <w:rPr>
          <w:rFonts w:hint="default" w:ascii="Times New Roman" w:hAnsi="Times New Roman" w:cs="Times New Roman"/>
          <w:color w:val="auto"/>
          <w:sz w:val="24"/>
          <w:szCs w:val="24"/>
          <w:highlight w:val="none"/>
          <w:shd w:val="clear" w:color="auto" w:fill="auto"/>
          <w:lang w:val="en-US" w:eastAsia="zh-CN"/>
        </w:rPr>
        <w:t>-2020</w:t>
      </w:r>
      <w:r>
        <w:rPr>
          <w:rFonts w:hint="default" w:ascii="Times New Roman" w:hAnsi="Times New Roman" w:eastAsia="宋体" w:cs="Times New Roman"/>
          <w:color w:val="auto"/>
          <w:sz w:val="24"/>
          <w:szCs w:val="24"/>
          <w:highlight w:val="none"/>
          <w:shd w:val="clear" w:color="auto" w:fill="auto"/>
          <w:lang w:val="en-US" w:eastAsia="zh-CN"/>
        </w:rPr>
        <w:t>）中杂用水质标准后，全部用于井下生产用水及降尘、地表绿化及降尘等，不外排</w:t>
      </w:r>
      <w:r>
        <w:rPr>
          <w:rFonts w:hint="default" w:ascii="Times New Roman" w:hAnsi="Times New Roman" w:eastAsia="宋体" w:cs="Times New Roman"/>
          <w:color w:val="auto"/>
          <w:sz w:val="24"/>
          <w:szCs w:val="24"/>
          <w:highlight w:val="none"/>
        </w:rPr>
        <w:t>。</w:t>
      </w:r>
    </w:p>
    <w:p w14:paraId="26DBE6E9">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生活污水</w:t>
      </w:r>
    </w:p>
    <w:p w14:paraId="43243EC3">
      <w:pPr>
        <w:keepNext w:val="0"/>
        <w:keepLines w:val="0"/>
        <w:pageBreakBefore w:val="0"/>
        <w:kinsoku/>
        <w:wordWrap/>
        <w:overflowPunct/>
        <w:topLinePunct w:val="0"/>
        <w:autoSpaceDE w:val="0"/>
        <w:autoSpaceDN w:val="0"/>
        <w:bidi w:val="0"/>
        <w:adjustRightInd w:val="0"/>
        <w:snapToGrid w:val="0"/>
        <w:spacing w:line="480" w:lineRule="exact"/>
        <w:ind w:left="0" w:leftChars="0" w:right="0" w:rightChars="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rPr>
        <w:t>矿区</w:t>
      </w:r>
      <w:r>
        <w:rPr>
          <w:rFonts w:hint="default" w:ascii="Times New Roman" w:hAnsi="Times New Roman" w:cs="Times New Roman"/>
          <w:color w:val="auto"/>
          <w:sz w:val="24"/>
          <w:highlight w:val="none"/>
          <w:lang w:val="en-US" w:eastAsia="zh-CN"/>
        </w:rPr>
        <w:t>劳动</w:t>
      </w:r>
      <w:r>
        <w:rPr>
          <w:rFonts w:hint="default" w:ascii="Times New Roman" w:hAnsi="Times New Roman" w:cs="Times New Roman"/>
          <w:color w:val="auto"/>
          <w:sz w:val="24"/>
          <w:highlight w:val="none"/>
        </w:rPr>
        <w:t>定员</w:t>
      </w:r>
      <w:r>
        <w:rPr>
          <w:rFonts w:hint="default" w:ascii="Times New Roman" w:hAnsi="Times New Roman" w:cs="Times New Roman"/>
          <w:color w:val="auto"/>
          <w:sz w:val="24"/>
          <w:highlight w:val="none"/>
          <w:lang w:val="en-US" w:eastAsia="zh-CN"/>
        </w:rPr>
        <w:t>196</w:t>
      </w:r>
      <w:r>
        <w:rPr>
          <w:rFonts w:hint="default" w:ascii="Times New Roman" w:hAnsi="Times New Roman" w:cs="Times New Roman"/>
          <w:color w:val="auto"/>
          <w:sz w:val="24"/>
          <w:highlight w:val="none"/>
        </w:rPr>
        <w:t>人，生活用水定额按《新疆</w:t>
      </w:r>
      <w:r>
        <w:rPr>
          <w:rFonts w:hint="default" w:ascii="Times New Roman" w:hAnsi="Times New Roman" w:cs="Times New Roman"/>
          <w:color w:val="auto"/>
          <w:sz w:val="24"/>
          <w:highlight w:val="none"/>
          <w:lang w:val="en-US" w:eastAsia="zh-CN"/>
        </w:rPr>
        <w:t>维吾尔自治区</w:t>
      </w:r>
      <w:r>
        <w:rPr>
          <w:rFonts w:hint="default" w:ascii="Times New Roman" w:hAnsi="Times New Roman" w:cs="Times New Roman"/>
          <w:color w:val="auto"/>
          <w:sz w:val="24"/>
          <w:highlight w:val="none"/>
        </w:rPr>
        <w:t>生活用水定额》中</w:t>
      </w:r>
      <w:r>
        <w:rPr>
          <w:rFonts w:hint="default" w:ascii="Times New Roman" w:hAnsi="Times New Roman" w:cs="Times New Roman"/>
          <w:color w:val="auto"/>
          <w:sz w:val="24"/>
          <w:highlight w:val="none"/>
          <w:lang w:val="en-US" w:eastAsia="zh-CN"/>
        </w:rPr>
        <w:t>东疆</w:t>
      </w:r>
      <w:r>
        <w:rPr>
          <w:rFonts w:hint="default" w:ascii="Times New Roman" w:hAnsi="Times New Roman" w:cs="Times New Roman"/>
          <w:color w:val="auto"/>
          <w:sz w:val="24"/>
          <w:highlight w:val="none"/>
        </w:rPr>
        <w:t>地区每人</w:t>
      </w:r>
      <w:r>
        <w:rPr>
          <w:rFonts w:hint="default" w:ascii="Times New Roman" w:hAnsi="Times New Roman" w:cs="Times New Roman"/>
          <w:color w:val="auto"/>
          <w:sz w:val="24"/>
          <w:highlight w:val="none"/>
          <w:lang w:val="en-US" w:eastAsia="zh-CN"/>
        </w:rPr>
        <w:t>80</w:t>
      </w:r>
      <w:r>
        <w:rPr>
          <w:rFonts w:hint="default" w:ascii="Times New Roman" w:hAnsi="Times New Roman" w:cs="Times New Roman"/>
          <w:color w:val="auto"/>
          <w:sz w:val="24"/>
          <w:highlight w:val="none"/>
        </w:rPr>
        <w:t>L/d·人计算，生活用水量每天预计为</w:t>
      </w:r>
      <w:r>
        <w:rPr>
          <w:rFonts w:hint="default" w:ascii="Times New Roman" w:hAnsi="Times New Roman" w:cs="Times New Roman"/>
          <w:color w:val="auto"/>
          <w:sz w:val="24"/>
          <w:highlight w:val="none"/>
          <w:lang w:val="en-US" w:eastAsia="zh-CN"/>
        </w:rPr>
        <w:t>15.68</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val="en-US" w:eastAsia="zh-CN"/>
        </w:rPr>
        <w:t>3920</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/a），污水按80%的排放量计，生活污水排放量为</w:t>
      </w:r>
      <w:r>
        <w:rPr>
          <w:rFonts w:hint="default" w:ascii="Times New Roman" w:hAnsi="Times New Roman" w:cs="Times New Roman"/>
          <w:color w:val="auto"/>
          <w:sz w:val="24"/>
          <w:highlight w:val="none"/>
          <w:lang w:val="en-US" w:eastAsia="zh-CN"/>
        </w:rPr>
        <w:t>12.54</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val="en-US" w:eastAsia="zh-CN"/>
        </w:rPr>
        <w:t>3136</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/a）。在生活区内修建</w:t>
      </w:r>
      <w:r>
        <w:rPr>
          <w:rFonts w:hint="default" w:ascii="Times New Roman" w:hAnsi="Times New Roman" w:cs="Times New Roman"/>
          <w:color w:val="auto"/>
          <w:sz w:val="24"/>
          <w:highlight w:val="none"/>
          <w:lang w:val="en-US" w:eastAsia="zh-CN"/>
        </w:rPr>
        <w:t>地埋式一体化污水处理设施</w:t>
      </w:r>
      <w:r>
        <w:rPr>
          <w:rFonts w:hint="default" w:ascii="Times New Roman" w:hAnsi="Times New Roman" w:cs="Times New Roman"/>
          <w:color w:val="auto"/>
          <w:sz w:val="24"/>
          <w:highlight w:val="none"/>
        </w:rPr>
        <w:t>，废水经处理达到</w:t>
      </w:r>
      <w:r>
        <w:rPr>
          <w:rFonts w:hint="default" w:ascii="Times New Roman" w:hAnsi="Times New Roman" w:cs="Times New Roman"/>
          <w:color w:val="auto"/>
          <w:sz w:val="24"/>
          <w:szCs w:val="24"/>
          <w:highlight w:val="none"/>
          <w:lang w:val="en-US" w:eastAsia="zh-CN"/>
        </w:rPr>
        <w:t>《农村生活污水处理排放标准》（DB65 4275-2019）A级标准和《城市污水再生利用 城市杂用水水质》（GB/T18920-2020）中绿化和道路清扫、消防水质标准后用于项目区绿化和矿区道路降尘洒水</w:t>
      </w:r>
      <w:r>
        <w:rPr>
          <w:rFonts w:hint="default" w:ascii="Times New Roman" w:hAnsi="Times New Roman" w:cs="Times New Roman"/>
          <w:color w:val="auto"/>
          <w:sz w:val="24"/>
        </w:rPr>
        <w:t>。</w:t>
      </w:r>
    </w:p>
    <w:p w14:paraId="76EDB468">
      <w:pPr>
        <w:keepNext w:val="0"/>
        <w:keepLines w:val="0"/>
        <w:pageBreakBefore w:val="0"/>
        <w:kinsoku/>
        <w:wordWrap/>
        <w:overflowPunct/>
        <w:topLinePunct w:val="0"/>
        <w:autoSpaceDE w:val="0"/>
        <w:autoSpaceDN w:val="0"/>
        <w:bidi w:val="0"/>
        <w:adjustRightInd w:val="0"/>
        <w:snapToGrid w:val="0"/>
        <w:spacing w:line="480" w:lineRule="exact"/>
        <w:ind w:left="0" w:leftChars="0" w:right="0" w:rightChars="0" w:firstLine="480" w:firstLineChars="200"/>
        <w:textAlignment w:val="auto"/>
        <w:rPr>
          <w:rFonts w:hint="default" w:ascii="Times New Roman" w:hAnsi="Times New Roman" w:eastAsia="黑体" w:cs="Times New Roman"/>
          <w:color w:val="auto"/>
          <w:sz w:val="24"/>
        </w:rPr>
      </w:pPr>
      <w:r>
        <w:rPr>
          <w:rFonts w:hint="default" w:ascii="Times New Roman" w:hAnsi="Times New Roman" w:cs="Times New Roman"/>
          <w:color w:val="auto"/>
          <w:sz w:val="24"/>
        </w:rPr>
        <w:t>本项目生活污水污染物产生量及排放情况详见表</w:t>
      </w:r>
      <w:r>
        <w:rPr>
          <w:rFonts w:hint="default" w:ascii="Times New Roman" w:hAnsi="Times New Roman" w:cs="Times New Roman"/>
          <w:color w:val="auto"/>
          <w:sz w:val="24"/>
          <w:lang w:val="en-US" w:eastAsia="zh-CN"/>
        </w:rPr>
        <w:t>3.3-14</w:t>
      </w:r>
      <w:r>
        <w:rPr>
          <w:rFonts w:hint="default" w:ascii="Times New Roman" w:hAnsi="Times New Roman" w:cs="Times New Roman"/>
          <w:color w:val="auto"/>
          <w:sz w:val="24"/>
        </w:rPr>
        <w:t>。</w:t>
      </w:r>
    </w:p>
    <w:p w14:paraId="6C7A193A">
      <w:pPr>
        <w:spacing w:line="240" w:lineRule="auto"/>
        <w:ind w:firstLine="2003" w:firstLineChars="950"/>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表</w:t>
      </w:r>
      <w:r>
        <w:rPr>
          <w:rFonts w:hint="default" w:ascii="Times New Roman" w:hAnsi="Times New Roman" w:cs="Times New Roman"/>
          <w:b/>
          <w:color w:val="auto"/>
          <w:kern w:val="0"/>
          <w:sz w:val="21"/>
          <w:szCs w:val="21"/>
          <w:highlight w:val="none"/>
          <w:lang w:val="en-US" w:eastAsia="zh-CN" w:bidi="ar-SA"/>
        </w:rPr>
        <w:t xml:space="preserve">3.3-14  </w:t>
      </w:r>
      <w:r>
        <w:rPr>
          <w:rFonts w:hint="default" w:ascii="Times New Roman" w:hAnsi="Times New Roman" w:eastAsia="宋体" w:cs="Times New Roman"/>
          <w:b/>
          <w:color w:val="auto"/>
          <w:kern w:val="0"/>
          <w:sz w:val="21"/>
          <w:szCs w:val="21"/>
          <w:highlight w:val="none"/>
          <w:lang w:val="en-US" w:eastAsia="zh-CN" w:bidi="ar-SA"/>
        </w:rPr>
        <w:t xml:space="preserve">   项目生活污水主要污染物及排放情况</w:t>
      </w:r>
    </w:p>
    <w:tbl>
      <w:tblPr>
        <w:tblStyle w:val="21"/>
        <w:tblW w:w="85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1448"/>
        <w:gridCol w:w="1562"/>
        <w:gridCol w:w="994"/>
        <w:gridCol w:w="1112"/>
        <w:gridCol w:w="1114"/>
        <w:gridCol w:w="1110"/>
      </w:tblGrid>
      <w:tr w14:paraId="47520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4" w:type="dxa"/>
            <w:gridSpan w:val="2"/>
            <w:tcBorders>
              <w:tl2br w:val="nil"/>
              <w:tr2bl w:val="nil"/>
            </w:tcBorders>
            <w:vAlign w:val="center"/>
          </w:tcPr>
          <w:p w14:paraId="00F43F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主要污染物</w:t>
            </w:r>
          </w:p>
        </w:tc>
        <w:tc>
          <w:tcPr>
            <w:tcW w:w="1562" w:type="dxa"/>
            <w:tcBorders>
              <w:tl2br w:val="nil"/>
              <w:tr2bl w:val="nil"/>
            </w:tcBorders>
            <w:vAlign w:val="center"/>
          </w:tcPr>
          <w:p w14:paraId="458A87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排水量</w:t>
            </w:r>
          </w:p>
        </w:tc>
        <w:tc>
          <w:tcPr>
            <w:tcW w:w="994" w:type="dxa"/>
            <w:tcBorders>
              <w:tl2br w:val="nil"/>
              <w:tr2bl w:val="nil"/>
            </w:tcBorders>
            <w:vAlign w:val="center"/>
          </w:tcPr>
          <w:p w14:paraId="50BE20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1112" w:type="dxa"/>
            <w:tcBorders>
              <w:tl2br w:val="nil"/>
              <w:tr2bl w:val="nil"/>
            </w:tcBorders>
            <w:vAlign w:val="center"/>
          </w:tcPr>
          <w:p w14:paraId="1D616E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CODcr</w:t>
            </w:r>
          </w:p>
        </w:tc>
        <w:tc>
          <w:tcPr>
            <w:tcW w:w="1114" w:type="dxa"/>
            <w:tcBorders>
              <w:tl2br w:val="nil"/>
              <w:tr2bl w:val="nil"/>
            </w:tcBorders>
            <w:vAlign w:val="center"/>
          </w:tcPr>
          <w:p w14:paraId="54BA7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1110" w:type="dxa"/>
            <w:tcBorders>
              <w:tl2br w:val="nil"/>
              <w:tr2bl w:val="nil"/>
            </w:tcBorders>
            <w:vAlign w:val="center"/>
          </w:tcPr>
          <w:p w14:paraId="61DBF4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p>
        </w:tc>
      </w:tr>
      <w:tr w14:paraId="693BCB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6" w:type="dxa"/>
            <w:vMerge w:val="restart"/>
            <w:tcBorders>
              <w:tl2br w:val="nil"/>
              <w:tr2bl w:val="nil"/>
            </w:tcBorders>
            <w:vAlign w:val="center"/>
          </w:tcPr>
          <w:p w14:paraId="201B2F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处理前</w:t>
            </w:r>
          </w:p>
        </w:tc>
        <w:tc>
          <w:tcPr>
            <w:tcW w:w="1448" w:type="dxa"/>
            <w:tcBorders>
              <w:tl2br w:val="nil"/>
              <w:tr2bl w:val="nil"/>
            </w:tcBorders>
            <w:vAlign w:val="center"/>
          </w:tcPr>
          <w:p w14:paraId="269178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浓度（mg/l）</w:t>
            </w:r>
          </w:p>
        </w:tc>
        <w:tc>
          <w:tcPr>
            <w:tcW w:w="1562" w:type="dxa"/>
            <w:vMerge w:val="restart"/>
            <w:tcBorders>
              <w:tl2br w:val="nil"/>
              <w:tr2bl w:val="nil"/>
            </w:tcBorders>
            <w:vAlign w:val="center"/>
          </w:tcPr>
          <w:p w14:paraId="38BB30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3136</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/a</w:t>
            </w:r>
          </w:p>
        </w:tc>
        <w:tc>
          <w:tcPr>
            <w:tcW w:w="994" w:type="dxa"/>
            <w:tcBorders>
              <w:tl2br w:val="nil"/>
              <w:tr2bl w:val="nil"/>
            </w:tcBorders>
            <w:vAlign w:val="center"/>
          </w:tcPr>
          <w:p w14:paraId="105A57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360</w:t>
            </w:r>
          </w:p>
        </w:tc>
        <w:tc>
          <w:tcPr>
            <w:tcW w:w="1112" w:type="dxa"/>
            <w:tcBorders>
              <w:tl2br w:val="nil"/>
              <w:tr2bl w:val="nil"/>
            </w:tcBorders>
            <w:vAlign w:val="center"/>
          </w:tcPr>
          <w:p w14:paraId="6A4610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320</w:t>
            </w:r>
          </w:p>
        </w:tc>
        <w:tc>
          <w:tcPr>
            <w:tcW w:w="1114" w:type="dxa"/>
            <w:tcBorders>
              <w:tl2br w:val="nil"/>
              <w:tr2bl w:val="nil"/>
            </w:tcBorders>
            <w:vAlign w:val="center"/>
          </w:tcPr>
          <w:p w14:paraId="14E559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220</w:t>
            </w:r>
          </w:p>
        </w:tc>
        <w:tc>
          <w:tcPr>
            <w:tcW w:w="1110" w:type="dxa"/>
            <w:tcBorders>
              <w:tl2br w:val="nil"/>
              <w:tr2bl w:val="nil"/>
            </w:tcBorders>
            <w:vAlign w:val="center"/>
          </w:tcPr>
          <w:p w14:paraId="2E1722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w:t>
            </w:r>
          </w:p>
        </w:tc>
      </w:tr>
      <w:tr w14:paraId="1ABEF1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6" w:type="dxa"/>
            <w:vMerge w:val="continue"/>
            <w:tcBorders>
              <w:tl2br w:val="nil"/>
              <w:tr2bl w:val="nil"/>
            </w:tcBorders>
            <w:vAlign w:val="center"/>
          </w:tcPr>
          <w:p w14:paraId="290FA9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448" w:type="dxa"/>
            <w:tcBorders>
              <w:tl2br w:val="nil"/>
              <w:tr2bl w:val="nil"/>
            </w:tcBorders>
            <w:vAlign w:val="center"/>
          </w:tcPr>
          <w:p w14:paraId="5FDA30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产生量（t/a）</w:t>
            </w:r>
          </w:p>
        </w:tc>
        <w:tc>
          <w:tcPr>
            <w:tcW w:w="1562" w:type="dxa"/>
            <w:vMerge w:val="continue"/>
            <w:tcBorders>
              <w:tl2br w:val="nil"/>
              <w:tr2bl w:val="nil"/>
            </w:tcBorders>
            <w:vAlign w:val="center"/>
          </w:tcPr>
          <w:p w14:paraId="17159B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superscript"/>
              </w:rPr>
            </w:pPr>
          </w:p>
        </w:tc>
        <w:tc>
          <w:tcPr>
            <w:tcW w:w="994" w:type="dxa"/>
            <w:tcBorders>
              <w:tl2br w:val="nil"/>
              <w:tr2bl w:val="nil"/>
            </w:tcBorders>
            <w:vAlign w:val="center"/>
          </w:tcPr>
          <w:p w14:paraId="0D3367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1.13</w:t>
            </w:r>
          </w:p>
        </w:tc>
        <w:tc>
          <w:tcPr>
            <w:tcW w:w="1112" w:type="dxa"/>
            <w:tcBorders>
              <w:tl2br w:val="nil"/>
              <w:tr2bl w:val="nil"/>
            </w:tcBorders>
            <w:vAlign w:val="center"/>
          </w:tcPr>
          <w:p w14:paraId="527E7F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1.00</w:t>
            </w:r>
          </w:p>
        </w:tc>
        <w:tc>
          <w:tcPr>
            <w:tcW w:w="1114" w:type="dxa"/>
            <w:tcBorders>
              <w:tl2br w:val="nil"/>
              <w:tr2bl w:val="nil"/>
            </w:tcBorders>
            <w:vAlign w:val="center"/>
          </w:tcPr>
          <w:p w14:paraId="364A07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0.69</w:t>
            </w:r>
          </w:p>
        </w:tc>
        <w:tc>
          <w:tcPr>
            <w:tcW w:w="1110" w:type="dxa"/>
            <w:tcBorders>
              <w:tl2br w:val="nil"/>
              <w:tr2bl w:val="nil"/>
            </w:tcBorders>
            <w:vAlign w:val="center"/>
          </w:tcPr>
          <w:p w14:paraId="0881AD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0.08</w:t>
            </w:r>
          </w:p>
        </w:tc>
      </w:tr>
      <w:tr w14:paraId="1CB2A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6" w:type="dxa"/>
            <w:vMerge w:val="restart"/>
            <w:tcBorders>
              <w:tl2br w:val="nil"/>
              <w:tr2bl w:val="nil"/>
            </w:tcBorders>
            <w:vAlign w:val="center"/>
          </w:tcPr>
          <w:p w14:paraId="29BB88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处理后</w:t>
            </w:r>
          </w:p>
        </w:tc>
        <w:tc>
          <w:tcPr>
            <w:tcW w:w="1448" w:type="dxa"/>
            <w:tcBorders>
              <w:tl2br w:val="nil"/>
              <w:tr2bl w:val="nil"/>
            </w:tcBorders>
            <w:vAlign w:val="center"/>
          </w:tcPr>
          <w:p w14:paraId="08C4CD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浓度（mg/l）</w:t>
            </w:r>
          </w:p>
        </w:tc>
        <w:tc>
          <w:tcPr>
            <w:tcW w:w="1562" w:type="dxa"/>
            <w:vMerge w:val="continue"/>
            <w:tcBorders>
              <w:tl2br w:val="nil"/>
              <w:tr2bl w:val="nil"/>
            </w:tcBorders>
            <w:vAlign w:val="center"/>
          </w:tcPr>
          <w:p w14:paraId="2488BA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superscript"/>
              </w:rPr>
            </w:pPr>
          </w:p>
        </w:tc>
        <w:tc>
          <w:tcPr>
            <w:tcW w:w="994" w:type="dxa"/>
            <w:tcBorders>
              <w:tl2br w:val="nil"/>
              <w:tr2bl w:val="nil"/>
            </w:tcBorders>
            <w:vAlign w:val="center"/>
          </w:tcPr>
          <w:p w14:paraId="719683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1112" w:type="dxa"/>
            <w:tcBorders>
              <w:tl2br w:val="nil"/>
              <w:tr2bl w:val="nil"/>
            </w:tcBorders>
            <w:vAlign w:val="center"/>
          </w:tcPr>
          <w:p w14:paraId="736750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150</w:t>
            </w:r>
          </w:p>
        </w:tc>
        <w:tc>
          <w:tcPr>
            <w:tcW w:w="1114" w:type="dxa"/>
            <w:tcBorders>
              <w:tl2br w:val="nil"/>
              <w:tr2bl w:val="nil"/>
            </w:tcBorders>
            <w:vAlign w:val="center"/>
          </w:tcPr>
          <w:p w14:paraId="1EFE56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w:t>
            </w:r>
          </w:p>
        </w:tc>
        <w:tc>
          <w:tcPr>
            <w:tcW w:w="1110" w:type="dxa"/>
            <w:tcBorders>
              <w:tl2br w:val="nil"/>
              <w:tr2bl w:val="nil"/>
            </w:tcBorders>
            <w:vAlign w:val="center"/>
          </w:tcPr>
          <w:p w14:paraId="1E3A9A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r>
      <w:tr w14:paraId="119043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6" w:type="dxa"/>
            <w:vMerge w:val="continue"/>
            <w:tcBorders>
              <w:tl2br w:val="nil"/>
              <w:tr2bl w:val="nil"/>
            </w:tcBorders>
            <w:vAlign w:val="center"/>
          </w:tcPr>
          <w:p w14:paraId="6BCBE5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1448" w:type="dxa"/>
            <w:tcBorders>
              <w:tl2br w:val="nil"/>
              <w:tr2bl w:val="nil"/>
            </w:tcBorders>
            <w:vAlign w:val="center"/>
          </w:tcPr>
          <w:p w14:paraId="2447C8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排放量（t/a）</w:t>
            </w:r>
          </w:p>
        </w:tc>
        <w:tc>
          <w:tcPr>
            <w:tcW w:w="1562" w:type="dxa"/>
            <w:vMerge w:val="continue"/>
            <w:tcBorders>
              <w:tl2br w:val="nil"/>
              <w:tr2bl w:val="nil"/>
            </w:tcBorders>
            <w:vAlign w:val="center"/>
          </w:tcPr>
          <w:p w14:paraId="4EC35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vertAlign w:val="superscript"/>
              </w:rPr>
            </w:pPr>
          </w:p>
        </w:tc>
        <w:tc>
          <w:tcPr>
            <w:tcW w:w="994" w:type="dxa"/>
            <w:tcBorders>
              <w:tl2br w:val="nil"/>
              <w:tr2bl w:val="nil"/>
            </w:tcBorders>
            <w:vAlign w:val="center"/>
          </w:tcPr>
          <w:p w14:paraId="683187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0.47</w:t>
            </w:r>
          </w:p>
        </w:tc>
        <w:tc>
          <w:tcPr>
            <w:tcW w:w="1112" w:type="dxa"/>
            <w:tcBorders>
              <w:tl2br w:val="nil"/>
              <w:tr2bl w:val="nil"/>
            </w:tcBorders>
            <w:vAlign w:val="center"/>
          </w:tcPr>
          <w:p w14:paraId="17E4A5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0.47</w:t>
            </w:r>
          </w:p>
        </w:tc>
        <w:tc>
          <w:tcPr>
            <w:tcW w:w="1114" w:type="dxa"/>
            <w:tcBorders>
              <w:tl2br w:val="nil"/>
              <w:tr2bl w:val="nil"/>
            </w:tcBorders>
            <w:vAlign w:val="center"/>
          </w:tcPr>
          <w:p w14:paraId="0CCA85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0.09</w:t>
            </w:r>
          </w:p>
        </w:tc>
        <w:tc>
          <w:tcPr>
            <w:tcW w:w="1110" w:type="dxa"/>
            <w:tcBorders>
              <w:tl2br w:val="nil"/>
              <w:tr2bl w:val="nil"/>
            </w:tcBorders>
            <w:vAlign w:val="center"/>
          </w:tcPr>
          <w:p w14:paraId="2D5B81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0.06</w:t>
            </w:r>
          </w:p>
        </w:tc>
      </w:tr>
    </w:tbl>
    <w:p w14:paraId="2C2D23E7">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（3）废石堆场淋溶水</w:t>
      </w:r>
    </w:p>
    <w:p w14:paraId="135966D5">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auto"/>
          <w:sz w:val="24"/>
        </w:rPr>
      </w:pPr>
      <w:r>
        <w:rPr>
          <w:rFonts w:hint="default" w:ascii="Times New Roman" w:hAnsi="Times New Roman" w:eastAsia="宋体" w:cs="Times New Roman"/>
          <w:color w:val="auto"/>
          <w:sz w:val="24"/>
          <w:szCs w:val="24"/>
          <w:highlight w:val="none"/>
          <w:lang w:val="en-US" w:eastAsia="zh-CN" w:bidi="ar"/>
        </w:rPr>
        <w:t>废石堆场淋溶水水质与废石成分、块度、堆存时间、堆存方式、气温和降雨量等因素有关，一般无废水产生，在降雨月份才有可能产生淋溶水。</w:t>
      </w:r>
      <w:r>
        <w:rPr>
          <w:rFonts w:hint="default" w:ascii="Times New Roman" w:hAnsi="Times New Roman" w:eastAsia="宋体" w:cs="Times New Roman"/>
          <w:color w:val="auto"/>
          <w:sz w:val="24"/>
        </w:rPr>
        <w:t>项目位</w:t>
      </w:r>
      <w:r>
        <w:rPr>
          <w:rFonts w:hint="default" w:ascii="Times New Roman" w:hAnsi="Times New Roman" w:cs="Times New Roman"/>
          <w:color w:val="auto"/>
          <w:sz w:val="24"/>
          <w:lang w:eastAsia="zh-CN"/>
        </w:rPr>
        <w:t>于</w:t>
      </w:r>
      <w:r>
        <w:rPr>
          <w:rFonts w:hint="default" w:ascii="Times New Roman" w:hAnsi="Times New Roman" w:eastAsia="宋体" w:cs="Times New Roman"/>
          <w:color w:val="auto"/>
          <w:spacing w:val="0"/>
          <w:w w:val="100"/>
          <w:position w:val="0"/>
          <w:sz w:val="24"/>
          <w:szCs w:val="24"/>
        </w:rPr>
        <w:t>哈密市东南直距180千米处</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szCs w:val="24"/>
          <w:highlight w:val="none"/>
          <w:lang w:val="en-US" w:eastAsia="zh-CN" w:bidi="ar"/>
        </w:rPr>
        <w:t>蒸发量较大，平均降水量远小于蒸发量，因此废石堆场产生淋溶废水的可能性很小。对照《危险废物鉴别标准 浸出毒性鉴别》（GB5085.3-2007）的鉴别标准进行判别，本工程矿区废石属于I类一般固体废物，淋溶水水质相对较好，且一般雨水不足以使废石中的元素浸出</w:t>
      </w:r>
      <w:r>
        <w:rPr>
          <w:rFonts w:hint="default" w:ascii="Times New Roman" w:hAnsi="Times New Roman" w:cs="Times New Roman"/>
          <w:color w:val="auto"/>
          <w:sz w:val="24"/>
          <w:szCs w:val="24"/>
          <w:highlight w:val="none"/>
          <w:lang w:val="en-US" w:eastAsia="zh-CN" w:bidi="ar"/>
        </w:rPr>
        <w:t>。评价要求</w:t>
      </w:r>
      <w:r>
        <w:rPr>
          <w:rFonts w:hint="default" w:ascii="Times New Roman" w:hAnsi="Times New Roman" w:cs="Times New Roman"/>
          <w:color w:val="auto"/>
          <w:sz w:val="24"/>
          <w:szCs w:val="24"/>
          <w:highlight w:val="none"/>
          <w:lang w:val="en-US" w:eastAsia="zh-CN"/>
        </w:rPr>
        <w:t>废石场坡底设1座</w:t>
      </w:r>
      <w:r>
        <w:rPr>
          <w:rFonts w:hint="default" w:ascii="Times New Roman" w:hAnsi="Times New Roman" w:eastAsia="宋体" w:cs="Times New Roman"/>
          <w:color w:val="auto"/>
          <w:sz w:val="24"/>
          <w:szCs w:val="24"/>
          <w:shd w:val="clear" w:color="auto" w:fill="auto"/>
          <w:lang w:val="en-US" w:eastAsia="zh-CN"/>
        </w:rPr>
        <w:t>50m</w:t>
      </w:r>
      <w:r>
        <w:rPr>
          <w:rFonts w:hint="default" w:ascii="Times New Roman" w:hAnsi="Times New Roman" w:eastAsia="宋体" w:cs="Times New Roman"/>
          <w:color w:val="auto"/>
          <w:sz w:val="24"/>
          <w:szCs w:val="24"/>
          <w:shd w:val="clear" w:color="auto" w:fill="auto"/>
          <w:vertAlign w:val="superscript"/>
          <w:lang w:val="en-US" w:eastAsia="zh-CN"/>
        </w:rPr>
        <w:t>3</w:t>
      </w:r>
      <w:r>
        <w:rPr>
          <w:rFonts w:hint="default" w:ascii="Times New Roman" w:hAnsi="Times New Roman" w:eastAsia="宋体" w:cs="Times New Roman"/>
          <w:color w:val="auto"/>
          <w:sz w:val="24"/>
          <w:szCs w:val="24"/>
          <w:shd w:val="clear" w:color="auto" w:fill="auto"/>
          <w:lang w:val="en-US" w:eastAsia="zh-CN"/>
        </w:rPr>
        <w:t>渗滤液收集池，用于收集可能产生的废石淋溶水，淋溶水通过水泵送入沉淀池澄清后用于场内运输道路除尘，自然蒸发损耗。</w:t>
      </w:r>
    </w:p>
    <w:p w14:paraId="579DF89E">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3.3.6.3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固体废物</w:t>
      </w:r>
    </w:p>
    <w:p w14:paraId="7B6DEA0D">
      <w:pPr>
        <w:keepNext w:val="0"/>
        <w:keepLines w:val="0"/>
        <w:pageBreakBefore w:val="0"/>
        <w:kinsoku/>
        <w:wordWrap/>
        <w:overflowPunct/>
        <w:topLinePunct w:val="0"/>
        <w:autoSpaceDE w:val="0"/>
        <w:autoSpaceDN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本项目所产生的固体废物主要是矿井废石、生活垃圾</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沉淀池底泥</w:t>
      </w:r>
      <w:r>
        <w:rPr>
          <w:rFonts w:hint="default" w:ascii="Times New Roman" w:hAnsi="Times New Roman" w:eastAsia="宋体" w:cs="Times New Roman"/>
          <w:color w:val="auto"/>
          <w:sz w:val="24"/>
        </w:rPr>
        <w:t>和废机油。</w:t>
      </w:r>
    </w:p>
    <w:p w14:paraId="05514C69">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（1）矿井废石</w:t>
      </w:r>
    </w:p>
    <w:p w14:paraId="121626EB">
      <w:pPr>
        <w:pStyle w:val="53"/>
        <w:keepNext w:val="0"/>
        <w:keepLines w:val="0"/>
        <w:pageBreakBefore w:val="0"/>
        <w:kinsoku/>
        <w:wordWrap/>
        <w:overflowPunct/>
        <w:topLinePunct w:val="0"/>
        <w:bidi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基建期废石产生量22.61</w:t>
      </w:r>
      <w:r>
        <w:rPr>
          <w:rFonts w:hint="default" w:ascii="Times New Roman" w:hAnsi="Times New Roman" w:eastAsia="宋体" w:cs="Times New Roman"/>
          <w:color w:val="auto"/>
          <w:sz w:val="24"/>
        </w:rPr>
        <w:t>万</w:t>
      </w:r>
      <w:r>
        <w:rPr>
          <w:rFonts w:hint="default" w:ascii="Times New Roman" w:hAnsi="Times New Roman" w:eastAsia="宋体" w:cs="Times New Roman"/>
          <w:color w:val="auto"/>
          <w:sz w:val="24"/>
          <w:lang w:val="en-US" w:eastAsia="zh-CN"/>
        </w:rPr>
        <w:t>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开采期</w:t>
      </w:r>
      <w:r>
        <w:rPr>
          <w:rFonts w:hint="default" w:ascii="Times New Roman" w:hAnsi="Times New Roman" w:cs="Times New Roman"/>
          <w:color w:val="auto"/>
          <w:sz w:val="24"/>
          <w:lang w:val="en-US" w:eastAsia="zh-CN"/>
        </w:rPr>
        <w:t>废石产生量2.37</w:t>
      </w:r>
      <w:r>
        <w:rPr>
          <w:rFonts w:hint="default" w:ascii="Times New Roman" w:hAnsi="Times New Roman" w:eastAsia="宋体" w:cs="Times New Roman"/>
          <w:color w:val="auto"/>
          <w:sz w:val="24"/>
        </w:rPr>
        <w:t>万</w:t>
      </w:r>
      <w:r>
        <w:rPr>
          <w:rFonts w:hint="default" w:ascii="Times New Roman" w:hAnsi="Times New Roman" w:eastAsia="宋体" w:cs="Times New Roman"/>
          <w:color w:val="auto"/>
          <w:sz w:val="24"/>
          <w:lang w:val="en-US" w:eastAsia="zh-CN"/>
        </w:rPr>
        <w:t>t/a，</w:t>
      </w:r>
      <w:r>
        <w:rPr>
          <w:rFonts w:hint="default" w:ascii="Times New Roman" w:hAnsi="Times New Roman" w:eastAsia="宋体" w:cs="Times New Roman"/>
          <w:color w:val="auto"/>
          <w:sz w:val="24"/>
        </w:rPr>
        <w:t>地下开采</w:t>
      </w:r>
      <w:r>
        <w:rPr>
          <w:rFonts w:hint="default" w:ascii="Times New Roman" w:hAnsi="Times New Roman" w:cs="Times New Roman"/>
          <w:color w:val="auto"/>
          <w:sz w:val="24"/>
          <w:lang w:val="en-US" w:eastAsia="zh-CN"/>
        </w:rPr>
        <w:t>服务年限内</w:t>
      </w:r>
      <w:r>
        <w:rPr>
          <w:rFonts w:hint="default" w:ascii="Times New Roman" w:hAnsi="Times New Roman" w:eastAsia="宋体" w:cs="Times New Roman"/>
          <w:color w:val="auto"/>
          <w:sz w:val="24"/>
        </w:rPr>
        <w:t>共产生废石量24.65万</w:t>
      </w:r>
      <w:r>
        <w:rPr>
          <w:rFonts w:hint="default" w:ascii="Times New Roman" w:hAnsi="Times New Roman" w:eastAsia="宋体" w:cs="Times New Roman"/>
          <w:color w:val="auto"/>
          <w:sz w:val="24"/>
          <w:lang w:val="en-US" w:eastAsia="zh-CN"/>
        </w:rPr>
        <w:t>t</w:t>
      </w:r>
      <w:r>
        <w:rPr>
          <w:rFonts w:hint="default" w:ascii="Times New Roman" w:hAnsi="Times New Roman" w:eastAsia="宋体" w:cs="Times New Roman"/>
          <w:color w:val="auto"/>
          <w:sz w:val="24"/>
        </w:rPr>
        <w:t>，废石密度为2.7</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因此</w:t>
      </w:r>
      <w:r>
        <w:rPr>
          <w:rFonts w:hint="default" w:ascii="Times New Roman" w:hAnsi="Times New Roman" w:eastAsia="宋体" w:cs="Times New Roman"/>
          <w:color w:val="auto"/>
          <w:sz w:val="24"/>
        </w:rPr>
        <w:t>产生废石量为9.13万m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（实方），考虑废石破碎后的松散系数，废石体积为14.61万m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default" w:ascii="Times New Roman" w:hAnsi="Times New Roman" w:cs="Times New Roman"/>
          <w:color w:val="auto"/>
          <w:sz w:val="24"/>
          <w:lang w:val="en-US" w:eastAsia="zh-CN"/>
        </w:rPr>
        <w:t>废石临时堆放于废石场，作为充填原料用于井下充填。</w:t>
      </w:r>
    </w:p>
    <w:p w14:paraId="4ED9D4CE">
      <w:pPr>
        <w:pStyle w:val="53"/>
        <w:keepNext w:val="0"/>
        <w:keepLines w:val="0"/>
        <w:pageBreakBefore w:val="0"/>
        <w:kinsoku/>
        <w:wordWrap/>
        <w:overflowPunct/>
        <w:topLinePunct w:val="0"/>
        <w:bidi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highlight w:val="none"/>
          <w:lang w:val="en-US" w:eastAsia="zh-CN"/>
        </w:rPr>
        <w:t>对照《危险废物鉴别标准 浸出毒性鉴别》（GB5085.3-2007）的鉴别标准进行分析判断废石的性质，对照《污水综合排放标准》（GB8978-1996）中最高允许排放浓度来确定固体废物类别，本项目矿山废石为I类工业固体废物。</w:t>
      </w:r>
    </w:p>
    <w:p w14:paraId="4F9120C4">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沉淀池底泥</w:t>
      </w:r>
    </w:p>
    <w:p w14:paraId="5EE2416C">
      <w:pPr>
        <w:pStyle w:val="11"/>
        <w:keepNext w:val="0"/>
        <w:keepLines w:val="0"/>
        <w:pageBreakBefore w:val="0"/>
        <w:widowControl w:val="0"/>
        <w:kinsoku/>
        <w:wordWrap/>
        <w:overflowPunct/>
        <w:topLinePunct w:val="0"/>
        <w:autoSpaceDE/>
        <w:autoSpaceDN/>
        <w:bidi w:val="0"/>
        <w:adjustRightInd/>
        <w:snapToGrid/>
        <w:spacing w:after="0"/>
        <w:ind w:left="0" w:leftChars="0" w:firstLine="480" w:firstLineChars="200"/>
        <w:textAlignment w:val="auto"/>
        <w:rPr>
          <w:rFonts w:hint="default" w:ascii="Times New Roman" w:hAnsi="Times New Roman" w:eastAsia="宋体" w:cs="Times New Roman"/>
          <w:color w:val="auto"/>
          <w:kern w:val="2"/>
          <w:sz w:val="24"/>
          <w:szCs w:val="22"/>
          <w:lang w:val="en-US" w:eastAsia="zh-CN" w:bidi="ar-SA"/>
        </w:rPr>
      </w:pPr>
      <w:r>
        <w:rPr>
          <w:rFonts w:hint="default" w:ascii="Times New Roman" w:hAnsi="Times New Roman" w:eastAsia="宋体" w:cs="Times New Roman"/>
          <w:color w:val="auto"/>
          <w:kern w:val="2"/>
          <w:sz w:val="24"/>
          <w:szCs w:val="22"/>
          <w:lang w:val="en-US" w:eastAsia="zh-CN" w:bidi="ar-SA"/>
        </w:rPr>
        <w:t>本项目矿井涌水经沉淀池处理，会定期产生底泥。</w:t>
      </w:r>
      <w:r>
        <w:rPr>
          <w:rFonts w:hint="default" w:ascii="Times New Roman" w:hAnsi="Times New Roman" w:eastAsia="宋体" w:cs="Times New Roman"/>
          <w:color w:val="auto"/>
          <w:sz w:val="24"/>
          <w:szCs w:val="24"/>
        </w:rPr>
        <w:t>沉淀池底泥主要污染物为SS</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主要为泥沙，</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，根据</w:t>
      </w:r>
      <w:r>
        <w:rPr>
          <w:rFonts w:hint="default" w:ascii="Times New Roman" w:hAnsi="Times New Roman" w:eastAsia="宋体" w:cs="Times New Roman"/>
          <w:color w:val="auto"/>
          <w:sz w:val="24"/>
          <w:szCs w:val="24"/>
          <w:lang w:val="en-US" w:eastAsia="zh-CN"/>
        </w:rPr>
        <w:t>类似矿山实际情况</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2"/>
          <w:sz w:val="24"/>
          <w:szCs w:val="22"/>
          <w:lang w:val="en-US" w:eastAsia="zh-CN" w:bidi="ar-SA"/>
        </w:rPr>
        <w:t>矿井涌水</w:t>
      </w:r>
      <w:r>
        <w:rPr>
          <w:rFonts w:hint="default" w:ascii="Times New Roman" w:hAnsi="Times New Roman" w:eastAsia="宋体" w:cs="Times New Roman"/>
          <w:color w:val="auto"/>
          <w:sz w:val="24"/>
          <w:szCs w:val="24"/>
          <w:lang w:val="en-US" w:eastAsia="zh-CN"/>
        </w:rPr>
        <w:t>SS浓度约500mg/L。因此</w:t>
      </w:r>
      <w:r>
        <w:rPr>
          <w:rFonts w:hint="default" w:ascii="Times New Roman" w:hAnsi="Times New Roman" w:eastAsia="宋体" w:cs="Times New Roman"/>
          <w:color w:val="auto"/>
          <w:sz w:val="24"/>
          <w:szCs w:val="24"/>
        </w:rPr>
        <w:t>沉淀池底泥（代码：081-999-61）产生量约</w:t>
      </w:r>
      <w:r>
        <w:rPr>
          <w:rFonts w:hint="default" w:ascii="Times New Roman" w:hAnsi="Times New Roman" w:cs="Times New Roman"/>
          <w:color w:val="auto"/>
          <w:sz w:val="24"/>
          <w:szCs w:val="24"/>
          <w:lang w:val="en-US" w:eastAsia="zh-CN"/>
        </w:rPr>
        <w:t>22.05t</w:t>
      </w: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属于I类一般固废，送至废石堆场</w:t>
      </w:r>
      <w:r>
        <w:rPr>
          <w:rFonts w:hint="default" w:ascii="Times New Roman" w:hAnsi="Times New Roman" w:eastAsia="宋体" w:cs="Times New Roman"/>
          <w:color w:val="auto"/>
          <w:sz w:val="24"/>
          <w:szCs w:val="24"/>
          <w:lang w:val="en-US" w:eastAsia="zh-CN"/>
        </w:rPr>
        <w:t>堆存</w:t>
      </w:r>
      <w:r>
        <w:rPr>
          <w:rFonts w:hint="default" w:ascii="Times New Roman" w:hAnsi="Times New Roman" w:eastAsia="宋体" w:cs="Times New Roman"/>
          <w:color w:val="auto"/>
          <w:sz w:val="24"/>
          <w:szCs w:val="24"/>
        </w:rPr>
        <w:t>，后期用于矿山土地复垦。</w:t>
      </w:r>
    </w:p>
    <w:p w14:paraId="09B21D72">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污水处理站污泥</w:t>
      </w:r>
    </w:p>
    <w:p w14:paraId="27C3135A">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rPr>
        <w:t>地埋式一体化污水处理设施沉淀时间为1.5h，含水率为90%，产生污泥量为70g/d·人，</w:t>
      </w:r>
      <w:r>
        <w:rPr>
          <w:rFonts w:hint="default" w:ascii="Times New Roman" w:hAnsi="Times New Roman" w:eastAsia="宋体" w:cs="Times New Roman"/>
          <w:color w:val="auto"/>
          <w:sz w:val="24"/>
          <w:szCs w:val="24"/>
          <w:lang w:val="en-US" w:eastAsia="zh-Hans"/>
        </w:rPr>
        <w:t>则地下开采期</w:t>
      </w:r>
      <w:r>
        <w:rPr>
          <w:rFonts w:hint="default" w:ascii="Times New Roman" w:hAnsi="Times New Roman" w:eastAsia="宋体" w:cs="Times New Roman"/>
          <w:color w:val="auto"/>
          <w:sz w:val="24"/>
          <w:szCs w:val="24"/>
        </w:rPr>
        <w:t>污泥产生量为</w:t>
      </w:r>
      <w:r>
        <w:rPr>
          <w:rFonts w:hint="default" w:ascii="Times New Roman" w:hAnsi="Times New Roman" w:cs="Times New Roman"/>
          <w:color w:val="auto"/>
          <w:sz w:val="24"/>
          <w:szCs w:val="24"/>
          <w:lang w:val="en-US" w:eastAsia="zh-CN"/>
        </w:rPr>
        <w:t>3.43</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val="en-US" w:eastAsia="zh-CN"/>
        </w:rPr>
        <w:t>集中收集定期送运往星星峡镇垃圾填埋场处理。</w:t>
      </w:r>
    </w:p>
    <w:p w14:paraId="39128C2D">
      <w:pPr>
        <w:pStyle w:val="10"/>
        <w:keepNext w:val="0"/>
        <w:keepLines w:val="0"/>
        <w:pageBreakBefore w:val="0"/>
        <w:widowControl/>
        <w:numPr>
          <w:ilvl w:val="0"/>
          <w:numId w:val="2"/>
        </w:numPr>
        <w:kinsoku/>
        <w:wordWrap/>
        <w:overflowPunct/>
        <w:topLinePunct w:val="0"/>
        <w:autoSpaceDE/>
        <w:autoSpaceDN/>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除尘灰</w:t>
      </w:r>
    </w:p>
    <w:p w14:paraId="2BB511BB">
      <w:pPr>
        <w:pStyle w:val="11"/>
        <w:keepNext w:val="0"/>
        <w:keepLines w:val="0"/>
        <w:pageBreakBefore w:val="0"/>
        <w:widowControl/>
        <w:numPr>
          <w:ilvl w:val="0"/>
          <w:numId w:val="0"/>
        </w:numPr>
        <w:kinsoku/>
        <w:wordWrap/>
        <w:overflowPunct/>
        <w:topLinePunct w:val="0"/>
        <w:autoSpaceDE/>
        <w:autoSpaceDN/>
        <w:bidi w:val="0"/>
        <w:spacing w:after="0"/>
        <w:ind w:leftChars="0"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破碎工段除尘器收集的除尘灰产生量5.28t/a，收集后回用于充填工艺。</w:t>
      </w:r>
    </w:p>
    <w:p w14:paraId="03437011">
      <w:pPr>
        <w:pStyle w:val="10"/>
        <w:keepNext w:val="0"/>
        <w:keepLines w:val="0"/>
        <w:pageBreakBefore w:val="0"/>
        <w:numPr>
          <w:ilvl w:val="0"/>
          <w:numId w:val="2"/>
        </w:numPr>
        <w:kinsoku/>
        <w:wordWrap/>
        <w:overflowPunct/>
        <w:topLinePunct w:val="0"/>
        <w:bidi w:val="0"/>
        <w:adjustRightInd w:val="0"/>
        <w:snapToGrid w:val="0"/>
        <w:spacing w:line="480" w:lineRule="exact"/>
        <w:ind w:left="0" w:leftChars="0" w:right="0" w:rightChars="0" w:firstLine="480" w:firstLineChars="200"/>
        <w:textAlignment w:val="auto"/>
        <w:outlineLvl w:val="9"/>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废布袋</w:t>
      </w:r>
    </w:p>
    <w:p w14:paraId="456BFC0D">
      <w:pPr>
        <w:pStyle w:val="11"/>
        <w:keepNext w:val="0"/>
        <w:keepLines w:val="0"/>
        <w:pageBreakBefore w:val="0"/>
        <w:numPr>
          <w:ilvl w:val="0"/>
          <w:numId w:val="0"/>
        </w:numPr>
        <w:kinsoku/>
        <w:wordWrap/>
        <w:overflowPunct/>
        <w:topLinePunct w:val="0"/>
        <w:bidi w:val="0"/>
        <w:spacing w:after="0"/>
        <w:ind w:leftChars="0"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废布袋产生量约0.05t/a，由原厂家回收处置。</w:t>
      </w:r>
    </w:p>
    <w:p w14:paraId="624A8914">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）生活垃圾</w:t>
      </w:r>
    </w:p>
    <w:p w14:paraId="1AF465E1">
      <w:pPr>
        <w:pStyle w:val="53"/>
        <w:keepNext w:val="0"/>
        <w:keepLines w:val="0"/>
        <w:pageBreakBefore w:val="0"/>
        <w:kinsoku/>
        <w:wordWrap/>
        <w:overflowPunct/>
        <w:topLinePunct w:val="0"/>
        <w:bidi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生活垃圾的产生量按0.5kg/d·人计，矿区劳动定员为</w:t>
      </w:r>
      <w:r>
        <w:rPr>
          <w:rFonts w:hint="default" w:ascii="Times New Roman" w:hAnsi="Times New Roman" w:cs="Times New Roman"/>
          <w:color w:val="auto"/>
          <w:sz w:val="24"/>
          <w:lang w:val="en-US" w:eastAsia="zh-CN"/>
        </w:rPr>
        <w:t>196</w:t>
      </w:r>
      <w:r>
        <w:rPr>
          <w:rFonts w:hint="default" w:ascii="Times New Roman" w:hAnsi="Times New Roman" w:eastAsia="宋体" w:cs="Times New Roman"/>
          <w:color w:val="auto"/>
          <w:sz w:val="24"/>
        </w:rPr>
        <w:t>人，则生活垃圾产生量约为</w:t>
      </w:r>
      <w:r>
        <w:rPr>
          <w:rFonts w:hint="default" w:ascii="Times New Roman" w:hAnsi="Times New Roman" w:cs="Times New Roman"/>
          <w:color w:val="auto"/>
          <w:sz w:val="24"/>
          <w:lang w:val="en-US" w:eastAsia="zh-CN"/>
        </w:rPr>
        <w:t>0.098</w:t>
      </w:r>
      <w:r>
        <w:rPr>
          <w:rFonts w:hint="default" w:ascii="Times New Roman" w:hAnsi="Times New Roman" w:eastAsia="宋体" w:cs="Times New Roman"/>
          <w:color w:val="auto"/>
          <w:sz w:val="24"/>
        </w:rPr>
        <w:t>t/d（</w:t>
      </w:r>
      <w:r>
        <w:rPr>
          <w:rFonts w:hint="default" w:ascii="Times New Roman" w:hAnsi="Times New Roman" w:cs="Times New Roman"/>
          <w:color w:val="auto"/>
          <w:sz w:val="24"/>
          <w:lang w:val="en-US" w:eastAsia="zh-CN"/>
        </w:rPr>
        <w:t>24.5</w:t>
      </w:r>
      <w:r>
        <w:rPr>
          <w:rFonts w:hint="default" w:ascii="Times New Roman" w:hAnsi="Times New Roman" w:eastAsia="宋体" w:cs="Times New Roman"/>
          <w:color w:val="auto"/>
          <w:sz w:val="24"/>
        </w:rPr>
        <w:t>t/a）</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集中收集</w:t>
      </w:r>
      <w:r>
        <w:rPr>
          <w:rFonts w:hint="default" w:ascii="Times New Roman" w:hAnsi="Times New Roman" w:eastAsia="宋体" w:cs="Times New Roman"/>
          <w:color w:val="auto"/>
          <w:sz w:val="24"/>
          <w:szCs w:val="24"/>
          <w:lang w:val="en-US" w:eastAsia="zh-CN"/>
        </w:rPr>
        <w:t>定期送运往星星峡镇垃圾填埋场处理</w:t>
      </w:r>
      <w:r>
        <w:rPr>
          <w:rFonts w:hint="default" w:ascii="Times New Roman" w:hAnsi="Times New Roman" w:cs="Times New Roman"/>
          <w:color w:val="auto"/>
          <w:sz w:val="24"/>
          <w:lang w:val="en-US" w:eastAsia="zh-CN"/>
        </w:rPr>
        <w:t>。</w:t>
      </w:r>
    </w:p>
    <w:p w14:paraId="119A175E">
      <w:pPr>
        <w:pStyle w:val="10"/>
        <w:keepNext w:val="0"/>
        <w:keepLines w:val="0"/>
        <w:pageBreakBefore w:val="0"/>
        <w:kinsoku/>
        <w:wordWrap/>
        <w:overflowPunct/>
        <w:topLinePunct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危险废物</w:t>
      </w:r>
    </w:p>
    <w:p w14:paraId="2B50EA34">
      <w:pPr>
        <w:keepNext w:val="0"/>
        <w:keepLines w:val="0"/>
        <w:pageBreakBefore w:val="0"/>
        <w:widowControl w:val="0"/>
        <w:kinsoku/>
        <w:wordWrap/>
        <w:overflowPunct/>
        <w:topLinePunct w:val="0"/>
        <w:autoSpaceDE/>
        <w:autoSpaceDN/>
        <w:bidi w:val="0"/>
        <w:adjustRightInd/>
        <w:snapToGrid/>
        <w:ind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机械设备维修过程和设备润滑油更换过程中将产生</w:t>
      </w:r>
      <w:r>
        <w:rPr>
          <w:rFonts w:hint="default" w:ascii="Times New Roman" w:hAnsi="Times New Roman" w:eastAsia="宋体" w:cs="Times New Roman"/>
          <w:color w:val="auto"/>
          <w:sz w:val="24"/>
          <w:szCs w:val="24"/>
          <w:highlight w:val="none"/>
          <w:lang w:val="en-US" w:eastAsia="zh-CN"/>
        </w:rPr>
        <w:t>废机油</w:t>
      </w:r>
      <w:r>
        <w:rPr>
          <w:rFonts w:hint="default" w:ascii="Times New Roman" w:hAnsi="Times New Roman" w:eastAsia="宋体" w:cs="Times New Roman"/>
          <w:color w:val="auto"/>
          <w:sz w:val="24"/>
          <w:szCs w:val="24"/>
          <w:highlight w:val="none"/>
        </w:rPr>
        <w:t>（HW08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900-21</w:t>
      </w:r>
      <w:r>
        <w:rPr>
          <w:rFonts w:hint="default"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-08）</w:t>
      </w:r>
      <w:r>
        <w:rPr>
          <w:rFonts w:hint="default" w:ascii="Times New Roman" w:hAnsi="Times New Roman" w:eastAsia="宋体" w:cs="Times New Roman"/>
          <w:color w:val="auto"/>
          <w:sz w:val="24"/>
          <w:szCs w:val="24"/>
          <w:highlight w:val="none"/>
          <w:lang w:val="en-US" w:eastAsia="zh-CN"/>
        </w:rPr>
        <w:t>、废</w:t>
      </w:r>
      <w:r>
        <w:rPr>
          <w:rFonts w:hint="default" w:ascii="Times New Roman" w:hAnsi="Times New Roman" w:cs="Times New Roman"/>
          <w:color w:val="auto"/>
          <w:sz w:val="24"/>
          <w:szCs w:val="24"/>
          <w:highlight w:val="none"/>
          <w:lang w:val="en-US" w:eastAsia="zh-CN"/>
        </w:rPr>
        <w:t>油桶</w:t>
      </w:r>
      <w:r>
        <w:rPr>
          <w:rFonts w:hint="default" w:ascii="Times New Roman" w:hAnsi="Times New Roman" w:eastAsia="宋体" w:cs="Times New Roman"/>
          <w:color w:val="auto"/>
          <w:sz w:val="24"/>
          <w:szCs w:val="24"/>
          <w:highlight w:val="none"/>
        </w:rPr>
        <w:t>（HW08</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900-2</w:t>
      </w:r>
      <w:r>
        <w:rPr>
          <w:rFonts w:hint="default" w:ascii="Times New Roman" w:hAnsi="Times New Roman" w:cs="Times New Roman"/>
          <w:color w:val="auto"/>
          <w:sz w:val="24"/>
          <w:szCs w:val="24"/>
          <w:highlight w:val="none"/>
          <w:lang w:val="en-US" w:eastAsia="zh-CN"/>
        </w:rPr>
        <w:t>49</w:t>
      </w:r>
      <w:r>
        <w:rPr>
          <w:rFonts w:hint="default" w:ascii="Times New Roman" w:hAnsi="Times New Roman" w:eastAsia="宋体" w:cs="Times New Roman"/>
          <w:color w:val="auto"/>
          <w:sz w:val="24"/>
          <w:szCs w:val="24"/>
          <w:highlight w:val="none"/>
        </w:rPr>
        <w:t>-08），属于危险废物，</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lang w:val="en-US" w:eastAsia="zh-CN"/>
        </w:rPr>
        <w:t>机</w:t>
      </w:r>
      <w:r>
        <w:rPr>
          <w:rFonts w:hint="default" w:ascii="Times New Roman" w:hAnsi="Times New Roman" w:cs="Times New Roman"/>
          <w:color w:val="auto"/>
          <w:sz w:val="24"/>
          <w:szCs w:val="24"/>
          <w:highlight w:val="none"/>
          <w:lang w:eastAsia="zh-CN"/>
        </w:rPr>
        <w:t>油</w:t>
      </w:r>
      <w:r>
        <w:rPr>
          <w:rFonts w:hint="default" w:ascii="Times New Roman" w:hAnsi="Times New Roman" w:cs="Times New Roman"/>
          <w:color w:val="auto"/>
          <w:sz w:val="24"/>
          <w:szCs w:val="24"/>
          <w:highlight w:val="none"/>
          <w:lang w:val="en-US" w:eastAsia="zh-CN"/>
        </w:rPr>
        <w:t>产生量约为2.5</w:t>
      </w:r>
      <w:r>
        <w:rPr>
          <w:rFonts w:hint="default" w:ascii="Times New Roman" w:hAnsi="Times New Roman" w:eastAsia="宋体" w:cs="Times New Roman"/>
          <w:color w:val="auto"/>
          <w:sz w:val="24"/>
          <w:szCs w:val="24"/>
          <w:highlight w:val="none"/>
        </w:rPr>
        <w:t>t/a</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废油桶产生量约为0.5</w:t>
      </w:r>
      <w:r>
        <w:rPr>
          <w:rFonts w:hint="default" w:ascii="Times New Roman" w:hAnsi="Times New Roman" w:eastAsia="宋体" w:cs="Times New Roman"/>
          <w:color w:val="auto"/>
          <w:sz w:val="24"/>
          <w:szCs w:val="24"/>
          <w:highlight w:val="none"/>
        </w:rPr>
        <w:t>t/a。</w:t>
      </w:r>
      <w:r>
        <w:rPr>
          <w:rFonts w:hint="default" w:ascii="Times New Roman" w:hAnsi="Times New Roman" w:cs="Times New Roman"/>
          <w:color w:val="auto"/>
          <w:sz w:val="24"/>
          <w:szCs w:val="24"/>
          <w:highlight w:val="none"/>
          <w:lang w:val="en-US" w:eastAsia="zh-CN"/>
        </w:rPr>
        <w:t>危险废物分类</w:t>
      </w:r>
      <w:r>
        <w:rPr>
          <w:rFonts w:hint="default" w:ascii="Times New Roman" w:hAnsi="Times New Roman" w:eastAsia="宋体" w:cs="Times New Roman"/>
          <w:color w:val="auto"/>
          <w:sz w:val="24"/>
          <w:szCs w:val="24"/>
          <w:highlight w:val="none"/>
          <w:lang w:val="en-US" w:eastAsia="zh-CN"/>
        </w:rPr>
        <w:t>暂存于危废</w:t>
      </w:r>
      <w:r>
        <w:rPr>
          <w:rFonts w:hint="default" w:ascii="Times New Roman" w:hAnsi="Times New Roman" w:cs="Times New Roman"/>
          <w:color w:val="auto"/>
          <w:sz w:val="24"/>
          <w:szCs w:val="24"/>
          <w:highlight w:val="none"/>
          <w:lang w:val="en-US" w:eastAsia="zh-CN"/>
        </w:rPr>
        <w:t>贮存库</w:t>
      </w:r>
      <w:r>
        <w:rPr>
          <w:rFonts w:hint="default" w:ascii="Times New Roman" w:hAnsi="Times New Roman" w:eastAsia="宋体" w:cs="Times New Roman"/>
          <w:color w:val="auto"/>
          <w:sz w:val="24"/>
          <w:szCs w:val="24"/>
          <w:highlight w:val="none"/>
          <w:lang w:val="en-US" w:eastAsia="zh-CN"/>
        </w:rPr>
        <w:t>，定期交由有资质单位处置</w:t>
      </w:r>
      <w:r>
        <w:rPr>
          <w:rFonts w:hint="default" w:ascii="Times New Roman" w:hAnsi="Times New Roman" w:eastAsia="宋体" w:cs="Times New Roman"/>
          <w:color w:val="auto"/>
          <w:sz w:val="24"/>
          <w:szCs w:val="24"/>
          <w:highlight w:val="none"/>
        </w:rPr>
        <w:t>。</w:t>
      </w:r>
    </w:p>
    <w:p w14:paraId="51FFFA86">
      <w:pPr>
        <w:keepNext w:val="0"/>
        <w:keepLines w:val="0"/>
        <w:pageBreakBefore w:val="0"/>
        <w:kinsoku/>
        <w:wordWrap/>
        <w:overflowPunct/>
        <w:topLinePunct w:val="0"/>
        <w:autoSpaceDE w:val="0"/>
        <w:autoSpaceDN w:val="0"/>
        <w:bidi w:val="0"/>
        <w:adjustRightInd w:val="0"/>
        <w:snapToGrid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运营期固体废物排放情况统计详见表</w:t>
      </w:r>
      <w:r>
        <w:rPr>
          <w:rFonts w:hint="default" w:ascii="Times New Roman" w:hAnsi="Times New Roman" w:cs="Times New Roman"/>
          <w:color w:val="auto"/>
          <w:sz w:val="24"/>
          <w:lang w:val="en-US" w:eastAsia="zh-CN"/>
        </w:rPr>
        <w:t>3.3-15</w:t>
      </w:r>
      <w:r>
        <w:rPr>
          <w:rFonts w:hint="default" w:ascii="Times New Roman" w:hAnsi="Times New Roman" w:eastAsia="宋体" w:cs="Times New Roman"/>
          <w:color w:val="auto"/>
          <w:sz w:val="24"/>
        </w:rPr>
        <w:t>。</w:t>
      </w:r>
    </w:p>
    <w:p w14:paraId="4B76C869">
      <w:pPr>
        <w:ind w:left="0" w:leftChars="0" w:firstLine="0" w:firstLineChars="0"/>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表</w:t>
      </w:r>
      <w:r>
        <w:rPr>
          <w:rFonts w:hint="default" w:ascii="Times New Roman" w:hAnsi="Times New Roman" w:cs="Times New Roman"/>
          <w:b/>
          <w:color w:val="auto"/>
          <w:kern w:val="0"/>
          <w:sz w:val="21"/>
          <w:szCs w:val="21"/>
          <w:highlight w:val="none"/>
          <w:lang w:val="en-US" w:eastAsia="zh-CN" w:bidi="ar-SA"/>
        </w:rPr>
        <w:t xml:space="preserve">3.3-15  </w:t>
      </w:r>
      <w:r>
        <w:rPr>
          <w:rFonts w:hint="default" w:ascii="Times New Roman" w:hAnsi="Times New Roman" w:eastAsia="宋体" w:cs="Times New Roman"/>
          <w:b/>
          <w:color w:val="auto"/>
          <w:kern w:val="0"/>
          <w:sz w:val="21"/>
          <w:szCs w:val="21"/>
          <w:highlight w:val="none"/>
          <w:lang w:val="en-US" w:eastAsia="zh-CN" w:bidi="ar-SA"/>
        </w:rPr>
        <w:t xml:space="preserve">  矿区固废产生明显统计表</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290"/>
        <w:gridCol w:w="5816"/>
      </w:tblGrid>
      <w:tr w14:paraId="58E2D5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4B28508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p>
        </w:tc>
        <w:tc>
          <w:tcPr>
            <w:tcW w:w="757" w:type="pct"/>
            <w:tcBorders>
              <w:tl2br w:val="nil"/>
              <w:tr2bl w:val="nil"/>
            </w:tcBorders>
            <w:vAlign w:val="center"/>
          </w:tcPr>
          <w:p w14:paraId="4FEE7C8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产生量</w:t>
            </w:r>
          </w:p>
        </w:tc>
        <w:tc>
          <w:tcPr>
            <w:tcW w:w="3412" w:type="pct"/>
            <w:tcBorders>
              <w:tl2br w:val="nil"/>
              <w:tr2bl w:val="nil"/>
            </w:tcBorders>
            <w:vAlign w:val="center"/>
          </w:tcPr>
          <w:p w14:paraId="238CFD1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措施</w:t>
            </w:r>
          </w:p>
        </w:tc>
      </w:tr>
      <w:tr w14:paraId="71CC3D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319C700A">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矿山废石</w:t>
            </w:r>
          </w:p>
        </w:tc>
        <w:tc>
          <w:tcPr>
            <w:tcW w:w="757" w:type="pct"/>
            <w:tcBorders>
              <w:tl2br w:val="nil"/>
              <w:tr2bl w:val="nil"/>
            </w:tcBorders>
            <w:vAlign w:val="center"/>
          </w:tcPr>
          <w:p w14:paraId="66AC67F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2.37万</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4EA7849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废石临时堆放于废石场，作为充填原料用于井下充填</w:t>
            </w:r>
          </w:p>
        </w:tc>
      </w:tr>
      <w:tr w14:paraId="3857AB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165D1F2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沉淀池底泥</w:t>
            </w:r>
          </w:p>
        </w:tc>
        <w:tc>
          <w:tcPr>
            <w:tcW w:w="757" w:type="pct"/>
            <w:tcBorders>
              <w:tl2br w:val="nil"/>
              <w:tr2bl w:val="nil"/>
            </w:tcBorders>
            <w:vAlign w:val="center"/>
          </w:tcPr>
          <w:p w14:paraId="067636D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22.05t</w:t>
            </w:r>
            <w:r>
              <w:rPr>
                <w:rFonts w:hint="default" w:ascii="Times New Roman" w:hAnsi="Times New Roman" w:eastAsia="宋体" w:cs="Times New Roman"/>
                <w:color w:val="auto"/>
                <w:sz w:val="21"/>
                <w:szCs w:val="21"/>
              </w:rPr>
              <w:t>/a</w:t>
            </w:r>
          </w:p>
        </w:tc>
        <w:tc>
          <w:tcPr>
            <w:tcW w:w="3412" w:type="pct"/>
            <w:tcBorders>
              <w:tl2br w:val="nil"/>
              <w:tr2bl w:val="nil"/>
            </w:tcBorders>
            <w:vAlign w:val="center"/>
          </w:tcPr>
          <w:p w14:paraId="3AD03F4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送至废石堆场堆存，后期用于矿山土地复垦</w:t>
            </w:r>
          </w:p>
        </w:tc>
      </w:tr>
      <w:tr w14:paraId="15698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5ADD1C4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污水处理站污泥</w:t>
            </w:r>
          </w:p>
        </w:tc>
        <w:tc>
          <w:tcPr>
            <w:tcW w:w="757" w:type="pct"/>
            <w:tcBorders>
              <w:tl2br w:val="nil"/>
              <w:tr2bl w:val="nil"/>
            </w:tcBorders>
            <w:vAlign w:val="center"/>
          </w:tcPr>
          <w:p w14:paraId="6F213A57">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3.43</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793DCF1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集中收集定期送运往星星峡镇垃圾填埋场处理</w:t>
            </w:r>
          </w:p>
        </w:tc>
      </w:tr>
      <w:tr w14:paraId="4D6262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4810E19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除尘灰</w:t>
            </w:r>
          </w:p>
        </w:tc>
        <w:tc>
          <w:tcPr>
            <w:tcW w:w="757" w:type="pct"/>
            <w:tcBorders>
              <w:tl2br w:val="nil"/>
              <w:tr2bl w:val="nil"/>
            </w:tcBorders>
            <w:vAlign w:val="center"/>
          </w:tcPr>
          <w:p w14:paraId="1AAC44F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5.28</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343AEA0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收集后回用于充填工艺</w:t>
            </w:r>
          </w:p>
        </w:tc>
      </w:tr>
      <w:tr w14:paraId="75D7C3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2F23CAFA">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废布袋</w:t>
            </w:r>
          </w:p>
        </w:tc>
        <w:tc>
          <w:tcPr>
            <w:tcW w:w="757" w:type="pct"/>
            <w:tcBorders>
              <w:tl2br w:val="nil"/>
              <w:tr2bl w:val="nil"/>
            </w:tcBorders>
            <w:vAlign w:val="center"/>
          </w:tcPr>
          <w:p w14:paraId="34FAFDC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0.05</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28EA2E9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由原厂家回收处置</w:t>
            </w:r>
          </w:p>
        </w:tc>
      </w:tr>
      <w:tr w14:paraId="228F32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3FD96C4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757" w:type="pct"/>
            <w:tcBorders>
              <w:tl2br w:val="nil"/>
              <w:tr2bl w:val="nil"/>
            </w:tcBorders>
            <w:vAlign w:val="center"/>
          </w:tcPr>
          <w:p w14:paraId="503F0F4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24.5</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313B379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集中收集定期送运往星星峡镇垃圾填埋场处理</w:t>
            </w:r>
          </w:p>
        </w:tc>
      </w:tr>
      <w:tr w14:paraId="55C032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6FF0A55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废机油</w:t>
            </w:r>
          </w:p>
        </w:tc>
        <w:tc>
          <w:tcPr>
            <w:tcW w:w="757" w:type="pct"/>
            <w:tcBorders>
              <w:tl2br w:val="nil"/>
              <w:tr2bl w:val="nil"/>
            </w:tcBorders>
            <w:vAlign w:val="center"/>
          </w:tcPr>
          <w:p w14:paraId="1A3BD32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2.5</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4570F2D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定期</w:t>
            </w:r>
            <w:r>
              <w:rPr>
                <w:rFonts w:hint="eastAsia" w:ascii="Times New Roman" w:hAnsi="Times New Roman" w:eastAsia="宋体" w:cs="Times New Roman"/>
                <w:color w:val="auto"/>
                <w:sz w:val="21"/>
                <w:szCs w:val="21"/>
                <w:lang w:val="en-US" w:eastAsia="zh-CN"/>
              </w:rPr>
              <w:t>交由</w:t>
            </w:r>
            <w:r>
              <w:rPr>
                <w:rFonts w:hint="default" w:ascii="Times New Roman" w:hAnsi="Times New Roman" w:eastAsia="宋体" w:cs="Times New Roman"/>
                <w:color w:val="auto"/>
                <w:sz w:val="21"/>
                <w:szCs w:val="21"/>
                <w:lang w:val="en-US" w:eastAsia="zh-CN"/>
              </w:rPr>
              <w:t>资质单位处置</w:t>
            </w:r>
          </w:p>
        </w:tc>
      </w:tr>
      <w:tr w14:paraId="732903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29" w:type="pct"/>
            <w:tcBorders>
              <w:tl2br w:val="nil"/>
              <w:tr2bl w:val="nil"/>
            </w:tcBorders>
            <w:vAlign w:val="center"/>
          </w:tcPr>
          <w:p w14:paraId="2F21CD6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废油桶</w:t>
            </w:r>
          </w:p>
        </w:tc>
        <w:tc>
          <w:tcPr>
            <w:tcW w:w="757" w:type="pct"/>
            <w:tcBorders>
              <w:tl2br w:val="nil"/>
              <w:tr2bl w:val="nil"/>
            </w:tcBorders>
            <w:vAlign w:val="center"/>
          </w:tcPr>
          <w:p w14:paraId="062440B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w:t>
            </w:r>
            <w:r>
              <w:rPr>
                <w:rFonts w:hint="default" w:ascii="Times New Roman" w:hAnsi="Times New Roman" w:eastAsia="宋体" w:cs="Times New Roman"/>
                <w:color w:val="auto"/>
                <w:sz w:val="21"/>
                <w:szCs w:val="21"/>
              </w:rPr>
              <w:t>t/a</w:t>
            </w:r>
          </w:p>
        </w:tc>
        <w:tc>
          <w:tcPr>
            <w:tcW w:w="3412" w:type="pct"/>
            <w:tcBorders>
              <w:tl2br w:val="nil"/>
              <w:tr2bl w:val="nil"/>
            </w:tcBorders>
            <w:vAlign w:val="center"/>
          </w:tcPr>
          <w:p w14:paraId="7C26627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定期</w:t>
            </w:r>
            <w:r>
              <w:rPr>
                <w:rFonts w:hint="eastAsia" w:ascii="Times New Roman" w:hAnsi="Times New Roman" w:eastAsia="宋体" w:cs="Times New Roman"/>
                <w:color w:val="auto"/>
                <w:sz w:val="21"/>
                <w:szCs w:val="21"/>
                <w:lang w:val="en-US" w:eastAsia="zh-CN"/>
              </w:rPr>
              <w:t>交由</w:t>
            </w:r>
            <w:r>
              <w:rPr>
                <w:rFonts w:hint="default" w:ascii="Times New Roman" w:hAnsi="Times New Roman" w:eastAsia="宋体" w:cs="Times New Roman"/>
                <w:color w:val="auto"/>
                <w:sz w:val="21"/>
                <w:szCs w:val="21"/>
                <w:lang w:val="en-US" w:eastAsia="zh-CN"/>
              </w:rPr>
              <w:t>资质单位处置</w:t>
            </w:r>
          </w:p>
        </w:tc>
      </w:tr>
    </w:tbl>
    <w:p w14:paraId="29D1B124">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"3.3.8.4"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3.3.6.4</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噪声</w:t>
      </w:r>
    </w:p>
    <w:p w14:paraId="1BDE7C57">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凿岩机、钻机、爆破噪声均发声于井下，对地面无影响，地面上的强噪声设备主要为空压机、风机以及运输车辆等。空压机、风机属于空气动力性声源，其余基本属于机械性声源，并且要求高噪声设备必须安装在设备间内，减轻对矿区周边环境的影响。根据同类矿区采矿设备的实测及类比调查分析，矿区的各机械设备噪声排放情况见表</w:t>
      </w:r>
      <w:r>
        <w:rPr>
          <w:rFonts w:hint="default" w:ascii="Times New Roman" w:hAnsi="Times New Roman" w:cs="Times New Roman"/>
          <w:color w:val="auto"/>
          <w:sz w:val="24"/>
          <w:lang w:val="en-US" w:eastAsia="zh-CN"/>
        </w:rPr>
        <w:t>3.3-16</w:t>
      </w:r>
      <w:r>
        <w:rPr>
          <w:rFonts w:hint="default" w:ascii="Times New Roman" w:hAnsi="Times New Roman" w:cs="Times New Roman"/>
          <w:color w:val="auto"/>
          <w:sz w:val="24"/>
        </w:rPr>
        <w:t>。</w:t>
      </w:r>
    </w:p>
    <w:p w14:paraId="68F76FB2">
      <w:pPr>
        <w:ind w:firstLine="2530" w:firstLineChars="1200"/>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表</w:t>
      </w:r>
      <w:r>
        <w:rPr>
          <w:rFonts w:hint="default" w:ascii="Times New Roman" w:hAnsi="Times New Roman" w:cs="Times New Roman"/>
          <w:b/>
          <w:color w:val="auto"/>
          <w:kern w:val="0"/>
          <w:sz w:val="21"/>
          <w:szCs w:val="21"/>
          <w:highlight w:val="none"/>
          <w:lang w:val="en-US" w:eastAsia="zh-CN" w:bidi="ar-SA"/>
        </w:rPr>
        <w:t>3.3-16</w:t>
      </w:r>
      <w:r>
        <w:rPr>
          <w:rFonts w:hint="default" w:ascii="Times New Roman" w:hAnsi="Times New Roman" w:eastAsia="宋体" w:cs="Times New Roman"/>
          <w:b/>
          <w:color w:val="auto"/>
          <w:kern w:val="0"/>
          <w:sz w:val="21"/>
          <w:szCs w:val="21"/>
          <w:highlight w:val="none"/>
          <w:lang w:val="en-US" w:eastAsia="zh-CN" w:bidi="ar-SA"/>
        </w:rPr>
        <w:t xml:space="preserve">  矿区噪声排放情况一览表</w:t>
      </w:r>
    </w:p>
    <w:tbl>
      <w:tblPr>
        <w:tblStyle w:val="21"/>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41"/>
        <w:gridCol w:w="2297"/>
        <w:gridCol w:w="2296"/>
        <w:gridCol w:w="2294"/>
      </w:tblGrid>
      <w:tr w14:paraId="47F592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tcBorders>
              <w:tl2br w:val="nil"/>
              <w:tr2bl w:val="nil"/>
            </w:tcBorders>
            <w:vAlign w:val="center"/>
          </w:tcPr>
          <w:p w14:paraId="1D3E720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噪声源位置</w:t>
            </w:r>
          </w:p>
        </w:tc>
        <w:tc>
          <w:tcPr>
            <w:tcW w:w="2297" w:type="dxa"/>
            <w:tcBorders>
              <w:tl2br w:val="nil"/>
              <w:tr2bl w:val="nil"/>
            </w:tcBorders>
            <w:vAlign w:val="center"/>
          </w:tcPr>
          <w:p w14:paraId="4C1FC1E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噪声设备</w:t>
            </w:r>
          </w:p>
        </w:tc>
        <w:tc>
          <w:tcPr>
            <w:tcW w:w="2296" w:type="dxa"/>
            <w:tcBorders>
              <w:tl2br w:val="nil"/>
              <w:tr2bl w:val="nil"/>
            </w:tcBorders>
            <w:vAlign w:val="center"/>
          </w:tcPr>
          <w:p w14:paraId="1CE82FDA">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声压级</w:t>
            </w:r>
          </w:p>
        </w:tc>
        <w:tc>
          <w:tcPr>
            <w:tcW w:w="2294" w:type="dxa"/>
            <w:tcBorders>
              <w:tl2br w:val="nil"/>
              <w:tr2bl w:val="nil"/>
            </w:tcBorders>
            <w:vAlign w:val="center"/>
          </w:tcPr>
          <w:p w14:paraId="3AC3A23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噪声特性</w:t>
            </w:r>
          </w:p>
        </w:tc>
      </w:tr>
      <w:tr w14:paraId="56B998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vMerge w:val="restart"/>
            <w:tcBorders>
              <w:tl2br w:val="nil"/>
              <w:tr2bl w:val="nil"/>
            </w:tcBorders>
            <w:vAlign w:val="center"/>
          </w:tcPr>
          <w:p w14:paraId="57EB5EA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井口区域</w:t>
            </w:r>
          </w:p>
        </w:tc>
        <w:tc>
          <w:tcPr>
            <w:tcW w:w="2297" w:type="dxa"/>
            <w:tcBorders>
              <w:tl2br w:val="nil"/>
              <w:tr2bl w:val="nil"/>
            </w:tcBorders>
            <w:vAlign w:val="center"/>
          </w:tcPr>
          <w:p w14:paraId="3612E90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空压机</w:t>
            </w:r>
          </w:p>
        </w:tc>
        <w:tc>
          <w:tcPr>
            <w:tcW w:w="2296" w:type="dxa"/>
            <w:tcBorders>
              <w:tl2br w:val="nil"/>
              <w:tr2bl w:val="nil"/>
            </w:tcBorders>
            <w:vAlign w:val="center"/>
          </w:tcPr>
          <w:p w14:paraId="0B25858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90-98</w:t>
            </w:r>
          </w:p>
        </w:tc>
        <w:tc>
          <w:tcPr>
            <w:tcW w:w="2294" w:type="dxa"/>
            <w:tcBorders>
              <w:tl2br w:val="nil"/>
              <w:tr2bl w:val="nil"/>
            </w:tcBorders>
            <w:vAlign w:val="center"/>
          </w:tcPr>
          <w:p w14:paraId="2C509917">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连续性</w:t>
            </w:r>
          </w:p>
        </w:tc>
      </w:tr>
      <w:tr w14:paraId="41295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vMerge w:val="continue"/>
            <w:tcBorders>
              <w:tl2br w:val="nil"/>
              <w:tr2bl w:val="nil"/>
            </w:tcBorders>
            <w:vAlign w:val="center"/>
          </w:tcPr>
          <w:p w14:paraId="795C9DE7">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2297" w:type="dxa"/>
            <w:tcBorders>
              <w:tl2br w:val="nil"/>
              <w:tr2bl w:val="nil"/>
            </w:tcBorders>
            <w:vAlign w:val="center"/>
          </w:tcPr>
          <w:p w14:paraId="5E34291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风机</w:t>
            </w:r>
          </w:p>
        </w:tc>
        <w:tc>
          <w:tcPr>
            <w:tcW w:w="2296" w:type="dxa"/>
            <w:tcBorders>
              <w:tl2br w:val="nil"/>
              <w:tr2bl w:val="nil"/>
            </w:tcBorders>
            <w:vAlign w:val="center"/>
          </w:tcPr>
          <w:p w14:paraId="60870F1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85-95</w:t>
            </w:r>
          </w:p>
        </w:tc>
        <w:tc>
          <w:tcPr>
            <w:tcW w:w="2294" w:type="dxa"/>
            <w:tcBorders>
              <w:tl2br w:val="nil"/>
              <w:tr2bl w:val="nil"/>
            </w:tcBorders>
            <w:vAlign w:val="center"/>
          </w:tcPr>
          <w:p w14:paraId="13DD3B3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连续性</w:t>
            </w:r>
          </w:p>
        </w:tc>
      </w:tr>
      <w:tr w14:paraId="2A78E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vMerge w:val="continue"/>
            <w:tcBorders>
              <w:tl2br w:val="nil"/>
              <w:tr2bl w:val="nil"/>
            </w:tcBorders>
            <w:vAlign w:val="center"/>
          </w:tcPr>
          <w:p w14:paraId="083652DF">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2297" w:type="dxa"/>
            <w:tcBorders>
              <w:tl2br w:val="nil"/>
              <w:tr2bl w:val="nil"/>
            </w:tcBorders>
            <w:vAlign w:val="center"/>
          </w:tcPr>
          <w:p w14:paraId="7EE0A9A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绞车</w:t>
            </w:r>
          </w:p>
        </w:tc>
        <w:tc>
          <w:tcPr>
            <w:tcW w:w="2296" w:type="dxa"/>
            <w:tcBorders>
              <w:tl2br w:val="nil"/>
              <w:tr2bl w:val="nil"/>
            </w:tcBorders>
            <w:vAlign w:val="center"/>
          </w:tcPr>
          <w:p w14:paraId="32B57EF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80-95</w:t>
            </w:r>
          </w:p>
        </w:tc>
        <w:tc>
          <w:tcPr>
            <w:tcW w:w="2294" w:type="dxa"/>
            <w:tcBorders>
              <w:tl2br w:val="nil"/>
              <w:tr2bl w:val="nil"/>
            </w:tcBorders>
            <w:vAlign w:val="center"/>
          </w:tcPr>
          <w:p w14:paraId="02CF9B4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连续性</w:t>
            </w:r>
          </w:p>
        </w:tc>
      </w:tr>
      <w:tr w14:paraId="306034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vMerge w:val="continue"/>
            <w:tcBorders>
              <w:tl2br w:val="nil"/>
              <w:tr2bl w:val="nil"/>
            </w:tcBorders>
            <w:vAlign w:val="center"/>
          </w:tcPr>
          <w:p w14:paraId="4553836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2297" w:type="dxa"/>
            <w:tcBorders>
              <w:tl2br w:val="nil"/>
              <w:tr2bl w:val="nil"/>
            </w:tcBorders>
            <w:vAlign w:val="center"/>
          </w:tcPr>
          <w:p w14:paraId="193C009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2296" w:type="dxa"/>
            <w:tcBorders>
              <w:tl2br w:val="nil"/>
              <w:tr2bl w:val="nil"/>
            </w:tcBorders>
            <w:vAlign w:val="center"/>
          </w:tcPr>
          <w:p w14:paraId="2B450687">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80-95</w:t>
            </w:r>
          </w:p>
        </w:tc>
        <w:tc>
          <w:tcPr>
            <w:tcW w:w="2294" w:type="dxa"/>
            <w:tcBorders>
              <w:tl2br w:val="nil"/>
              <w:tr2bl w:val="nil"/>
            </w:tcBorders>
            <w:vAlign w:val="center"/>
          </w:tcPr>
          <w:p w14:paraId="2C438D3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连续性</w:t>
            </w:r>
          </w:p>
        </w:tc>
      </w:tr>
      <w:tr w14:paraId="547138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tcBorders>
              <w:tl2br w:val="nil"/>
              <w:tr2bl w:val="nil"/>
            </w:tcBorders>
            <w:vAlign w:val="center"/>
          </w:tcPr>
          <w:p w14:paraId="692D5C0E">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运输道路</w:t>
            </w:r>
          </w:p>
        </w:tc>
        <w:tc>
          <w:tcPr>
            <w:tcW w:w="2297" w:type="dxa"/>
            <w:tcBorders>
              <w:tl2br w:val="nil"/>
              <w:tr2bl w:val="nil"/>
            </w:tcBorders>
            <w:vAlign w:val="center"/>
          </w:tcPr>
          <w:p w14:paraId="02E1321B">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运输车辆</w:t>
            </w:r>
          </w:p>
        </w:tc>
        <w:tc>
          <w:tcPr>
            <w:tcW w:w="2296" w:type="dxa"/>
            <w:tcBorders>
              <w:tl2br w:val="nil"/>
              <w:tr2bl w:val="nil"/>
            </w:tcBorders>
            <w:vAlign w:val="center"/>
          </w:tcPr>
          <w:p w14:paraId="41514A3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80-90</w:t>
            </w:r>
          </w:p>
        </w:tc>
        <w:tc>
          <w:tcPr>
            <w:tcW w:w="2294" w:type="dxa"/>
            <w:tcBorders>
              <w:tl2br w:val="nil"/>
              <w:tr2bl w:val="nil"/>
            </w:tcBorders>
            <w:vAlign w:val="center"/>
          </w:tcPr>
          <w:p w14:paraId="1FE23B5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间歇性</w:t>
            </w:r>
          </w:p>
        </w:tc>
      </w:tr>
      <w:tr w14:paraId="51C352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41" w:type="dxa"/>
            <w:tcBorders>
              <w:tl2br w:val="nil"/>
              <w:tr2bl w:val="nil"/>
            </w:tcBorders>
            <w:vAlign w:val="center"/>
          </w:tcPr>
          <w:p w14:paraId="632BEE59">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生产区</w:t>
            </w:r>
          </w:p>
        </w:tc>
        <w:tc>
          <w:tcPr>
            <w:tcW w:w="2297" w:type="dxa"/>
            <w:tcBorders>
              <w:tl2br w:val="nil"/>
              <w:tr2bl w:val="nil"/>
            </w:tcBorders>
            <w:vAlign w:val="center"/>
          </w:tcPr>
          <w:p w14:paraId="2D68563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柴油发电机</w:t>
            </w:r>
          </w:p>
        </w:tc>
        <w:tc>
          <w:tcPr>
            <w:tcW w:w="2296" w:type="dxa"/>
            <w:tcBorders>
              <w:tl2br w:val="nil"/>
              <w:tr2bl w:val="nil"/>
            </w:tcBorders>
            <w:vAlign w:val="center"/>
          </w:tcPr>
          <w:p w14:paraId="531957B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80-90</w:t>
            </w:r>
          </w:p>
        </w:tc>
        <w:tc>
          <w:tcPr>
            <w:tcW w:w="2294" w:type="dxa"/>
            <w:tcBorders>
              <w:tl2br w:val="nil"/>
              <w:tr2bl w:val="nil"/>
            </w:tcBorders>
            <w:vAlign w:val="center"/>
          </w:tcPr>
          <w:p w14:paraId="1EB0A93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停电时使用</w:t>
            </w:r>
          </w:p>
        </w:tc>
      </w:tr>
    </w:tbl>
    <w:p w14:paraId="61D6A49C">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3.3.6.5</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非正常工况</w:t>
      </w:r>
    </w:p>
    <w:p w14:paraId="377A781A">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lang w:val="en-US" w:eastAsia="zh-CN"/>
        </w:rPr>
        <w:t>本项目</w:t>
      </w:r>
      <w:r>
        <w:rPr>
          <w:rFonts w:hint="default" w:ascii="Times New Roman" w:hAnsi="Times New Roman" w:eastAsia="宋体" w:cs="Times New Roman"/>
          <w:b w:val="0"/>
          <w:bCs w:val="0"/>
          <w:color w:val="auto"/>
          <w:spacing w:val="0"/>
          <w:w w:val="100"/>
          <w:position w:val="0"/>
          <w:sz w:val="24"/>
          <w:szCs w:val="24"/>
        </w:rPr>
        <w:t>非正常工况为除尘设施检修或运行故障，废气不经处理，直接通过</w:t>
      </w:r>
      <w:r>
        <w:rPr>
          <w:rFonts w:hint="default" w:ascii="Times New Roman" w:hAnsi="Times New Roman" w:eastAsia="宋体" w:cs="Times New Roman"/>
          <w:b w:val="0"/>
          <w:bCs w:val="0"/>
          <w:color w:val="auto"/>
          <w:spacing w:val="0"/>
          <w:w w:val="100"/>
          <w:position w:val="0"/>
          <w:sz w:val="24"/>
          <w:szCs w:val="24"/>
          <w:lang w:val="en-US" w:eastAsia="zh-CN"/>
        </w:rPr>
        <w:t>排气筒排入大气</w:t>
      </w:r>
      <w:r>
        <w:rPr>
          <w:rFonts w:hint="default" w:ascii="Times New Roman" w:hAnsi="Times New Roman" w:eastAsia="宋体" w:cs="Times New Roman"/>
          <w:b w:val="0"/>
          <w:bCs w:val="0"/>
          <w:color w:val="auto"/>
          <w:spacing w:val="0"/>
          <w:w w:val="100"/>
          <w:position w:val="0"/>
          <w:sz w:val="24"/>
          <w:szCs w:val="24"/>
        </w:rPr>
        <w:t>。按最不利的情况考虑，</w:t>
      </w:r>
      <w:r>
        <w:rPr>
          <w:rFonts w:hint="default" w:ascii="Times New Roman" w:hAnsi="Times New Roman" w:cs="Times New Roman"/>
          <w:b w:val="0"/>
          <w:bCs w:val="0"/>
          <w:color w:val="auto"/>
          <w:spacing w:val="0"/>
          <w:w w:val="100"/>
          <w:position w:val="0"/>
          <w:sz w:val="24"/>
          <w:szCs w:val="24"/>
          <w:lang w:val="en-US" w:eastAsia="zh-CN"/>
        </w:rPr>
        <w:t>破碎工序布袋除尘器损坏，效率降低到50%，</w:t>
      </w:r>
      <w:r>
        <w:rPr>
          <w:rFonts w:hint="default" w:ascii="Times New Roman" w:hAnsi="Times New Roman" w:eastAsia="宋体" w:cs="Times New Roman"/>
          <w:b w:val="0"/>
          <w:bCs w:val="0"/>
          <w:color w:val="auto"/>
          <w:spacing w:val="0"/>
          <w:w w:val="100"/>
          <w:position w:val="0"/>
          <w:sz w:val="24"/>
          <w:szCs w:val="24"/>
        </w:rPr>
        <w:t>非正常工况下破碎</w:t>
      </w:r>
      <w:r>
        <w:rPr>
          <w:rFonts w:hint="default" w:ascii="Times New Roman" w:hAnsi="Times New Roman" w:cs="Times New Roman"/>
          <w:b w:val="0"/>
          <w:bCs w:val="0"/>
          <w:color w:val="auto"/>
          <w:spacing w:val="0"/>
          <w:w w:val="100"/>
          <w:position w:val="0"/>
          <w:sz w:val="24"/>
          <w:szCs w:val="24"/>
          <w:lang w:val="en-US" w:eastAsia="zh-CN"/>
        </w:rPr>
        <w:t>工序</w:t>
      </w:r>
      <w:r>
        <w:rPr>
          <w:rFonts w:hint="default" w:ascii="Times New Roman" w:hAnsi="Times New Roman" w:eastAsia="宋体" w:cs="Times New Roman"/>
          <w:b w:val="0"/>
          <w:bCs w:val="0"/>
          <w:color w:val="auto"/>
          <w:spacing w:val="0"/>
          <w:w w:val="100"/>
          <w:position w:val="0"/>
          <w:sz w:val="24"/>
          <w:szCs w:val="24"/>
        </w:rPr>
        <w:t>排放污染物情况见表</w:t>
      </w:r>
      <w:r>
        <w:rPr>
          <w:rFonts w:hint="default" w:ascii="Times New Roman" w:hAnsi="Times New Roman" w:cs="Times New Roman"/>
          <w:b w:val="0"/>
          <w:bCs w:val="0"/>
          <w:color w:val="auto"/>
          <w:spacing w:val="0"/>
          <w:w w:val="100"/>
          <w:position w:val="0"/>
          <w:sz w:val="24"/>
          <w:szCs w:val="24"/>
          <w:lang w:val="en-US" w:eastAsia="zh-CN"/>
        </w:rPr>
        <w:t>3.3-17</w:t>
      </w:r>
      <w:r>
        <w:rPr>
          <w:rFonts w:hint="default" w:ascii="Times New Roman" w:hAnsi="Times New Roman" w:eastAsia="宋体" w:cs="Times New Roman"/>
          <w:b w:val="0"/>
          <w:bCs w:val="0"/>
          <w:color w:val="auto"/>
          <w:spacing w:val="0"/>
          <w:w w:val="100"/>
          <w:position w:val="0"/>
          <w:sz w:val="24"/>
          <w:szCs w:val="24"/>
        </w:rPr>
        <w:t>。</w:t>
      </w:r>
    </w:p>
    <w:p w14:paraId="5BBE5494">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表3.3-17    非正常工况污染物排放表</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85"/>
        <w:gridCol w:w="3108"/>
        <w:gridCol w:w="857"/>
        <w:gridCol w:w="1227"/>
        <w:gridCol w:w="1129"/>
        <w:gridCol w:w="1127"/>
      </w:tblGrid>
      <w:tr w14:paraId="3966E3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31" w:type="pct"/>
            <w:tcBorders>
              <w:tl2br w:val="nil"/>
              <w:tr2bl w:val="nil"/>
            </w:tcBorders>
            <w:vAlign w:val="center"/>
          </w:tcPr>
          <w:p w14:paraId="11EF243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非正常排放源</w:t>
            </w:r>
          </w:p>
        </w:tc>
        <w:tc>
          <w:tcPr>
            <w:tcW w:w="1864" w:type="pct"/>
            <w:tcBorders>
              <w:tl2br w:val="nil"/>
              <w:tr2bl w:val="nil"/>
            </w:tcBorders>
            <w:vAlign w:val="center"/>
          </w:tcPr>
          <w:p w14:paraId="1B533A0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非正常排放原因</w:t>
            </w:r>
          </w:p>
        </w:tc>
        <w:tc>
          <w:tcPr>
            <w:tcW w:w="514" w:type="pct"/>
            <w:tcBorders>
              <w:tl2br w:val="nil"/>
              <w:tr2bl w:val="nil"/>
            </w:tcBorders>
            <w:vAlign w:val="center"/>
          </w:tcPr>
          <w:p w14:paraId="1113335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污染物</w:t>
            </w:r>
          </w:p>
        </w:tc>
        <w:tc>
          <w:tcPr>
            <w:tcW w:w="736" w:type="pct"/>
            <w:tcBorders>
              <w:tl2br w:val="nil"/>
              <w:tr2bl w:val="nil"/>
            </w:tcBorders>
            <w:vAlign w:val="center"/>
          </w:tcPr>
          <w:p w14:paraId="37F79F0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非正常排放速率（kg/h）</w:t>
            </w:r>
          </w:p>
        </w:tc>
        <w:tc>
          <w:tcPr>
            <w:tcW w:w="677" w:type="pct"/>
            <w:tcBorders>
              <w:tl2br w:val="nil"/>
              <w:tr2bl w:val="nil"/>
            </w:tcBorders>
            <w:vAlign w:val="center"/>
          </w:tcPr>
          <w:p w14:paraId="0B172D4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rPr>
              <w:t>单次持续时间</w:t>
            </w:r>
            <w:r>
              <w:rPr>
                <w:rFonts w:hint="default" w:ascii="Times New Roman" w:hAnsi="Times New Roman" w:eastAsia="宋体" w:cs="Times New Roman"/>
                <w:color w:val="auto"/>
                <w:spacing w:val="0"/>
                <w:w w:val="100"/>
                <w:position w:val="0"/>
                <w:sz w:val="21"/>
                <w:szCs w:val="21"/>
              </w:rPr>
              <w:t>/h</w:t>
            </w:r>
          </w:p>
        </w:tc>
        <w:tc>
          <w:tcPr>
            <w:tcW w:w="675" w:type="pct"/>
            <w:tcBorders>
              <w:tl2br w:val="nil"/>
              <w:tr2bl w:val="nil"/>
            </w:tcBorders>
            <w:vAlign w:val="center"/>
          </w:tcPr>
          <w:p w14:paraId="04B98C4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年发生频次/次</w:t>
            </w:r>
          </w:p>
        </w:tc>
      </w:tr>
      <w:tr w14:paraId="393589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31" w:type="pct"/>
            <w:tcBorders>
              <w:tl2br w:val="nil"/>
              <w:tr2bl w:val="nil"/>
            </w:tcBorders>
            <w:vAlign w:val="center"/>
          </w:tcPr>
          <w:p w14:paraId="5109766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cs="Times New Roman"/>
                <w:color w:val="auto"/>
                <w:spacing w:val="0"/>
                <w:w w:val="100"/>
                <w:position w:val="0"/>
                <w:lang w:val="en-US" w:eastAsia="zh-CN"/>
              </w:rPr>
              <w:t>破碎</w:t>
            </w:r>
          </w:p>
        </w:tc>
        <w:tc>
          <w:tcPr>
            <w:tcW w:w="1864" w:type="pct"/>
            <w:tcBorders>
              <w:tl2br w:val="nil"/>
              <w:tr2bl w:val="nil"/>
            </w:tcBorders>
            <w:vAlign w:val="center"/>
          </w:tcPr>
          <w:p w14:paraId="2CE2444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除尘设施检修或运行故障，</w:t>
            </w:r>
            <w:r>
              <w:rPr>
                <w:rFonts w:hint="default" w:ascii="Times New Roman" w:hAnsi="Times New Roman" w:cs="Times New Roman"/>
                <w:color w:val="auto"/>
                <w:spacing w:val="0"/>
                <w:w w:val="100"/>
                <w:position w:val="0"/>
                <w:lang w:val="en-US" w:eastAsia="zh-CN"/>
              </w:rPr>
              <w:t>除尘效率降低到50%</w:t>
            </w:r>
            <w:r>
              <w:rPr>
                <w:rFonts w:hint="default" w:ascii="Times New Roman" w:hAnsi="Times New Roman" w:eastAsia="宋体" w:cs="Times New Roman"/>
                <w:color w:val="auto"/>
                <w:spacing w:val="0"/>
                <w:w w:val="100"/>
                <w:position w:val="0"/>
              </w:rPr>
              <w:t>，直接通过烟囱外排大气</w:t>
            </w:r>
          </w:p>
        </w:tc>
        <w:tc>
          <w:tcPr>
            <w:tcW w:w="514" w:type="pct"/>
            <w:tcBorders>
              <w:tl2br w:val="nil"/>
              <w:tr2bl w:val="nil"/>
            </w:tcBorders>
            <w:vAlign w:val="center"/>
          </w:tcPr>
          <w:p w14:paraId="7FB4E38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颗粒物</w:t>
            </w:r>
          </w:p>
        </w:tc>
        <w:tc>
          <w:tcPr>
            <w:tcW w:w="736" w:type="pct"/>
            <w:tcBorders>
              <w:tl2br w:val="nil"/>
              <w:tr2bl w:val="nil"/>
            </w:tcBorders>
            <w:vAlign w:val="center"/>
          </w:tcPr>
          <w:p w14:paraId="5D10A66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0.445</w:t>
            </w:r>
          </w:p>
        </w:tc>
        <w:tc>
          <w:tcPr>
            <w:tcW w:w="677" w:type="pct"/>
            <w:tcBorders>
              <w:tl2br w:val="nil"/>
              <w:tr2bl w:val="nil"/>
            </w:tcBorders>
            <w:vAlign w:val="center"/>
          </w:tcPr>
          <w:p w14:paraId="1C39515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675" w:type="pct"/>
            <w:tcBorders>
              <w:tl2br w:val="nil"/>
              <w:tr2bl w:val="nil"/>
            </w:tcBorders>
            <w:vAlign w:val="center"/>
          </w:tcPr>
          <w:p w14:paraId="0A16594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0.9936</w:t>
            </w:r>
          </w:p>
        </w:tc>
      </w:tr>
    </w:tbl>
    <w:p w14:paraId="20B09984">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"3.3.8.6"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3.3.8.6</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工程污染物排放量统计</w:t>
      </w:r>
    </w:p>
    <w:p w14:paraId="1D766620">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拟建工程运营期主要污染物产生及排放量见表</w:t>
      </w:r>
      <w:r>
        <w:rPr>
          <w:rFonts w:hint="default" w:ascii="Times New Roman" w:hAnsi="Times New Roman" w:cs="Times New Roman"/>
          <w:b w:val="0"/>
          <w:bCs w:val="0"/>
          <w:color w:val="auto"/>
          <w:spacing w:val="0"/>
          <w:w w:val="100"/>
          <w:position w:val="0"/>
          <w:sz w:val="24"/>
          <w:szCs w:val="24"/>
          <w:lang w:val="en-US" w:eastAsia="zh-CN"/>
        </w:rPr>
        <w:t>3.3-18</w:t>
      </w:r>
      <w:r>
        <w:rPr>
          <w:rFonts w:hint="default" w:ascii="Times New Roman" w:hAnsi="Times New Roman" w:eastAsia="宋体" w:cs="Times New Roman"/>
          <w:b w:val="0"/>
          <w:bCs w:val="0"/>
          <w:color w:val="auto"/>
          <w:spacing w:val="0"/>
          <w:w w:val="100"/>
          <w:position w:val="0"/>
          <w:sz w:val="24"/>
          <w:szCs w:val="24"/>
        </w:rPr>
        <w:t>。</w:t>
      </w:r>
    </w:p>
    <w:p w14:paraId="032A24A6">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098ACF52">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5901E4F8">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4806FF3A">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7F3FED4B">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3B6F6DA5">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4E7754E5">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0CCCC502">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0A7D9AFD">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1E67A5A0">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p>
    <w:p w14:paraId="14A5F465">
      <w:pPr>
        <w:pStyle w:val="29"/>
        <w:spacing w:line="240" w:lineRule="auto"/>
        <w:ind w:firstLine="0"/>
        <w:jc w:val="center"/>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表3.3-18     污染物排放汇总表</w:t>
      </w:r>
    </w:p>
    <w:tbl>
      <w:tblPr>
        <w:tblStyle w:val="31"/>
        <w:tblW w:w="5142"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56"/>
        <w:gridCol w:w="575"/>
        <w:gridCol w:w="1187"/>
        <w:gridCol w:w="815"/>
        <w:gridCol w:w="748"/>
        <w:gridCol w:w="1234"/>
        <w:gridCol w:w="974"/>
        <w:gridCol w:w="940"/>
        <w:gridCol w:w="1544"/>
      </w:tblGrid>
      <w:tr w14:paraId="07E113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324" w:type="pct"/>
            <w:tcBorders>
              <w:tl2br w:val="nil"/>
              <w:tr2bl w:val="nil"/>
            </w:tcBorders>
            <w:vAlign w:val="center"/>
          </w:tcPr>
          <w:p w14:paraId="4BFB90E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类别</w:t>
            </w:r>
          </w:p>
        </w:tc>
        <w:tc>
          <w:tcPr>
            <w:tcW w:w="1027" w:type="pct"/>
            <w:gridSpan w:val="2"/>
            <w:tcBorders>
              <w:tl2br w:val="nil"/>
              <w:tr2bl w:val="nil"/>
            </w:tcBorders>
            <w:vAlign w:val="center"/>
          </w:tcPr>
          <w:p w14:paraId="7DF9E85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项目</w:t>
            </w:r>
          </w:p>
        </w:tc>
        <w:tc>
          <w:tcPr>
            <w:tcW w:w="475" w:type="pct"/>
            <w:tcBorders>
              <w:tl2br w:val="nil"/>
              <w:tr2bl w:val="nil"/>
            </w:tcBorders>
            <w:vAlign w:val="center"/>
          </w:tcPr>
          <w:p w14:paraId="79E7D2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w:t>
            </w:r>
          </w:p>
        </w:tc>
        <w:tc>
          <w:tcPr>
            <w:tcW w:w="436" w:type="pct"/>
            <w:tcBorders>
              <w:tl2br w:val="nil"/>
              <w:tr2bl w:val="nil"/>
            </w:tcBorders>
            <w:vAlign w:val="center"/>
          </w:tcPr>
          <w:p w14:paraId="1C7BC0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单位</w:t>
            </w:r>
          </w:p>
        </w:tc>
        <w:tc>
          <w:tcPr>
            <w:tcW w:w="719" w:type="pct"/>
            <w:tcBorders>
              <w:tl2br w:val="nil"/>
              <w:tr2bl w:val="nil"/>
            </w:tcBorders>
            <w:vAlign w:val="center"/>
          </w:tcPr>
          <w:p w14:paraId="12DA65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产生量</w:t>
            </w:r>
          </w:p>
        </w:tc>
        <w:tc>
          <w:tcPr>
            <w:tcW w:w="568" w:type="pct"/>
            <w:tcBorders>
              <w:tl2br w:val="nil"/>
              <w:tr2bl w:val="nil"/>
            </w:tcBorders>
            <w:vAlign w:val="center"/>
          </w:tcPr>
          <w:p w14:paraId="1FD8A0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削减/处置量</w:t>
            </w:r>
          </w:p>
        </w:tc>
        <w:tc>
          <w:tcPr>
            <w:tcW w:w="548" w:type="pct"/>
            <w:tcBorders>
              <w:tl2br w:val="nil"/>
              <w:tr2bl w:val="nil"/>
            </w:tcBorders>
            <w:vAlign w:val="center"/>
          </w:tcPr>
          <w:p w14:paraId="3E0AEF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排放量</w:t>
            </w:r>
          </w:p>
        </w:tc>
        <w:tc>
          <w:tcPr>
            <w:tcW w:w="900" w:type="pct"/>
            <w:tcBorders>
              <w:tl2br w:val="nil"/>
              <w:tr2bl w:val="nil"/>
            </w:tcBorders>
            <w:vAlign w:val="center"/>
          </w:tcPr>
          <w:p w14:paraId="0A82D8B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备注</w:t>
            </w:r>
          </w:p>
        </w:tc>
      </w:tr>
      <w:tr w14:paraId="4B4257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restart"/>
            <w:tcBorders>
              <w:tl2br w:val="nil"/>
              <w:tr2bl w:val="nil"/>
            </w:tcBorders>
            <w:vAlign w:val="center"/>
          </w:tcPr>
          <w:p w14:paraId="0C82D13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废气</w:t>
            </w:r>
          </w:p>
        </w:tc>
        <w:tc>
          <w:tcPr>
            <w:tcW w:w="335" w:type="pct"/>
            <w:vMerge w:val="restart"/>
            <w:tcBorders>
              <w:tl2br w:val="nil"/>
              <w:tr2bl w:val="nil"/>
            </w:tcBorders>
            <w:vAlign w:val="center"/>
          </w:tcPr>
          <w:p w14:paraId="3A570C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无组织废气</w:t>
            </w:r>
          </w:p>
        </w:tc>
        <w:tc>
          <w:tcPr>
            <w:tcW w:w="691" w:type="pct"/>
            <w:tcBorders>
              <w:tl2br w:val="nil"/>
              <w:tr2bl w:val="nil"/>
            </w:tcBorders>
            <w:shd w:val="clear" w:color="auto" w:fill="auto"/>
            <w:vAlign w:val="center"/>
          </w:tcPr>
          <w:p w14:paraId="026E1B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position w:val="0"/>
                <w:sz w:val="21"/>
                <w:szCs w:val="21"/>
              </w:rPr>
              <w:t>采矿粉尘</w:t>
            </w:r>
          </w:p>
        </w:tc>
        <w:tc>
          <w:tcPr>
            <w:tcW w:w="475" w:type="pct"/>
            <w:tcBorders>
              <w:tl2br w:val="nil"/>
              <w:tr2bl w:val="nil"/>
            </w:tcBorders>
            <w:vAlign w:val="center"/>
          </w:tcPr>
          <w:p w14:paraId="4DD7F2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vAlign w:val="center"/>
          </w:tcPr>
          <w:p w14:paraId="54F9F1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475CF2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1.14</w:t>
            </w:r>
          </w:p>
        </w:tc>
        <w:tc>
          <w:tcPr>
            <w:tcW w:w="568" w:type="pct"/>
            <w:tcBorders>
              <w:tl2br w:val="nil"/>
              <w:tr2bl w:val="nil"/>
            </w:tcBorders>
            <w:shd w:val="clear" w:color="auto" w:fill="auto"/>
            <w:vAlign w:val="center"/>
          </w:tcPr>
          <w:p w14:paraId="51369E4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0.912</w:t>
            </w:r>
          </w:p>
        </w:tc>
        <w:tc>
          <w:tcPr>
            <w:tcW w:w="548" w:type="pct"/>
            <w:tcBorders>
              <w:tl2br w:val="nil"/>
              <w:tr2bl w:val="nil"/>
            </w:tcBorders>
            <w:vAlign w:val="center"/>
          </w:tcPr>
          <w:p w14:paraId="307BEE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0.228</w:t>
            </w:r>
          </w:p>
        </w:tc>
        <w:tc>
          <w:tcPr>
            <w:tcW w:w="900" w:type="pct"/>
            <w:tcBorders>
              <w:tl2br w:val="nil"/>
              <w:tr2bl w:val="nil"/>
            </w:tcBorders>
            <w:vAlign w:val="center"/>
          </w:tcPr>
          <w:p w14:paraId="3107CF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3F61F3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324" w:type="pct"/>
            <w:vMerge w:val="continue"/>
            <w:tcBorders>
              <w:tl2br w:val="nil"/>
              <w:tr2bl w:val="nil"/>
            </w:tcBorders>
            <w:vAlign w:val="center"/>
          </w:tcPr>
          <w:p w14:paraId="7A25CC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c>
          <w:tcPr>
            <w:tcW w:w="335" w:type="pct"/>
            <w:vMerge w:val="continue"/>
            <w:tcBorders>
              <w:tl2br w:val="nil"/>
              <w:tr2bl w:val="nil"/>
            </w:tcBorders>
            <w:shd w:val="clear" w:color="auto" w:fill="auto"/>
            <w:vAlign w:val="center"/>
          </w:tcPr>
          <w:p w14:paraId="23CEE0D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c>
          <w:tcPr>
            <w:tcW w:w="691" w:type="pct"/>
            <w:vMerge w:val="restart"/>
            <w:tcBorders>
              <w:tl2br w:val="nil"/>
              <w:tr2bl w:val="nil"/>
            </w:tcBorders>
            <w:shd w:val="clear" w:color="auto" w:fill="auto"/>
            <w:vAlign w:val="center"/>
          </w:tcPr>
          <w:p w14:paraId="16E57B6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爆破烟气</w:t>
            </w:r>
          </w:p>
        </w:tc>
        <w:tc>
          <w:tcPr>
            <w:tcW w:w="475" w:type="pct"/>
            <w:tcBorders>
              <w:tl2br w:val="nil"/>
              <w:tr2bl w:val="nil"/>
            </w:tcBorders>
            <w:shd w:val="clear" w:color="auto" w:fill="auto"/>
            <w:vAlign w:val="center"/>
          </w:tcPr>
          <w:p w14:paraId="4DAE952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CO</w:t>
            </w:r>
          </w:p>
        </w:tc>
        <w:tc>
          <w:tcPr>
            <w:tcW w:w="436" w:type="pct"/>
            <w:tcBorders>
              <w:tl2br w:val="nil"/>
              <w:tr2bl w:val="nil"/>
            </w:tcBorders>
            <w:vAlign w:val="center"/>
          </w:tcPr>
          <w:p w14:paraId="2E628BD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t/a/</w:t>
            </w:r>
          </w:p>
        </w:tc>
        <w:tc>
          <w:tcPr>
            <w:tcW w:w="719" w:type="pct"/>
            <w:tcBorders>
              <w:tl2br w:val="nil"/>
              <w:tr2bl w:val="nil"/>
            </w:tcBorders>
            <w:vAlign w:val="center"/>
          </w:tcPr>
          <w:p w14:paraId="064768A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12.18</w:t>
            </w:r>
          </w:p>
        </w:tc>
        <w:tc>
          <w:tcPr>
            <w:tcW w:w="568" w:type="pct"/>
            <w:tcBorders>
              <w:tl2br w:val="nil"/>
              <w:tr2bl w:val="nil"/>
            </w:tcBorders>
            <w:shd w:val="clear" w:color="auto" w:fill="auto"/>
            <w:vAlign w:val="center"/>
          </w:tcPr>
          <w:p w14:paraId="0488964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508E832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12.18</w:t>
            </w:r>
          </w:p>
        </w:tc>
        <w:tc>
          <w:tcPr>
            <w:tcW w:w="900" w:type="pct"/>
            <w:tcBorders>
              <w:tl2br w:val="nil"/>
              <w:tr2bl w:val="nil"/>
            </w:tcBorders>
            <w:vAlign w:val="center"/>
          </w:tcPr>
          <w:p w14:paraId="31B721A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69C674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5A87F0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5AC3C586">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c>
          <w:tcPr>
            <w:tcW w:w="691" w:type="pct"/>
            <w:vMerge w:val="continue"/>
            <w:tcBorders>
              <w:tl2br w:val="nil"/>
              <w:tr2bl w:val="nil"/>
            </w:tcBorders>
            <w:shd w:val="clear" w:color="auto" w:fill="auto"/>
            <w:vAlign w:val="center"/>
          </w:tcPr>
          <w:p w14:paraId="3854237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c>
          <w:tcPr>
            <w:tcW w:w="475" w:type="pct"/>
            <w:tcBorders>
              <w:tl2br w:val="nil"/>
              <w:tr2bl w:val="nil"/>
            </w:tcBorders>
            <w:shd w:val="clear" w:color="auto" w:fill="auto"/>
            <w:vAlign w:val="center"/>
          </w:tcPr>
          <w:p w14:paraId="0593A4D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position w:val="2"/>
                <w:sz w:val="21"/>
                <w:szCs w:val="21"/>
              </w:rPr>
              <w:t>NO</w:t>
            </w:r>
            <w:r>
              <w:rPr>
                <w:rFonts w:hint="default" w:ascii="Times New Roman" w:hAnsi="Times New Roman" w:cs="Times New Roman"/>
                <w:color w:val="auto"/>
                <w:position w:val="2"/>
                <w:sz w:val="21"/>
                <w:szCs w:val="21"/>
                <w:lang w:val="en-US" w:eastAsia="zh-CN"/>
              </w:rPr>
              <w:t>x</w:t>
            </w:r>
          </w:p>
        </w:tc>
        <w:tc>
          <w:tcPr>
            <w:tcW w:w="436" w:type="pct"/>
            <w:tcBorders>
              <w:tl2br w:val="nil"/>
              <w:tr2bl w:val="nil"/>
            </w:tcBorders>
            <w:shd w:val="clear" w:color="auto" w:fill="auto"/>
            <w:vAlign w:val="center"/>
          </w:tcPr>
          <w:p w14:paraId="0E675B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3C1730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0.57</w:t>
            </w:r>
          </w:p>
        </w:tc>
        <w:tc>
          <w:tcPr>
            <w:tcW w:w="568" w:type="pct"/>
            <w:tcBorders>
              <w:tl2br w:val="nil"/>
              <w:tr2bl w:val="nil"/>
            </w:tcBorders>
            <w:shd w:val="clear" w:color="auto" w:fill="auto"/>
            <w:vAlign w:val="center"/>
          </w:tcPr>
          <w:p w14:paraId="246FB58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2AFAF8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0.57</w:t>
            </w:r>
          </w:p>
        </w:tc>
        <w:tc>
          <w:tcPr>
            <w:tcW w:w="900" w:type="pct"/>
            <w:tcBorders>
              <w:tl2br w:val="nil"/>
              <w:tr2bl w:val="nil"/>
            </w:tcBorders>
            <w:vAlign w:val="center"/>
          </w:tcPr>
          <w:p w14:paraId="7D51C6C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3B4615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77470F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79D9303A">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c>
          <w:tcPr>
            <w:tcW w:w="691" w:type="pct"/>
            <w:vMerge w:val="continue"/>
            <w:tcBorders>
              <w:tl2br w:val="nil"/>
              <w:tr2bl w:val="nil"/>
            </w:tcBorders>
            <w:shd w:val="clear" w:color="auto" w:fill="auto"/>
            <w:vAlign w:val="center"/>
          </w:tcPr>
          <w:p w14:paraId="63A7C39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c>
          <w:tcPr>
            <w:tcW w:w="475" w:type="pct"/>
            <w:tcBorders>
              <w:tl2br w:val="nil"/>
              <w:tr2bl w:val="nil"/>
            </w:tcBorders>
            <w:shd w:val="clear" w:color="auto" w:fill="auto"/>
            <w:vAlign w:val="center"/>
          </w:tcPr>
          <w:p w14:paraId="5A29411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粉尘</w:t>
            </w:r>
          </w:p>
        </w:tc>
        <w:tc>
          <w:tcPr>
            <w:tcW w:w="436" w:type="pct"/>
            <w:tcBorders>
              <w:tl2br w:val="nil"/>
              <w:tr2bl w:val="nil"/>
            </w:tcBorders>
            <w:shd w:val="clear" w:color="auto" w:fill="auto"/>
            <w:vAlign w:val="center"/>
          </w:tcPr>
          <w:p w14:paraId="3EE239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657B00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0.007</w:t>
            </w:r>
          </w:p>
        </w:tc>
        <w:tc>
          <w:tcPr>
            <w:tcW w:w="568" w:type="pct"/>
            <w:tcBorders>
              <w:tl2br w:val="nil"/>
              <w:tr2bl w:val="nil"/>
            </w:tcBorders>
            <w:shd w:val="clear" w:color="auto" w:fill="auto"/>
            <w:vAlign w:val="center"/>
          </w:tcPr>
          <w:p w14:paraId="1CDBF94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25D411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0.007</w:t>
            </w:r>
          </w:p>
        </w:tc>
        <w:tc>
          <w:tcPr>
            <w:tcW w:w="900" w:type="pct"/>
            <w:tcBorders>
              <w:tl2br w:val="nil"/>
              <w:tr2bl w:val="nil"/>
            </w:tcBorders>
            <w:vAlign w:val="center"/>
          </w:tcPr>
          <w:p w14:paraId="7A8B83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0B6339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01450DF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67D77C0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c>
          <w:tcPr>
            <w:tcW w:w="691" w:type="pct"/>
            <w:tcBorders>
              <w:tl2br w:val="nil"/>
              <w:tr2bl w:val="nil"/>
            </w:tcBorders>
            <w:shd w:val="clear" w:color="auto" w:fill="auto"/>
            <w:vAlign w:val="center"/>
          </w:tcPr>
          <w:p w14:paraId="7701291C">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运输扬尘</w:t>
            </w:r>
          </w:p>
        </w:tc>
        <w:tc>
          <w:tcPr>
            <w:tcW w:w="475" w:type="pct"/>
            <w:tcBorders>
              <w:tl2br w:val="nil"/>
              <w:tr2bl w:val="nil"/>
            </w:tcBorders>
            <w:shd w:val="clear" w:color="auto" w:fill="auto"/>
            <w:vAlign w:val="center"/>
          </w:tcPr>
          <w:p w14:paraId="73BC29B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粉尘</w:t>
            </w:r>
          </w:p>
        </w:tc>
        <w:tc>
          <w:tcPr>
            <w:tcW w:w="436" w:type="pct"/>
            <w:tcBorders>
              <w:tl2br w:val="nil"/>
              <w:tr2bl w:val="nil"/>
            </w:tcBorders>
            <w:shd w:val="clear" w:color="auto" w:fill="auto"/>
            <w:vAlign w:val="center"/>
          </w:tcPr>
          <w:p w14:paraId="49AD4F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6663927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91.36</w:t>
            </w:r>
          </w:p>
        </w:tc>
        <w:tc>
          <w:tcPr>
            <w:tcW w:w="568" w:type="pct"/>
            <w:tcBorders>
              <w:tl2br w:val="nil"/>
              <w:tr2bl w:val="nil"/>
            </w:tcBorders>
            <w:shd w:val="clear" w:color="auto" w:fill="auto"/>
            <w:vAlign w:val="center"/>
          </w:tcPr>
          <w:p w14:paraId="5EEE2F2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77.61</w:t>
            </w:r>
          </w:p>
        </w:tc>
        <w:tc>
          <w:tcPr>
            <w:tcW w:w="548" w:type="pct"/>
            <w:tcBorders>
              <w:tl2br w:val="nil"/>
              <w:tr2bl w:val="nil"/>
            </w:tcBorders>
            <w:shd w:val="clear" w:color="auto" w:fill="auto"/>
            <w:vAlign w:val="center"/>
          </w:tcPr>
          <w:p w14:paraId="0379F2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13.75</w:t>
            </w:r>
          </w:p>
        </w:tc>
        <w:tc>
          <w:tcPr>
            <w:tcW w:w="900" w:type="pct"/>
            <w:tcBorders>
              <w:tl2br w:val="nil"/>
              <w:tr2bl w:val="nil"/>
            </w:tcBorders>
            <w:vAlign w:val="center"/>
          </w:tcPr>
          <w:p w14:paraId="051A32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777755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4E83381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786CD9C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p>
        </w:tc>
        <w:tc>
          <w:tcPr>
            <w:tcW w:w="691" w:type="pct"/>
            <w:tcBorders>
              <w:tl2br w:val="nil"/>
              <w:tr2bl w:val="nil"/>
            </w:tcBorders>
            <w:shd w:val="clear" w:color="auto" w:fill="auto"/>
            <w:vAlign w:val="center"/>
          </w:tcPr>
          <w:p w14:paraId="53FD891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1号</w:t>
            </w:r>
            <w:r>
              <w:rPr>
                <w:rFonts w:hint="default" w:ascii="Times New Roman" w:hAnsi="Times New Roman" w:eastAsia="宋体" w:cs="Times New Roman"/>
                <w:color w:val="auto"/>
                <w:spacing w:val="0"/>
                <w:w w:val="100"/>
                <w:position w:val="0"/>
                <w:sz w:val="21"/>
                <w:szCs w:val="21"/>
              </w:rPr>
              <w:t>废石场</w:t>
            </w:r>
          </w:p>
        </w:tc>
        <w:tc>
          <w:tcPr>
            <w:tcW w:w="475" w:type="pct"/>
            <w:tcBorders>
              <w:tl2br w:val="nil"/>
              <w:tr2bl w:val="nil"/>
            </w:tcBorders>
            <w:vAlign w:val="center"/>
          </w:tcPr>
          <w:p w14:paraId="468A3B7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vAlign w:val="center"/>
          </w:tcPr>
          <w:p w14:paraId="18832D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695EEC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1.53</w:t>
            </w:r>
          </w:p>
        </w:tc>
        <w:tc>
          <w:tcPr>
            <w:tcW w:w="568" w:type="pct"/>
            <w:tcBorders>
              <w:tl2br w:val="nil"/>
              <w:tr2bl w:val="nil"/>
            </w:tcBorders>
            <w:shd w:val="clear" w:color="auto" w:fill="auto"/>
            <w:vAlign w:val="center"/>
          </w:tcPr>
          <w:p w14:paraId="3200872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1.13</w:t>
            </w:r>
          </w:p>
        </w:tc>
        <w:tc>
          <w:tcPr>
            <w:tcW w:w="548" w:type="pct"/>
            <w:tcBorders>
              <w:tl2br w:val="nil"/>
              <w:tr2bl w:val="nil"/>
            </w:tcBorders>
            <w:vAlign w:val="center"/>
          </w:tcPr>
          <w:p w14:paraId="1CD5A22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0.40</w:t>
            </w:r>
          </w:p>
        </w:tc>
        <w:tc>
          <w:tcPr>
            <w:tcW w:w="900" w:type="pct"/>
            <w:tcBorders>
              <w:tl2br w:val="nil"/>
              <w:tr2bl w:val="nil"/>
            </w:tcBorders>
            <w:vAlign w:val="center"/>
          </w:tcPr>
          <w:p w14:paraId="4C4D9B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01F383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097698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7671E9C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p>
        </w:tc>
        <w:tc>
          <w:tcPr>
            <w:tcW w:w="691" w:type="pct"/>
            <w:tcBorders>
              <w:tl2br w:val="nil"/>
              <w:tr2bl w:val="nil"/>
            </w:tcBorders>
            <w:shd w:val="clear" w:color="auto" w:fill="auto"/>
            <w:vAlign w:val="center"/>
          </w:tcPr>
          <w:p w14:paraId="21C6BB7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2号</w:t>
            </w:r>
            <w:r>
              <w:rPr>
                <w:rFonts w:hint="default" w:ascii="Times New Roman" w:hAnsi="Times New Roman" w:eastAsia="宋体" w:cs="Times New Roman"/>
                <w:color w:val="auto"/>
                <w:spacing w:val="0"/>
                <w:w w:val="100"/>
                <w:position w:val="0"/>
                <w:sz w:val="21"/>
                <w:szCs w:val="21"/>
              </w:rPr>
              <w:t>废石场</w:t>
            </w:r>
          </w:p>
        </w:tc>
        <w:tc>
          <w:tcPr>
            <w:tcW w:w="475" w:type="pct"/>
            <w:tcBorders>
              <w:tl2br w:val="nil"/>
              <w:tr2bl w:val="nil"/>
            </w:tcBorders>
            <w:shd w:val="clear" w:color="auto" w:fill="auto"/>
            <w:vAlign w:val="center"/>
          </w:tcPr>
          <w:p w14:paraId="2D3C5D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shd w:val="clear" w:color="auto" w:fill="auto"/>
            <w:vAlign w:val="center"/>
          </w:tcPr>
          <w:p w14:paraId="42A3B3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75A5A8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0.08</w:t>
            </w:r>
          </w:p>
        </w:tc>
        <w:tc>
          <w:tcPr>
            <w:tcW w:w="568" w:type="pct"/>
            <w:tcBorders>
              <w:tl2br w:val="nil"/>
              <w:tr2bl w:val="nil"/>
            </w:tcBorders>
            <w:shd w:val="clear" w:color="auto" w:fill="auto"/>
            <w:vAlign w:val="center"/>
          </w:tcPr>
          <w:p w14:paraId="0063E46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0.06</w:t>
            </w:r>
          </w:p>
        </w:tc>
        <w:tc>
          <w:tcPr>
            <w:tcW w:w="548" w:type="pct"/>
            <w:tcBorders>
              <w:tl2br w:val="nil"/>
              <w:tr2bl w:val="nil"/>
            </w:tcBorders>
            <w:vAlign w:val="center"/>
          </w:tcPr>
          <w:p w14:paraId="193CA2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0.02</w:t>
            </w:r>
          </w:p>
        </w:tc>
        <w:tc>
          <w:tcPr>
            <w:tcW w:w="900" w:type="pct"/>
            <w:tcBorders>
              <w:tl2br w:val="nil"/>
              <w:tr2bl w:val="nil"/>
            </w:tcBorders>
            <w:vAlign w:val="center"/>
          </w:tcPr>
          <w:p w14:paraId="6004F2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2B5B57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274309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6ED7B68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p>
        </w:tc>
        <w:tc>
          <w:tcPr>
            <w:tcW w:w="691" w:type="pct"/>
            <w:tcBorders>
              <w:tl2br w:val="nil"/>
              <w:tr2bl w:val="nil"/>
            </w:tcBorders>
            <w:shd w:val="clear" w:color="auto" w:fill="auto"/>
            <w:vAlign w:val="center"/>
          </w:tcPr>
          <w:p w14:paraId="336B2DA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3号</w:t>
            </w:r>
            <w:r>
              <w:rPr>
                <w:rFonts w:hint="default" w:ascii="Times New Roman" w:hAnsi="Times New Roman" w:eastAsia="宋体" w:cs="Times New Roman"/>
                <w:color w:val="auto"/>
                <w:spacing w:val="0"/>
                <w:w w:val="100"/>
                <w:position w:val="0"/>
                <w:sz w:val="21"/>
                <w:szCs w:val="21"/>
              </w:rPr>
              <w:t>废石场</w:t>
            </w:r>
          </w:p>
        </w:tc>
        <w:tc>
          <w:tcPr>
            <w:tcW w:w="475" w:type="pct"/>
            <w:tcBorders>
              <w:tl2br w:val="nil"/>
              <w:tr2bl w:val="nil"/>
            </w:tcBorders>
            <w:shd w:val="clear" w:color="auto" w:fill="auto"/>
            <w:vAlign w:val="center"/>
          </w:tcPr>
          <w:p w14:paraId="55A058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shd w:val="clear" w:color="auto" w:fill="auto"/>
            <w:vAlign w:val="center"/>
          </w:tcPr>
          <w:p w14:paraId="1CAD104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50D5D8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1.91</w:t>
            </w:r>
          </w:p>
        </w:tc>
        <w:tc>
          <w:tcPr>
            <w:tcW w:w="568" w:type="pct"/>
            <w:tcBorders>
              <w:tl2br w:val="nil"/>
              <w:tr2bl w:val="nil"/>
            </w:tcBorders>
            <w:shd w:val="clear" w:color="auto" w:fill="auto"/>
            <w:vAlign w:val="center"/>
          </w:tcPr>
          <w:p w14:paraId="1B60010B">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1.41</w:t>
            </w:r>
          </w:p>
        </w:tc>
        <w:tc>
          <w:tcPr>
            <w:tcW w:w="548" w:type="pct"/>
            <w:tcBorders>
              <w:tl2br w:val="nil"/>
              <w:tr2bl w:val="nil"/>
            </w:tcBorders>
            <w:vAlign w:val="center"/>
          </w:tcPr>
          <w:p w14:paraId="319AEB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0.50</w:t>
            </w:r>
          </w:p>
        </w:tc>
        <w:tc>
          <w:tcPr>
            <w:tcW w:w="900" w:type="pct"/>
            <w:tcBorders>
              <w:tl2br w:val="nil"/>
              <w:tr2bl w:val="nil"/>
            </w:tcBorders>
            <w:vAlign w:val="center"/>
          </w:tcPr>
          <w:p w14:paraId="306BDC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56E612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31846B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31BAAF5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p>
        </w:tc>
        <w:tc>
          <w:tcPr>
            <w:tcW w:w="691" w:type="pct"/>
            <w:tcBorders>
              <w:tl2br w:val="nil"/>
              <w:tr2bl w:val="nil"/>
            </w:tcBorders>
            <w:shd w:val="clear" w:color="auto" w:fill="auto"/>
            <w:vAlign w:val="center"/>
          </w:tcPr>
          <w:p w14:paraId="4BF9650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矿石堆场</w:t>
            </w:r>
          </w:p>
        </w:tc>
        <w:tc>
          <w:tcPr>
            <w:tcW w:w="475" w:type="pct"/>
            <w:tcBorders>
              <w:tl2br w:val="nil"/>
              <w:tr2bl w:val="nil"/>
            </w:tcBorders>
            <w:vAlign w:val="center"/>
          </w:tcPr>
          <w:p w14:paraId="474CD2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vAlign w:val="center"/>
          </w:tcPr>
          <w:p w14:paraId="14ACE9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190645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44.59</w:t>
            </w:r>
          </w:p>
        </w:tc>
        <w:tc>
          <w:tcPr>
            <w:tcW w:w="568" w:type="pct"/>
            <w:tcBorders>
              <w:tl2br w:val="nil"/>
              <w:tr2bl w:val="nil"/>
            </w:tcBorders>
            <w:shd w:val="clear" w:color="auto" w:fill="auto"/>
            <w:vAlign w:val="center"/>
          </w:tcPr>
          <w:p w14:paraId="51F180D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33</w:t>
            </w:r>
          </w:p>
        </w:tc>
        <w:tc>
          <w:tcPr>
            <w:tcW w:w="548" w:type="pct"/>
            <w:tcBorders>
              <w:tl2br w:val="nil"/>
              <w:tr2bl w:val="nil"/>
            </w:tcBorders>
            <w:shd w:val="clear" w:color="auto" w:fill="auto"/>
            <w:vAlign w:val="center"/>
          </w:tcPr>
          <w:p w14:paraId="10AD090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4.64</w:t>
            </w:r>
          </w:p>
        </w:tc>
        <w:tc>
          <w:tcPr>
            <w:tcW w:w="900" w:type="pct"/>
            <w:tcBorders>
              <w:tl2br w:val="nil"/>
              <w:tr2bl w:val="nil"/>
            </w:tcBorders>
            <w:vAlign w:val="center"/>
          </w:tcPr>
          <w:p w14:paraId="12D3EFA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r>
      <w:tr w14:paraId="1C5429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vAlign w:val="center"/>
          </w:tcPr>
          <w:p w14:paraId="6D326F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3859F8E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en-US" w:bidi="ar-SA"/>
              </w:rPr>
            </w:pPr>
          </w:p>
        </w:tc>
        <w:tc>
          <w:tcPr>
            <w:tcW w:w="691" w:type="pct"/>
            <w:tcBorders>
              <w:tl2br w:val="nil"/>
              <w:tr2bl w:val="nil"/>
            </w:tcBorders>
            <w:shd w:val="clear" w:color="auto" w:fill="auto"/>
            <w:vAlign w:val="center"/>
          </w:tcPr>
          <w:p w14:paraId="1835DB51">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水泥筒仓</w:t>
            </w:r>
          </w:p>
        </w:tc>
        <w:tc>
          <w:tcPr>
            <w:tcW w:w="475" w:type="pct"/>
            <w:tcBorders>
              <w:tl2br w:val="nil"/>
              <w:tr2bl w:val="nil"/>
            </w:tcBorders>
            <w:shd w:val="clear" w:color="auto" w:fill="auto"/>
            <w:vAlign w:val="center"/>
          </w:tcPr>
          <w:p w14:paraId="3B38FB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shd w:val="clear" w:color="auto" w:fill="auto"/>
            <w:vAlign w:val="center"/>
          </w:tcPr>
          <w:p w14:paraId="03CF9C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000C2C5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1.05</w:t>
            </w:r>
          </w:p>
        </w:tc>
        <w:tc>
          <w:tcPr>
            <w:tcW w:w="568" w:type="pct"/>
            <w:tcBorders>
              <w:tl2br w:val="nil"/>
              <w:tr2bl w:val="nil"/>
            </w:tcBorders>
            <w:shd w:val="clear" w:color="auto" w:fill="auto"/>
            <w:vAlign w:val="center"/>
          </w:tcPr>
          <w:p w14:paraId="41A43F1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1.047</w:t>
            </w:r>
          </w:p>
        </w:tc>
        <w:tc>
          <w:tcPr>
            <w:tcW w:w="548" w:type="pct"/>
            <w:tcBorders>
              <w:tl2br w:val="nil"/>
              <w:tr2bl w:val="nil"/>
            </w:tcBorders>
            <w:shd w:val="clear" w:color="auto" w:fill="auto"/>
            <w:vAlign w:val="center"/>
          </w:tcPr>
          <w:p w14:paraId="374F90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0.003</w:t>
            </w:r>
          </w:p>
        </w:tc>
        <w:tc>
          <w:tcPr>
            <w:tcW w:w="900" w:type="pct"/>
            <w:tcBorders>
              <w:tl2br w:val="nil"/>
              <w:tr2bl w:val="nil"/>
            </w:tcBorders>
            <w:shd w:val="clear" w:color="auto" w:fill="auto"/>
            <w:vAlign w:val="center"/>
          </w:tcPr>
          <w:p w14:paraId="6CF7E36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r>
      <w:tr w14:paraId="664D85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324" w:type="pct"/>
            <w:vMerge w:val="continue"/>
            <w:tcBorders>
              <w:tl2br w:val="nil"/>
              <w:tr2bl w:val="nil"/>
            </w:tcBorders>
            <w:vAlign w:val="center"/>
          </w:tcPr>
          <w:p w14:paraId="4573ECD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335" w:type="pct"/>
            <w:vMerge w:val="continue"/>
            <w:tcBorders>
              <w:tl2br w:val="nil"/>
              <w:tr2bl w:val="nil"/>
            </w:tcBorders>
            <w:shd w:val="clear" w:color="auto" w:fill="auto"/>
            <w:vAlign w:val="center"/>
          </w:tcPr>
          <w:p w14:paraId="06DCDDC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c>
          <w:tcPr>
            <w:tcW w:w="691" w:type="pct"/>
            <w:tcBorders>
              <w:tl2br w:val="nil"/>
              <w:tr2bl w:val="nil"/>
            </w:tcBorders>
            <w:shd w:val="clear" w:color="auto" w:fill="auto"/>
            <w:vAlign w:val="center"/>
          </w:tcPr>
          <w:p w14:paraId="4809129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破碎车间</w:t>
            </w:r>
          </w:p>
        </w:tc>
        <w:tc>
          <w:tcPr>
            <w:tcW w:w="475" w:type="pct"/>
            <w:tcBorders>
              <w:tl2br w:val="nil"/>
              <w:tr2bl w:val="nil"/>
            </w:tcBorders>
            <w:shd w:val="clear" w:color="auto" w:fill="auto"/>
            <w:vAlign w:val="center"/>
          </w:tcPr>
          <w:p w14:paraId="772857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粉尘</w:t>
            </w:r>
          </w:p>
        </w:tc>
        <w:tc>
          <w:tcPr>
            <w:tcW w:w="436" w:type="pct"/>
            <w:tcBorders>
              <w:tl2br w:val="nil"/>
              <w:tr2bl w:val="nil"/>
            </w:tcBorders>
            <w:shd w:val="clear" w:color="auto" w:fill="auto"/>
            <w:vAlign w:val="center"/>
          </w:tcPr>
          <w:p w14:paraId="411979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45379E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ascii="Times New Roman" w:hAnsi="Times New Roman" w:cs="Times New Roman"/>
                <w:color w:val="auto"/>
                <w:spacing w:val="0"/>
                <w:w w:val="100"/>
                <w:kern w:val="2"/>
                <w:position w:val="0"/>
                <w:sz w:val="21"/>
                <w:szCs w:val="21"/>
                <w:lang w:val="en-US" w:eastAsia="zh-CN" w:bidi="ar-SA"/>
              </w:rPr>
              <w:t>5.925</w:t>
            </w:r>
          </w:p>
        </w:tc>
        <w:tc>
          <w:tcPr>
            <w:tcW w:w="568" w:type="pct"/>
            <w:tcBorders>
              <w:tl2br w:val="nil"/>
              <w:tr2bl w:val="nil"/>
            </w:tcBorders>
            <w:shd w:val="clear" w:color="auto" w:fill="auto"/>
            <w:vAlign w:val="center"/>
          </w:tcPr>
          <w:p w14:paraId="5DB3AE0F">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6867F4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0.</w:t>
            </w:r>
            <w:r>
              <w:rPr>
                <w:rFonts w:hint="eastAsia" w:ascii="Times New Roman" w:hAnsi="Times New Roman" w:cs="Times New Roman"/>
                <w:color w:val="auto"/>
                <w:spacing w:val="0"/>
                <w:w w:val="100"/>
                <w:kern w:val="2"/>
                <w:position w:val="0"/>
                <w:sz w:val="21"/>
                <w:szCs w:val="21"/>
                <w:lang w:val="en-US" w:eastAsia="zh-CN" w:bidi="ar-SA"/>
              </w:rPr>
              <w:t>06</w:t>
            </w:r>
          </w:p>
        </w:tc>
        <w:tc>
          <w:tcPr>
            <w:tcW w:w="900" w:type="pct"/>
            <w:tcBorders>
              <w:tl2br w:val="nil"/>
              <w:tr2bl w:val="nil"/>
            </w:tcBorders>
            <w:shd w:val="clear" w:color="auto" w:fill="auto"/>
            <w:vAlign w:val="center"/>
          </w:tcPr>
          <w:p w14:paraId="228E8E0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p>
        </w:tc>
      </w:tr>
      <w:tr w14:paraId="7F7913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restart"/>
            <w:tcBorders>
              <w:tl2br w:val="nil"/>
              <w:tr2bl w:val="nil"/>
            </w:tcBorders>
            <w:vAlign w:val="center"/>
          </w:tcPr>
          <w:p w14:paraId="0AE345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废水</w:t>
            </w:r>
          </w:p>
        </w:tc>
        <w:tc>
          <w:tcPr>
            <w:tcW w:w="1027" w:type="pct"/>
            <w:gridSpan w:val="2"/>
            <w:tcBorders>
              <w:tl2br w:val="nil"/>
              <w:tr2bl w:val="nil"/>
            </w:tcBorders>
            <w:shd w:val="clear" w:color="auto" w:fill="auto"/>
            <w:vAlign w:val="center"/>
          </w:tcPr>
          <w:p w14:paraId="35BC12F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生活污水</w:t>
            </w:r>
          </w:p>
        </w:tc>
        <w:tc>
          <w:tcPr>
            <w:tcW w:w="475" w:type="pct"/>
            <w:tcBorders>
              <w:tl2br w:val="nil"/>
              <w:tr2bl w:val="nil"/>
            </w:tcBorders>
            <w:shd w:val="clear" w:color="auto" w:fill="auto"/>
            <w:vAlign w:val="center"/>
          </w:tcPr>
          <w:p w14:paraId="431D35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废水量</w:t>
            </w:r>
          </w:p>
        </w:tc>
        <w:tc>
          <w:tcPr>
            <w:tcW w:w="436" w:type="pct"/>
            <w:tcBorders>
              <w:tl2br w:val="nil"/>
              <w:tr2bl w:val="nil"/>
            </w:tcBorders>
            <w:shd w:val="clear" w:color="auto" w:fill="auto"/>
            <w:vAlign w:val="center"/>
          </w:tcPr>
          <w:p w14:paraId="0BEAD48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万</w:t>
            </w:r>
            <w:r>
              <w:rPr>
                <w:rFonts w:hint="default" w:ascii="Times New Roman" w:hAnsi="Times New Roman" w:eastAsia="宋体" w:cs="Times New Roman"/>
                <w:color w:val="auto"/>
                <w:spacing w:val="0"/>
                <w:w w:val="100"/>
                <w:position w:val="0"/>
                <w:sz w:val="21"/>
                <w:szCs w:val="21"/>
              </w:rPr>
              <w:t>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/a</w:t>
            </w:r>
          </w:p>
        </w:tc>
        <w:tc>
          <w:tcPr>
            <w:tcW w:w="719" w:type="pct"/>
            <w:tcBorders>
              <w:tl2br w:val="nil"/>
              <w:tr2bl w:val="nil"/>
            </w:tcBorders>
            <w:shd w:val="clear" w:color="auto" w:fill="auto"/>
            <w:vAlign w:val="center"/>
          </w:tcPr>
          <w:p w14:paraId="355A04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0.3136</w:t>
            </w:r>
          </w:p>
        </w:tc>
        <w:tc>
          <w:tcPr>
            <w:tcW w:w="568" w:type="pct"/>
            <w:tcBorders>
              <w:tl2br w:val="nil"/>
              <w:tr2bl w:val="nil"/>
            </w:tcBorders>
            <w:shd w:val="clear" w:color="auto" w:fill="auto"/>
            <w:vAlign w:val="center"/>
          </w:tcPr>
          <w:p w14:paraId="77A744A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0.3136</w:t>
            </w:r>
          </w:p>
        </w:tc>
        <w:tc>
          <w:tcPr>
            <w:tcW w:w="548" w:type="pct"/>
            <w:tcBorders>
              <w:tl2br w:val="nil"/>
              <w:tr2bl w:val="nil"/>
            </w:tcBorders>
            <w:shd w:val="clear" w:color="auto" w:fill="auto"/>
            <w:vAlign w:val="center"/>
          </w:tcPr>
          <w:p w14:paraId="1B27F8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w:t>
            </w:r>
          </w:p>
        </w:tc>
        <w:tc>
          <w:tcPr>
            <w:tcW w:w="900" w:type="pct"/>
            <w:tcBorders>
              <w:tl2br w:val="nil"/>
              <w:tr2bl w:val="nil"/>
            </w:tcBorders>
            <w:shd w:val="clear" w:color="auto" w:fill="auto"/>
            <w:vAlign w:val="center"/>
          </w:tcPr>
          <w:p w14:paraId="538CB4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处理后回用</w:t>
            </w:r>
          </w:p>
        </w:tc>
      </w:tr>
      <w:tr w14:paraId="49EA4E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4" w:type="pct"/>
            <w:vMerge w:val="continue"/>
            <w:tcBorders>
              <w:tl2br w:val="nil"/>
              <w:tr2bl w:val="nil"/>
            </w:tcBorders>
            <w:vAlign w:val="center"/>
          </w:tcPr>
          <w:p w14:paraId="3C1D2A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027" w:type="pct"/>
            <w:gridSpan w:val="2"/>
            <w:tcBorders>
              <w:tl2br w:val="nil"/>
              <w:tr2bl w:val="nil"/>
            </w:tcBorders>
            <w:shd w:val="clear" w:color="auto" w:fill="auto"/>
            <w:vAlign w:val="center"/>
          </w:tcPr>
          <w:p w14:paraId="2D008C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涌水</w:t>
            </w:r>
          </w:p>
        </w:tc>
        <w:tc>
          <w:tcPr>
            <w:tcW w:w="475" w:type="pct"/>
            <w:tcBorders>
              <w:tl2br w:val="nil"/>
              <w:tr2bl w:val="nil"/>
            </w:tcBorders>
            <w:shd w:val="clear" w:color="auto" w:fill="auto"/>
            <w:vAlign w:val="center"/>
          </w:tcPr>
          <w:p w14:paraId="6FB772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废水量</w:t>
            </w:r>
          </w:p>
        </w:tc>
        <w:tc>
          <w:tcPr>
            <w:tcW w:w="436" w:type="pct"/>
            <w:tcBorders>
              <w:tl2br w:val="nil"/>
              <w:tr2bl w:val="nil"/>
            </w:tcBorders>
            <w:shd w:val="clear" w:color="auto" w:fill="auto"/>
            <w:vAlign w:val="center"/>
          </w:tcPr>
          <w:p w14:paraId="2252EC7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万</w:t>
            </w:r>
            <w:r>
              <w:rPr>
                <w:rFonts w:hint="default" w:ascii="Times New Roman" w:hAnsi="Times New Roman" w:eastAsia="宋体" w:cs="Times New Roman"/>
                <w:color w:val="auto"/>
                <w:spacing w:val="0"/>
                <w:w w:val="100"/>
                <w:position w:val="0"/>
                <w:sz w:val="21"/>
                <w:szCs w:val="21"/>
              </w:rPr>
              <w:t>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cs="Times New Roman"/>
                <w:color w:val="auto"/>
                <w:spacing w:val="0"/>
                <w:w w:val="100"/>
                <w:position w:val="0"/>
                <w:sz w:val="21"/>
                <w:szCs w:val="21"/>
                <w:lang w:val="en-US" w:eastAsia="zh-CN"/>
              </w:rPr>
              <w:t>a</w:t>
            </w:r>
          </w:p>
        </w:tc>
        <w:tc>
          <w:tcPr>
            <w:tcW w:w="719" w:type="pct"/>
            <w:tcBorders>
              <w:tl2br w:val="nil"/>
              <w:tr2bl w:val="nil"/>
            </w:tcBorders>
            <w:shd w:val="clear" w:color="auto" w:fill="auto"/>
            <w:vAlign w:val="center"/>
          </w:tcPr>
          <w:p w14:paraId="51293E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18.72</w:t>
            </w:r>
          </w:p>
        </w:tc>
        <w:tc>
          <w:tcPr>
            <w:tcW w:w="568" w:type="pct"/>
            <w:tcBorders>
              <w:tl2br w:val="nil"/>
              <w:tr2bl w:val="nil"/>
            </w:tcBorders>
            <w:shd w:val="clear" w:color="auto" w:fill="auto"/>
            <w:vAlign w:val="center"/>
          </w:tcPr>
          <w:p w14:paraId="19002A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18.72</w:t>
            </w:r>
          </w:p>
        </w:tc>
        <w:tc>
          <w:tcPr>
            <w:tcW w:w="548" w:type="pct"/>
            <w:tcBorders>
              <w:tl2br w:val="nil"/>
              <w:tr2bl w:val="nil"/>
            </w:tcBorders>
            <w:shd w:val="clear" w:color="auto" w:fill="auto"/>
            <w:vAlign w:val="center"/>
          </w:tcPr>
          <w:p w14:paraId="738E8F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w:t>
            </w:r>
          </w:p>
        </w:tc>
        <w:tc>
          <w:tcPr>
            <w:tcW w:w="900" w:type="pct"/>
            <w:tcBorders>
              <w:tl2br w:val="nil"/>
              <w:tr2bl w:val="nil"/>
            </w:tcBorders>
            <w:shd w:val="clear" w:color="auto" w:fill="auto"/>
            <w:vAlign w:val="center"/>
          </w:tcPr>
          <w:p w14:paraId="3787A25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处理后回用</w:t>
            </w:r>
          </w:p>
        </w:tc>
      </w:tr>
      <w:tr w14:paraId="78ED0B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324" w:type="pct"/>
            <w:vMerge w:val="restart"/>
            <w:tcBorders>
              <w:tl2br w:val="nil"/>
              <w:tr2bl w:val="nil"/>
            </w:tcBorders>
            <w:vAlign w:val="center"/>
          </w:tcPr>
          <w:p w14:paraId="2D1A564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固废</w:t>
            </w:r>
          </w:p>
        </w:tc>
        <w:tc>
          <w:tcPr>
            <w:tcW w:w="1502" w:type="pct"/>
            <w:gridSpan w:val="3"/>
            <w:tcBorders>
              <w:tl2br w:val="nil"/>
              <w:tr2bl w:val="nil"/>
            </w:tcBorders>
            <w:vAlign w:val="center"/>
          </w:tcPr>
          <w:p w14:paraId="42B5DAB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w:t>
            </w:r>
          </w:p>
        </w:tc>
        <w:tc>
          <w:tcPr>
            <w:tcW w:w="436" w:type="pct"/>
            <w:tcBorders>
              <w:tl2br w:val="nil"/>
              <w:tr2bl w:val="nil"/>
            </w:tcBorders>
            <w:vAlign w:val="center"/>
          </w:tcPr>
          <w:p w14:paraId="40156C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万t</w:t>
            </w:r>
          </w:p>
        </w:tc>
        <w:tc>
          <w:tcPr>
            <w:tcW w:w="719" w:type="pct"/>
            <w:tcBorders>
              <w:tl2br w:val="nil"/>
              <w:tr2bl w:val="nil"/>
            </w:tcBorders>
            <w:vAlign w:val="center"/>
          </w:tcPr>
          <w:p w14:paraId="32DB82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2.47</w:t>
            </w:r>
          </w:p>
        </w:tc>
        <w:tc>
          <w:tcPr>
            <w:tcW w:w="568" w:type="pct"/>
            <w:tcBorders>
              <w:tl2br w:val="nil"/>
              <w:tr2bl w:val="nil"/>
            </w:tcBorders>
            <w:vAlign w:val="center"/>
          </w:tcPr>
          <w:p w14:paraId="337E249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2.47</w:t>
            </w:r>
          </w:p>
        </w:tc>
        <w:tc>
          <w:tcPr>
            <w:tcW w:w="548" w:type="pct"/>
            <w:tcBorders>
              <w:tl2br w:val="nil"/>
              <w:tr2bl w:val="nil"/>
            </w:tcBorders>
            <w:vAlign w:val="center"/>
          </w:tcPr>
          <w:p w14:paraId="4788AE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900" w:type="pct"/>
            <w:tcBorders>
              <w:tl2br w:val="nil"/>
              <w:tr2bl w:val="nil"/>
            </w:tcBorders>
            <w:vAlign w:val="center"/>
          </w:tcPr>
          <w:p w14:paraId="04F00A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用于</w:t>
            </w:r>
            <w:r>
              <w:rPr>
                <w:rFonts w:hint="default" w:ascii="Times New Roman" w:hAnsi="Times New Roman" w:cs="Times New Roman"/>
                <w:color w:val="auto"/>
                <w:spacing w:val="0"/>
                <w:w w:val="100"/>
                <w:position w:val="0"/>
                <w:sz w:val="21"/>
                <w:szCs w:val="21"/>
                <w:lang w:val="en-US" w:eastAsia="zh-CN"/>
              </w:rPr>
              <w:t>充填</w:t>
            </w:r>
          </w:p>
        </w:tc>
      </w:tr>
      <w:tr w14:paraId="35AA42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1E31F94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vAlign w:val="center"/>
          </w:tcPr>
          <w:p w14:paraId="0ADE7E1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除尘灰</w:t>
            </w:r>
          </w:p>
        </w:tc>
        <w:tc>
          <w:tcPr>
            <w:tcW w:w="436" w:type="pct"/>
            <w:tcBorders>
              <w:tl2br w:val="nil"/>
              <w:tr2bl w:val="nil"/>
            </w:tcBorders>
            <w:vAlign w:val="center"/>
          </w:tcPr>
          <w:p w14:paraId="7E84C5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24232F3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5.28</w:t>
            </w:r>
          </w:p>
        </w:tc>
        <w:tc>
          <w:tcPr>
            <w:tcW w:w="568" w:type="pct"/>
            <w:tcBorders>
              <w:tl2br w:val="nil"/>
              <w:tr2bl w:val="nil"/>
            </w:tcBorders>
            <w:vAlign w:val="center"/>
          </w:tcPr>
          <w:p w14:paraId="1FA2CA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rPr>
            </w:pPr>
            <w:r>
              <w:rPr>
                <w:rFonts w:hint="default" w:ascii="Times New Roman" w:hAnsi="Times New Roman" w:cs="Times New Roman"/>
                <w:color w:val="auto"/>
                <w:spacing w:val="0"/>
                <w:w w:val="100"/>
                <w:position w:val="0"/>
                <w:sz w:val="21"/>
                <w:szCs w:val="21"/>
                <w:lang w:val="en-US" w:eastAsia="zh-CN"/>
              </w:rPr>
              <w:t>5.28</w:t>
            </w:r>
          </w:p>
        </w:tc>
        <w:tc>
          <w:tcPr>
            <w:tcW w:w="548" w:type="pct"/>
            <w:tcBorders>
              <w:tl2br w:val="nil"/>
              <w:tr2bl w:val="nil"/>
            </w:tcBorders>
            <w:vAlign w:val="center"/>
          </w:tcPr>
          <w:p w14:paraId="46C738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w:t>
            </w:r>
          </w:p>
        </w:tc>
        <w:tc>
          <w:tcPr>
            <w:tcW w:w="900" w:type="pct"/>
            <w:tcBorders>
              <w:tl2br w:val="nil"/>
              <w:tr2bl w:val="nil"/>
            </w:tcBorders>
            <w:vAlign w:val="center"/>
          </w:tcPr>
          <w:p w14:paraId="3CEE6E8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返回</w:t>
            </w:r>
            <w:r>
              <w:rPr>
                <w:rFonts w:hint="default" w:ascii="Times New Roman" w:hAnsi="Times New Roman" w:cs="Times New Roman"/>
                <w:color w:val="auto"/>
                <w:spacing w:val="0"/>
                <w:w w:val="100"/>
                <w:position w:val="0"/>
                <w:sz w:val="21"/>
                <w:szCs w:val="21"/>
                <w:lang w:val="en-US" w:eastAsia="zh-CN"/>
              </w:rPr>
              <w:t>充填</w:t>
            </w:r>
            <w:r>
              <w:rPr>
                <w:rFonts w:hint="default" w:ascii="Times New Roman" w:hAnsi="Times New Roman" w:eastAsia="宋体" w:cs="Times New Roman"/>
                <w:color w:val="auto"/>
                <w:spacing w:val="0"/>
                <w:w w:val="100"/>
                <w:position w:val="0"/>
                <w:sz w:val="21"/>
                <w:szCs w:val="21"/>
              </w:rPr>
              <w:t>工艺</w:t>
            </w:r>
          </w:p>
        </w:tc>
      </w:tr>
      <w:tr w14:paraId="6F5292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68E5FE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vAlign w:val="center"/>
          </w:tcPr>
          <w:p w14:paraId="6D1BF15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废布袋</w:t>
            </w:r>
          </w:p>
        </w:tc>
        <w:tc>
          <w:tcPr>
            <w:tcW w:w="436" w:type="pct"/>
            <w:tcBorders>
              <w:tl2br w:val="nil"/>
              <w:tr2bl w:val="nil"/>
            </w:tcBorders>
            <w:vAlign w:val="center"/>
          </w:tcPr>
          <w:p w14:paraId="5BDB8E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58D22A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0.05</w:t>
            </w:r>
          </w:p>
        </w:tc>
        <w:tc>
          <w:tcPr>
            <w:tcW w:w="568" w:type="pct"/>
            <w:tcBorders>
              <w:tl2br w:val="nil"/>
              <w:tr2bl w:val="nil"/>
            </w:tcBorders>
            <w:vAlign w:val="center"/>
          </w:tcPr>
          <w:p w14:paraId="39E2C8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0</w:t>
            </w:r>
          </w:p>
        </w:tc>
        <w:tc>
          <w:tcPr>
            <w:tcW w:w="548" w:type="pct"/>
            <w:tcBorders>
              <w:tl2br w:val="nil"/>
              <w:tr2bl w:val="nil"/>
            </w:tcBorders>
            <w:vAlign w:val="center"/>
          </w:tcPr>
          <w:p w14:paraId="3C5F19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0.05</w:t>
            </w:r>
          </w:p>
        </w:tc>
        <w:tc>
          <w:tcPr>
            <w:tcW w:w="900" w:type="pct"/>
            <w:tcBorders>
              <w:tl2br w:val="nil"/>
              <w:tr2bl w:val="nil"/>
            </w:tcBorders>
            <w:vAlign w:val="center"/>
          </w:tcPr>
          <w:p w14:paraId="7CD8201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由原厂家回收</w:t>
            </w:r>
          </w:p>
        </w:tc>
      </w:tr>
      <w:tr w14:paraId="4A04EA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1705EF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vAlign w:val="center"/>
          </w:tcPr>
          <w:p w14:paraId="7E00333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废机油</w:t>
            </w:r>
          </w:p>
        </w:tc>
        <w:tc>
          <w:tcPr>
            <w:tcW w:w="436" w:type="pct"/>
            <w:tcBorders>
              <w:tl2br w:val="nil"/>
              <w:tr2bl w:val="nil"/>
            </w:tcBorders>
            <w:vAlign w:val="center"/>
          </w:tcPr>
          <w:p w14:paraId="2FF3F8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5DFB71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2.5</w:t>
            </w:r>
          </w:p>
        </w:tc>
        <w:tc>
          <w:tcPr>
            <w:tcW w:w="568" w:type="pct"/>
            <w:tcBorders>
              <w:tl2br w:val="nil"/>
              <w:tr2bl w:val="nil"/>
            </w:tcBorders>
            <w:vAlign w:val="center"/>
          </w:tcPr>
          <w:p w14:paraId="49D369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w:t>
            </w:r>
          </w:p>
        </w:tc>
        <w:tc>
          <w:tcPr>
            <w:tcW w:w="548" w:type="pct"/>
            <w:tcBorders>
              <w:tl2br w:val="nil"/>
              <w:tr2bl w:val="nil"/>
            </w:tcBorders>
            <w:vAlign w:val="center"/>
          </w:tcPr>
          <w:p w14:paraId="7749F44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2.5</w:t>
            </w:r>
          </w:p>
        </w:tc>
        <w:tc>
          <w:tcPr>
            <w:tcW w:w="900" w:type="pct"/>
            <w:vMerge w:val="restart"/>
            <w:tcBorders>
              <w:tl2br w:val="nil"/>
              <w:tr2bl w:val="nil"/>
            </w:tcBorders>
            <w:vAlign w:val="center"/>
          </w:tcPr>
          <w:p w14:paraId="5D82E5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危废贮存库</w:t>
            </w:r>
            <w:r>
              <w:rPr>
                <w:rFonts w:hint="default" w:ascii="Times New Roman" w:hAnsi="Times New Roman" w:eastAsia="宋体" w:cs="Times New Roman"/>
                <w:color w:val="auto"/>
                <w:spacing w:val="0"/>
                <w:w w:val="100"/>
                <w:position w:val="0"/>
                <w:sz w:val="21"/>
                <w:szCs w:val="21"/>
              </w:rPr>
              <w:t>、定期外委处置</w:t>
            </w:r>
          </w:p>
        </w:tc>
      </w:tr>
      <w:tr w14:paraId="51C453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7155AF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vAlign w:val="center"/>
          </w:tcPr>
          <w:p w14:paraId="4485D0F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废油桶</w:t>
            </w:r>
          </w:p>
        </w:tc>
        <w:tc>
          <w:tcPr>
            <w:tcW w:w="436" w:type="pct"/>
            <w:tcBorders>
              <w:tl2br w:val="nil"/>
              <w:tr2bl w:val="nil"/>
            </w:tcBorders>
            <w:shd w:val="clear" w:color="auto" w:fill="auto"/>
            <w:vAlign w:val="center"/>
          </w:tcPr>
          <w:p w14:paraId="252F8DC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4250B3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0.5</w:t>
            </w:r>
          </w:p>
        </w:tc>
        <w:tc>
          <w:tcPr>
            <w:tcW w:w="568" w:type="pct"/>
            <w:tcBorders>
              <w:tl2br w:val="nil"/>
              <w:tr2bl w:val="nil"/>
            </w:tcBorders>
            <w:shd w:val="clear" w:color="auto" w:fill="auto"/>
            <w:vAlign w:val="center"/>
          </w:tcPr>
          <w:p w14:paraId="11F980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rPr>
              <w:t>0</w:t>
            </w:r>
          </w:p>
        </w:tc>
        <w:tc>
          <w:tcPr>
            <w:tcW w:w="548" w:type="pct"/>
            <w:tcBorders>
              <w:tl2br w:val="nil"/>
              <w:tr2bl w:val="nil"/>
            </w:tcBorders>
            <w:shd w:val="clear" w:color="auto" w:fill="auto"/>
            <w:vAlign w:val="center"/>
          </w:tcPr>
          <w:p w14:paraId="6526DCA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0.5</w:t>
            </w:r>
          </w:p>
        </w:tc>
        <w:tc>
          <w:tcPr>
            <w:tcW w:w="900" w:type="pct"/>
            <w:vMerge w:val="continue"/>
            <w:tcBorders>
              <w:tl2br w:val="nil"/>
              <w:tr2bl w:val="nil"/>
            </w:tcBorders>
            <w:vAlign w:val="center"/>
          </w:tcPr>
          <w:p w14:paraId="3F5FAD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p>
        </w:tc>
      </w:tr>
      <w:tr w14:paraId="00A795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3019B5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shd w:val="clear" w:color="auto" w:fill="auto"/>
            <w:vAlign w:val="center"/>
          </w:tcPr>
          <w:p w14:paraId="37861A6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沉淀池底泥</w:t>
            </w:r>
          </w:p>
        </w:tc>
        <w:tc>
          <w:tcPr>
            <w:tcW w:w="436" w:type="pct"/>
            <w:tcBorders>
              <w:tl2br w:val="nil"/>
              <w:tr2bl w:val="nil"/>
            </w:tcBorders>
            <w:shd w:val="clear" w:color="auto" w:fill="auto"/>
            <w:vAlign w:val="center"/>
          </w:tcPr>
          <w:p w14:paraId="7CEFC2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083207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22.05</w:t>
            </w:r>
          </w:p>
        </w:tc>
        <w:tc>
          <w:tcPr>
            <w:tcW w:w="568" w:type="pct"/>
            <w:tcBorders>
              <w:tl2br w:val="nil"/>
              <w:tr2bl w:val="nil"/>
            </w:tcBorders>
            <w:shd w:val="clear" w:color="auto" w:fill="auto"/>
            <w:vAlign w:val="center"/>
          </w:tcPr>
          <w:p w14:paraId="35A99E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2319E32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22.05</w:t>
            </w:r>
          </w:p>
        </w:tc>
        <w:tc>
          <w:tcPr>
            <w:tcW w:w="900" w:type="pct"/>
            <w:tcBorders>
              <w:tl2br w:val="nil"/>
              <w:tr2bl w:val="nil"/>
            </w:tcBorders>
            <w:shd w:val="clear" w:color="auto" w:fill="auto"/>
            <w:vAlign w:val="center"/>
          </w:tcPr>
          <w:p w14:paraId="366CB9D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送至废石堆场堆存，后期用于矿山土地复垦。</w:t>
            </w:r>
          </w:p>
        </w:tc>
      </w:tr>
      <w:tr w14:paraId="6DE3D6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24" w:type="pct"/>
            <w:vMerge w:val="continue"/>
            <w:tcBorders>
              <w:tl2br w:val="nil"/>
              <w:tr2bl w:val="nil"/>
            </w:tcBorders>
            <w:textDirection w:val="tbRlV"/>
            <w:vAlign w:val="center"/>
          </w:tcPr>
          <w:p w14:paraId="6C657B7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shd w:val="clear" w:color="auto" w:fill="auto"/>
            <w:vAlign w:val="center"/>
          </w:tcPr>
          <w:p w14:paraId="0F2490B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污水处理站污泥</w:t>
            </w:r>
          </w:p>
        </w:tc>
        <w:tc>
          <w:tcPr>
            <w:tcW w:w="436" w:type="pct"/>
            <w:tcBorders>
              <w:tl2br w:val="nil"/>
              <w:tr2bl w:val="nil"/>
            </w:tcBorders>
            <w:shd w:val="clear" w:color="auto" w:fill="auto"/>
            <w:vAlign w:val="center"/>
          </w:tcPr>
          <w:p w14:paraId="0E35C29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shd w:val="clear" w:color="auto" w:fill="auto"/>
            <w:vAlign w:val="center"/>
          </w:tcPr>
          <w:p w14:paraId="04FB749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3.43</w:t>
            </w:r>
          </w:p>
        </w:tc>
        <w:tc>
          <w:tcPr>
            <w:tcW w:w="568" w:type="pct"/>
            <w:tcBorders>
              <w:tl2br w:val="nil"/>
              <w:tr2bl w:val="nil"/>
            </w:tcBorders>
            <w:shd w:val="clear" w:color="auto" w:fill="auto"/>
            <w:vAlign w:val="center"/>
          </w:tcPr>
          <w:p w14:paraId="6460B4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w:t>
            </w:r>
          </w:p>
        </w:tc>
        <w:tc>
          <w:tcPr>
            <w:tcW w:w="548" w:type="pct"/>
            <w:tcBorders>
              <w:tl2br w:val="nil"/>
              <w:tr2bl w:val="nil"/>
            </w:tcBorders>
            <w:shd w:val="clear" w:color="auto" w:fill="auto"/>
            <w:vAlign w:val="center"/>
          </w:tcPr>
          <w:p w14:paraId="39F1BC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3.43</w:t>
            </w:r>
          </w:p>
        </w:tc>
        <w:tc>
          <w:tcPr>
            <w:tcW w:w="900" w:type="pct"/>
            <w:tcBorders>
              <w:tl2br w:val="nil"/>
              <w:tr2bl w:val="nil"/>
            </w:tcBorders>
            <w:shd w:val="clear" w:color="auto" w:fill="auto"/>
            <w:vAlign w:val="center"/>
          </w:tcPr>
          <w:p w14:paraId="19085EE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集中收集定期送运往星星峡镇垃圾填埋场处理。</w:t>
            </w:r>
          </w:p>
        </w:tc>
      </w:tr>
      <w:tr w14:paraId="4091B2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24" w:type="pct"/>
            <w:vMerge w:val="continue"/>
            <w:tcBorders>
              <w:tl2br w:val="nil"/>
              <w:tr2bl w:val="nil"/>
            </w:tcBorders>
            <w:textDirection w:val="tbRlV"/>
            <w:vAlign w:val="center"/>
          </w:tcPr>
          <w:p w14:paraId="610C2CA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502" w:type="pct"/>
            <w:gridSpan w:val="3"/>
            <w:tcBorders>
              <w:tl2br w:val="nil"/>
              <w:tr2bl w:val="nil"/>
            </w:tcBorders>
            <w:vAlign w:val="center"/>
          </w:tcPr>
          <w:p w14:paraId="115B8A0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生活垃圾</w:t>
            </w:r>
          </w:p>
        </w:tc>
        <w:tc>
          <w:tcPr>
            <w:tcW w:w="436" w:type="pct"/>
            <w:tcBorders>
              <w:tl2br w:val="nil"/>
              <w:tr2bl w:val="nil"/>
            </w:tcBorders>
            <w:vAlign w:val="center"/>
          </w:tcPr>
          <w:p w14:paraId="0F5F5E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t/a</w:t>
            </w:r>
          </w:p>
        </w:tc>
        <w:tc>
          <w:tcPr>
            <w:tcW w:w="719" w:type="pct"/>
            <w:tcBorders>
              <w:tl2br w:val="nil"/>
              <w:tr2bl w:val="nil"/>
            </w:tcBorders>
            <w:vAlign w:val="center"/>
          </w:tcPr>
          <w:p w14:paraId="602FF5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24</w:t>
            </w:r>
            <w:r>
              <w:rPr>
                <w:rFonts w:hint="default" w:ascii="Times New Roman" w:hAnsi="Times New Roman" w:cs="Times New Roman"/>
                <w:color w:val="auto"/>
                <w:spacing w:val="0"/>
                <w:w w:val="100"/>
                <w:position w:val="0"/>
                <w:sz w:val="21"/>
                <w:szCs w:val="21"/>
                <w:lang w:val="en-US" w:eastAsia="zh-CN"/>
              </w:rPr>
              <w:t>.5</w:t>
            </w:r>
          </w:p>
        </w:tc>
        <w:tc>
          <w:tcPr>
            <w:tcW w:w="568" w:type="pct"/>
            <w:tcBorders>
              <w:tl2br w:val="nil"/>
              <w:tr2bl w:val="nil"/>
            </w:tcBorders>
            <w:vAlign w:val="center"/>
          </w:tcPr>
          <w:p w14:paraId="2E84F99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w:t>
            </w:r>
          </w:p>
        </w:tc>
        <w:tc>
          <w:tcPr>
            <w:tcW w:w="548" w:type="pct"/>
            <w:tcBorders>
              <w:tl2br w:val="nil"/>
              <w:tr2bl w:val="nil"/>
            </w:tcBorders>
            <w:vAlign w:val="center"/>
          </w:tcPr>
          <w:p w14:paraId="55DE2B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24</w:t>
            </w:r>
            <w:r>
              <w:rPr>
                <w:rFonts w:hint="default" w:ascii="Times New Roman" w:hAnsi="Times New Roman" w:cs="Times New Roman"/>
                <w:color w:val="auto"/>
                <w:spacing w:val="0"/>
                <w:w w:val="100"/>
                <w:position w:val="0"/>
                <w:sz w:val="21"/>
                <w:szCs w:val="21"/>
                <w:lang w:val="en-US" w:eastAsia="zh-CN"/>
              </w:rPr>
              <w:t>.5</w:t>
            </w:r>
          </w:p>
        </w:tc>
        <w:tc>
          <w:tcPr>
            <w:tcW w:w="900" w:type="pct"/>
            <w:tcBorders>
              <w:tl2br w:val="nil"/>
              <w:tr2bl w:val="nil"/>
            </w:tcBorders>
            <w:vAlign w:val="center"/>
          </w:tcPr>
          <w:p w14:paraId="48A4832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生活垃圾临时放置于生活区内垃圾池，</w:t>
            </w:r>
            <w:r>
              <w:rPr>
                <w:rFonts w:hint="default" w:ascii="Times New Roman" w:hAnsi="Times New Roman" w:eastAsia="宋体" w:cs="Times New Roman"/>
                <w:color w:val="auto"/>
                <w:sz w:val="21"/>
                <w:szCs w:val="21"/>
                <w:lang w:val="en-US" w:eastAsia="zh-CN"/>
              </w:rPr>
              <w:t>集中收集定期运往星星峡镇垃圾填埋场处理</w:t>
            </w:r>
            <w:r>
              <w:rPr>
                <w:rFonts w:hint="default" w:ascii="Times New Roman" w:hAnsi="Times New Roman" w:eastAsia="宋体" w:cs="Times New Roman"/>
                <w:color w:val="auto"/>
                <w:spacing w:val="0"/>
                <w:w w:val="100"/>
                <w:position w:val="0"/>
                <w:sz w:val="21"/>
                <w:szCs w:val="21"/>
                <w:lang w:eastAsia="zh-CN"/>
              </w:rPr>
              <w:t>。</w:t>
            </w:r>
          </w:p>
        </w:tc>
      </w:tr>
    </w:tbl>
    <w:p w14:paraId="6945CEF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总量控制核算</w:t>
      </w:r>
    </w:p>
    <w:p w14:paraId="7CC07EC8">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rPr>
        <w:t>拟建工程正常生产期间废水全部回收利用，不向水体排放，COD、氨氮零排放；项目生产、生活热源全部由电锅炉供给，无NOx排放。</w:t>
      </w:r>
      <w:r>
        <w:rPr>
          <w:rFonts w:hint="eastAsia" w:ascii="Times New Roman" w:hAnsi="Times New Roman" w:cs="Times New Roman"/>
          <w:color w:val="auto"/>
          <w:spacing w:val="0"/>
          <w:w w:val="100"/>
          <w:position w:val="0"/>
          <w:sz w:val="24"/>
          <w:szCs w:val="24"/>
          <w:lang w:val="en-US" w:eastAsia="zh-CN"/>
        </w:rPr>
        <w:t>本项目不涉及总量指标。</w:t>
      </w:r>
    </w:p>
    <w:p w14:paraId="5515720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清洁生产分析</w:t>
      </w:r>
    </w:p>
    <w:p w14:paraId="2098FDAB">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"3.3.10.1"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w:t>
      </w:r>
      <w:r>
        <w:rPr>
          <w:rFonts w:hint="default" w:ascii="Times New Roman" w:hAnsi="Times New Roman" w:cs="Times New Roman"/>
          <w:b/>
          <w:bCs/>
          <w:color w:val="auto"/>
          <w:spacing w:val="0"/>
          <w:w w:val="100"/>
          <w:kern w:val="2"/>
          <w:position w:val="0"/>
          <w:sz w:val="24"/>
          <w:szCs w:val="28"/>
          <w:highlight w:val="none"/>
          <w:lang w:val="en-US" w:eastAsia="zh-CN" w:bidi="ar-SA"/>
        </w:rPr>
        <w:t>7.1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地下采矿清洁生产分析</w:t>
      </w:r>
    </w:p>
    <w:p w14:paraId="4BBB5279">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本项目地下采矿清洁生产指标通过类比《镍钴行业清洁生产评价指标体系》进行对照，见表</w:t>
      </w:r>
      <w:r>
        <w:rPr>
          <w:rFonts w:hint="default" w:ascii="Times New Roman" w:hAnsi="Times New Roman" w:cs="Times New Roman"/>
          <w:color w:val="auto"/>
          <w:spacing w:val="0"/>
          <w:w w:val="100"/>
          <w:position w:val="0"/>
          <w:sz w:val="24"/>
          <w:szCs w:val="24"/>
          <w:lang w:val="en-US" w:eastAsia="zh-CN"/>
        </w:rPr>
        <w:t>3.3-19</w:t>
      </w:r>
      <w:r>
        <w:rPr>
          <w:rFonts w:hint="default" w:ascii="Times New Roman" w:hAnsi="Times New Roman" w:eastAsia="宋体" w:cs="Times New Roman"/>
          <w:color w:val="auto"/>
          <w:spacing w:val="0"/>
          <w:w w:val="100"/>
          <w:position w:val="0"/>
          <w:sz w:val="24"/>
          <w:szCs w:val="24"/>
        </w:rPr>
        <w:t>。</w:t>
      </w:r>
    </w:p>
    <w:p w14:paraId="17C2F780">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地下采矿清洁生产综合评价：通过与《镍钴矿采矿企业清洁生产评价指标项目、权重及基准值（地下开采）》比对，拟建工程的地下采矿生产工艺与装备、资源与能源消耗、污染物产生指标、清洁生产管理指标可以达到</w:t>
      </w:r>
      <w:r>
        <w:rPr>
          <w:rFonts w:hint="default" w:ascii="Times New Roman" w:hAnsi="Times New Roman" w:cs="Times New Roman"/>
          <w:color w:val="auto"/>
          <w:spacing w:val="0"/>
          <w:w w:val="100"/>
          <w:position w:val="0"/>
          <w:sz w:val="24"/>
          <w:szCs w:val="24"/>
          <w:lang w:eastAsia="zh-CN"/>
        </w:rPr>
        <w:t>Ⅱ级</w:t>
      </w:r>
      <w:r>
        <w:rPr>
          <w:rFonts w:hint="default" w:ascii="Times New Roman" w:hAnsi="Times New Roman" w:eastAsia="宋体" w:cs="Times New Roman"/>
          <w:color w:val="auto"/>
          <w:spacing w:val="0"/>
          <w:w w:val="100"/>
          <w:position w:val="0"/>
          <w:sz w:val="24"/>
          <w:szCs w:val="24"/>
        </w:rPr>
        <w:t>基准值，即国内清洁生产先进水平。</w:t>
      </w:r>
    </w:p>
    <w:p w14:paraId="685E8B75">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综上评价认为：</w:t>
      </w:r>
      <w:r>
        <w:rPr>
          <w:rFonts w:hint="default" w:ascii="Times New Roman" w:hAnsi="Times New Roman" w:cs="Times New Roman"/>
          <w:color w:val="auto"/>
          <w:spacing w:val="0"/>
          <w:w w:val="100"/>
          <w:position w:val="0"/>
          <w:sz w:val="24"/>
          <w:szCs w:val="24"/>
          <w:lang w:val="en-US" w:eastAsia="zh-CN"/>
        </w:rPr>
        <w:t>本项目</w:t>
      </w:r>
      <w:r>
        <w:rPr>
          <w:rFonts w:hint="default" w:ascii="Times New Roman" w:hAnsi="Times New Roman" w:eastAsia="宋体" w:cs="Times New Roman"/>
          <w:color w:val="auto"/>
          <w:spacing w:val="0"/>
          <w:w w:val="100"/>
          <w:position w:val="0"/>
          <w:sz w:val="24"/>
          <w:szCs w:val="24"/>
        </w:rPr>
        <w:t>的地下采矿能够达到国内清洁生产水平。</w:t>
      </w:r>
    </w:p>
    <w:p w14:paraId="244D3541">
      <w:pPr>
        <w:spacing w:line="218" w:lineRule="auto"/>
        <w:rPr>
          <w:rFonts w:hint="default" w:ascii="Times New Roman" w:hAnsi="Times New Roman" w:eastAsia="宋体" w:cs="Times New Roman"/>
          <w:color w:val="auto"/>
          <w:spacing w:val="0"/>
          <w:w w:val="100"/>
          <w:position w:val="0"/>
          <w:sz w:val="24"/>
          <w:szCs w:val="24"/>
        </w:rPr>
        <w:sectPr>
          <w:headerReference r:id="rId16" w:type="default"/>
          <w:footerReference r:id="rId18" w:type="default"/>
          <w:headerReference r:id="rId17" w:type="even"/>
          <w:footerReference r:id="rId19" w:type="even"/>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1047E4B9">
      <w:pPr>
        <w:spacing w:before="78" w:line="218" w:lineRule="auto"/>
        <w:ind w:left="0" w:leftChars="0"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表3.3-19   与镍钴矿采矿企业清洁生产评价指标项目、权重及基准值（地下开采）比对</w:t>
      </w:r>
    </w:p>
    <w:tbl>
      <w:tblPr>
        <w:tblStyle w:val="31"/>
        <w:tblW w:w="503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405"/>
        <w:gridCol w:w="630"/>
        <w:gridCol w:w="545"/>
        <w:gridCol w:w="537"/>
        <w:gridCol w:w="943"/>
        <w:gridCol w:w="870"/>
        <w:gridCol w:w="569"/>
        <w:gridCol w:w="2181"/>
        <w:gridCol w:w="1970"/>
        <w:gridCol w:w="2043"/>
        <w:gridCol w:w="2657"/>
      </w:tblGrid>
      <w:tr w14:paraId="7DB182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9" w:hRule="atLeast"/>
          <w:tblHeader/>
        </w:trPr>
        <w:tc>
          <w:tcPr>
            <w:tcW w:w="152" w:type="pct"/>
            <w:tcBorders>
              <w:tl2br w:val="nil"/>
              <w:tr2bl w:val="nil"/>
            </w:tcBorders>
            <w:vAlign w:val="center"/>
          </w:tcPr>
          <w:p w14:paraId="7E2F9B6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序号</w:t>
            </w:r>
          </w:p>
        </w:tc>
        <w:tc>
          <w:tcPr>
            <w:tcW w:w="236" w:type="pct"/>
            <w:tcBorders>
              <w:tl2br w:val="nil"/>
              <w:tr2bl w:val="nil"/>
            </w:tcBorders>
            <w:vAlign w:val="center"/>
          </w:tcPr>
          <w:p w14:paraId="3254C0A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一级指标</w:t>
            </w:r>
          </w:p>
        </w:tc>
        <w:tc>
          <w:tcPr>
            <w:tcW w:w="204" w:type="pct"/>
            <w:tcBorders>
              <w:tl2br w:val="nil"/>
              <w:tr2bl w:val="nil"/>
            </w:tcBorders>
            <w:vAlign w:val="center"/>
          </w:tcPr>
          <w:p w14:paraId="2C47355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权重值</w:t>
            </w:r>
          </w:p>
        </w:tc>
        <w:tc>
          <w:tcPr>
            <w:tcW w:w="554" w:type="pct"/>
            <w:gridSpan w:val="2"/>
            <w:tcBorders>
              <w:tl2br w:val="nil"/>
              <w:tr2bl w:val="nil"/>
            </w:tcBorders>
            <w:vAlign w:val="center"/>
          </w:tcPr>
          <w:p w14:paraId="1EF53F6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二级指标</w:t>
            </w:r>
          </w:p>
        </w:tc>
        <w:tc>
          <w:tcPr>
            <w:tcW w:w="326" w:type="pct"/>
            <w:tcBorders>
              <w:tl2br w:val="nil"/>
              <w:tr2bl w:val="nil"/>
            </w:tcBorders>
            <w:vAlign w:val="center"/>
          </w:tcPr>
          <w:p w14:paraId="1AED654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单位</w:t>
            </w:r>
          </w:p>
        </w:tc>
        <w:tc>
          <w:tcPr>
            <w:tcW w:w="213" w:type="pct"/>
            <w:tcBorders>
              <w:tl2br w:val="nil"/>
              <w:tr2bl w:val="nil"/>
            </w:tcBorders>
            <w:vAlign w:val="center"/>
          </w:tcPr>
          <w:p w14:paraId="31D6E10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二级指标权重</w:t>
            </w:r>
          </w:p>
        </w:tc>
        <w:tc>
          <w:tcPr>
            <w:tcW w:w="817" w:type="pct"/>
            <w:tcBorders>
              <w:tl2br w:val="nil"/>
              <w:tr2bl w:val="nil"/>
            </w:tcBorders>
            <w:vAlign w:val="center"/>
          </w:tcPr>
          <w:p w14:paraId="5AFBC7D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I级基准值</w:t>
            </w:r>
          </w:p>
        </w:tc>
        <w:tc>
          <w:tcPr>
            <w:tcW w:w="737" w:type="pct"/>
            <w:tcBorders>
              <w:tl2br w:val="nil"/>
              <w:tr2bl w:val="nil"/>
            </w:tcBorders>
            <w:vAlign w:val="center"/>
          </w:tcPr>
          <w:p w14:paraId="0346C21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cs="Times New Roman"/>
                <w:color w:val="auto"/>
                <w:spacing w:val="0"/>
                <w:w w:val="100"/>
                <w:position w:val="0"/>
                <w:sz w:val="21"/>
                <w:szCs w:val="21"/>
                <w:lang w:eastAsia="zh-CN"/>
              </w:rPr>
              <w:t>Ⅱ级</w:t>
            </w:r>
            <w:r>
              <w:rPr>
                <w:rFonts w:hint="default" w:ascii="Times New Roman" w:hAnsi="Times New Roman" w:eastAsia="宋体" w:cs="Times New Roman"/>
                <w:color w:val="auto"/>
                <w:spacing w:val="0"/>
                <w:w w:val="100"/>
                <w:position w:val="0"/>
                <w:sz w:val="21"/>
                <w:szCs w:val="21"/>
              </w:rPr>
              <w:t>基准值</w:t>
            </w:r>
          </w:p>
        </w:tc>
        <w:tc>
          <w:tcPr>
            <w:tcW w:w="760" w:type="pct"/>
            <w:tcBorders>
              <w:tl2br w:val="nil"/>
              <w:tr2bl w:val="nil"/>
            </w:tcBorders>
            <w:vAlign w:val="center"/>
          </w:tcPr>
          <w:p w14:paraId="0189283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eastAsia" w:ascii="Times New Roman" w:hAnsi="Times New Roman" w:cs="Times New Roman"/>
                <w:color w:val="auto"/>
                <w:spacing w:val="0"/>
                <w:w w:val="100"/>
                <w:position w:val="0"/>
                <w:sz w:val="21"/>
                <w:szCs w:val="21"/>
                <w:lang w:eastAsia="zh-CN"/>
              </w:rPr>
              <w:t>Ⅲ级</w:t>
            </w:r>
            <w:r>
              <w:rPr>
                <w:rFonts w:hint="default" w:ascii="Times New Roman" w:hAnsi="Times New Roman" w:eastAsia="宋体" w:cs="Times New Roman"/>
                <w:color w:val="auto"/>
                <w:spacing w:val="0"/>
                <w:w w:val="100"/>
                <w:position w:val="0"/>
                <w:sz w:val="21"/>
                <w:szCs w:val="21"/>
              </w:rPr>
              <w:t>基准值</w:t>
            </w:r>
          </w:p>
        </w:tc>
        <w:tc>
          <w:tcPr>
            <w:tcW w:w="996" w:type="pct"/>
            <w:tcBorders>
              <w:tl2br w:val="nil"/>
              <w:tr2bl w:val="nil"/>
            </w:tcBorders>
            <w:vAlign w:val="center"/>
          </w:tcPr>
          <w:p w14:paraId="5890708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本项目</w:t>
            </w:r>
          </w:p>
        </w:tc>
      </w:tr>
      <w:tr w14:paraId="48BC51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52" w:type="pct"/>
            <w:tcBorders>
              <w:tl2br w:val="nil"/>
              <w:tr2bl w:val="nil"/>
            </w:tcBorders>
            <w:vAlign w:val="center"/>
          </w:tcPr>
          <w:p w14:paraId="3526267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236" w:type="pct"/>
            <w:vMerge w:val="restart"/>
            <w:tcBorders>
              <w:tl2br w:val="nil"/>
              <w:tr2bl w:val="nil"/>
            </w:tcBorders>
            <w:vAlign w:val="center"/>
          </w:tcPr>
          <w:p w14:paraId="2232D6C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生产工艺装备指标</w:t>
            </w:r>
          </w:p>
        </w:tc>
        <w:tc>
          <w:tcPr>
            <w:tcW w:w="204" w:type="pct"/>
            <w:vMerge w:val="restart"/>
            <w:tcBorders>
              <w:tl2br w:val="nil"/>
              <w:tr2bl w:val="nil"/>
            </w:tcBorders>
            <w:vAlign w:val="center"/>
          </w:tcPr>
          <w:p w14:paraId="61C898E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0.3</w:t>
            </w:r>
          </w:p>
        </w:tc>
        <w:tc>
          <w:tcPr>
            <w:tcW w:w="554" w:type="pct"/>
            <w:gridSpan w:val="2"/>
            <w:tcBorders>
              <w:tl2br w:val="nil"/>
              <w:tr2bl w:val="nil"/>
            </w:tcBorders>
            <w:vAlign w:val="center"/>
          </w:tcPr>
          <w:p w14:paraId="602781A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生产工艺</w:t>
            </w:r>
          </w:p>
        </w:tc>
        <w:tc>
          <w:tcPr>
            <w:tcW w:w="326" w:type="pct"/>
            <w:tcBorders>
              <w:tl2br w:val="nil"/>
              <w:tr2bl w:val="nil"/>
            </w:tcBorders>
            <w:vAlign w:val="center"/>
          </w:tcPr>
          <w:p w14:paraId="1E369B8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68442A9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0.3</w:t>
            </w:r>
          </w:p>
        </w:tc>
        <w:tc>
          <w:tcPr>
            <w:tcW w:w="2315" w:type="pct"/>
            <w:gridSpan w:val="3"/>
            <w:tcBorders>
              <w:tl2br w:val="nil"/>
              <w:tr2bl w:val="nil"/>
            </w:tcBorders>
            <w:vAlign w:val="center"/>
          </w:tcPr>
          <w:p w14:paraId="0CC2111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根据矿石赋存条件、地质条件和经济合理性选择最适合的采矿工艺</w:t>
            </w:r>
          </w:p>
        </w:tc>
        <w:tc>
          <w:tcPr>
            <w:tcW w:w="996" w:type="pct"/>
            <w:tcBorders>
              <w:tl2br w:val="nil"/>
              <w:tr2bl w:val="nil"/>
            </w:tcBorders>
            <w:vAlign w:val="center"/>
          </w:tcPr>
          <w:p w14:paraId="51EA6E3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本项目采用充填法开采</w:t>
            </w:r>
          </w:p>
        </w:tc>
      </w:tr>
      <w:tr w14:paraId="7A052E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52" w:type="pct"/>
            <w:tcBorders>
              <w:tl2br w:val="nil"/>
              <w:tr2bl w:val="nil"/>
            </w:tcBorders>
            <w:vAlign w:val="center"/>
          </w:tcPr>
          <w:p w14:paraId="520B82F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236" w:type="pct"/>
            <w:vMerge w:val="continue"/>
            <w:tcBorders>
              <w:tl2br w:val="nil"/>
              <w:tr2bl w:val="nil"/>
            </w:tcBorders>
            <w:vAlign w:val="center"/>
          </w:tcPr>
          <w:p w14:paraId="00EBFFF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2C2EBD9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1E43D19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生产装备</w:t>
            </w:r>
          </w:p>
        </w:tc>
        <w:tc>
          <w:tcPr>
            <w:tcW w:w="326" w:type="pct"/>
            <w:tcBorders>
              <w:tl2br w:val="nil"/>
              <w:tr2bl w:val="nil"/>
            </w:tcBorders>
            <w:vAlign w:val="center"/>
          </w:tcPr>
          <w:p w14:paraId="4C4DF2E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747C3C5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0.3</w:t>
            </w:r>
          </w:p>
        </w:tc>
        <w:tc>
          <w:tcPr>
            <w:tcW w:w="1555" w:type="pct"/>
            <w:gridSpan w:val="2"/>
            <w:tcBorders>
              <w:tl2br w:val="nil"/>
              <w:tr2bl w:val="nil"/>
            </w:tcBorders>
            <w:vAlign w:val="center"/>
          </w:tcPr>
          <w:p w14:paraId="54000C0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采用大型化，效率高、能耗低的设备；运输、铲装设备配有除尘净化设施</w:t>
            </w:r>
          </w:p>
        </w:tc>
        <w:tc>
          <w:tcPr>
            <w:tcW w:w="760" w:type="pct"/>
            <w:tcBorders>
              <w:tl2br w:val="nil"/>
              <w:tr2bl w:val="nil"/>
            </w:tcBorders>
            <w:vAlign w:val="center"/>
          </w:tcPr>
          <w:p w14:paraId="4602FFF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采用一般装备、无国家明令淘汰的设备</w:t>
            </w:r>
          </w:p>
        </w:tc>
        <w:tc>
          <w:tcPr>
            <w:tcW w:w="996" w:type="pct"/>
            <w:tcBorders>
              <w:tl2br w:val="nil"/>
              <w:tr2bl w:val="nil"/>
            </w:tcBorders>
            <w:vAlign w:val="center"/>
          </w:tcPr>
          <w:p w14:paraId="1EEE15C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采用国内先进的、凿岩效率较</w:t>
            </w:r>
          </w:p>
          <w:p w14:paraId="27DE484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高、配有除尘净化装置的凿岩台车等设备</w:t>
            </w:r>
          </w:p>
        </w:tc>
      </w:tr>
      <w:tr w14:paraId="2858CA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52" w:type="pct"/>
            <w:tcBorders>
              <w:tl2br w:val="nil"/>
              <w:tr2bl w:val="nil"/>
            </w:tcBorders>
            <w:vAlign w:val="center"/>
          </w:tcPr>
          <w:p w14:paraId="4C96830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w:t>
            </w:r>
          </w:p>
        </w:tc>
        <w:tc>
          <w:tcPr>
            <w:tcW w:w="236" w:type="pct"/>
            <w:vMerge w:val="continue"/>
            <w:tcBorders>
              <w:tl2br w:val="nil"/>
              <w:tr2bl w:val="nil"/>
            </w:tcBorders>
            <w:vAlign w:val="center"/>
          </w:tcPr>
          <w:p w14:paraId="66C954E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1AC2CE9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05EFD72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排水</w:t>
            </w:r>
          </w:p>
        </w:tc>
        <w:tc>
          <w:tcPr>
            <w:tcW w:w="326" w:type="pct"/>
            <w:tcBorders>
              <w:tl2br w:val="nil"/>
              <w:tr2bl w:val="nil"/>
            </w:tcBorders>
            <w:vAlign w:val="center"/>
          </w:tcPr>
          <w:p w14:paraId="6704688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3C6A963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817" w:type="pct"/>
            <w:tcBorders>
              <w:tl2br w:val="nil"/>
              <w:tr2bl w:val="nil"/>
            </w:tcBorders>
            <w:vAlign w:val="center"/>
          </w:tcPr>
          <w:p w14:paraId="0C3761C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符合GBl6423地下开采排水的相关要求，实现自动控制排水</w:t>
            </w:r>
          </w:p>
        </w:tc>
        <w:tc>
          <w:tcPr>
            <w:tcW w:w="737" w:type="pct"/>
            <w:tcBorders>
              <w:tl2br w:val="nil"/>
              <w:tr2bl w:val="nil"/>
            </w:tcBorders>
            <w:vAlign w:val="center"/>
          </w:tcPr>
          <w:p w14:paraId="4F6BF5E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符合GBl6423地下开采排水的相关要求，实现人工值守排水</w:t>
            </w:r>
          </w:p>
        </w:tc>
        <w:tc>
          <w:tcPr>
            <w:tcW w:w="760" w:type="pct"/>
            <w:tcBorders>
              <w:tl2br w:val="nil"/>
              <w:tr2bl w:val="nil"/>
            </w:tcBorders>
            <w:vAlign w:val="center"/>
          </w:tcPr>
          <w:p w14:paraId="3F42AD6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符合GBl6423地下开采排水的相关要求，实现人工定时排水</w:t>
            </w:r>
          </w:p>
        </w:tc>
        <w:tc>
          <w:tcPr>
            <w:tcW w:w="996" w:type="pct"/>
            <w:tcBorders>
              <w:tl2br w:val="nil"/>
              <w:tr2bl w:val="nil"/>
            </w:tcBorders>
            <w:vAlign w:val="center"/>
          </w:tcPr>
          <w:p w14:paraId="71206EF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符合GBl6423地下开采排水的相关要求，实现人工值守排水</w:t>
            </w:r>
          </w:p>
        </w:tc>
      </w:tr>
      <w:tr w14:paraId="752CAB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45" w:hRule="atLeast"/>
        </w:trPr>
        <w:tc>
          <w:tcPr>
            <w:tcW w:w="152" w:type="pct"/>
            <w:tcBorders>
              <w:tl2br w:val="nil"/>
              <w:tr2bl w:val="nil"/>
            </w:tcBorders>
            <w:vAlign w:val="center"/>
          </w:tcPr>
          <w:p w14:paraId="7BC3C1C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w:t>
            </w:r>
          </w:p>
        </w:tc>
        <w:tc>
          <w:tcPr>
            <w:tcW w:w="236" w:type="pct"/>
            <w:vMerge w:val="continue"/>
            <w:tcBorders>
              <w:tl2br w:val="nil"/>
              <w:tr2bl w:val="nil"/>
            </w:tcBorders>
            <w:vAlign w:val="center"/>
          </w:tcPr>
          <w:p w14:paraId="38FAF49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37D0E6A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0FA8975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通风</w:t>
            </w:r>
          </w:p>
        </w:tc>
        <w:tc>
          <w:tcPr>
            <w:tcW w:w="326" w:type="pct"/>
            <w:tcBorders>
              <w:tl2br w:val="nil"/>
              <w:tr2bl w:val="nil"/>
            </w:tcBorders>
            <w:vAlign w:val="center"/>
          </w:tcPr>
          <w:p w14:paraId="3510F71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2B1199B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817" w:type="pct"/>
            <w:tcBorders>
              <w:tl2br w:val="nil"/>
              <w:tr2bl w:val="nil"/>
            </w:tcBorders>
            <w:vAlign w:val="center"/>
          </w:tcPr>
          <w:p w14:paraId="3933A37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风量调节能自动控制、作业环境适宜，矿井通风系统的有效风量率不低于90%、风速达到设计值的98%</w:t>
            </w:r>
          </w:p>
        </w:tc>
        <w:tc>
          <w:tcPr>
            <w:tcW w:w="737" w:type="pct"/>
            <w:tcBorders>
              <w:tl2br w:val="nil"/>
              <w:tr2bl w:val="nil"/>
            </w:tcBorders>
            <w:vAlign w:val="center"/>
          </w:tcPr>
          <w:p w14:paraId="2A31233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风量调节能部分自动控制、作业环境比较适宜，矿井通风系统的有效风量率不低于75%</w:t>
            </w:r>
          </w:p>
        </w:tc>
        <w:tc>
          <w:tcPr>
            <w:tcW w:w="760" w:type="pct"/>
            <w:tcBorders>
              <w:tl2br w:val="nil"/>
              <w:tr2bl w:val="nil"/>
            </w:tcBorders>
            <w:vAlign w:val="center"/>
          </w:tcPr>
          <w:p w14:paraId="3CE35C0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符合GBl6423《金属非金属矿山安全规程》要求，矿井通风系统的有效风量率不低于60%</w:t>
            </w:r>
          </w:p>
        </w:tc>
        <w:tc>
          <w:tcPr>
            <w:tcW w:w="996" w:type="pct"/>
            <w:tcBorders>
              <w:tl2br w:val="nil"/>
              <w:tr2bl w:val="nil"/>
            </w:tcBorders>
            <w:vAlign w:val="center"/>
          </w:tcPr>
          <w:p w14:paraId="0A5E1A6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风量调节能部分自动控制、作业环境比较适宜，矿井通风系统的有效风量率不低于75%</w:t>
            </w:r>
          </w:p>
        </w:tc>
      </w:tr>
      <w:tr w14:paraId="206140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52" w:type="pct"/>
            <w:tcBorders>
              <w:tl2br w:val="nil"/>
              <w:tr2bl w:val="nil"/>
            </w:tcBorders>
            <w:vAlign w:val="center"/>
          </w:tcPr>
          <w:p w14:paraId="21AFF3B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w:t>
            </w:r>
          </w:p>
        </w:tc>
        <w:tc>
          <w:tcPr>
            <w:tcW w:w="236" w:type="pct"/>
            <w:vMerge w:val="restart"/>
            <w:tcBorders>
              <w:tl2br w:val="nil"/>
              <w:tr2bl w:val="nil"/>
            </w:tcBorders>
            <w:vAlign w:val="center"/>
          </w:tcPr>
          <w:p w14:paraId="65BBF2C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资源与能源消耗指标</w:t>
            </w:r>
          </w:p>
        </w:tc>
        <w:tc>
          <w:tcPr>
            <w:tcW w:w="204" w:type="pct"/>
            <w:vMerge w:val="restart"/>
            <w:tcBorders>
              <w:tl2br w:val="nil"/>
              <w:tr2bl w:val="nil"/>
            </w:tcBorders>
            <w:vAlign w:val="center"/>
          </w:tcPr>
          <w:p w14:paraId="4F802E4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0.24</w:t>
            </w:r>
          </w:p>
        </w:tc>
        <w:tc>
          <w:tcPr>
            <w:tcW w:w="554" w:type="pct"/>
            <w:gridSpan w:val="2"/>
            <w:tcBorders>
              <w:tl2br w:val="nil"/>
              <w:tr2bl w:val="nil"/>
            </w:tcBorders>
            <w:vAlign w:val="center"/>
          </w:tcPr>
          <w:p w14:paraId="04499CF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单位产品综合能耗※</w:t>
            </w:r>
          </w:p>
        </w:tc>
        <w:tc>
          <w:tcPr>
            <w:tcW w:w="326" w:type="pct"/>
            <w:tcBorders>
              <w:tl2br w:val="nil"/>
              <w:tr2bl w:val="nil"/>
            </w:tcBorders>
            <w:vAlign w:val="center"/>
          </w:tcPr>
          <w:p w14:paraId="3EB99A0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kgce/t采（掘）量</w:t>
            </w:r>
          </w:p>
        </w:tc>
        <w:tc>
          <w:tcPr>
            <w:tcW w:w="213" w:type="pct"/>
            <w:tcBorders>
              <w:tl2br w:val="nil"/>
              <w:tr2bl w:val="nil"/>
            </w:tcBorders>
            <w:vAlign w:val="center"/>
          </w:tcPr>
          <w:p w14:paraId="3E35262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0.5</w:t>
            </w:r>
          </w:p>
        </w:tc>
        <w:tc>
          <w:tcPr>
            <w:tcW w:w="817" w:type="pct"/>
            <w:tcBorders>
              <w:tl2br w:val="nil"/>
              <w:tr2bl w:val="nil"/>
            </w:tcBorders>
            <w:vAlign w:val="center"/>
          </w:tcPr>
          <w:p w14:paraId="2AF5C9A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≤4.8</w:t>
            </w:r>
          </w:p>
        </w:tc>
        <w:tc>
          <w:tcPr>
            <w:tcW w:w="737" w:type="pct"/>
            <w:tcBorders>
              <w:tl2br w:val="nil"/>
              <w:tr2bl w:val="nil"/>
            </w:tcBorders>
            <w:vAlign w:val="center"/>
          </w:tcPr>
          <w:p w14:paraId="2D88724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≤5.2</w:t>
            </w:r>
          </w:p>
        </w:tc>
        <w:tc>
          <w:tcPr>
            <w:tcW w:w="760" w:type="pct"/>
            <w:tcBorders>
              <w:tl2br w:val="nil"/>
              <w:tr2bl w:val="nil"/>
            </w:tcBorders>
            <w:vAlign w:val="center"/>
          </w:tcPr>
          <w:p w14:paraId="63CF9B1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≤5.8</w:t>
            </w:r>
          </w:p>
        </w:tc>
        <w:tc>
          <w:tcPr>
            <w:tcW w:w="996" w:type="pct"/>
            <w:tcBorders>
              <w:tl2br w:val="nil"/>
              <w:tr2bl w:val="nil"/>
            </w:tcBorders>
            <w:vAlign w:val="center"/>
          </w:tcPr>
          <w:p w14:paraId="580F789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地下采矿工序总综合能耗为1.92kgce/t矿</w:t>
            </w:r>
          </w:p>
        </w:tc>
      </w:tr>
      <w:tr w14:paraId="3EA2AC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152" w:type="pct"/>
            <w:tcBorders>
              <w:tl2br w:val="nil"/>
              <w:tr2bl w:val="nil"/>
            </w:tcBorders>
            <w:vAlign w:val="center"/>
          </w:tcPr>
          <w:p w14:paraId="57873E1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w:t>
            </w:r>
          </w:p>
        </w:tc>
        <w:tc>
          <w:tcPr>
            <w:tcW w:w="236" w:type="pct"/>
            <w:vMerge w:val="continue"/>
            <w:tcBorders>
              <w:tl2br w:val="nil"/>
              <w:tr2bl w:val="nil"/>
            </w:tcBorders>
            <w:vAlign w:val="center"/>
          </w:tcPr>
          <w:p w14:paraId="24EA152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5D38BA6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75F881F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新鲜水耗※</w:t>
            </w:r>
          </w:p>
        </w:tc>
        <w:tc>
          <w:tcPr>
            <w:tcW w:w="326" w:type="pct"/>
            <w:tcBorders>
              <w:tl2br w:val="nil"/>
              <w:tr2bl w:val="nil"/>
            </w:tcBorders>
            <w:vAlign w:val="center"/>
          </w:tcPr>
          <w:p w14:paraId="6317284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/t原矿</w:t>
            </w:r>
          </w:p>
        </w:tc>
        <w:tc>
          <w:tcPr>
            <w:tcW w:w="213" w:type="pct"/>
            <w:tcBorders>
              <w:tl2br w:val="nil"/>
              <w:tr2bl w:val="nil"/>
            </w:tcBorders>
            <w:vAlign w:val="center"/>
          </w:tcPr>
          <w:p w14:paraId="042E755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0.5</w:t>
            </w:r>
          </w:p>
        </w:tc>
        <w:tc>
          <w:tcPr>
            <w:tcW w:w="817" w:type="pct"/>
            <w:tcBorders>
              <w:tl2br w:val="nil"/>
              <w:tr2bl w:val="nil"/>
            </w:tcBorders>
            <w:vAlign w:val="center"/>
          </w:tcPr>
          <w:p w14:paraId="13044D5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尽量采用地下涌水，不足采用新水，新水用量≤0.4</w:t>
            </w:r>
          </w:p>
        </w:tc>
        <w:tc>
          <w:tcPr>
            <w:tcW w:w="737" w:type="pct"/>
            <w:tcBorders>
              <w:tl2br w:val="nil"/>
              <w:tr2bl w:val="nil"/>
            </w:tcBorders>
            <w:vAlign w:val="center"/>
          </w:tcPr>
          <w:p w14:paraId="5B003C1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尽量采用地下涌水，不足采用新水，新水用量≤0.5</w:t>
            </w:r>
          </w:p>
        </w:tc>
        <w:tc>
          <w:tcPr>
            <w:tcW w:w="760" w:type="pct"/>
            <w:tcBorders>
              <w:tl2br w:val="nil"/>
              <w:tr2bl w:val="nil"/>
            </w:tcBorders>
            <w:vAlign w:val="center"/>
          </w:tcPr>
          <w:p w14:paraId="4198560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尽量采用地下涌水，不</w:t>
            </w:r>
          </w:p>
          <w:p w14:paraId="1B86B94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足采用新水，新水用量</w:t>
            </w:r>
          </w:p>
          <w:p w14:paraId="58F233D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≤0.6</w:t>
            </w:r>
          </w:p>
        </w:tc>
        <w:tc>
          <w:tcPr>
            <w:tcW w:w="996" w:type="pct"/>
            <w:tcBorders>
              <w:tl2br w:val="nil"/>
              <w:tr2bl w:val="nil"/>
            </w:tcBorders>
            <w:vAlign w:val="center"/>
          </w:tcPr>
          <w:p w14:paraId="40AB32C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地下涌水就地回用，地下采矿补充新水用量</w:t>
            </w:r>
            <w:r>
              <w:rPr>
                <w:rFonts w:hint="default" w:ascii="Times New Roman" w:hAnsi="Times New Roman" w:cs="Times New Roman"/>
                <w:color w:val="auto"/>
                <w:spacing w:val="0"/>
                <w:w w:val="100"/>
                <w:position w:val="0"/>
                <w:sz w:val="21"/>
                <w:szCs w:val="21"/>
                <w:lang w:val="en-US" w:eastAsia="zh-CN"/>
              </w:rPr>
              <w:t>0</w:t>
            </w:r>
            <w:r>
              <w:rPr>
                <w:rFonts w:hint="default" w:ascii="Times New Roman" w:hAnsi="Times New Roman" w:eastAsia="宋体" w:cs="Times New Roman"/>
                <w:color w:val="auto"/>
                <w:spacing w:val="0"/>
                <w:w w:val="100"/>
                <w:position w:val="0"/>
                <w:sz w:val="21"/>
                <w:szCs w:val="21"/>
              </w:rPr>
              <w:t>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/d</w:t>
            </w:r>
          </w:p>
        </w:tc>
      </w:tr>
      <w:tr w14:paraId="7B2816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52" w:type="pct"/>
            <w:tcBorders>
              <w:tl2br w:val="nil"/>
              <w:tr2bl w:val="nil"/>
            </w:tcBorders>
            <w:vAlign w:val="center"/>
          </w:tcPr>
          <w:p w14:paraId="3850555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w:t>
            </w:r>
          </w:p>
        </w:tc>
        <w:tc>
          <w:tcPr>
            <w:tcW w:w="236" w:type="pct"/>
            <w:vMerge w:val="restart"/>
            <w:tcBorders>
              <w:tl2br w:val="nil"/>
              <w:tr2bl w:val="nil"/>
            </w:tcBorders>
            <w:vAlign w:val="center"/>
          </w:tcPr>
          <w:p w14:paraId="0231FDE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资源综合利用指标</w:t>
            </w:r>
          </w:p>
        </w:tc>
        <w:tc>
          <w:tcPr>
            <w:tcW w:w="204" w:type="pct"/>
            <w:vMerge w:val="restart"/>
            <w:tcBorders>
              <w:tl2br w:val="nil"/>
              <w:tr2bl w:val="nil"/>
            </w:tcBorders>
            <w:vAlign w:val="center"/>
          </w:tcPr>
          <w:p w14:paraId="43A169D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0.22</w:t>
            </w:r>
          </w:p>
        </w:tc>
        <w:tc>
          <w:tcPr>
            <w:tcW w:w="554" w:type="pct"/>
            <w:gridSpan w:val="2"/>
            <w:tcBorders>
              <w:tl2br w:val="nil"/>
              <w:tr2bl w:val="nil"/>
            </w:tcBorders>
            <w:vAlign w:val="center"/>
          </w:tcPr>
          <w:p w14:paraId="4BE91BF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开采回采率※</w:t>
            </w:r>
          </w:p>
        </w:tc>
        <w:tc>
          <w:tcPr>
            <w:tcW w:w="326" w:type="pct"/>
            <w:tcBorders>
              <w:tl2br w:val="nil"/>
              <w:tr2bl w:val="nil"/>
            </w:tcBorders>
            <w:vAlign w:val="center"/>
          </w:tcPr>
          <w:p w14:paraId="064A51C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25D0209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0.8</w:t>
            </w:r>
          </w:p>
        </w:tc>
        <w:tc>
          <w:tcPr>
            <w:tcW w:w="817" w:type="pct"/>
            <w:tcBorders>
              <w:tl2br w:val="nil"/>
              <w:tr2bl w:val="nil"/>
            </w:tcBorders>
            <w:vAlign w:val="center"/>
          </w:tcPr>
          <w:p w14:paraId="5D46DEE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≥95</w:t>
            </w:r>
          </w:p>
        </w:tc>
        <w:tc>
          <w:tcPr>
            <w:tcW w:w="737" w:type="pct"/>
            <w:tcBorders>
              <w:tl2br w:val="nil"/>
              <w:tr2bl w:val="nil"/>
            </w:tcBorders>
            <w:vAlign w:val="center"/>
          </w:tcPr>
          <w:p w14:paraId="7DCBD19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≥92</w:t>
            </w:r>
          </w:p>
        </w:tc>
        <w:tc>
          <w:tcPr>
            <w:tcW w:w="760" w:type="pct"/>
            <w:tcBorders>
              <w:tl2br w:val="nil"/>
              <w:tr2bl w:val="nil"/>
            </w:tcBorders>
            <w:vAlign w:val="center"/>
          </w:tcPr>
          <w:p w14:paraId="55B3B5F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w:t>
            </w:r>
          </w:p>
        </w:tc>
        <w:tc>
          <w:tcPr>
            <w:tcW w:w="996" w:type="pct"/>
            <w:tcBorders>
              <w:tl2br w:val="nil"/>
              <w:tr2bl w:val="nil"/>
            </w:tcBorders>
            <w:vAlign w:val="center"/>
          </w:tcPr>
          <w:p w14:paraId="514F328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w:t>
            </w:r>
            <w:r>
              <w:rPr>
                <w:rFonts w:hint="default" w:ascii="Times New Roman" w:hAnsi="Times New Roman" w:cs="Times New Roman"/>
                <w:color w:val="auto"/>
                <w:spacing w:val="0"/>
                <w:w w:val="100"/>
                <w:position w:val="0"/>
                <w:sz w:val="21"/>
                <w:szCs w:val="21"/>
                <w:lang w:val="en-US" w:eastAsia="zh-CN"/>
              </w:rPr>
              <w:t>5</w:t>
            </w:r>
            <w:r>
              <w:rPr>
                <w:rFonts w:hint="default" w:ascii="Times New Roman" w:hAnsi="Times New Roman" w:eastAsia="宋体" w:cs="Times New Roman"/>
                <w:color w:val="auto"/>
                <w:spacing w:val="0"/>
                <w:w w:val="100"/>
                <w:position w:val="0"/>
                <w:sz w:val="21"/>
                <w:szCs w:val="21"/>
              </w:rPr>
              <w:t>%</w:t>
            </w:r>
          </w:p>
        </w:tc>
      </w:tr>
      <w:tr w14:paraId="59107F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152" w:type="pct"/>
            <w:tcBorders>
              <w:tl2br w:val="nil"/>
              <w:tr2bl w:val="nil"/>
            </w:tcBorders>
            <w:vAlign w:val="center"/>
          </w:tcPr>
          <w:p w14:paraId="7747B65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w:t>
            </w:r>
          </w:p>
        </w:tc>
        <w:tc>
          <w:tcPr>
            <w:tcW w:w="236" w:type="pct"/>
            <w:vMerge w:val="continue"/>
            <w:tcBorders>
              <w:tl2br w:val="nil"/>
              <w:tr2bl w:val="nil"/>
            </w:tcBorders>
            <w:vAlign w:val="center"/>
          </w:tcPr>
          <w:p w14:paraId="79146C0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17F656E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233C8BE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废石综合利用率</w:t>
            </w:r>
          </w:p>
        </w:tc>
        <w:tc>
          <w:tcPr>
            <w:tcW w:w="326" w:type="pct"/>
            <w:tcBorders>
              <w:tl2br w:val="nil"/>
              <w:tr2bl w:val="nil"/>
            </w:tcBorders>
            <w:vAlign w:val="center"/>
          </w:tcPr>
          <w:p w14:paraId="24940EE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4B4C336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817" w:type="pct"/>
            <w:tcBorders>
              <w:tl2br w:val="nil"/>
              <w:tr2bl w:val="nil"/>
            </w:tcBorders>
            <w:vAlign w:val="center"/>
          </w:tcPr>
          <w:p w14:paraId="0DEC258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737" w:type="pct"/>
            <w:tcBorders>
              <w:tl2br w:val="nil"/>
              <w:tr2bl w:val="nil"/>
            </w:tcBorders>
            <w:vAlign w:val="center"/>
          </w:tcPr>
          <w:p w14:paraId="548232E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60" w:type="pct"/>
            <w:tcBorders>
              <w:tl2br w:val="nil"/>
              <w:tr2bl w:val="nil"/>
            </w:tcBorders>
            <w:vAlign w:val="center"/>
          </w:tcPr>
          <w:p w14:paraId="0D2355F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≥30</w:t>
            </w:r>
          </w:p>
        </w:tc>
        <w:tc>
          <w:tcPr>
            <w:tcW w:w="996" w:type="pct"/>
            <w:tcBorders>
              <w:tl2br w:val="nil"/>
              <w:tr2bl w:val="nil"/>
            </w:tcBorders>
            <w:vAlign w:val="center"/>
          </w:tcPr>
          <w:p w14:paraId="03517C2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100</w:t>
            </w:r>
            <w:r>
              <w:rPr>
                <w:rFonts w:hint="default" w:ascii="Times New Roman" w:hAnsi="Times New Roman" w:eastAsia="宋体" w:cs="Times New Roman"/>
                <w:color w:val="auto"/>
                <w:spacing w:val="0"/>
                <w:w w:val="100"/>
                <w:position w:val="0"/>
                <w:sz w:val="21"/>
                <w:szCs w:val="21"/>
              </w:rPr>
              <w:t>%</w:t>
            </w:r>
          </w:p>
        </w:tc>
      </w:tr>
      <w:tr w14:paraId="7050DE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152" w:type="pct"/>
            <w:tcBorders>
              <w:tl2br w:val="nil"/>
              <w:tr2bl w:val="nil"/>
            </w:tcBorders>
            <w:vAlign w:val="center"/>
          </w:tcPr>
          <w:p w14:paraId="174BF52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w:t>
            </w:r>
          </w:p>
        </w:tc>
        <w:tc>
          <w:tcPr>
            <w:tcW w:w="236" w:type="pct"/>
            <w:tcBorders>
              <w:tl2br w:val="nil"/>
              <w:tr2bl w:val="nil"/>
            </w:tcBorders>
            <w:vAlign w:val="center"/>
          </w:tcPr>
          <w:p w14:paraId="640A72E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污染物产生指</w:t>
            </w:r>
          </w:p>
        </w:tc>
        <w:tc>
          <w:tcPr>
            <w:tcW w:w="204" w:type="pct"/>
            <w:tcBorders>
              <w:tl2br w:val="nil"/>
              <w:tr2bl w:val="nil"/>
            </w:tcBorders>
            <w:vAlign w:val="center"/>
          </w:tcPr>
          <w:p w14:paraId="6FCE6F7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0.04</w:t>
            </w:r>
          </w:p>
        </w:tc>
        <w:tc>
          <w:tcPr>
            <w:tcW w:w="554" w:type="pct"/>
            <w:gridSpan w:val="2"/>
            <w:tcBorders>
              <w:tl2br w:val="nil"/>
              <w:tr2bl w:val="nil"/>
            </w:tcBorders>
            <w:vAlign w:val="center"/>
          </w:tcPr>
          <w:p w14:paraId="22E1F4F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采矿作业场所粉尘浓度</w:t>
            </w:r>
          </w:p>
        </w:tc>
        <w:tc>
          <w:tcPr>
            <w:tcW w:w="326" w:type="pct"/>
            <w:tcBorders>
              <w:tl2br w:val="nil"/>
              <w:tr2bl w:val="nil"/>
            </w:tcBorders>
            <w:vAlign w:val="center"/>
          </w:tcPr>
          <w:p w14:paraId="3169571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mg/m</w:t>
            </w:r>
            <w:r>
              <w:rPr>
                <w:rFonts w:hint="default" w:ascii="Times New Roman" w:hAnsi="Times New Roman" w:eastAsia="宋体" w:cs="Times New Roman"/>
                <w:color w:val="auto"/>
                <w:spacing w:val="0"/>
                <w:w w:val="100"/>
                <w:position w:val="0"/>
                <w:sz w:val="21"/>
                <w:szCs w:val="21"/>
                <w:vertAlign w:val="superscript"/>
              </w:rPr>
              <w:t>3</w:t>
            </w:r>
          </w:p>
        </w:tc>
        <w:tc>
          <w:tcPr>
            <w:tcW w:w="213" w:type="pct"/>
            <w:tcBorders>
              <w:tl2br w:val="nil"/>
              <w:tr2bl w:val="nil"/>
            </w:tcBorders>
            <w:vAlign w:val="center"/>
          </w:tcPr>
          <w:p w14:paraId="2C0AC39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817" w:type="pct"/>
            <w:tcBorders>
              <w:tl2br w:val="nil"/>
              <w:tr2bl w:val="nil"/>
            </w:tcBorders>
            <w:vAlign w:val="center"/>
          </w:tcPr>
          <w:p w14:paraId="42547F8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737" w:type="pct"/>
            <w:tcBorders>
              <w:tl2br w:val="nil"/>
              <w:tr2bl w:val="nil"/>
            </w:tcBorders>
            <w:vAlign w:val="center"/>
          </w:tcPr>
          <w:p w14:paraId="16DEF0F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≤2.5</w:t>
            </w:r>
          </w:p>
        </w:tc>
        <w:tc>
          <w:tcPr>
            <w:tcW w:w="760" w:type="pct"/>
            <w:tcBorders>
              <w:tl2br w:val="nil"/>
              <w:tr2bl w:val="nil"/>
            </w:tcBorders>
            <w:vAlign w:val="center"/>
          </w:tcPr>
          <w:p w14:paraId="55B3B05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≤4.0</w:t>
            </w:r>
          </w:p>
        </w:tc>
        <w:tc>
          <w:tcPr>
            <w:tcW w:w="996" w:type="pct"/>
            <w:tcBorders>
              <w:tl2br w:val="nil"/>
              <w:tr2bl w:val="nil"/>
            </w:tcBorders>
            <w:vAlign w:val="center"/>
          </w:tcPr>
          <w:p w14:paraId="3A6AAAD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r>
      <w:tr w14:paraId="6A40EF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52" w:type="pct"/>
            <w:tcBorders>
              <w:tl2br w:val="nil"/>
              <w:tr2bl w:val="nil"/>
            </w:tcBorders>
            <w:vAlign w:val="center"/>
          </w:tcPr>
          <w:p w14:paraId="5107357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236" w:type="pct"/>
            <w:tcBorders>
              <w:tl2br w:val="nil"/>
              <w:tr2bl w:val="nil"/>
            </w:tcBorders>
            <w:vAlign w:val="center"/>
          </w:tcPr>
          <w:p w14:paraId="58B8404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矿山生态保护指标</w:t>
            </w:r>
          </w:p>
        </w:tc>
        <w:tc>
          <w:tcPr>
            <w:tcW w:w="204" w:type="pct"/>
            <w:tcBorders>
              <w:tl2br w:val="nil"/>
              <w:tr2bl w:val="nil"/>
            </w:tcBorders>
            <w:vAlign w:val="center"/>
          </w:tcPr>
          <w:p w14:paraId="48445BF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0.10</w:t>
            </w:r>
          </w:p>
        </w:tc>
        <w:tc>
          <w:tcPr>
            <w:tcW w:w="554" w:type="pct"/>
            <w:gridSpan w:val="2"/>
            <w:tcBorders>
              <w:tl2br w:val="nil"/>
              <w:tr2bl w:val="nil"/>
            </w:tcBorders>
            <w:vAlign w:val="center"/>
          </w:tcPr>
          <w:p w14:paraId="57A5205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土地复垦率</w:t>
            </w:r>
          </w:p>
        </w:tc>
        <w:tc>
          <w:tcPr>
            <w:tcW w:w="326" w:type="pct"/>
            <w:tcBorders>
              <w:tl2br w:val="nil"/>
              <w:tr2bl w:val="nil"/>
            </w:tcBorders>
            <w:vAlign w:val="center"/>
          </w:tcPr>
          <w:p w14:paraId="64723C6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7A6894C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817" w:type="pct"/>
            <w:tcBorders>
              <w:tl2br w:val="nil"/>
              <w:tr2bl w:val="nil"/>
            </w:tcBorders>
            <w:vAlign w:val="center"/>
          </w:tcPr>
          <w:p w14:paraId="29C5B49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≥90</w:t>
            </w:r>
          </w:p>
        </w:tc>
        <w:tc>
          <w:tcPr>
            <w:tcW w:w="737" w:type="pct"/>
            <w:tcBorders>
              <w:tl2br w:val="nil"/>
              <w:tr2bl w:val="nil"/>
            </w:tcBorders>
            <w:vAlign w:val="center"/>
          </w:tcPr>
          <w:p w14:paraId="726132E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≥85</w:t>
            </w:r>
          </w:p>
        </w:tc>
        <w:tc>
          <w:tcPr>
            <w:tcW w:w="760" w:type="pct"/>
            <w:tcBorders>
              <w:tl2br w:val="nil"/>
              <w:tr2bl w:val="nil"/>
            </w:tcBorders>
            <w:vAlign w:val="center"/>
          </w:tcPr>
          <w:p w14:paraId="7737DBE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996" w:type="pct"/>
            <w:tcBorders>
              <w:tl2br w:val="nil"/>
              <w:tr2bl w:val="nil"/>
            </w:tcBorders>
            <w:vAlign w:val="center"/>
          </w:tcPr>
          <w:p w14:paraId="3A028DE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cs="Times New Roman"/>
                <w:color w:val="auto"/>
                <w:spacing w:val="0"/>
                <w:w w:val="100"/>
                <w:position w:val="0"/>
                <w:sz w:val="21"/>
                <w:szCs w:val="21"/>
                <w:lang w:val="en-US" w:eastAsia="zh-CN"/>
              </w:rPr>
              <w:t>85</w:t>
            </w:r>
          </w:p>
        </w:tc>
      </w:tr>
      <w:tr w14:paraId="72CE9F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82" w:hRule="atLeast"/>
        </w:trPr>
        <w:tc>
          <w:tcPr>
            <w:tcW w:w="152" w:type="pct"/>
            <w:tcBorders>
              <w:tl2br w:val="nil"/>
              <w:tr2bl w:val="nil"/>
            </w:tcBorders>
            <w:vAlign w:val="center"/>
          </w:tcPr>
          <w:p w14:paraId="130D56D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w:t>
            </w:r>
          </w:p>
        </w:tc>
        <w:tc>
          <w:tcPr>
            <w:tcW w:w="236" w:type="pct"/>
            <w:vMerge w:val="restart"/>
            <w:tcBorders>
              <w:tl2br w:val="nil"/>
              <w:tr2bl w:val="nil"/>
            </w:tcBorders>
            <w:vAlign w:val="center"/>
          </w:tcPr>
          <w:p w14:paraId="27983FA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清洁生产管理指标</w:t>
            </w:r>
          </w:p>
        </w:tc>
        <w:tc>
          <w:tcPr>
            <w:tcW w:w="204" w:type="pct"/>
            <w:vMerge w:val="restart"/>
            <w:tcBorders>
              <w:tl2br w:val="nil"/>
              <w:tr2bl w:val="nil"/>
            </w:tcBorders>
            <w:vAlign w:val="center"/>
          </w:tcPr>
          <w:p w14:paraId="767071C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0.10</w:t>
            </w:r>
          </w:p>
        </w:tc>
        <w:tc>
          <w:tcPr>
            <w:tcW w:w="554" w:type="pct"/>
            <w:gridSpan w:val="2"/>
            <w:tcBorders>
              <w:tl2br w:val="nil"/>
              <w:tr2bl w:val="nil"/>
            </w:tcBorders>
            <w:vAlign w:val="center"/>
          </w:tcPr>
          <w:p w14:paraId="5E18D35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环境法律法规标准※</w:t>
            </w:r>
          </w:p>
        </w:tc>
        <w:tc>
          <w:tcPr>
            <w:tcW w:w="326" w:type="pct"/>
            <w:tcBorders>
              <w:tl2br w:val="nil"/>
              <w:tr2bl w:val="nil"/>
            </w:tcBorders>
            <w:vAlign w:val="center"/>
          </w:tcPr>
          <w:p w14:paraId="10CA24D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3547D2D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2315" w:type="pct"/>
            <w:gridSpan w:val="3"/>
            <w:tcBorders>
              <w:tl2br w:val="nil"/>
              <w:tr2bl w:val="nil"/>
            </w:tcBorders>
            <w:vAlign w:val="center"/>
          </w:tcPr>
          <w:p w14:paraId="73F55FA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生产工艺和装备符合产业政策要求，外排污染物达到排放标准、符合总量控制和排污许可证管理要求，严格执行建设项目环境影响评价制度和建设项目环保“三同时”制度</w:t>
            </w:r>
          </w:p>
        </w:tc>
        <w:tc>
          <w:tcPr>
            <w:tcW w:w="996" w:type="pct"/>
            <w:tcBorders>
              <w:tl2br w:val="nil"/>
              <w:tr2bl w:val="nil"/>
            </w:tcBorders>
            <w:vAlign w:val="center"/>
          </w:tcPr>
          <w:p w14:paraId="6F64AA9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56A0B7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152" w:type="pct"/>
            <w:tcBorders>
              <w:tl2br w:val="nil"/>
              <w:tr2bl w:val="nil"/>
            </w:tcBorders>
            <w:vAlign w:val="center"/>
          </w:tcPr>
          <w:p w14:paraId="21BE2A9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12</w:t>
            </w:r>
          </w:p>
        </w:tc>
        <w:tc>
          <w:tcPr>
            <w:tcW w:w="236" w:type="pct"/>
            <w:vMerge w:val="continue"/>
            <w:tcBorders>
              <w:tl2br w:val="nil"/>
              <w:tr2bl w:val="nil"/>
            </w:tcBorders>
            <w:vAlign w:val="center"/>
          </w:tcPr>
          <w:p w14:paraId="66D8B8E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686B91F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5A5C7D8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废物处理处置※</w:t>
            </w:r>
          </w:p>
        </w:tc>
        <w:tc>
          <w:tcPr>
            <w:tcW w:w="326" w:type="pct"/>
            <w:tcBorders>
              <w:tl2br w:val="nil"/>
              <w:tr2bl w:val="nil"/>
            </w:tcBorders>
            <w:vAlign w:val="center"/>
          </w:tcPr>
          <w:p w14:paraId="650166A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0E8747E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2315" w:type="pct"/>
            <w:gridSpan w:val="3"/>
            <w:tcBorders>
              <w:tl2br w:val="nil"/>
              <w:tr2bl w:val="nil"/>
            </w:tcBorders>
            <w:vAlign w:val="center"/>
          </w:tcPr>
          <w:p w14:paraId="1A93BE1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根据固体废物性质鉴别的结果，一般工业固体废物按照GB18599的要求进行处置，危险废物按照GB18597，GB18598等的要求进行处置</w:t>
            </w:r>
          </w:p>
        </w:tc>
        <w:tc>
          <w:tcPr>
            <w:tcW w:w="996" w:type="pct"/>
            <w:tcBorders>
              <w:tl2br w:val="nil"/>
              <w:tr2bl w:val="nil"/>
            </w:tcBorders>
            <w:vAlign w:val="center"/>
          </w:tcPr>
          <w:p w14:paraId="196E906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65C4E0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152" w:type="pct"/>
            <w:tcBorders>
              <w:tl2br w:val="nil"/>
              <w:tr2bl w:val="nil"/>
            </w:tcBorders>
            <w:vAlign w:val="center"/>
          </w:tcPr>
          <w:p w14:paraId="4EDB18C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13</w:t>
            </w:r>
          </w:p>
        </w:tc>
        <w:tc>
          <w:tcPr>
            <w:tcW w:w="236" w:type="pct"/>
            <w:vMerge w:val="continue"/>
            <w:tcBorders>
              <w:tl2br w:val="nil"/>
              <w:tr2bl w:val="nil"/>
            </w:tcBorders>
            <w:vAlign w:val="center"/>
          </w:tcPr>
          <w:p w14:paraId="46DA707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493AD83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2BB8EA2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组织机构</w:t>
            </w:r>
          </w:p>
        </w:tc>
        <w:tc>
          <w:tcPr>
            <w:tcW w:w="326" w:type="pct"/>
            <w:tcBorders>
              <w:tl2br w:val="nil"/>
              <w:tr2bl w:val="nil"/>
            </w:tcBorders>
            <w:vAlign w:val="center"/>
          </w:tcPr>
          <w:p w14:paraId="747B1B0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3EC9005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0.1</w:t>
            </w:r>
          </w:p>
        </w:tc>
        <w:tc>
          <w:tcPr>
            <w:tcW w:w="2315" w:type="pct"/>
            <w:gridSpan w:val="3"/>
            <w:tcBorders>
              <w:tl2br w:val="nil"/>
              <w:tr2bl w:val="nil"/>
            </w:tcBorders>
            <w:vAlign w:val="center"/>
          </w:tcPr>
          <w:p w14:paraId="7FA8B13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建立健全专门环保管理机构，配备专职环境管理人员，开展环境保护和清洁生产有关工作</w:t>
            </w:r>
          </w:p>
        </w:tc>
        <w:tc>
          <w:tcPr>
            <w:tcW w:w="996" w:type="pct"/>
            <w:tcBorders>
              <w:tl2br w:val="nil"/>
              <w:tr2bl w:val="nil"/>
            </w:tcBorders>
            <w:vAlign w:val="center"/>
          </w:tcPr>
          <w:p w14:paraId="7BFF025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736030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04" w:hRule="atLeast"/>
        </w:trPr>
        <w:tc>
          <w:tcPr>
            <w:tcW w:w="152" w:type="pct"/>
            <w:tcBorders>
              <w:tl2br w:val="nil"/>
              <w:tr2bl w:val="nil"/>
            </w:tcBorders>
            <w:vAlign w:val="center"/>
          </w:tcPr>
          <w:p w14:paraId="01C1448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14</w:t>
            </w:r>
          </w:p>
        </w:tc>
        <w:tc>
          <w:tcPr>
            <w:tcW w:w="236" w:type="pct"/>
            <w:vMerge w:val="continue"/>
            <w:tcBorders>
              <w:tl2br w:val="nil"/>
              <w:tr2bl w:val="nil"/>
            </w:tcBorders>
            <w:vAlign w:val="center"/>
          </w:tcPr>
          <w:p w14:paraId="5BA87DC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091BB2E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1" w:type="pct"/>
            <w:tcBorders>
              <w:tl2br w:val="nil"/>
              <w:tr2bl w:val="nil"/>
            </w:tcBorders>
            <w:vAlign w:val="center"/>
          </w:tcPr>
          <w:p w14:paraId="4755E4A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清洁生产审核</w:t>
            </w:r>
          </w:p>
        </w:tc>
        <w:tc>
          <w:tcPr>
            <w:tcW w:w="352" w:type="pct"/>
            <w:tcBorders>
              <w:tl2br w:val="nil"/>
              <w:tr2bl w:val="nil"/>
            </w:tcBorders>
            <w:vAlign w:val="center"/>
          </w:tcPr>
          <w:p w14:paraId="0CEAFBA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审核管理文件及审核周期、验收</w:t>
            </w:r>
          </w:p>
        </w:tc>
        <w:tc>
          <w:tcPr>
            <w:tcW w:w="326" w:type="pct"/>
            <w:tcBorders>
              <w:tl2br w:val="nil"/>
              <w:tr2bl w:val="nil"/>
            </w:tcBorders>
            <w:vAlign w:val="center"/>
          </w:tcPr>
          <w:p w14:paraId="1A7A93A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46C596E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2315" w:type="pct"/>
            <w:gridSpan w:val="3"/>
            <w:tcBorders>
              <w:tl2br w:val="nil"/>
              <w:tr2bl w:val="nil"/>
            </w:tcBorders>
            <w:vAlign w:val="center"/>
          </w:tcPr>
          <w:p w14:paraId="47E79B8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按照GB/T24001建立并有效运行环境管理体系，环境管理手册、程序文件及作业文件齐备，定期完成新一轮清洁生产审核，审核方案全部实施，并通过验收</w:t>
            </w:r>
          </w:p>
        </w:tc>
        <w:tc>
          <w:tcPr>
            <w:tcW w:w="996" w:type="pct"/>
            <w:tcBorders>
              <w:tl2br w:val="nil"/>
              <w:tr2bl w:val="nil"/>
            </w:tcBorders>
            <w:vAlign w:val="center"/>
          </w:tcPr>
          <w:p w14:paraId="1AAAE7F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5A27CF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152" w:type="pct"/>
            <w:tcBorders>
              <w:tl2br w:val="nil"/>
              <w:tr2bl w:val="nil"/>
            </w:tcBorders>
            <w:vAlign w:val="center"/>
          </w:tcPr>
          <w:p w14:paraId="37D81DA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15</w:t>
            </w:r>
          </w:p>
        </w:tc>
        <w:tc>
          <w:tcPr>
            <w:tcW w:w="236" w:type="pct"/>
            <w:vMerge w:val="continue"/>
            <w:tcBorders>
              <w:tl2br w:val="nil"/>
              <w:tr2bl w:val="nil"/>
            </w:tcBorders>
            <w:vAlign w:val="center"/>
          </w:tcPr>
          <w:p w14:paraId="596B31F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26C0D9F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1E87C93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环保设施运行管理</w:t>
            </w:r>
          </w:p>
        </w:tc>
        <w:tc>
          <w:tcPr>
            <w:tcW w:w="326" w:type="pct"/>
            <w:tcBorders>
              <w:tl2br w:val="nil"/>
              <w:tr2bl w:val="nil"/>
            </w:tcBorders>
            <w:vAlign w:val="center"/>
          </w:tcPr>
          <w:p w14:paraId="57B5A34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7FE1858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0.1</w:t>
            </w:r>
          </w:p>
        </w:tc>
        <w:tc>
          <w:tcPr>
            <w:tcW w:w="2315" w:type="pct"/>
            <w:gridSpan w:val="3"/>
            <w:tcBorders>
              <w:tl2br w:val="nil"/>
              <w:tr2bl w:val="nil"/>
            </w:tcBorders>
            <w:vAlign w:val="center"/>
          </w:tcPr>
          <w:p w14:paraId="06AB00C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环保设施正常运行，无跑、冒、滴、漏现象，设立环保</w:t>
            </w:r>
            <w:r>
              <w:rPr>
                <w:rFonts w:hint="default" w:ascii="Times New Roman" w:hAnsi="Times New Roman" w:cs="Times New Roman"/>
                <w:color w:val="auto"/>
                <w:spacing w:val="0"/>
                <w:w w:val="100"/>
                <w:position w:val="0"/>
                <w:sz w:val="21"/>
                <w:szCs w:val="21"/>
                <w:lang w:eastAsia="zh-CN"/>
              </w:rPr>
              <w:t>设备</w:t>
            </w:r>
            <w:r>
              <w:rPr>
                <w:rFonts w:hint="default" w:ascii="Times New Roman" w:hAnsi="Times New Roman" w:eastAsia="宋体" w:cs="Times New Roman"/>
                <w:color w:val="auto"/>
                <w:spacing w:val="0"/>
                <w:w w:val="100"/>
                <w:position w:val="0"/>
                <w:sz w:val="21"/>
                <w:szCs w:val="21"/>
              </w:rPr>
              <w:t>标识，环保设施运行台账齐全</w:t>
            </w:r>
          </w:p>
        </w:tc>
        <w:tc>
          <w:tcPr>
            <w:tcW w:w="996" w:type="pct"/>
            <w:tcBorders>
              <w:tl2br w:val="nil"/>
              <w:tr2bl w:val="nil"/>
            </w:tcBorders>
            <w:vAlign w:val="center"/>
          </w:tcPr>
          <w:p w14:paraId="3A0C35C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79BDB7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2" w:type="pct"/>
            <w:tcBorders>
              <w:tl2br w:val="nil"/>
              <w:tr2bl w:val="nil"/>
            </w:tcBorders>
            <w:vAlign w:val="center"/>
          </w:tcPr>
          <w:p w14:paraId="5B8C63C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16</w:t>
            </w:r>
          </w:p>
        </w:tc>
        <w:tc>
          <w:tcPr>
            <w:tcW w:w="236" w:type="pct"/>
            <w:vMerge w:val="continue"/>
            <w:tcBorders>
              <w:tl2br w:val="nil"/>
              <w:tr2bl w:val="nil"/>
            </w:tcBorders>
            <w:vAlign w:val="center"/>
          </w:tcPr>
          <w:p w14:paraId="393F3A5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204" w:type="pct"/>
            <w:vMerge w:val="continue"/>
            <w:tcBorders>
              <w:tl2br w:val="nil"/>
              <w:tr2bl w:val="nil"/>
            </w:tcBorders>
            <w:vAlign w:val="center"/>
          </w:tcPr>
          <w:p w14:paraId="60CE641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554" w:type="pct"/>
            <w:gridSpan w:val="2"/>
            <w:tcBorders>
              <w:tl2br w:val="nil"/>
              <w:tr2bl w:val="nil"/>
            </w:tcBorders>
            <w:vAlign w:val="center"/>
          </w:tcPr>
          <w:p w14:paraId="55D0897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环境应急</w:t>
            </w:r>
          </w:p>
        </w:tc>
        <w:tc>
          <w:tcPr>
            <w:tcW w:w="326" w:type="pct"/>
            <w:tcBorders>
              <w:tl2br w:val="nil"/>
              <w:tr2bl w:val="nil"/>
            </w:tcBorders>
            <w:vAlign w:val="center"/>
          </w:tcPr>
          <w:p w14:paraId="793C7D7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213" w:type="pct"/>
            <w:tcBorders>
              <w:tl2br w:val="nil"/>
              <w:tr2bl w:val="nil"/>
            </w:tcBorders>
            <w:vAlign w:val="center"/>
          </w:tcPr>
          <w:p w14:paraId="6ED4549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c>
          <w:tcPr>
            <w:tcW w:w="2315" w:type="pct"/>
            <w:gridSpan w:val="3"/>
            <w:tcBorders>
              <w:tl2br w:val="nil"/>
              <w:tr2bl w:val="nil"/>
            </w:tcBorders>
            <w:vAlign w:val="center"/>
          </w:tcPr>
          <w:p w14:paraId="654BDAC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编制环境风险应急预案，并进行备案，定期开展环境风险应急演练，可及时应对重大环境污染事故发生</w:t>
            </w:r>
          </w:p>
        </w:tc>
        <w:tc>
          <w:tcPr>
            <w:tcW w:w="996" w:type="pct"/>
            <w:tcBorders>
              <w:tl2br w:val="nil"/>
              <w:tr2bl w:val="nil"/>
            </w:tcBorders>
            <w:vAlign w:val="center"/>
          </w:tcPr>
          <w:p w14:paraId="59B54C0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w:t>
            </w:r>
          </w:p>
        </w:tc>
      </w:tr>
      <w:tr w14:paraId="2E90B1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003" w:type="pct"/>
            <w:gridSpan w:val="10"/>
            <w:tcBorders>
              <w:tl2br w:val="nil"/>
              <w:tr2bl w:val="nil"/>
            </w:tcBorders>
            <w:vAlign w:val="center"/>
          </w:tcPr>
          <w:p w14:paraId="1F424C9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注：带※的指标为限定性指标。</w:t>
            </w:r>
          </w:p>
        </w:tc>
        <w:tc>
          <w:tcPr>
            <w:tcW w:w="996" w:type="pct"/>
            <w:tcBorders>
              <w:tl2br w:val="nil"/>
              <w:tr2bl w:val="nil"/>
            </w:tcBorders>
            <w:vAlign w:val="center"/>
          </w:tcPr>
          <w:p w14:paraId="6B53D72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r>
    </w:tbl>
    <w:p w14:paraId="15F455CB">
      <w:pPr>
        <w:pStyle w:val="9"/>
        <w:rPr>
          <w:rFonts w:hint="default" w:ascii="Times New Roman" w:hAnsi="Times New Roman" w:eastAsia="宋体" w:cs="Times New Roman"/>
          <w:color w:val="auto"/>
          <w:spacing w:val="0"/>
          <w:w w:val="100"/>
          <w:position w:val="0"/>
        </w:rPr>
      </w:pPr>
    </w:p>
    <w:p w14:paraId="7793B751">
      <w:pPr>
        <w:rPr>
          <w:rFonts w:hint="default" w:ascii="Times New Roman" w:hAnsi="Times New Roman" w:eastAsia="宋体" w:cs="Times New Roman"/>
          <w:color w:val="auto"/>
          <w:spacing w:val="0"/>
          <w:w w:val="100"/>
          <w:position w:val="0"/>
        </w:rPr>
        <w:sectPr>
          <w:headerReference r:id="rId20" w:type="default"/>
          <w:footerReference r:id="rId21" w:type="default"/>
          <w:footerReference r:id="rId22" w:type="even"/>
          <w:pgSz w:w="16838" w:h="11906"/>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4EA513C4">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"3.3.10.3"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3.3.</w:t>
      </w:r>
      <w:r>
        <w:rPr>
          <w:rFonts w:hint="default" w:ascii="Times New Roman" w:hAnsi="Times New Roman" w:cs="Times New Roman"/>
          <w:b/>
          <w:bCs/>
          <w:color w:val="auto"/>
          <w:spacing w:val="0"/>
          <w:w w:val="100"/>
          <w:kern w:val="2"/>
          <w:position w:val="0"/>
          <w:sz w:val="24"/>
          <w:szCs w:val="28"/>
          <w:highlight w:val="none"/>
          <w:lang w:val="en-US" w:eastAsia="zh-CN" w:bidi="ar-SA"/>
        </w:rPr>
        <w:t>7</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w:t>
      </w:r>
      <w:r>
        <w:rPr>
          <w:rFonts w:hint="default" w:ascii="Times New Roman" w:hAnsi="Times New Roman" w:cs="Times New Roman"/>
          <w:b/>
          <w:bCs/>
          <w:color w:val="auto"/>
          <w:spacing w:val="0"/>
          <w:w w:val="100"/>
          <w:kern w:val="2"/>
          <w:position w:val="0"/>
          <w:sz w:val="24"/>
          <w:szCs w:val="28"/>
          <w:highlight w:val="none"/>
          <w:lang w:val="en-US" w:eastAsia="zh-CN" w:bidi="ar-SA"/>
        </w:rPr>
        <w:t>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清洁生产结论</w:t>
      </w:r>
    </w:p>
    <w:p w14:paraId="61287362">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清洁生产分析表明，项目生产工艺装备先进，资源能源利用率较高，工业废水重复利用率较高，管理体制完善，符合清洁生产要求。同时矿山未使用《矿产资源节约与综合利用、鼓励、限制和淘汰技术目录》中的限制类和淘汰类技术。项目建设的节能配套设施完整，满足国家和行业节能规定要求。</w:t>
      </w:r>
    </w:p>
    <w:p w14:paraId="78F26D58">
      <w:pPr>
        <w:pStyle w:val="3"/>
        <w:bidi w:val="0"/>
        <w:rPr>
          <w:rFonts w:hint="default" w:ascii="Times New Roman" w:hAnsi="Times New Roman" w:cs="Times New Roman"/>
          <w:color w:val="auto"/>
          <w:lang w:val="en-US" w:eastAsia="zh-CN"/>
        </w:rPr>
      </w:pPr>
      <w:bookmarkStart w:id="350" w:name="bookmark21"/>
      <w:bookmarkEnd w:id="350"/>
      <w:bookmarkStart w:id="351" w:name="_Toc8203"/>
      <w:bookmarkStart w:id="352" w:name="_Toc26658"/>
      <w:r>
        <w:rPr>
          <w:rFonts w:hint="default" w:ascii="Times New Roman" w:hAnsi="Times New Roman" w:cs="Times New Roman"/>
          <w:color w:val="auto"/>
          <w:lang w:val="en-US" w:eastAsia="zh-CN"/>
        </w:rPr>
        <w:t>废石场选址合理性分析</w:t>
      </w:r>
      <w:bookmarkEnd w:id="351"/>
      <w:bookmarkEnd w:id="352"/>
    </w:p>
    <w:p w14:paraId="5B34B0E0">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本次设计三个废石场：废石场1和废石场2，废石场3。废石场1位于主平硐的西南侧230m处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占地面积15730m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，废石场2位于主平硐的东南侧180m处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占地面积1860m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，废石场3位于北斜坡道口的东南侧253m处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占地面积30000m</w:t>
      </w:r>
      <w:r>
        <w:rPr>
          <w:rFonts w:hint="default" w:ascii="Times New Roman" w:hAnsi="Times New Roman" w:cs="Times New Roman"/>
          <w:color w:val="auto"/>
          <w:sz w:val="24"/>
          <w:szCs w:val="24"/>
          <w:vertAlign w:val="superscript"/>
          <w:lang w:val="en-US" w:eastAsia="zh-CN"/>
        </w:rPr>
        <w:t>2</w:t>
      </w:r>
      <w:r>
        <w:rPr>
          <w:rFonts w:hint="default" w:ascii="Times New Roman" w:hAnsi="Times New Roman" w:eastAsia="宋体" w:cs="Times New Roman"/>
          <w:color w:val="auto"/>
          <w:sz w:val="24"/>
          <w:szCs w:val="24"/>
        </w:rPr>
        <w:t>。废石场1堆置顶标高2030m，分台阶堆置，每台阶高度为6m，最终边坡角约33.7°，坡比1：1.5，经计算废石堆场容积为11.2万m³。废石场2堆置顶标高2010m，堆置高度为6m，容积6000m³，最终边坡角约33.7°，坡比1：1.5。废石场3堆置顶标高2022m，分台阶堆置，每台阶高度为6m，最终边坡角约33.7°，坡比1：1.5，经计算废石堆场容积为14万m³。堆场布置护坡进行防护处理，废石堆场下游建造挡墙。废石场作业方式，采用汽车－推土机排土工艺。废石场采用多台阶覆盖式排土工艺，排土作业采用单台阶作业。</w:t>
      </w:r>
    </w:p>
    <w:p w14:paraId="240B33F1">
      <w:pPr>
        <w:keepNext w:val="0"/>
        <w:keepLines w:val="0"/>
        <w:pageBreakBefore w:val="0"/>
        <w:widowControl w:val="0"/>
        <w:kinsoku/>
        <w:wordWrap/>
        <w:overflowPunct/>
        <w:topLinePunct w:val="0"/>
        <w:autoSpaceDE/>
        <w:autoSpaceDN/>
        <w:bidi w:val="0"/>
        <w:adjustRightInd/>
        <w:snapToGrid/>
        <w:spacing w:line="480" w:lineRule="exact"/>
        <w:ind w:left="0" w:right="0" w:firstLine="47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对照《金属非金属矿山排土场安全生产规则》（AQ2005-2005）中对排土场选址的相关要求：</w:t>
      </w:r>
    </w:p>
    <w:p w14:paraId="1B77DD76">
      <w:pPr>
        <w:keepNext w:val="0"/>
        <w:keepLines w:val="0"/>
        <w:pageBreakBefore w:val="0"/>
        <w:widowControl w:val="0"/>
        <w:kinsoku/>
        <w:wordWrap/>
        <w:overflowPunct/>
        <w:topLinePunct w:val="0"/>
        <w:autoSpaceDE/>
        <w:autoSpaceDN/>
        <w:bidi w:val="0"/>
        <w:adjustRightInd/>
        <w:snapToGrid/>
        <w:spacing w:line="480" w:lineRule="exact"/>
        <w:ind w:left="0" w:right="0" w:firstLine="499"/>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排土场位置的选择，应保证排弃土岩时不致因大块滚石、滑坡、塌方等威胁采矿场、工业场地（区）、居民点、铁路、道路、输电及通讯干线、耕种区水域、隧洞等设施的安全——本项目排土场下游无采矿场、工业场地、距离公路、铁路较远，下游也无耕种区水域、隧洞等设施；</w:t>
      </w:r>
    </w:p>
    <w:p w14:paraId="20491C98">
      <w:pPr>
        <w:keepNext w:val="0"/>
        <w:keepLines w:val="0"/>
        <w:pageBreakBefore w:val="0"/>
        <w:widowControl w:val="0"/>
        <w:kinsoku/>
        <w:wordWrap/>
        <w:overflowPunct/>
        <w:topLinePunct w:val="0"/>
        <w:autoSpaceDE/>
        <w:autoSpaceDN/>
        <w:bidi w:val="0"/>
        <w:adjustRightInd/>
        <w:snapToGrid/>
        <w:spacing w:line="480" w:lineRule="exact"/>
        <w:ind w:left="0" w:right="0" w:firstLine="47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排土场不宜设在工程地质或水文地质条件不良的地带：如因地基不良而影响安全，必须采取有效措施。排土场选址时应避免成为矿山泥石流重大危险源，无法避开时要采取切实有效的措施防止泥石流灾害的发生——根据</w:t>
      </w:r>
      <w:r>
        <w:rPr>
          <w:rFonts w:hint="default" w:ascii="Times New Roman" w:hAnsi="Times New Roman" w:eastAsia="宋体" w:cs="Times New Roman"/>
          <w:color w:val="auto"/>
          <w:spacing w:val="0"/>
          <w:w w:val="100"/>
          <w:position w:val="0"/>
          <w:sz w:val="24"/>
          <w:szCs w:val="24"/>
          <w:highlight w:val="none"/>
          <w:lang w:val="en-US" w:eastAsia="zh-CN"/>
        </w:rPr>
        <w:t>《哈密市金石矿业有限责任公司哈密市大红山北铜矿</w:t>
      </w:r>
      <w:r>
        <w:rPr>
          <w:rFonts w:hint="default" w:ascii="Times New Roman" w:hAnsi="Times New Roman" w:cs="Times New Roman"/>
          <w:color w:val="auto"/>
          <w:spacing w:val="0"/>
          <w:w w:val="100"/>
          <w:position w:val="0"/>
          <w:sz w:val="24"/>
          <w:szCs w:val="24"/>
          <w:highlight w:val="none"/>
          <w:lang w:val="en-US" w:eastAsia="zh-CN"/>
        </w:rPr>
        <w:t>可行性研究报告</w:t>
      </w:r>
      <w:r>
        <w:rPr>
          <w:rFonts w:hint="default" w:ascii="Times New Roman" w:hAnsi="Times New Roman" w:eastAsia="宋体" w:cs="Times New Roman"/>
          <w:color w:val="auto"/>
          <w:spacing w:val="0"/>
          <w:w w:val="100"/>
          <w:position w:val="0"/>
          <w:sz w:val="24"/>
          <w:szCs w:val="24"/>
          <w:highlight w:val="none"/>
          <w:lang w:val="en-US" w:eastAsia="zh-CN"/>
        </w:rPr>
        <w:t>》以及岩土勘察报告</w:t>
      </w:r>
      <w:r>
        <w:rPr>
          <w:rFonts w:hint="default" w:ascii="Times New Roman" w:hAnsi="Times New Roman" w:eastAsia="宋体" w:cs="Times New Roman"/>
          <w:color w:val="auto"/>
          <w:spacing w:val="0"/>
          <w:w w:val="100"/>
          <w:position w:val="0"/>
          <w:sz w:val="24"/>
          <w:szCs w:val="24"/>
        </w:rPr>
        <w:t>，本项目废石场场址不在断层、断层破裂带、溶洞区，不是天然滑坡或泥石流影响区；废石场不属于滩地和洪泛区；</w:t>
      </w:r>
    </w:p>
    <w:p w14:paraId="5EC30D14">
      <w:pPr>
        <w:keepNext w:val="0"/>
        <w:keepLines w:val="0"/>
        <w:pageBreakBefore w:val="0"/>
        <w:widowControl w:val="0"/>
        <w:kinsoku/>
        <w:wordWrap/>
        <w:overflowPunct/>
        <w:topLinePunct w:val="0"/>
        <w:autoSpaceDE/>
        <w:autoSpaceDN/>
        <w:bidi w:val="0"/>
        <w:adjustRightInd/>
        <w:snapToGrid/>
        <w:spacing w:line="480" w:lineRule="exact"/>
        <w:ind w:left="0" w:righ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排土场址不应设在居民区或工业建筑的主导风向的上风向和生活水源的上游，废石中的污染物要按照</w:t>
      </w:r>
      <w:bookmarkStart w:id="353" w:name="OLE_LINK6"/>
      <w:r>
        <w:rPr>
          <w:rFonts w:hint="default" w:ascii="Times New Roman" w:hAnsi="Times New Roman" w:eastAsia="宋体" w:cs="Times New Roman"/>
          <w:color w:val="auto"/>
          <w:spacing w:val="0"/>
          <w:w w:val="100"/>
          <w:position w:val="0"/>
          <w:sz w:val="24"/>
          <w:szCs w:val="24"/>
        </w:rPr>
        <w:t>《一般工业固体废物贮存</w:t>
      </w:r>
      <w:r>
        <w:rPr>
          <w:rFonts w:hint="default" w:ascii="Times New Roman" w:hAnsi="Times New Roman" w:eastAsia="宋体" w:cs="Times New Roman"/>
          <w:color w:val="auto"/>
          <w:spacing w:val="0"/>
          <w:w w:val="100"/>
          <w:position w:val="0"/>
          <w:sz w:val="24"/>
          <w:szCs w:val="24"/>
          <w:lang w:val="en-US" w:eastAsia="zh-CN"/>
        </w:rPr>
        <w:t>和填埋</w:t>
      </w:r>
      <w:r>
        <w:rPr>
          <w:rFonts w:hint="default" w:ascii="Times New Roman" w:hAnsi="Times New Roman" w:eastAsia="宋体" w:cs="Times New Roman"/>
          <w:color w:val="auto"/>
          <w:spacing w:val="0"/>
          <w:w w:val="100"/>
          <w:position w:val="0"/>
          <w:sz w:val="24"/>
          <w:szCs w:val="24"/>
        </w:rPr>
        <w:t>污染控制标准》</w:t>
      </w:r>
      <w:bookmarkEnd w:id="353"/>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GB 18599-2020</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堆放、处置。</w:t>
      </w:r>
    </w:p>
    <w:p w14:paraId="461766B0">
      <w:pPr>
        <w:keepNext w:val="0"/>
        <w:keepLines w:val="0"/>
        <w:pageBreakBefore w:val="0"/>
        <w:widowControl w:val="0"/>
        <w:kinsoku/>
        <w:wordWrap/>
        <w:overflowPunct/>
        <w:topLinePunct w:val="0"/>
        <w:autoSpaceDE/>
        <w:autoSpaceDN/>
        <w:bidi w:val="0"/>
        <w:adjustRightInd/>
        <w:snapToGrid/>
        <w:spacing w:line="480" w:lineRule="exact"/>
        <w:ind w:left="0" w:righ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本项目废石场下游无居民区和</w:t>
      </w:r>
      <w:r>
        <w:rPr>
          <w:rFonts w:hint="default" w:ascii="Times New Roman" w:hAnsi="Times New Roman" w:cs="Times New Roman"/>
          <w:color w:val="auto"/>
          <w:spacing w:val="0"/>
          <w:w w:val="100"/>
          <w:position w:val="0"/>
          <w:sz w:val="24"/>
          <w:szCs w:val="24"/>
          <w:lang w:eastAsia="zh-CN"/>
        </w:rPr>
        <w:t>其他</w:t>
      </w:r>
      <w:r>
        <w:rPr>
          <w:rFonts w:hint="default" w:ascii="Times New Roman" w:hAnsi="Times New Roman" w:eastAsia="宋体" w:cs="Times New Roman"/>
          <w:color w:val="auto"/>
          <w:spacing w:val="0"/>
          <w:w w:val="100"/>
          <w:position w:val="0"/>
          <w:sz w:val="24"/>
          <w:szCs w:val="24"/>
        </w:rPr>
        <w:t>需要特殊保护的区域；场址地表土地利用类型为岩体、微量植被、无国家重点保护物种；根据固废样品浸出毒性鉴别及检测报告中对废石浸出液的检测结果，废石浸出液各危害成分浓度均在《危险废物鉴别标准浸出毒性鉴别》（GB5085.3-2007）“表2浸出毒性鉴别标准值中第一类无机元素与化合物”危害浓度限值之内，属于一般I类固体废物，因而即使废石场内有少量淋溶水产生，该淋溶水也不会对外环境造成污染等危害，</w:t>
      </w:r>
      <w:r>
        <w:rPr>
          <w:rFonts w:hint="default" w:ascii="Times New Roman" w:hAnsi="Times New Roman" w:eastAsia="宋体" w:cs="Times New Roman"/>
          <w:b/>
          <w:bCs/>
          <w:color w:val="auto"/>
          <w:sz w:val="24"/>
          <w:szCs w:val="24"/>
        </w:rPr>
        <w:t>堆场为</w:t>
      </w:r>
      <w:r>
        <w:rPr>
          <w:rStyle w:val="24"/>
          <w:rFonts w:hint="default" w:ascii="Times New Roman" w:hAnsi="Times New Roman" w:eastAsia="宋体" w:cs="Times New Roman"/>
          <w:b/>
          <w:bCs/>
          <w:color w:val="auto"/>
          <w:sz w:val="24"/>
          <w:szCs w:val="24"/>
        </w:rPr>
        <w:t>临时中转周转场地，不作为永久排土处置场地</w:t>
      </w:r>
      <w:r>
        <w:rPr>
          <w:rFonts w:hint="default" w:ascii="Times New Roman" w:hAnsi="Times New Roman" w:eastAsia="宋体" w:cs="Times New Roman"/>
          <w:b/>
          <w:bCs/>
          <w:color w:val="auto"/>
          <w:sz w:val="24"/>
          <w:szCs w:val="24"/>
        </w:rPr>
        <w:t>，地表堆存的废石破碎后全部输送至充填站，作为井下充填骨料充填采空区，实现废石资源化利用，不在地表长期堆存</w:t>
      </w:r>
      <w:r>
        <w:rPr>
          <w:rFonts w:hint="default" w:ascii="Times New Roman" w:hAnsi="Times New Roman" w:eastAsia="宋体" w:cs="Times New Roman"/>
          <w:b/>
          <w:bCs/>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rPr>
        <w:t>服务期满后及时恢复地表覆盖，逐渐恢复原有土地利用功能。因此该废石场选址满足《一般工业固体废物贮存</w:t>
      </w:r>
      <w:r>
        <w:rPr>
          <w:rFonts w:hint="default" w:ascii="Times New Roman" w:hAnsi="Times New Roman" w:eastAsia="宋体" w:cs="Times New Roman"/>
          <w:color w:val="auto"/>
          <w:spacing w:val="0"/>
          <w:w w:val="100"/>
          <w:position w:val="0"/>
          <w:sz w:val="24"/>
          <w:szCs w:val="24"/>
          <w:lang w:val="en-US" w:eastAsia="zh-CN"/>
        </w:rPr>
        <w:t>和填埋</w:t>
      </w:r>
      <w:r>
        <w:rPr>
          <w:rFonts w:hint="default" w:ascii="Times New Roman" w:hAnsi="Times New Roman" w:eastAsia="宋体" w:cs="Times New Roman"/>
          <w:color w:val="auto"/>
          <w:spacing w:val="0"/>
          <w:w w:val="100"/>
          <w:position w:val="0"/>
          <w:sz w:val="24"/>
          <w:szCs w:val="24"/>
        </w:rPr>
        <w:t>污染控制标准》</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GB 18599-2020</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w:t>
      </w:r>
    </w:p>
    <w:p w14:paraId="1C845ACD">
      <w:pPr>
        <w:keepNext w:val="0"/>
        <w:keepLines w:val="0"/>
        <w:pageBreakBefore w:val="0"/>
        <w:widowControl w:val="0"/>
        <w:kinsoku/>
        <w:wordWrap/>
        <w:overflowPunct/>
        <w:topLinePunct w:val="0"/>
        <w:autoSpaceDE/>
        <w:autoSpaceDN/>
        <w:bidi w:val="0"/>
        <w:adjustRightInd/>
        <w:snapToGrid/>
        <w:spacing w:line="480" w:lineRule="exact"/>
        <w:ind w:left="0" w:right="0" w:firstLine="480"/>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同时由于地区极度干旱，蒸发量远大于降雨量，因而因降雨形成大规模洪水的可能性极小，但是不排除极端暴雨情况形成雨水冲击的可能。为此设计在废石场的上游设置截洪沟或防洪堤，将上游来水导流至下游，防止地表水流入废石场内浸泡、冲刷边坡；同时在废石场沟口坡脚处修筑透水性拦渣坝，拦截废石场雨水冲刷的泥沙，以免对下游道路和设施形成危害。排弃废石过程中，废石场平台保持2～3%的内向坡度，防止平台汇水冲刷边坡。同时在废石场平台道路内侧修筑排水沟拦截平台表面山坡汇水排至下游。</w:t>
      </w:r>
    </w:p>
    <w:p w14:paraId="726720CD">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综上，从环保角度该废石场选址可行。</w:t>
      </w:r>
    </w:p>
    <w:p w14:paraId="7E834E74">
      <w:pPr>
        <w:pStyle w:val="3"/>
        <w:bidi w:val="0"/>
        <w:rPr>
          <w:rFonts w:hint="default" w:ascii="Times New Roman" w:hAnsi="Times New Roman" w:cs="Times New Roman"/>
          <w:color w:val="auto"/>
          <w:lang w:val="en-US" w:eastAsia="zh-CN"/>
        </w:rPr>
      </w:pPr>
      <w:bookmarkStart w:id="354" w:name="_Toc491"/>
      <w:bookmarkStart w:id="355" w:name="_Toc6436"/>
      <w:bookmarkStart w:id="356" w:name="_Toc24999"/>
      <w:bookmarkStart w:id="357" w:name="_Toc30480"/>
      <w:bookmarkStart w:id="358" w:name="_Toc27597"/>
      <w:bookmarkStart w:id="359" w:name="_Toc10424_WPSOffice_Level1"/>
      <w:bookmarkStart w:id="360" w:name="_Toc32163"/>
      <w:bookmarkStart w:id="361" w:name="_Toc10664"/>
      <w:bookmarkStart w:id="362" w:name="_Toc9492"/>
      <w:bookmarkStart w:id="363" w:name="_Toc12456"/>
      <w:bookmarkStart w:id="364" w:name="_Toc11749"/>
      <w:bookmarkStart w:id="365" w:name="_Toc4423"/>
      <w:bookmarkStart w:id="366" w:name="_Toc21776"/>
      <w:bookmarkStart w:id="367" w:name="_Toc25785"/>
      <w:r>
        <w:rPr>
          <w:rFonts w:hint="default" w:ascii="Times New Roman" w:hAnsi="Times New Roman" w:cs="Times New Roman"/>
          <w:color w:val="auto"/>
          <w:lang w:val="en-US" w:eastAsia="zh-CN"/>
        </w:rPr>
        <w:t>产业政策符合性及规划符合性分析</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40C5408D">
      <w:pPr>
        <w:pStyle w:val="4"/>
        <w:bidi w:val="0"/>
        <w:rPr>
          <w:rFonts w:hint="default" w:ascii="Times New Roman" w:hAnsi="Times New Roman" w:cs="Times New Roman"/>
          <w:color w:val="auto"/>
        </w:rPr>
      </w:pPr>
      <w:bookmarkStart w:id="368" w:name="_Toc7943"/>
      <w:bookmarkStart w:id="369" w:name="_Toc12033"/>
      <w:bookmarkStart w:id="370" w:name="_Toc1989"/>
      <w:bookmarkStart w:id="371" w:name="_Toc12426"/>
      <w:bookmarkStart w:id="372" w:name="_Toc12408"/>
      <w:bookmarkStart w:id="373" w:name="_Toc32209"/>
      <w:bookmarkStart w:id="374" w:name="_Toc12984"/>
      <w:bookmarkStart w:id="375" w:name="_Toc1734"/>
      <w:bookmarkStart w:id="376" w:name="_Toc21672"/>
      <w:r>
        <w:rPr>
          <w:rFonts w:hint="default" w:ascii="Times New Roman" w:hAnsi="Times New Roman" w:cs="Times New Roman"/>
          <w:color w:val="auto"/>
          <w:lang w:val="en-US" w:eastAsia="zh-CN"/>
        </w:rPr>
        <w:t>相关</w:t>
      </w:r>
      <w:r>
        <w:rPr>
          <w:rFonts w:hint="default" w:ascii="Times New Roman" w:hAnsi="Times New Roman" w:cs="Times New Roman"/>
          <w:color w:val="auto"/>
        </w:rPr>
        <w:t>政策符合性分析</w:t>
      </w:r>
      <w:bookmarkEnd w:id="368"/>
      <w:bookmarkEnd w:id="369"/>
      <w:bookmarkEnd w:id="370"/>
      <w:bookmarkEnd w:id="371"/>
      <w:bookmarkEnd w:id="372"/>
      <w:bookmarkEnd w:id="373"/>
      <w:bookmarkEnd w:id="374"/>
      <w:bookmarkEnd w:id="375"/>
      <w:bookmarkEnd w:id="376"/>
    </w:p>
    <w:p w14:paraId="40232313">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bookmarkStart w:id="377" w:name="_Toc355784238"/>
      <w:bookmarkStart w:id="378" w:name="_Toc383694028"/>
      <w:bookmarkStart w:id="379" w:name="_Toc374609194"/>
      <w:bookmarkStart w:id="380" w:name="_Toc386990101"/>
      <w:bookmarkStart w:id="381" w:name="_Toc447541224"/>
      <w:bookmarkStart w:id="382" w:name="_Toc446160736"/>
      <w:bookmarkStart w:id="383" w:name="_Toc374957705"/>
      <w:bookmarkStart w:id="384" w:name="_Toc426642696"/>
      <w:bookmarkStart w:id="385" w:name="_Toc14152"/>
      <w:bookmarkStart w:id="386" w:name="_Toc7373"/>
      <w:bookmarkStart w:id="387" w:name="_Toc365647371"/>
      <w:r>
        <w:rPr>
          <w:rFonts w:hint="default" w:ascii="Times New Roman" w:hAnsi="Times New Roman" w:eastAsia="宋体" w:cs="Times New Roman"/>
          <w:b/>
          <w:bCs/>
          <w:color w:val="auto"/>
          <w:spacing w:val="0"/>
          <w:w w:val="100"/>
          <w:position w:val="0"/>
          <w:highlight w:val="none"/>
          <w:lang w:val="en-US" w:eastAsia="zh-CN"/>
        </w:rPr>
        <w:t>3.5.1.1产业政策</w:t>
      </w:r>
      <w:bookmarkEnd w:id="377"/>
      <w:bookmarkEnd w:id="378"/>
      <w:bookmarkEnd w:id="379"/>
      <w:bookmarkEnd w:id="380"/>
      <w:bookmarkEnd w:id="381"/>
      <w:bookmarkEnd w:id="382"/>
      <w:bookmarkEnd w:id="383"/>
      <w:bookmarkEnd w:id="384"/>
      <w:bookmarkEnd w:id="385"/>
      <w:bookmarkEnd w:id="386"/>
      <w:bookmarkEnd w:id="387"/>
      <w:r>
        <w:rPr>
          <w:rFonts w:hint="default" w:ascii="Times New Roman" w:hAnsi="Times New Roman" w:eastAsia="宋体" w:cs="Times New Roman"/>
          <w:b/>
          <w:bCs/>
          <w:color w:val="auto"/>
          <w:spacing w:val="0"/>
          <w:w w:val="100"/>
          <w:position w:val="0"/>
          <w:highlight w:val="none"/>
          <w:lang w:val="en-US" w:eastAsia="zh-CN"/>
        </w:rPr>
        <w:t>符合性分析</w:t>
      </w:r>
    </w:p>
    <w:p w14:paraId="32A0EE28">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①《产业结构调整指导目录（20</w:t>
      </w:r>
      <w:r>
        <w:rPr>
          <w:rFonts w:hint="default" w:ascii="Times New Roman" w:hAnsi="Times New Roman" w:eastAsia="宋体" w:cs="Times New Roman"/>
          <w:color w:val="auto"/>
          <w:spacing w:val="0"/>
          <w:w w:val="100"/>
          <w:position w:val="0"/>
          <w:sz w:val="24"/>
          <w:szCs w:val="24"/>
          <w:highlight w:val="none"/>
          <w:lang w:val="en-US" w:eastAsia="zh-CN"/>
        </w:rPr>
        <w:t>24</w:t>
      </w:r>
      <w:r>
        <w:rPr>
          <w:rFonts w:hint="default" w:ascii="Times New Roman" w:hAnsi="Times New Roman" w:eastAsia="宋体" w:cs="Times New Roman"/>
          <w:color w:val="auto"/>
          <w:spacing w:val="0"/>
          <w:w w:val="100"/>
          <w:position w:val="0"/>
          <w:sz w:val="24"/>
          <w:szCs w:val="24"/>
          <w:highlight w:val="none"/>
        </w:rPr>
        <w:t>年本）》和《西部地区鼓励类产业目录（202</w:t>
      </w:r>
      <w:r>
        <w:rPr>
          <w:rFonts w:hint="default" w:ascii="Times New Roman" w:hAnsi="Times New Roman" w:cs="Times New Roman"/>
          <w:color w:val="auto"/>
          <w:spacing w:val="0"/>
          <w:w w:val="100"/>
          <w:position w:val="0"/>
          <w:sz w:val="24"/>
          <w:szCs w:val="24"/>
          <w:highlight w:val="none"/>
          <w:lang w:val="en-US" w:eastAsia="zh-CN"/>
        </w:rPr>
        <w:t>5</w:t>
      </w:r>
      <w:r>
        <w:rPr>
          <w:rFonts w:hint="default" w:ascii="Times New Roman" w:hAnsi="Times New Roman" w:eastAsia="宋体" w:cs="Times New Roman"/>
          <w:color w:val="auto"/>
          <w:spacing w:val="0"/>
          <w:w w:val="100"/>
          <w:position w:val="0"/>
          <w:sz w:val="24"/>
          <w:szCs w:val="24"/>
          <w:highlight w:val="none"/>
        </w:rPr>
        <w:t>年本）》</w:t>
      </w:r>
    </w:p>
    <w:p w14:paraId="304976C6">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本项目为铜矿开采，根据《产业结构调整指导目录（2024年本）》，不属于产业政策鼓励类、限制类、淘汰类项目，视为允许类，本项目的建设符合国家产业政策。</w:t>
      </w:r>
    </w:p>
    <w:p w14:paraId="043EC9DB">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对照《西部地区鼓励类产业目录（202</w:t>
      </w:r>
      <w:r>
        <w:rPr>
          <w:rFonts w:hint="default" w:ascii="Times New Roman" w:hAnsi="Times New Roman" w:cs="Times New Roman"/>
          <w:color w:val="auto"/>
          <w:spacing w:val="0"/>
          <w:w w:val="100"/>
          <w:position w:val="0"/>
          <w:sz w:val="24"/>
          <w:szCs w:val="24"/>
          <w:highlight w:val="none"/>
          <w:lang w:val="en-US" w:eastAsia="zh-CN"/>
        </w:rPr>
        <w:t>5</w:t>
      </w:r>
      <w:r>
        <w:rPr>
          <w:rFonts w:hint="default" w:ascii="Times New Roman" w:hAnsi="Times New Roman" w:eastAsia="宋体" w:cs="Times New Roman"/>
          <w:color w:val="auto"/>
          <w:spacing w:val="0"/>
          <w:w w:val="100"/>
          <w:position w:val="0"/>
          <w:sz w:val="24"/>
          <w:szCs w:val="24"/>
          <w:highlight w:val="none"/>
        </w:rPr>
        <w:t>年本）》，本项目属于新疆维吾尔自治区（含新疆生产建设兵团）中</w:t>
      </w:r>
      <w:r>
        <w:rPr>
          <w:rFonts w:hint="default" w:ascii="Times New Roman" w:hAnsi="Times New Roman" w:eastAsia="宋体" w:cs="Times New Roman"/>
          <w:color w:val="auto"/>
          <w:spacing w:val="0"/>
          <w:w w:val="100"/>
          <w:position w:val="0"/>
          <w:sz w:val="24"/>
          <w:lang w:val="en-US" w:eastAsia="zh-CN"/>
        </w:rPr>
        <w:t>19.铁、锰、铜、镍、铅、锌、钨、锡、钛、锑、镁、稀有金属和稀散金属勘探、有序开采、精深加工、加工新技术开发及应用</w:t>
      </w:r>
      <w:r>
        <w:rPr>
          <w:rFonts w:hint="default" w:ascii="Times New Roman" w:hAnsi="Times New Roman" w:eastAsia="宋体" w:cs="Times New Roman"/>
          <w:color w:val="auto"/>
          <w:spacing w:val="0"/>
          <w:w w:val="100"/>
          <w:position w:val="0"/>
          <w:sz w:val="24"/>
          <w:szCs w:val="24"/>
          <w:highlight w:val="none"/>
        </w:rPr>
        <w:t>，符合《西部地区鼓励类产业目录（202</w:t>
      </w:r>
      <w:r>
        <w:rPr>
          <w:rFonts w:hint="default" w:ascii="Times New Roman" w:hAnsi="Times New Roman" w:cs="Times New Roman"/>
          <w:color w:val="auto"/>
          <w:spacing w:val="0"/>
          <w:w w:val="100"/>
          <w:position w:val="0"/>
          <w:sz w:val="24"/>
          <w:szCs w:val="24"/>
          <w:highlight w:val="none"/>
          <w:lang w:val="en-US" w:eastAsia="zh-CN"/>
        </w:rPr>
        <w:t>5</w:t>
      </w:r>
      <w:r>
        <w:rPr>
          <w:rFonts w:hint="default" w:ascii="Times New Roman" w:hAnsi="Times New Roman" w:eastAsia="宋体" w:cs="Times New Roman"/>
          <w:color w:val="auto"/>
          <w:spacing w:val="0"/>
          <w:w w:val="100"/>
          <w:position w:val="0"/>
          <w:sz w:val="24"/>
          <w:szCs w:val="24"/>
          <w:highlight w:val="none"/>
        </w:rPr>
        <w:t>年本）》新增鼓励类产业要求。</w:t>
      </w:r>
    </w:p>
    <w:p w14:paraId="55E4A7C3">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②《关于印发</w:t>
      </w:r>
      <w:r>
        <w:rPr>
          <w:rFonts w:hint="eastAsia" w:ascii="Times New Roman" w:hAnsi="Times New Roman"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新疆维吾尔自治区非煤矿种（12种）矿山最小生产规模和最低服务年限（暂行）</w:t>
      </w:r>
      <w:r>
        <w:rPr>
          <w:rFonts w:hint="default" w:ascii="Times New Roman" w:hAnsi="Times New Roman"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的通知》（新自然资发</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2019</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rPr>
        <w:t>25号）</w:t>
      </w:r>
    </w:p>
    <w:p w14:paraId="108262DF">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根据通知要求，铜矿生产建设规模最低要求6万t/a，最低服务年限9a。本项目</w:t>
      </w:r>
      <w:r>
        <w:rPr>
          <w:rFonts w:hint="default" w:ascii="Times New Roman" w:hAnsi="Times New Roman" w:eastAsia="宋体" w:cs="Times New Roman"/>
          <w:color w:val="auto"/>
          <w:spacing w:val="0"/>
          <w:w w:val="100"/>
          <w:position w:val="0"/>
          <w:sz w:val="24"/>
          <w:szCs w:val="24"/>
          <w:highlight w:val="none"/>
          <w:lang w:val="en-US" w:eastAsia="zh-CN"/>
        </w:rPr>
        <w:t>设计生产规模为</w:t>
      </w:r>
      <w:r>
        <w:rPr>
          <w:rFonts w:hint="default" w:ascii="Times New Roman" w:hAnsi="Times New Roman" w:cs="Times New Roman"/>
          <w:color w:val="auto"/>
          <w:spacing w:val="0"/>
          <w:w w:val="100"/>
          <w:position w:val="0"/>
          <w:sz w:val="24"/>
          <w:szCs w:val="24"/>
          <w:highlight w:val="none"/>
          <w:lang w:val="en-US" w:eastAsia="zh-CN"/>
        </w:rPr>
        <w:t>30</w:t>
      </w:r>
      <w:r>
        <w:rPr>
          <w:rFonts w:hint="default" w:ascii="Times New Roman" w:hAnsi="Times New Roman" w:eastAsia="宋体" w:cs="Times New Roman"/>
          <w:color w:val="auto"/>
          <w:spacing w:val="0"/>
          <w:w w:val="100"/>
          <w:position w:val="0"/>
          <w:sz w:val="24"/>
          <w:szCs w:val="24"/>
          <w:highlight w:val="none"/>
          <w:lang w:val="en-US" w:eastAsia="zh-CN"/>
        </w:rPr>
        <w:t>×10</w:t>
      </w:r>
      <w:r>
        <w:rPr>
          <w:rFonts w:hint="default" w:ascii="Times New Roman" w:hAnsi="Times New Roman" w:eastAsia="宋体" w:cs="Times New Roman"/>
          <w:color w:val="auto"/>
          <w:spacing w:val="0"/>
          <w:w w:val="100"/>
          <w:position w:val="0"/>
          <w:sz w:val="24"/>
          <w:szCs w:val="24"/>
          <w:highlight w:val="none"/>
          <w:vertAlign w:val="superscript"/>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t/a，服务年限为10</w:t>
      </w:r>
      <w:r>
        <w:rPr>
          <w:rFonts w:hint="default" w:ascii="Times New Roman" w:hAnsi="Times New Roman" w:cs="Times New Roman"/>
          <w:color w:val="auto"/>
          <w:spacing w:val="0"/>
          <w:w w:val="100"/>
          <w:position w:val="0"/>
          <w:sz w:val="24"/>
          <w:szCs w:val="24"/>
          <w:highlight w:val="none"/>
          <w:lang w:val="en-US" w:eastAsia="zh-CN"/>
        </w:rPr>
        <w:t>.4</w:t>
      </w:r>
      <w:r>
        <w:rPr>
          <w:rFonts w:hint="default" w:ascii="Times New Roman" w:hAnsi="Times New Roman" w:eastAsia="宋体" w:cs="Times New Roman"/>
          <w:color w:val="auto"/>
          <w:spacing w:val="0"/>
          <w:w w:val="100"/>
          <w:position w:val="0"/>
          <w:sz w:val="24"/>
          <w:szCs w:val="24"/>
          <w:highlight w:val="none"/>
          <w:lang w:val="en-US" w:eastAsia="zh-CN"/>
        </w:rPr>
        <w:t>a，</w:t>
      </w:r>
      <w:r>
        <w:rPr>
          <w:rFonts w:hint="default" w:ascii="Times New Roman" w:hAnsi="Times New Roman" w:eastAsia="宋体" w:cs="Times New Roman"/>
          <w:color w:val="auto"/>
          <w:spacing w:val="0"/>
          <w:w w:val="100"/>
          <w:position w:val="0"/>
          <w:sz w:val="24"/>
          <w:szCs w:val="24"/>
          <w:highlight w:val="none"/>
        </w:rPr>
        <w:t>符合通知中的要求。</w:t>
      </w:r>
    </w:p>
    <w:p w14:paraId="0A6B4544">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③《新疆维吾尔自治区重点行业生态环境准入条件（2024年）》</w:t>
      </w:r>
    </w:p>
    <w:p w14:paraId="1FB5A08C">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表3.5-1    本项目与环境准入条件符合性分析表</w:t>
      </w:r>
    </w:p>
    <w:tbl>
      <w:tblPr>
        <w:tblStyle w:val="21"/>
        <w:tblW w:w="851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Layout w:type="fixed"/>
        <w:tblCellMar>
          <w:top w:w="0" w:type="dxa"/>
          <w:left w:w="108" w:type="dxa"/>
          <w:bottom w:w="0" w:type="dxa"/>
          <w:right w:w="108" w:type="dxa"/>
        </w:tblCellMar>
      </w:tblPr>
      <w:tblGrid>
        <w:gridCol w:w="645"/>
        <w:gridCol w:w="4016"/>
        <w:gridCol w:w="2958"/>
        <w:gridCol w:w="894"/>
      </w:tblGrid>
      <w:tr w14:paraId="3204FF35">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blHeader/>
        </w:trPr>
        <w:tc>
          <w:tcPr>
            <w:tcW w:w="645" w:type="dxa"/>
            <w:tcBorders>
              <w:tl2br w:val="nil"/>
              <w:tr2bl w:val="nil"/>
            </w:tcBorders>
            <w:vAlign w:val="center"/>
          </w:tcPr>
          <w:p w14:paraId="197F2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项目</w:t>
            </w:r>
          </w:p>
        </w:tc>
        <w:tc>
          <w:tcPr>
            <w:tcW w:w="4016" w:type="dxa"/>
            <w:tcBorders>
              <w:tl2br w:val="nil"/>
              <w:tr2bl w:val="nil"/>
            </w:tcBorders>
            <w:vAlign w:val="center"/>
          </w:tcPr>
          <w:p w14:paraId="1B3E8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准入条件要求</w:t>
            </w:r>
          </w:p>
        </w:tc>
        <w:tc>
          <w:tcPr>
            <w:tcW w:w="2958" w:type="dxa"/>
            <w:tcBorders>
              <w:tl2br w:val="nil"/>
              <w:tr2bl w:val="nil"/>
            </w:tcBorders>
            <w:vAlign w:val="center"/>
          </w:tcPr>
          <w:p w14:paraId="55556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eastAsia="zh-CN"/>
              </w:rPr>
              <w:t>本项目</w:t>
            </w:r>
            <w:r>
              <w:rPr>
                <w:rFonts w:hint="default" w:ascii="Times New Roman" w:hAnsi="Times New Roman" w:eastAsia="宋体" w:cs="Times New Roman"/>
                <w:color w:val="auto"/>
                <w:spacing w:val="0"/>
                <w:w w:val="100"/>
                <w:position w:val="0"/>
                <w:sz w:val="21"/>
                <w:szCs w:val="21"/>
              </w:rPr>
              <w:t>情况</w:t>
            </w:r>
          </w:p>
        </w:tc>
        <w:tc>
          <w:tcPr>
            <w:tcW w:w="894" w:type="dxa"/>
            <w:tcBorders>
              <w:tl2br w:val="nil"/>
              <w:tr2bl w:val="nil"/>
            </w:tcBorders>
            <w:vAlign w:val="center"/>
          </w:tcPr>
          <w:p w14:paraId="6F6D39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符合性</w:t>
            </w:r>
          </w:p>
        </w:tc>
      </w:tr>
      <w:tr w14:paraId="559FA37D">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restart"/>
            <w:tcBorders>
              <w:tl2br w:val="nil"/>
              <w:tr2bl w:val="nil"/>
            </w:tcBorders>
            <w:vAlign w:val="center"/>
          </w:tcPr>
          <w:p w14:paraId="7C492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选址与空间布局要求</w:t>
            </w:r>
          </w:p>
        </w:tc>
        <w:tc>
          <w:tcPr>
            <w:tcW w:w="4016" w:type="dxa"/>
            <w:tcBorders>
              <w:tl2br w:val="nil"/>
              <w:tr2bl w:val="nil"/>
            </w:tcBorders>
            <w:vAlign w:val="center"/>
          </w:tcPr>
          <w:p w14:paraId="79E43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铁路、高速公路、国道、省道等重要交通干线两侧200米范围以内（其中，禁止在铁路、国道、省道两侧的直观可视范围内进行露天开采），重要工业区、大型水利工程设施、城镇市政工程设施所在区域，军事管理区、机场、国防工程设施圈定的区域，居民聚集区1千米以内，伊犁河、额尔齐斯河等重点河流源头区，国家及自治区划定的重点流域I、I类和有饮用水取水口的Ⅲ类水体上游岸边1千米以内、</w:t>
            </w:r>
            <w:r>
              <w:rPr>
                <w:rFonts w:hint="default" w:ascii="Times New Roman" w:hAnsi="Times New Roman" w:cs="Times New Roman"/>
                <w:color w:val="auto"/>
                <w:spacing w:val="0"/>
                <w:w w:val="100"/>
                <w:position w:val="0"/>
                <w:sz w:val="21"/>
                <w:szCs w:val="21"/>
                <w:highlight w:val="none"/>
                <w:lang w:val="en-US" w:eastAsia="zh-CN"/>
              </w:rPr>
              <w:t>其他</w:t>
            </w:r>
            <w:r>
              <w:rPr>
                <w:rFonts w:hint="default" w:ascii="Times New Roman" w:hAnsi="Times New Roman" w:eastAsia="宋体" w:cs="Times New Roman"/>
                <w:color w:val="auto"/>
                <w:spacing w:val="0"/>
                <w:w w:val="100"/>
                <w:position w:val="0"/>
                <w:sz w:val="21"/>
                <w:szCs w:val="21"/>
                <w:highlight w:val="none"/>
                <w:lang w:val="en-US" w:eastAsia="zh-CN"/>
              </w:rPr>
              <w:t>Ⅲ类水体岸边200米以内原则上不得建设涉及汞、镉、铬、铅、砷等重有色金属矿采选的工业场地、露天矿或尾矿库。存在山体等阻隔地形或建设人工地下水阻隔设施和严格防尘措施的，可适当放宽距离要求，具体根据专业机构论证结论确定。其他水体根据矿产资源开发利用结论和环境影响评价结论管控</w:t>
            </w:r>
          </w:p>
        </w:tc>
        <w:tc>
          <w:tcPr>
            <w:tcW w:w="2958" w:type="dxa"/>
            <w:tcBorders>
              <w:tl2br w:val="nil"/>
              <w:tr2bl w:val="nil"/>
            </w:tcBorders>
            <w:vAlign w:val="center"/>
          </w:tcPr>
          <w:p w14:paraId="1941B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本项目周边无重要工业、水利设施和军事管理区、国防工程等；矿区1km范围内无居民集中区，周边30km范围内无地表水体</w:t>
            </w:r>
          </w:p>
        </w:tc>
        <w:tc>
          <w:tcPr>
            <w:tcW w:w="894" w:type="dxa"/>
            <w:tcBorders>
              <w:tl2br w:val="nil"/>
              <w:tr2bl w:val="nil"/>
            </w:tcBorders>
            <w:vAlign w:val="center"/>
          </w:tcPr>
          <w:p w14:paraId="3D2A8B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7B8F39D6">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continue"/>
            <w:tcBorders>
              <w:tl2br w:val="nil"/>
              <w:tr2bl w:val="nil"/>
            </w:tcBorders>
            <w:vAlign w:val="center"/>
          </w:tcPr>
          <w:p w14:paraId="551C3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016" w:type="dxa"/>
            <w:tcBorders>
              <w:tl2br w:val="nil"/>
              <w:tr2bl w:val="nil"/>
            </w:tcBorders>
            <w:vAlign w:val="center"/>
          </w:tcPr>
          <w:p w14:paraId="2F48A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lang w:val="en-US" w:eastAsia="zh-CN"/>
              </w:rPr>
              <w:t>废石堆场及尾矿库选址应达到《一般工业固体废物贮存和填埋污染控制标准》（GB18599）要求，对不明确是否具有危险特性的尾矿砂，应当按照国家规定的危险废物鉴别标准和鉴别方法进行鉴别，经鉴别属于危险废物的按危险废物依法依规</w:t>
            </w:r>
            <w:r>
              <w:rPr>
                <w:rFonts w:hint="eastAsia" w:ascii="Times New Roman" w:hAnsi="Times New Roman" w:cs="Times New Roman"/>
                <w:color w:val="auto"/>
                <w:spacing w:val="0"/>
                <w:w w:val="100"/>
                <w:position w:val="0"/>
                <w:sz w:val="21"/>
                <w:szCs w:val="21"/>
                <w:lang w:val="en-US" w:eastAsia="zh-CN"/>
              </w:rPr>
              <w:t>管理</w:t>
            </w:r>
            <w:r>
              <w:rPr>
                <w:rFonts w:hint="default" w:ascii="Times New Roman" w:hAnsi="Times New Roman" w:eastAsia="宋体" w:cs="Times New Roman"/>
                <w:color w:val="auto"/>
                <w:spacing w:val="0"/>
                <w:w w:val="100"/>
                <w:position w:val="0"/>
                <w:sz w:val="21"/>
                <w:szCs w:val="21"/>
                <w:lang w:val="en-US" w:eastAsia="zh-CN"/>
              </w:rPr>
              <w:t>其贮存设施应符合《危险废物贮存污染控制标准》（GB18597）</w:t>
            </w:r>
          </w:p>
        </w:tc>
        <w:tc>
          <w:tcPr>
            <w:tcW w:w="2958" w:type="dxa"/>
            <w:tcBorders>
              <w:tl2br w:val="nil"/>
              <w:tr2bl w:val="nil"/>
            </w:tcBorders>
            <w:vAlign w:val="center"/>
          </w:tcPr>
          <w:p w14:paraId="286DD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en-US"/>
              </w:rPr>
            </w:pPr>
            <w:r>
              <w:rPr>
                <w:rFonts w:hint="default" w:ascii="Times New Roman" w:hAnsi="Times New Roman" w:eastAsia="宋体" w:cs="Times New Roman"/>
                <w:color w:val="auto"/>
                <w:spacing w:val="0"/>
                <w:w w:val="100"/>
                <w:position w:val="0"/>
                <w:sz w:val="21"/>
                <w:szCs w:val="21"/>
                <w:lang w:val="en-US" w:eastAsia="zh-CN"/>
              </w:rPr>
              <w:t>根据鉴别，项目产生的废石、尾砂属于第I类一般工业固体废物，可不按危废管理，根据场址选择分析，场址不在断层、断层破裂带、溶洞区，不是天然滑坡或泥石流影响区，亦不属于滩地和洪泛区，选址未占用自然保护区、风景名胜区等其他需要特别保护区的用地。</w:t>
            </w:r>
          </w:p>
        </w:tc>
        <w:tc>
          <w:tcPr>
            <w:tcW w:w="894" w:type="dxa"/>
            <w:tcBorders>
              <w:tl2br w:val="nil"/>
              <w:tr2bl w:val="nil"/>
            </w:tcBorders>
            <w:vAlign w:val="center"/>
          </w:tcPr>
          <w:p w14:paraId="6A350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10CDA55D">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restart"/>
            <w:tcBorders>
              <w:tl2br w:val="nil"/>
              <w:tr2bl w:val="nil"/>
            </w:tcBorders>
            <w:vAlign w:val="center"/>
          </w:tcPr>
          <w:p w14:paraId="090D4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污染防治</w:t>
            </w:r>
          </w:p>
        </w:tc>
        <w:tc>
          <w:tcPr>
            <w:tcW w:w="4016" w:type="dxa"/>
            <w:tcBorders>
              <w:tl2br w:val="nil"/>
              <w:tr2bl w:val="nil"/>
            </w:tcBorders>
            <w:vAlign w:val="center"/>
          </w:tcPr>
          <w:p w14:paraId="36D98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矿井涌水、矿坑涌水、选矿废水应优先用于生产工艺、降尘、绿化等，废水综合利用率应达到相关综合利用标准要求。采选废水排放有行业标准的应达到行业标准要求，无行业标准的应达到《污水综合排放标准》</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GB8978</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要求。生活污水处理达标后尽量综合利用，边远矿区的生活污水排放和综合利用可参照《农村生活污水处理排放标准》</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DB65/4275</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要求管控。</w:t>
            </w:r>
          </w:p>
        </w:tc>
        <w:tc>
          <w:tcPr>
            <w:tcW w:w="2958" w:type="dxa"/>
            <w:tcBorders>
              <w:tl2br w:val="nil"/>
              <w:tr2bl w:val="nil"/>
            </w:tcBorders>
            <w:vAlign w:val="center"/>
          </w:tcPr>
          <w:p w14:paraId="3CC9A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项目矿井涌水综合利用率达100%以上。生活污水排入一体化污水处理设施，经处理满足《农村生活污水处理排放标准》（DB65 4275-2019）表2规定的A级排放限值以及《城市污水再生利用 城市杂用水水质》（GB/T18920-2020）限值后，用于生产，不外排。</w:t>
            </w:r>
          </w:p>
        </w:tc>
        <w:tc>
          <w:tcPr>
            <w:tcW w:w="894" w:type="dxa"/>
            <w:tcBorders>
              <w:tl2br w:val="nil"/>
              <w:tr2bl w:val="nil"/>
            </w:tcBorders>
            <w:vAlign w:val="center"/>
          </w:tcPr>
          <w:p w14:paraId="47ECE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6759F164">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continue"/>
            <w:tcBorders>
              <w:tl2br w:val="nil"/>
              <w:tr2bl w:val="nil"/>
            </w:tcBorders>
            <w:vAlign w:val="center"/>
          </w:tcPr>
          <w:p w14:paraId="51EF1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016" w:type="dxa"/>
            <w:tcBorders>
              <w:tl2br w:val="nil"/>
              <w:tr2bl w:val="nil"/>
            </w:tcBorders>
            <w:vAlign w:val="center"/>
          </w:tcPr>
          <w:p w14:paraId="20CE2E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采</w:t>
            </w:r>
            <w:r>
              <w:rPr>
                <w:rFonts w:hint="default" w:ascii="Times New Roman" w:hAnsi="Times New Roman" w:eastAsia="宋体" w:cs="Times New Roman"/>
                <w:color w:val="auto"/>
                <w:spacing w:val="0"/>
                <w:w w:val="100"/>
                <w:position w:val="0"/>
                <w:sz w:val="21"/>
                <w:szCs w:val="21"/>
              </w:rPr>
              <w:t>选活动矿石转运、破碎、筛分等粉尘产生工序，应配备抑尘、除尘设备，除尘效率不低于99%，有效控制无组织粉尘排放。采选矿各环节废气排放有行业标准的应达到行业标准要求，无行业标准的应达到《大气污染物综合排放标准》</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GB16297</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要求</w:t>
            </w:r>
          </w:p>
        </w:tc>
        <w:tc>
          <w:tcPr>
            <w:tcW w:w="2958" w:type="dxa"/>
            <w:tcBorders>
              <w:tl2br w:val="nil"/>
              <w:tr2bl w:val="nil"/>
            </w:tcBorders>
            <w:vAlign w:val="center"/>
          </w:tcPr>
          <w:p w14:paraId="7194C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矿石转运过程中产生的粉尘，配备</w:t>
            </w:r>
            <w:r>
              <w:rPr>
                <w:rFonts w:hint="default" w:ascii="Times New Roman" w:hAnsi="Times New Roman" w:eastAsia="宋体" w:cs="Times New Roman"/>
                <w:color w:val="auto"/>
                <w:spacing w:val="0"/>
                <w:w w:val="100"/>
                <w:position w:val="0"/>
                <w:sz w:val="21"/>
                <w:szCs w:val="21"/>
                <w:lang w:val="en-US" w:eastAsia="zh-CN"/>
              </w:rPr>
              <w:t>洒水抑尘</w:t>
            </w:r>
            <w:r>
              <w:rPr>
                <w:rFonts w:hint="default" w:ascii="Times New Roman" w:hAnsi="Times New Roman" w:eastAsia="宋体" w:cs="Times New Roman"/>
                <w:color w:val="auto"/>
                <w:spacing w:val="0"/>
                <w:w w:val="100"/>
                <w:position w:val="0"/>
                <w:sz w:val="21"/>
                <w:szCs w:val="21"/>
              </w:rPr>
              <w:t>，有效控制无组织粉尘排放。除尘设备除尘效率不低于</w:t>
            </w:r>
            <w:r>
              <w:rPr>
                <w:rFonts w:hint="default" w:ascii="Times New Roman" w:hAnsi="Times New Roman" w:cs="Times New Roman"/>
                <w:color w:val="auto"/>
                <w:spacing w:val="0"/>
                <w:w w:val="100"/>
                <w:position w:val="0"/>
                <w:sz w:val="21"/>
                <w:szCs w:val="21"/>
                <w:lang w:eastAsia="zh-CN"/>
              </w:rPr>
              <w:t>99</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lang w:val="en-US" w:eastAsia="zh-CN"/>
              </w:rPr>
              <w:t>排放浓度满足</w:t>
            </w:r>
            <w:r>
              <w:rPr>
                <w:rFonts w:hint="default" w:ascii="Times New Roman" w:hAnsi="Times New Roman" w:cs="Times New Roman"/>
                <w:color w:val="auto"/>
                <w:spacing w:val="0"/>
                <w:w w:val="100"/>
                <w:position w:val="0"/>
                <w:sz w:val="21"/>
                <w:szCs w:val="21"/>
                <w:lang w:val="en-US" w:eastAsia="zh-CN"/>
              </w:rPr>
              <w:t>《铜、镍、钴工业污染物排放标准》（GB25467-2010）及其修改单</w:t>
            </w:r>
            <w:r>
              <w:rPr>
                <w:rFonts w:hint="default" w:ascii="Times New Roman" w:hAnsi="Times New Roman" w:eastAsia="宋体" w:cs="Times New Roman"/>
                <w:color w:val="auto"/>
                <w:spacing w:val="0"/>
                <w:w w:val="100"/>
                <w:position w:val="0"/>
                <w:sz w:val="21"/>
                <w:szCs w:val="21"/>
                <w:lang w:val="en-US" w:eastAsia="zh-CN"/>
              </w:rPr>
              <w:t>中排放限值</w:t>
            </w:r>
          </w:p>
        </w:tc>
        <w:tc>
          <w:tcPr>
            <w:tcW w:w="894" w:type="dxa"/>
            <w:tcBorders>
              <w:tl2br w:val="nil"/>
              <w:tr2bl w:val="nil"/>
            </w:tcBorders>
            <w:vAlign w:val="center"/>
          </w:tcPr>
          <w:p w14:paraId="16DEB5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2386F0AB">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continue"/>
            <w:tcBorders>
              <w:tl2br w:val="nil"/>
              <w:tr2bl w:val="nil"/>
            </w:tcBorders>
            <w:vAlign w:val="center"/>
          </w:tcPr>
          <w:p w14:paraId="0A7B5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016" w:type="dxa"/>
            <w:tcBorders>
              <w:tl2br w:val="nil"/>
              <w:tr2bl w:val="nil"/>
            </w:tcBorders>
            <w:vAlign w:val="center"/>
          </w:tcPr>
          <w:p w14:paraId="5B079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噪声排放执行《工业企业厂界环境噪声排放标准》（GB12348-2008）。</w:t>
            </w:r>
          </w:p>
        </w:tc>
        <w:tc>
          <w:tcPr>
            <w:tcW w:w="2958" w:type="dxa"/>
            <w:tcBorders>
              <w:tl2br w:val="nil"/>
              <w:tr2bl w:val="nil"/>
            </w:tcBorders>
            <w:vAlign w:val="center"/>
          </w:tcPr>
          <w:p w14:paraId="059E92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经预测，</w:t>
            </w:r>
            <w:r>
              <w:rPr>
                <w:rFonts w:hint="default" w:ascii="Times New Roman" w:hAnsi="Times New Roman" w:eastAsia="宋体" w:cs="Times New Roman"/>
                <w:color w:val="auto"/>
                <w:spacing w:val="0"/>
                <w:w w:val="100"/>
                <w:position w:val="0"/>
                <w:sz w:val="21"/>
                <w:szCs w:val="21"/>
                <w:lang w:eastAsia="zh-CN"/>
              </w:rPr>
              <w:t>本项目</w:t>
            </w:r>
            <w:r>
              <w:rPr>
                <w:rFonts w:hint="default" w:ascii="Times New Roman" w:hAnsi="Times New Roman" w:eastAsia="宋体" w:cs="Times New Roman"/>
                <w:color w:val="auto"/>
                <w:spacing w:val="0"/>
                <w:w w:val="100"/>
                <w:position w:val="0"/>
                <w:sz w:val="21"/>
                <w:szCs w:val="21"/>
                <w:lang w:val="en-US" w:eastAsia="zh-CN"/>
              </w:rPr>
              <w:t>建成后</w:t>
            </w:r>
            <w:r>
              <w:rPr>
                <w:rFonts w:hint="default" w:ascii="Times New Roman" w:hAnsi="Times New Roman" w:eastAsia="宋体" w:cs="Times New Roman"/>
                <w:color w:val="auto"/>
                <w:spacing w:val="0"/>
                <w:w w:val="100"/>
                <w:position w:val="0"/>
                <w:sz w:val="21"/>
                <w:szCs w:val="21"/>
              </w:rPr>
              <w:t>噪声排放符合《工业企业厂界环境噪声排放标准》（GB12348-2008）</w:t>
            </w:r>
            <w:r>
              <w:rPr>
                <w:rFonts w:hint="default" w:ascii="Times New Roman" w:hAnsi="Times New Roman" w:eastAsia="宋体" w:cs="Times New Roman"/>
                <w:color w:val="auto"/>
                <w:spacing w:val="0"/>
                <w:w w:val="100"/>
                <w:position w:val="0"/>
                <w:sz w:val="21"/>
                <w:szCs w:val="21"/>
                <w:lang w:val="en-US" w:eastAsia="zh-CN"/>
              </w:rPr>
              <w:t>中2类限值</w:t>
            </w:r>
          </w:p>
        </w:tc>
        <w:tc>
          <w:tcPr>
            <w:tcW w:w="894" w:type="dxa"/>
            <w:tcBorders>
              <w:tl2br w:val="nil"/>
              <w:tr2bl w:val="nil"/>
            </w:tcBorders>
            <w:vAlign w:val="center"/>
          </w:tcPr>
          <w:p w14:paraId="4D7F3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57706818">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continue"/>
            <w:tcBorders>
              <w:tl2br w:val="nil"/>
              <w:tr2bl w:val="nil"/>
            </w:tcBorders>
            <w:vAlign w:val="center"/>
          </w:tcPr>
          <w:p w14:paraId="1C8FF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016" w:type="dxa"/>
            <w:tcBorders>
              <w:tl2br w:val="nil"/>
              <w:tr2bl w:val="nil"/>
            </w:tcBorders>
            <w:vAlign w:val="center"/>
          </w:tcPr>
          <w:p w14:paraId="3BDF49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鼓励对废石、尾矿砂进行多途径综合利用，因地制宜选择合理的综合利用方式，提高综合利用率，其处置与综合利用应符合国家及行业相关标</w:t>
            </w:r>
            <w:r>
              <w:rPr>
                <w:rFonts w:hint="eastAsia" w:ascii="Times New Roman" w:hAnsi="Times New Roman" w:cs="Times New Roman"/>
                <w:color w:val="auto"/>
                <w:spacing w:val="0"/>
                <w:w w:val="100"/>
                <w:position w:val="0"/>
                <w:sz w:val="21"/>
                <w:szCs w:val="21"/>
                <w:lang w:eastAsia="zh-CN"/>
              </w:rPr>
              <w:t>准和</w:t>
            </w:r>
            <w:r>
              <w:rPr>
                <w:rFonts w:hint="default" w:ascii="Times New Roman" w:hAnsi="Times New Roman" w:eastAsia="宋体" w:cs="Times New Roman"/>
                <w:color w:val="auto"/>
                <w:spacing w:val="0"/>
                <w:w w:val="100"/>
                <w:position w:val="0"/>
                <w:sz w:val="21"/>
                <w:szCs w:val="21"/>
              </w:rPr>
              <w:t>规范要求。废石和尾矿砂应根据《一般工业固体废物贮存和填埋污染控制标准》</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GB18599</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进行管理属危险废物的按危险废物相关要求依法依规进行管理，其贮存设施应符合《危险废物贮存污染控制标准》</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GB18597</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。生活垃圾实现100%无害化处置。</w:t>
            </w:r>
          </w:p>
        </w:tc>
        <w:tc>
          <w:tcPr>
            <w:tcW w:w="2958" w:type="dxa"/>
            <w:tcBorders>
              <w:tl2br w:val="nil"/>
              <w:tr2bl w:val="nil"/>
            </w:tcBorders>
            <w:vAlign w:val="center"/>
          </w:tcPr>
          <w:p w14:paraId="2DFE0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1.废石用于</w:t>
            </w:r>
            <w:r>
              <w:rPr>
                <w:rFonts w:hint="default" w:ascii="Times New Roman" w:hAnsi="Times New Roman" w:cs="Times New Roman"/>
                <w:color w:val="auto"/>
                <w:spacing w:val="0"/>
                <w:w w:val="100"/>
                <w:position w:val="0"/>
                <w:sz w:val="21"/>
                <w:szCs w:val="21"/>
                <w:lang w:val="en-US" w:eastAsia="zh-CN"/>
              </w:rPr>
              <w:t>充填</w:t>
            </w:r>
            <w:r>
              <w:rPr>
                <w:rFonts w:hint="default" w:ascii="Times New Roman" w:hAnsi="Times New Roman" w:eastAsia="宋体" w:cs="Times New Roman"/>
                <w:color w:val="auto"/>
                <w:spacing w:val="0"/>
                <w:w w:val="100"/>
                <w:position w:val="0"/>
                <w:sz w:val="21"/>
                <w:szCs w:val="21"/>
                <w:lang w:val="en-US" w:eastAsia="zh-CN"/>
              </w:rPr>
              <w:t>，综合利用率100%</w:t>
            </w:r>
            <w:r>
              <w:rPr>
                <w:rFonts w:hint="default" w:ascii="Times New Roman" w:hAnsi="Times New Roman" w:eastAsia="宋体" w:cs="Times New Roman"/>
                <w:color w:val="auto"/>
                <w:spacing w:val="0"/>
                <w:w w:val="100"/>
                <w:position w:val="0"/>
                <w:sz w:val="21"/>
                <w:szCs w:val="21"/>
              </w:rPr>
              <w:t>。</w:t>
            </w:r>
          </w:p>
          <w:p w14:paraId="5B8D7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2.生活垃圾临时放置于生活区内垃圾池，</w:t>
            </w:r>
            <w:r>
              <w:rPr>
                <w:rFonts w:hint="default" w:ascii="Times New Roman" w:hAnsi="Times New Roman" w:cs="Times New Roman"/>
                <w:color w:val="auto"/>
                <w:spacing w:val="0"/>
                <w:w w:val="100"/>
                <w:position w:val="0"/>
                <w:sz w:val="21"/>
                <w:szCs w:val="21"/>
                <w:lang w:val="en-US" w:eastAsia="zh-CN"/>
              </w:rPr>
              <w:t>定期</w:t>
            </w:r>
            <w:r>
              <w:rPr>
                <w:rFonts w:hint="default" w:ascii="Times New Roman" w:hAnsi="Times New Roman" w:eastAsia="宋体" w:cs="Times New Roman"/>
                <w:color w:val="auto"/>
                <w:spacing w:val="0"/>
                <w:w w:val="100"/>
                <w:position w:val="0"/>
                <w:sz w:val="21"/>
                <w:szCs w:val="21"/>
                <w:lang w:val="en-US" w:eastAsia="zh-CN"/>
              </w:rPr>
              <w:t>拉运至</w:t>
            </w:r>
            <w:r>
              <w:rPr>
                <w:rFonts w:hint="default" w:ascii="Times New Roman" w:hAnsi="Times New Roman" w:eastAsia="宋体" w:cs="Times New Roman"/>
                <w:color w:val="auto"/>
                <w:spacing w:val="0"/>
                <w:w w:val="100"/>
                <w:position w:val="0"/>
                <w:sz w:val="21"/>
                <w:szCs w:val="21"/>
              </w:rPr>
              <w:t>哈密市伊州区</w:t>
            </w:r>
            <w:r>
              <w:rPr>
                <w:rFonts w:hint="default" w:ascii="Times New Roman" w:hAnsi="Times New Roman" w:cs="Times New Roman"/>
                <w:color w:val="auto"/>
                <w:spacing w:val="0"/>
                <w:w w:val="100"/>
                <w:position w:val="0"/>
                <w:sz w:val="21"/>
                <w:szCs w:val="21"/>
                <w:lang w:val="en-US" w:eastAsia="zh-CN"/>
              </w:rPr>
              <w:t>星星峡镇生活垃圾</w:t>
            </w:r>
            <w:r>
              <w:rPr>
                <w:rFonts w:hint="default" w:ascii="Times New Roman" w:hAnsi="Times New Roman" w:eastAsia="宋体" w:cs="Times New Roman"/>
                <w:color w:val="auto"/>
                <w:spacing w:val="0"/>
                <w:w w:val="100"/>
                <w:position w:val="0"/>
                <w:sz w:val="21"/>
                <w:szCs w:val="21"/>
              </w:rPr>
              <w:t>填埋场进行处置</w:t>
            </w:r>
            <w:r>
              <w:rPr>
                <w:rFonts w:hint="default" w:ascii="Times New Roman" w:hAnsi="Times New Roman" w:eastAsia="宋体" w:cs="Times New Roman"/>
                <w:color w:val="auto"/>
                <w:spacing w:val="0"/>
                <w:w w:val="100"/>
                <w:position w:val="0"/>
                <w:sz w:val="21"/>
                <w:szCs w:val="21"/>
                <w:lang w:eastAsia="zh-CN"/>
              </w:rPr>
              <w:t>。</w:t>
            </w:r>
          </w:p>
          <w:p w14:paraId="3F9D3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3.废机油</w:t>
            </w:r>
            <w:r>
              <w:rPr>
                <w:rFonts w:hint="default" w:ascii="Times New Roman" w:hAnsi="Times New Roman" w:cs="Times New Roman"/>
                <w:color w:val="auto"/>
                <w:spacing w:val="0"/>
                <w:w w:val="100"/>
                <w:position w:val="0"/>
                <w:sz w:val="21"/>
                <w:szCs w:val="21"/>
                <w:lang w:eastAsia="zh-CN"/>
              </w:rPr>
              <w:t>、</w:t>
            </w:r>
            <w:r>
              <w:rPr>
                <w:rFonts w:hint="default" w:ascii="Times New Roman" w:hAnsi="Times New Roman" w:cs="Times New Roman"/>
                <w:color w:val="auto"/>
                <w:spacing w:val="0"/>
                <w:w w:val="100"/>
                <w:position w:val="0"/>
                <w:sz w:val="21"/>
                <w:szCs w:val="21"/>
                <w:lang w:val="en-US" w:eastAsia="zh-CN"/>
              </w:rPr>
              <w:t>废油桶</w:t>
            </w:r>
            <w:r>
              <w:rPr>
                <w:rFonts w:hint="default" w:ascii="Times New Roman" w:hAnsi="Times New Roman" w:eastAsia="宋体" w:cs="Times New Roman"/>
                <w:color w:val="auto"/>
                <w:spacing w:val="0"/>
                <w:w w:val="100"/>
                <w:position w:val="0"/>
                <w:sz w:val="21"/>
                <w:szCs w:val="21"/>
              </w:rPr>
              <w:t>暂存至危废</w:t>
            </w:r>
            <w:r>
              <w:rPr>
                <w:rFonts w:hint="default" w:ascii="Times New Roman" w:hAnsi="Times New Roman" w:eastAsia="宋体" w:cs="Times New Roman"/>
                <w:color w:val="auto"/>
                <w:spacing w:val="0"/>
                <w:w w:val="100"/>
                <w:position w:val="0"/>
                <w:sz w:val="21"/>
                <w:szCs w:val="21"/>
                <w:lang w:val="en-US" w:eastAsia="zh-CN"/>
              </w:rPr>
              <w:t>贮存库</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定期交由有资质单位处理</w:t>
            </w:r>
            <w:r>
              <w:rPr>
                <w:rFonts w:hint="default" w:ascii="Times New Roman" w:hAnsi="Times New Roman" w:eastAsia="宋体" w:cs="Times New Roman"/>
                <w:color w:val="auto"/>
                <w:spacing w:val="0"/>
                <w:w w:val="100"/>
                <w:position w:val="0"/>
                <w:sz w:val="21"/>
                <w:szCs w:val="21"/>
              </w:rPr>
              <w:t>。</w:t>
            </w:r>
          </w:p>
        </w:tc>
        <w:tc>
          <w:tcPr>
            <w:tcW w:w="894" w:type="dxa"/>
            <w:tcBorders>
              <w:tl2br w:val="nil"/>
              <w:tr2bl w:val="nil"/>
            </w:tcBorders>
            <w:vAlign w:val="center"/>
          </w:tcPr>
          <w:p w14:paraId="29788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r w14:paraId="5FD44DE3">
        <w:tblPrEx>
          <w:tblBorders>
            <w:top w:val="single" w:color="auto" w:sz="12" w:space="0"/>
            <w:left w:val="single" w:color="auto" w:sz="12" w:space="0"/>
            <w:bottom w:val="single" w:color="auto" w:sz="12" w:space="0"/>
            <w:right w:val="single" w:color="auto" w:sz="12" w:space="0"/>
            <w:insideH w:val="single" w:color="auto" w:sz="4" w:space="0"/>
            <w:insideV w:val="single" w:color="000000" w:sz="4" w:space="0"/>
          </w:tblBorders>
          <w:tblCellMar>
            <w:top w:w="0" w:type="dxa"/>
            <w:left w:w="108" w:type="dxa"/>
            <w:bottom w:w="0" w:type="dxa"/>
            <w:right w:w="108" w:type="dxa"/>
          </w:tblCellMar>
        </w:tblPrEx>
        <w:trPr>
          <w:cantSplit/>
          <w:trHeight w:val="23" w:hRule="atLeast"/>
        </w:trPr>
        <w:tc>
          <w:tcPr>
            <w:tcW w:w="645" w:type="dxa"/>
            <w:vMerge w:val="continue"/>
            <w:tcBorders>
              <w:tl2br w:val="nil"/>
              <w:tr2bl w:val="nil"/>
            </w:tcBorders>
            <w:vAlign w:val="center"/>
          </w:tcPr>
          <w:p w14:paraId="15F28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4016" w:type="dxa"/>
            <w:tcBorders>
              <w:tl2br w:val="nil"/>
              <w:tr2bl w:val="nil"/>
            </w:tcBorders>
            <w:vAlign w:val="center"/>
          </w:tcPr>
          <w:p w14:paraId="695C3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矿山生态环境保护和恢复要达到《矿山生态环境保护与恢复治理技术规范（试行）》（HJ651-2013）的相关要求。</w:t>
            </w:r>
          </w:p>
        </w:tc>
        <w:tc>
          <w:tcPr>
            <w:tcW w:w="2958" w:type="dxa"/>
            <w:tcBorders>
              <w:tl2br w:val="nil"/>
              <w:tr2bl w:val="nil"/>
            </w:tcBorders>
            <w:vAlign w:val="center"/>
          </w:tcPr>
          <w:p w14:paraId="3474B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矿山</w:t>
            </w:r>
            <w:r>
              <w:rPr>
                <w:rFonts w:hint="default" w:ascii="Times New Roman" w:hAnsi="Times New Roman" w:eastAsia="宋体" w:cs="Times New Roman"/>
                <w:color w:val="auto"/>
                <w:spacing w:val="0"/>
                <w:w w:val="100"/>
                <w:position w:val="0"/>
                <w:sz w:val="21"/>
                <w:szCs w:val="21"/>
                <w:lang w:val="en-US" w:eastAsia="zh-CN"/>
              </w:rPr>
              <w:t>已委托编制《矿产资源开发利用与生态保护修复方案》</w:t>
            </w:r>
            <w:r>
              <w:rPr>
                <w:rFonts w:hint="default" w:ascii="Times New Roman" w:hAnsi="Times New Roman" w:eastAsia="宋体" w:cs="Times New Roman"/>
                <w:color w:val="auto"/>
                <w:spacing w:val="0"/>
                <w:w w:val="100"/>
                <w:position w:val="0"/>
                <w:sz w:val="21"/>
                <w:szCs w:val="21"/>
              </w:rPr>
              <w:t>。</w:t>
            </w:r>
          </w:p>
        </w:tc>
        <w:tc>
          <w:tcPr>
            <w:tcW w:w="894" w:type="dxa"/>
            <w:tcBorders>
              <w:tl2br w:val="nil"/>
              <w:tr2bl w:val="nil"/>
            </w:tcBorders>
            <w:vAlign w:val="center"/>
          </w:tcPr>
          <w:p w14:paraId="7A6ED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符合相关要求</w:t>
            </w:r>
          </w:p>
        </w:tc>
      </w:tr>
    </w:tbl>
    <w:p w14:paraId="77A5C0D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根据</w:t>
      </w:r>
      <w:r>
        <w:rPr>
          <w:rFonts w:hint="default" w:ascii="Times New Roman" w:hAnsi="Times New Roman" w:eastAsia="宋体" w:cs="Times New Roman"/>
          <w:color w:val="auto"/>
          <w:spacing w:val="0"/>
          <w:w w:val="100"/>
          <w:position w:val="0"/>
          <w:sz w:val="24"/>
          <w:szCs w:val="24"/>
          <w:highlight w:val="none"/>
          <w:lang w:val="en-US" w:eastAsia="zh-CN"/>
        </w:rPr>
        <w:t>《新疆维吾尔自治区重点行业生态环境准入条件（2024年）》</w:t>
      </w:r>
      <w:r>
        <w:rPr>
          <w:rFonts w:hint="default" w:ascii="Times New Roman" w:hAnsi="Times New Roman" w:eastAsia="宋体" w:cs="Times New Roman"/>
          <w:color w:val="auto"/>
          <w:spacing w:val="0"/>
          <w:w w:val="100"/>
          <w:position w:val="0"/>
          <w:sz w:val="24"/>
          <w:highlight w:val="none"/>
        </w:rPr>
        <w:t>中的关于金属矿采选行业技术要求。</w:t>
      </w: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rPr>
        <w:t>选址与空间布局符合国家、自治区主体功能区规划、国家和自治区矿产资源勘探开发规划、城乡总体规划和土地利用规划等相关规划要求，项目选址不属于禁止开发区、限制开发区内。</w:t>
      </w: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lang w:val="en-US" w:eastAsia="zh-CN"/>
        </w:rPr>
        <w:t>矿坑涌水</w:t>
      </w:r>
      <w:r>
        <w:rPr>
          <w:rFonts w:hint="default" w:ascii="Times New Roman" w:hAnsi="Times New Roman" w:cs="Times New Roman"/>
          <w:color w:val="auto"/>
          <w:spacing w:val="0"/>
          <w:w w:val="100"/>
          <w:position w:val="0"/>
          <w:sz w:val="24"/>
          <w:highlight w:val="none"/>
          <w:lang w:val="en-US" w:eastAsia="zh-CN"/>
        </w:rPr>
        <w:t>用于</w:t>
      </w:r>
      <w:r>
        <w:rPr>
          <w:rFonts w:hint="default" w:ascii="Times New Roman" w:hAnsi="Times New Roman" w:eastAsia="宋体" w:cs="Times New Roman"/>
          <w:color w:val="auto"/>
          <w:spacing w:val="0"/>
          <w:w w:val="100"/>
          <w:position w:val="0"/>
          <w:sz w:val="24"/>
          <w:highlight w:val="none"/>
        </w:rPr>
        <w:t>湿式凿岩和洒水降尘，生活污水</w:t>
      </w:r>
      <w:r>
        <w:rPr>
          <w:rFonts w:hint="default" w:ascii="Times New Roman" w:hAnsi="Times New Roman" w:eastAsia="宋体" w:cs="Times New Roman"/>
          <w:color w:val="auto"/>
          <w:spacing w:val="0"/>
          <w:w w:val="100"/>
          <w:position w:val="0"/>
          <w:sz w:val="24"/>
          <w:highlight w:val="none"/>
          <w:lang w:val="en-US" w:eastAsia="zh-CN"/>
        </w:rPr>
        <w:t>通过地埋式一体化污水处理设施处理后综合利用</w:t>
      </w:r>
      <w:r>
        <w:rPr>
          <w:rFonts w:hint="default" w:ascii="Times New Roman" w:hAnsi="Times New Roman" w:eastAsia="宋体" w:cs="Times New Roman"/>
          <w:color w:val="auto"/>
          <w:spacing w:val="0"/>
          <w:w w:val="100"/>
          <w:position w:val="0"/>
          <w:sz w:val="24"/>
          <w:highlight w:val="none"/>
        </w:rPr>
        <w:t>，符合回用率要求。</w:t>
      </w:r>
      <w:r>
        <w:rPr>
          <w:rFonts w:hint="default" w:ascii="Times New Roman" w:hAnsi="Times New Roman" w:eastAsia="宋体" w:cs="Times New Roman"/>
          <w:color w:val="auto"/>
          <w:spacing w:val="0"/>
          <w:w w:val="100"/>
          <w:position w:val="0"/>
          <w:sz w:val="24"/>
          <w:highlight w:val="none"/>
          <w:lang w:val="en-US" w:eastAsia="zh-CN"/>
        </w:rPr>
        <w:t>本项目周边无重要工业、水利设施和军事管理区、国防工程等；矿区1km范围内无居民集中区，周边30km范围内无地表水体</w:t>
      </w:r>
      <w:r>
        <w:rPr>
          <w:rFonts w:hint="default" w:ascii="Times New Roman" w:hAnsi="Times New Roman" w:cs="Times New Roman"/>
          <w:color w:val="auto"/>
          <w:spacing w:val="0"/>
          <w:w w:val="100"/>
          <w:position w:val="0"/>
          <w:sz w:val="24"/>
          <w:highlight w:val="none"/>
          <w:lang w:val="en-US" w:eastAsia="zh-CN"/>
        </w:rPr>
        <w:t>。因此，</w:t>
      </w: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rPr>
        <w:t>符合</w:t>
      </w:r>
      <w:r>
        <w:rPr>
          <w:rFonts w:hint="default" w:ascii="Times New Roman" w:hAnsi="Times New Roman" w:eastAsia="宋体" w:cs="Times New Roman"/>
          <w:color w:val="auto"/>
          <w:spacing w:val="0"/>
          <w:w w:val="100"/>
          <w:position w:val="0"/>
          <w:sz w:val="24"/>
          <w:szCs w:val="24"/>
          <w:highlight w:val="none"/>
          <w:lang w:val="en-US" w:eastAsia="zh-CN"/>
        </w:rPr>
        <w:t>《新疆维吾尔自治区重点行业生态环境准入条件（2024年）》</w:t>
      </w:r>
      <w:r>
        <w:rPr>
          <w:rFonts w:hint="default" w:ascii="Times New Roman" w:hAnsi="Times New Roman" w:eastAsia="宋体" w:cs="Times New Roman"/>
          <w:color w:val="auto"/>
          <w:spacing w:val="0"/>
          <w:w w:val="100"/>
          <w:position w:val="0"/>
          <w:sz w:val="24"/>
          <w:highlight w:val="none"/>
        </w:rPr>
        <w:t>中的相关要求。</w:t>
      </w:r>
    </w:p>
    <w:p w14:paraId="7013F9E0">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3.5.1.2与《矿山生态环境保护与污染防治技术政策》的符合性分析</w:t>
      </w:r>
    </w:p>
    <w:p w14:paraId="128901C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bookmarkStart w:id="388" w:name="_Toc20068"/>
      <w:bookmarkStart w:id="389" w:name="_Toc22226"/>
      <w:bookmarkStart w:id="390" w:name="_Toc8498"/>
      <w:r>
        <w:rPr>
          <w:rFonts w:hint="default" w:ascii="Times New Roman" w:hAnsi="Times New Roman" w:eastAsia="宋体" w:cs="Times New Roman"/>
          <w:color w:val="auto"/>
          <w:spacing w:val="0"/>
          <w:w w:val="100"/>
          <w:position w:val="0"/>
          <w:sz w:val="24"/>
          <w:szCs w:val="24"/>
        </w:rPr>
        <w:t>该技术政策适用于矿产资源开发规划与设计、采矿、选矿和废弃地复垦等阶段的生态环境保护与污染防治。根据该政策要求：</w:t>
      </w:r>
    </w:p>
    <w:p w14:paraId="5E289B2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“禁止在依法划定的自然保护区</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核心区、缓冲区</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风景名胜区、森林公园、饮用水水源保护区、重要湖泊周边、文物古迹所在地、地质遗迹保护区、基本农田保护区等区域内采矿；禁止在地质灾害危险区开采矿产资源”——本项目建设区占地范围内无规定禁止采矿的八类敏感区；矿床内地势较平坦，相对高差小，大气降水稀少，现场未发现崩塌、滑坡、泥石流等地表地质灾害点和隐患，因此不属于地质灾害危险区；</w:t>
      </w:r>
    </w:p>
    <w:p w14:paraId="3B02C12F">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“禁止新建对生态环境产生不可恢复利用的、产生破坏性影响的矿产资源开发项目；应优先选择废物产生量少、水重复利用率高，对矿区生态环境影响小的采、选矿生产工艺与技术；矿井水、选矿水和矿山</w:t>
      </w:r>
      <w:r>
        <w:rPr>
          <w:rFonts w:hint="default" w:ascii="Times New Roman" w:hAnsi="Times New Roman" w:cs="Times New Roman"/>
          <w:color w:val="auto"/>
          <w:spacing w:val="0"/>
          <w:w w:val="100"/>
          <w:position w:val="0"/>
          <w:sz w:val="24"/>
          <w:szCs w:val="24"/>
          <w:lang w:eastAsia="zh-CN"/>
        </w:rPr>
        <w:t>其他</w:t>
      </w:r>
      <w:r>
        <w:rPr>
          <w:rFonts w:hint="default" w:ascii="Times New Roman" w:hAnsi="Times New Roman" w:eastAsia="宋体" w:cs="Times New Roman"/>
          <w:color w:val="auto"/>
          <w:spacing w:val="0"/>
          <w:w w:val="100"/>
          <w:position w:val="0"/>
          <w:sz w:val="24"/>
          <w:szCs w:val="24"/>
        </w:rPr>
        <w:t>外排水应统筹规划、分类管理、综合利用”</w:t>
      </w:r>
      <w:r>
        <w:rPr>
          <w:rFonts w:hint="eastAsia" w:ascii="Times New Roman" w:hAnsi="Times New Roman" w:cs="Times New Roman"/>
          <w:color w:val="auto"/>
          <w:spacing w:val="0"/>
          <w:w w:val="100"/>
          <w:position w:val="0"/>
          <w:sz w:val="24"/>
          <w:szCs w:val="24"/>
          <w:lang w:eastAsia="zh-CN"/>
        </w:rPr>
        <w:t>。</w:t>
      </w:r>
    </w:p>
    <w:p w14:paraId="7022C68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本项目设计采用先进合理</w:t>
      </w:r>
      <w:r>
        <w:rPr>
          <w:rFonts w:hint="default" w:ascii="Times New Roman" w:hAnsi="Times New Roman" w:eastAsia="宋体" w:cs="Times New Roman"/>
          <w:color w:val="auto"/>
          <w:spacing w:val="0"/>
          <w:w w:val="100"/>
          <w:position w:val="0"/>
          <w:sz w:val="24"/>
          <w:szCs w:val="24"/>
          <w:lang w:val="en-US" w:eastAsia="zh-CN"/>
        </w:rPr>
        <w:t>的开采</w:t>
      </w:r>
      <w:r>
        <w:rPr>
          <w:rFonts w:hint="default" w:ascii="Times New Roman" w:hAnsi="Times New Roman" w:eastAsia="宋体" w:cs="Times New Roman"/>
          <w:color w:val="auto"/>
          <w:spacing w:val="0"/>
          <w:w w:val="100"/>
          <w:position w:val="0"/>
          <w:sz w:val="24"/>
          <w:szCs w:val="24"/>
        </w:rPr>
        <w:t>工艺</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同时矿坑涌水、生活污水充分循环利用、不外排；废石场</w:t>
      </w:r>
      <w:r>
        <w:rPr>
          <w:rFonts w:hint="default" w:ascii="Times New Roman" w:hAnsi="Times New Roman" w:eastAsia="宋体" w:cs="Times New Roman"/>
          <w:color w:val="auto"/>
          <w:spacing w:val="0"/>
          <w:w w:val="100"/>
          <w:position w:val="0"/>
          <w:sz w:val="24"/>
          <w:szCs w:val="24"/>
          <w:lang w:val="en-US" w:eastAsia="zh-CN"/>
        </w:rPr>
        <w:t>边坡</w:t>
      </w:r>
      <w:r>
        <w:rPr>
          <w:rFonts w:hint="default" w:ascii="Times New Roman" w:hAnsi="Times New Roman" w:eastAsia="宋体" w:cs="Times New Roman"/>
          <w:color w:val="auto"/>
          <w:spacing w:val="0"/>
          <w:w w:val="100"/>
          <w:position w:val="0"/>
          <w:sz w:val="24"/>
          <w:szCs w:val="24"/>
        </w:rPr>
        <w:t>采取覆盖等措施，防止水土流失；服务期满后，还将及时封场和复垦，防止</w:t>
      </w:r>
      <w:r>
        <w:rPr>
          <w:rFonts w:hint="default" w:ascii="Times New Roman" w:hAnsi="Times New Roman" w:cs="Times New Roman"/>
          <w:color w:val="auto"/>
          <w:spacing w:val="0"/>
          <w:w w:val="100"/>
          <w:position w:val="0"/>
          <w:sz w:val="24"/>
          <w:szCs w:val="24"/>
          <w:lang w:eastAsia="zh-CN"/>
        </w:rPr>
        <w:t>水土流失</w:t>
      </w:r>
      <w:r>
        <w:rPr>
          <w:rFonts w:hint="default" w:ascii="Times New Roman" w:hAnsi="Times New Roman" w:eastAsia="宋体" w:cs="Times New Roman"/>
          <w:color w:val="auto"/>
          <w:spacing w:val="0"/>
          <w:w w:val="100"/>
          <w:position w:val="0"/>
          <w:sz w:val="24"/>
          <w:szCs w:val="24"/>
        </w:rPr>
        <w:t>及风蚀扬尘等。因此也符合政策对于矿产资源开发设计的要求。</w:t>
      </w:r>
    </w:p>
    <w:p w14:paraId="297B2D85">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规划、规范符合性分析</w:t>
      </w:r>
      <w:bookmarkEnd w:id="388"/>
      <w:bookmarkEnd w:id="389"/>
      <w:bookmarkEnd w:id="390"/>
    </w:p>
    <w:p w14:paraId="28E9D7A3">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3.5.2.1与《新疆维吾尔自治区国民经济和社会发展第十五个五年规划纲要》的符合性分析</w:t>
      </w:r>
    </w:p>
    <w:p w14:paraId="42E037A1">
      <w:pPr>
        <w:pStyle w:val="9"/>
        <w:keepNext w:val="0"/>
        <w:keepLines w:val="0"/>
        <w:pageBreakBefore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 xml:space="preserve">本项目为铜矿开采项目，对照自治区政府常务会议关于自治区矿产资源“十五五”规划等相关部署，新疆 </w:t>
      </w:r>
      <w:r>
        <w:rPr>
          <w:rFonts w:hint="eastAsia" w:ascii="Times New Roman" w:hAnsi="Times New Roman" w:cs="Times New Roman"/>
          <w:color w:val="auto"/>
          <w:spacing w:val="0"/>
          <w:w w:val="100"/>
          <w:position w:val="0"/>
          <w:lang w:eastAsia="zh-CN"/>
        </w:rPr>
        <w:t>“十五五”时期</w:t>
      </w:r>
      <w:r>
        <w:rPr>
          <w:rFonts w:hint="default" w:ascii="Times New Roman" w:hAnsi="Times New Roman" w:eastAsia="宋体" w:cs="Times New Roman"/>
          <w:color w:val="auto"/>
          <w:spacing w:val="0"/>
          <w:w w:val="100"/>
          <w:position w:val="0"/>
        </w:rPr>
        <w:t>锚定建设全国能源资源战略保障基地目标，深入实施新一轮找矿突破战略行动，建设战略性矿产资源保障核心区和接续区，推动绿色勘查开采，促进科技创新与矿业领域深度融合，发展新质生产力，坚持智能化、绿色化、融合化推进新型工业化，构建特色优势现代化产业体系；本项目属于铜战略性矿产开发，采用充填法地下开采，废石破碎后全部用于井下采空区充填，落实绿色开采与固废资源化利用，矿区及配套设施不占用生态保护红线、永久基本农田，同步开展矿山生态修复及土地复垦，项目实施有利于提升区域铜资源保障能力，带动地方经济发展，在严格落实绿色矿山建设、资源综合利用、生态环境保护修复等管控要求前提下，符合自治区“十五五”时期矿产资源开发及新型工业化发展的总体导向。</w:t>
      </w:r>
    </w:p>
    <w:p w14:paraId="0FDFFDCF">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3.5.2.2与《哈密市国民经济和社会发展第十五个五年规划纲要》的符合性分析</w:t>
      </w:r>
    </w:p>
    <w:p w14:paraId="4CAA289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哈密市 “十五五” 期间提出深入实施新一轮找矿突破战略行动，做强铜等战略性矿产开发，推进矿业智能化、绿色化转型，大力发展循环经济，强化矿山资源综合利用，统筹矿产资源开发与生态保护修复，推动资源优势转化为地方经济优势，构建区域特色现代化产业体系。</w:t>
      </w:r>
    </w:p>
    <w:p w14:paraId="04F5735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bidi="ar"/>
        </w:rPr>
      </w:pPr>
      <w:r>
        <w:rPr>
          <w:rFonts w:hint="default" w:ascii="Times New Roman" w:hAnsi="Times New Roman" w:eastAsia="宋体" w:cs="Times New Roman"/>
          <w:color w:val="auto"/>
          <w:sz w:val="24"/>
          <w:szCs w:val="24"/>
        </w:rPr>
        <w:t xml:space="preserve">本项目为哈密伊州区铜矿地下开采项目，地处东天山有色金属成矿带，属于区域战略性铜矿产资源开发项目，项目采用充填法地下开采工艺，设置3处废石临时堆场，废石经破碎后全部作为井下充填骨料用于采空区充填，实现废石100%综合利用；矿区及配套临时堆场均布置于采矿权范围内，不占用生态保护红线、永久基本农田，矿坑涌水最大限度回用生产，同步落实清洁生产、边开采边治理及土地复垦措施，严格控制粉尘、废水等污染物排放。项目实施可增加区域铜资源供给能力，助力哈密打造有色金属产业基地，带动地方就业与财税增长；后续运营阶段将持续提升开采回采率，落实绿色矿山建设，规范废石临时堆场管控，严禁作为永久排土场使用，按时序完成矿山生态修复。综上，在落实各项环保及资源开发管控措施前提下，本项目符合哈密市 </w:t>
      </w:r>
      <w:r>
        <w:rPr>
          <w:rFonts w:hint="eastAsia" w:ascii="Times New Roman" w:hAnsi="Times New Roman" w:cs="Times New Roman"/>
          <w:color w:val="auto"/>
          <w:sz w:val="24"/>
          <w:szCs w:val="24"/>
          <w:lang w:eastAsia="zh-CN"/>
        </w:rPr>
        <w:t>“十五五”规划纲要</w:t>
      </w:r>
      <w:r>
        <w:rPr>
          <w:rFonts w:hint="default" w:ascii="Times New Roman" w:hAnsi="Times New Roman" w:eastAsia="宋体" w:cs="Times New Roman"/>
          <w:color w:val="auto"/>
          <w:sz w:val="24"/>
          <w:szCs w:val="24"/>
        </w:rPr>
        <w:t>关于战略性矿产保障、绿色开采、固废资源化利用、生态保护及地方产业高质量发展的总体导向。</w:t>
      </w:r>
    </w:p>
    <w:p w14:paraId="7815B701">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3</w:t>
      </w:r>
      <w:r>
        <w:rPr>
          <w:rFonts w:hint="default" w:ascii="Times New Roman" w:hAnsi="Times New Roman" w:eastAsia="宋体" w:cs="Times New Roman"/>
          <w:b/>
          <w:bCs/>
          <w:color w:val="auto"/>
          <w:spacing w:val="0"/>
          <w:w w:val="100"/>
          <w:position w:val="0"/>
          <w:highlight w:val="none"/>
          <w:lang w:val="en-US" w:eastAsia="zh-CN"/>
        </w:rPr>
        <w:t>与《新疆维吾尔自治区矿产资源总体规划（2021~2025年）》的符合性分析</w:t>
      </w:r>
    </w:p>
    <w:p w14:paraId="5F212054">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lang w:val="en-US" w:eastAsia="zh-CN"/>
        </w:rPr>
        <w:t>根据《新疆维吾尔自治区矿产资源总体规划（2021~2025年）》：加大吐鲁番、哈密市铁、锰、</w:t>
      </w:r>
      <w:r>
        <w:rPr>
          <w:rFonts w:hint="default" w:ascii="Times New Roman" w:hAnsi="Times New Roman" w:eastAsia="宋体" w:cs="Times New Roman"/>
          <w:b/>
          <w:bCs/>
          <w:color w:val="auto"/>
          <w:spacing w:val="0"/>
          <w:w w:val="100"/>
          <w:position w:val="0"/>
          <w:sz w:val="24"/>
          <w:lang w:val="en-US" w:eastAsia="zh-CN"/>
        </w:rPr>
        <w:t>铜</w:t>
      </w:r>
      <w:r>
        <w:rPr>
          <w:rFonts w:hint="default" w:ascii="Times New Roman" w:hAnsi="Times New Roman" w:eastAsia="宋体" w:cs="Times New Roman"/>
          <w:color w:val="auto"/>
          <w:spacing w:val="0"/>
          <w:w w:val="100"/>
          <w:position w:val="0"/>
          <w:sz w:val="24"/>
          <w:lang w:val="en-US" w:eastAsia="zh-CN"/>
        </w:rPr>
        <w:t>、镍、金、银、钒、钛、镁、硅质原料等矿产资源的勘查与开发，新增铁资源量2000万吨、铜60万吨、镍5万吨、金20吨、硅质原料2000万吨。服务“疆电外送”“硅基新材料”产业与“钛镁深加工产业园”建设。</w:t>
      </w:r>
    </w:p>
    <w:p w14:paraId="581A68E5">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b w:val="0"/>
          <w:bCs w:val="0"/>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rPr>
        <w:t>本项目为铜矿</w:t>
      </w:r>
      <w:r>
        <w:rPr>
          <w:rFonts w:hint="default" w:ascii="Times New Roman" w:hAnsi="Times New Roman" w:eastAsia="宋体" w:cs="Times New Roman"/>
          <w:color w:val="auto"/>
          <w:spacing w:val="0"/>
          <w:w w:val="100"/>
          <w:position w:val="0"/>
          <w:sz w:val="24"/>
          <w:highlight w:val="none"/>
          <w:lang w:val="en-US" w:eastAsia="zh-CN"/>
        </w:rPr>
        <w:t>采矿</w:t>
      </w:r>
      <w:r>
        <w:rPr>
          <w:rFonts w:hint="default" w:ascii="Times New Roman" w:hAnsi="Times New Roman" w:eastAsia="宋体" w:cs="Times New Roman"/>
          <w:color w:val="auto"/>
          <w:spacing w:val="0"/>
          <w:w w:val="100"/>
          <w:position w:val="0"/>
          <w:sz w:val="24"/>
          <w:highlight w:val="none"/>
        </w:rPr>
        <w:t>项目，</w:t>
      </w:r>
      <w:r>
        <w:rPr>
          <w:rFonts w:hint="default" w:ascii="Times New Roman" w:hAnsi="Times New Roman" w:eastAsia="宋体" w:cs="Times New Roman"/>
          <w:color w:val="auto"/>
          <w:spacing w:val="0"/>
          <w:w w:val="100"/>
          <w:position w:val="0"/>
          <w:sz w:val="24"/>
          <w:highlight w:val="none"/>
          <w:lang w:val="en-US" w:eastAsia="zh-CN"/>
        </w:rPr>
        <w:t>位于哈密市，</w:t>
      </w:r>
      <w:r>
        <w:rPr>
          <w:rFonts w:hint="default" w:ascii="Times New Roman" w:hAnsi="Times New Roman" w:eastAsia="宋体" w:cs="Times New Roman"/>
          <w:color w:val="auto"/>
          <w:spacing w:val="0"/>
          <w:w w:val="100"/>
          <w:position w:val="0"/>
          <w:sz w:val="24"/>
          <w:highlight w:val="none"/>
        </w:rPr>
        <w:t>属于</w:t>
      </w:r>
      <w:r>
        <w:rPr>
          <w:rFonts w:hint="default" w:ascii="Times New Roman" w:hAnsi="Times New Roman" w:eastAsia="宋体" w:cs="Times New Roman"/>
          <w:color w:val="auto"/>
          <w:spacing w:val="0"/>
          <w:w w:val="100"/>
          <w:position w:val="0"/>
          <w:sz w:val="24"/>
          <w:highlight w:val="none"/>
          <w:lang w:val="en-US" w:eastAsia="zh-CN"/>
        </w:rPr>
        <w:t>规划提到的</w:t>
      </w:r>
      <w:r>
        <w:rPr>
          <w:rFonts w:hint="default" w:ascii="Times New Roman" w:hAnsi="Times New Roman" w:eastAsia="宋体" w:cs="Times New Roman"/>
          <w:color w:val="auto"/>
          <w:spacing w:val="0"/>
          <w:w w:val="100"/>
          <w:position w:val="0"/>
          <w:sz w:val="24"/>
          <w:highlight w:val="none"/>
        </w:rPr>
        <w:t>重点开采矿种，且矿区不在禁止开发区域和限制</w:t>
      </w:r>
      <w:r>
        <w:rPr>
          <w:rFonts w:hint="default" w:ascii="Times New Roman" w:hAnsi="Times New Roman" w:eastAsia="宋体" w:cs="Times New Roman"/>
          <w:b w:val="0"/>
          <w:bCs w:val="0"/>
          <w:color w:val="auto"/>
          <w:spacing w:val="0"/>
          <w:w w:val="100"/>
          <w:position w:val="0"/>
          <w:sz w:val="24"/>
          <w:highlight w:val="none"/>
        </w:rPr>
        <w:t>开发区域，符合《新疆维吾尔自治区矿产资源总体规划（2021</w:t>
      </w:r>
      <w:r>
        <w:rPr>
          <w:rFonts w:hint="default" w:ascii="Times New Roman" w:hAnsi="Times New Roman" w:cs="Times New Roman"/>
          <w:b w:val="0"/>
          <w:bCs w:val="0"/>
          <w:color w:val="auto"/>
          <w:spacing w:val="0"/>
          <w:w w:val="100"/>
          <w:position w:val="0"/>
          <w:sz w:val="24"/>
          <w:highlight w:val="none"/>
          <w:lang w:eastAsia="zh-CN"/>
        </w:rPr>
        <w:t>—</w:t>
      </w:r>
      <w:r>
        <w:rPr>
          <w:rFonts w:hint="default" w:ascii="Times New Roman" w:hAnsi="Times New Roman" w:eastAsia="宋体" w:cs="Times New Roman"/>
          <w:b w:val="0"/>
          <w:bCs w:val="0"/>
          <w:color w:val="auto"/>
          <w:spacing w:val="0"/>
          <w:w w:val="100"/>
          <w:position w:val="0"/>
          <w:sz w:val="24"/>
          <w:highlight w:val="none"/>
        </w:rPr>
        <w:t>2025</w:t>
      </w:r>
      <w:r>
        <w:rPr>
          <w:rFonts w:hint="default" w:ascii="Times New Roman" w:hAnsi="Times New Roman" w:eastAsia="宋体" w:cs="Times New Roman"/>
          <w:b w:val="0"/>
          <w:bCs w:val="0"/>
          <w:color w:val="auto"/>
          <w:spacing w:val="0"/>
          <w:w w:val="100"/>
          <w:position w:val="0"/>
          <w:sz w:val="24"/>
          <w:highlight w:val="none"/>
          <w:lang w:val="en-US" w:eastAsia="zh-CN"/>
        </w:rPr>
        <w:t>年）</w:t>
      </w:r>
      <w:r>
        <w:rPr>
          <w:rFonts w:hint="default" w:ascii="Times New Roman" w:hAnsi="Times New Roman" w:eastAsia="宋体" w:cs="Times New Roman"/>
          <w:b w:val="0"/>
          <w:bCs w:val="0"/>
          <w:color w:val="auto"/>
          <w:spacing w:val="0"/>
          <w:w w:val="100"/>
          <w:position w:val="0"/>
          <w:sz w:val="24"/>
          <w:highlight w:val="none"/>
        </w:rPr>
        <w:t>》</w:t>
      </w:r>
      <w:r>
        <w:rPr>
          <w:rFonts w:hint="default" w:ascii="Times New Roman" w:hAnsi="Times New Roman" w:eastAsia="宋体" w:cs="Times New Roman"/>
          <w:b w:val="0"/>
          <w:bCs w:val="0"/>
          <w:color w:val="auto"/>
          <w:spacing w:val="0"/>
          <w:w w:val="100"/>
          <w:position w:val="0"/>
          <w:sz w:val="24"/>
          <w:highlight w:val="none"/>
          <w:lang w:val="en-US" w:eastAsia="zh-CN"/>
        </w:rPr>
        <w:t>中相关要求。</w:t>
      </w:r>
    </w:p>
    <w:p w14:paraId="216274C6">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4</w:t>
      </w:r>
      <w:r>
        <w:rPr>
          <w:rFonts w:hint="default" w:ascii="Times New Roman" w:hAnsi="Times New Roman" w:eastAsia="宋体" w:cs="Times New Roman"/>
          <w:b/>
          <w:bCs/>
          <w:color w:val="auto"/>
          <w:spacing w:val="0"/>
          <w:w w:val="100"/>
          <w:position w:val="0"/>
          <w:highlight w:val="none"/>
          <w:lang w:val="en-US" w:eastAsia="zh-CN"/>
        </w:rPr>
        <w:t>与《新疆维吾尔自治区矿产资源总体规划（2021-2025 年）环境影响报告书》及其审查意见的符合性分析</w:t>
      </w:r>
    </w:p>
    <w:p w14:paraId="2B76A8D0">
      <w:pPr>
        <w:pStyle w:val="27"/>
        <w:keepNext w:val="0"/>
        <w:keepLines w:val="0"/>
        <w:pageBreakBefore w:val="0"/>
        <w:widowControl/>
        <w:kinsoku/>
        <w:wordWrap/>
        <w:overflowPunct/>
        <w:topLinePunct w:val="0"/>
        <w:autoSpaceDE/>
        <w:autoSpaceDN/>
        <w:bidi w:val="0"/>
        <w:adjustRightInd/>
        <w:snapToGrid/>
        <w:spacing w:before="0" w:beforeAutospacing="0" w:after="0" w:afterAutospacing="0"/>
        <w:jc w:val="left"/>
        <w:textAlignment w:val="center"/>
        <w:rPr>
          <w:rFonts w:hint="default" w:ascii="Times New Roman" w:hAnsi="Times New Roman" w:eastAsia="宋体" w:cs="Times New Roman"/>
          <w:b w:val="0"/>
          <w:bCs w:val="0"/>
          <w:color w:val="auto"/>
          <w:spacing w:val="0"/>
          <w:w w:val="100"/>
          <w:kern w:val="0"/>
          <w:position w:val="0"/>
          <w:sz w:val="24"/>
          <w:szCs w:val="21"/>
          <w:highlight w:val="none"/>
          <w:lang w:val="en-US" w:eastAsia="zh-CN" w:bidi="ar-SA"/>
        </w:rPr>
      </w:pPr>
      <w:r>
        <w:rPr>
          <w:rFonts w:hint="default" w:ascii="Times New Roman" w:hAnsi="Times New Roman" w:eastAsia="宋体" w:cs="Times New Roman"/>
          <w:b w:val="0"/>
          <w:bCs w:val="0"/>
          <w:color w:val="auto"/>
          <w:spacing w:val="0"/>
          <w:w w:val="100"/>
          <w:kern w:val="0"/>
          <w:position w:val="0"/>
          <w:sz w:val="24"/>
          <w:szCs w:val="21"/>
          <w:highlight w:val="none"/>
          <w:lang w:val="en-US" w:eastAsia="zh-CN" w:bidi="ar-SA"/>
        </w:rPr>
        <w:t>根据《新疆维吾尔自治区矿产资源总体规划（2021—2025年）环境影响报告书》，加大吐鲁番、哈密地区铁、锰、</w:t>
      </w:r>
      <w:r>
        <w:rPr>
          <w:rFonts w:hint="default" w:ascii="Times New Roman" w:hAnsi="Times New Roman" w:eastAsia="宋体" w:cs="Times New Roman"/>
          <w:b/>
          <w:bCs/>
          <w:color w:val="auto"/>
          <w:spacing w:val="0"/>
          <w:w w:val="100"/>
          <w:kern w:val="0"/>
          <w:position w:val="0"/>
          <w:sz w:val="24"/>
          <w:szCs w:val="21"/>
          <w:highlight w:val="none"/>
          <w:lang w:val="en-US" w:eastAsia="zh-CN" w:bidi="ar-SA"/>
        </w:rPr>
        <w:t>铜</w:t>
      </w:r>
      <w:r>
        <w:rPr>
          <w:rFonts w:hint="default" w:ascii="Times New Roman" w:hAnsi="Times New Roman" w:eastAsia="宋体" w:cs="Times New Roman"/>
          <w:b w:val="0"/>
          <w:bCs w:val="0"/>
          <w:color w:val="auto"/>
          <w:spacing w:val="0"/>
          <w:w w:val="100"/>
          <w:kern w:val="0"/>
          <w:position w:val="0"/>
          <w:sz w:val="24"/>
          <w:szCs w:val="21"/>
          <w:highlight w:val="none"/>
          <w:lang w:val="en-US" w:eastAsia="zh-CN" w:bidi="ar-SA"/>
        </w:rPr>
        <w:t>、镍、金、银、钒、镁、硅质原料等战略性矿产资源的勘查与开发。新增铁矿资源量2000万吨、铜镍50万吨、金20吨、硅质原料2000万吨。</w:t>
      </w:r>
    </w:p>
    <w:p w14:paraId="4CFDE578">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审查意见（环审〔2022〕124号）提到：坚持以习近平生态文明思想为指导，严格落实绿水青山就是金山银山理念，立足于生态系统稳定和生态环境质量改善，处理好生态环境保护与矿产资源开发的关系，合理控制矿产资源开发规模与强度，不得占用依法应当禁止开发的区域，优先避让生态环境敏感区域。</w:t>
      </w:r>
    </w:p>
    <w:p w14:paraId="6A3C97FB">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严格落实《规划》提出的重点矿种矿山最低开采规模准入要求</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进一步控制矿山总数，提高大中型矿山比例，加大低效产能压减、无效产能腾退力度，逐步关闭退出安全隐患突出、生态环境问题明显、违法违规问题多的“小弱散”矿山和未达到最低生产规模的矿山。禁止开采砷和放射性等有毒有害物质超过规定标准的煤炭，以及砂铁、汞、可耕地砖瓦用粘土等矿产</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限制开采硫铁矿、砖瓦用粘土等矿产</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严格控制开采钨、稀土等特定保护性矿产。严格尾矿库的新建和管理，确保符合相关要求。</w:t>
      </w:r>
    </w:p>
    <w:p w14:paraId="13354B04">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b w:val="0"/>
          <w:bCs w:val="0"/>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rPr>
        <w:t>本项目为铜矿</w:t>
      </w:r>
      <w:r>
        <w:rPr>
          <w:rFonts w:hint="default" w:ascii="Times New Roman" w:hAnsi="Times New Roman" w:eastAsia="宋体" w:cs="Times New Roman"/>
          <w:color w:val="auto"/>
          <w:spacing w:val="0"/>
          <w:w w:val="100"/>
          <w:position w:val="0"/>
          <w:sz w:val="24"/>
          <w:highlight w:val="none"/>
          <w:lang w:val="en-US" w:eastAsia="zh-CN"/>
        </w:rPr>
        <w:t>采矿</w:t>
      </w:r>
      <w:r>
        <w:rPr>
          <w:rFonts w:hint="default" w:ascii="Times New Roman" w:hAnsi="Times New Roman" w:eastAsia="宋体" w:cs="Times New Roman"/>
          <w:color w:val="auto"/>
          <w:spacing w:val="0"/>
          <w:w w:val="100"/>
          <w:position w:val="0"/>
          <w:sz w:val="24"/>
          <w:highlight w:val="none"/>
        </w:rPr>
        <w:t>项目，</w:t>
      </w:r>
      <w:r>
        <w:rPr>
          <w:rFonts w:hint="default" w:ascii="Times New Roman" w:hAnsi="Times New Roman" w:eastAsia="宋体" w:cs="Times New Roman"/>
          <w:color w:val="auto"/>
          <w:spacing w:val="0"/>
          <w:w w:val="100"/>
          <w:position w:val="0"/>
          <w:sz w:val="24"/>
          <w:highlight w:val="none"/>
          <w:lang w:val="en-US" w:eastAsia="zh-CN"/>
        </w:rPr>
        <w:t>位于哈密市</w:t>
      </w:r>
      <w:r>
        <w:rPr>
          <w:rFonts w:hint="default" w:ascii="Times New Roman" w:hAnsi="Times New Roman" w:cs="Times New Roman"/>
          <w:color w:val="auto"/>
          <w:sz w:val="24"/>
          <w:szCs w:val="24"/>
          <w:lang w:val="en-US" w:eastAsia="zh-CN"/>
        </w:rPr>
        <w:t>伊州区</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eastAsia="宋体" w:cs="Times New Roman"/>
          <w:color w:val="auto"/>
          <w:spacing w:val="0"/>
          <w:w w:val="100"/>
          <w:position w:val="0"/>
          <w:sz w:val="24"/>
          <w:highlight w:val="none"/>
        </w:rPr>
        <w:t>属于</w:t>
      </w:r>
      <w:r>
        <w:rPr>
          <w:rFonts w:hint="default" w:ascii="Times New Roman" w:hAnsi="Times New Roman" w:eastAsia="宋体" w:cs="Times New Roman"/>
          <w:color w:val="auto"/>
          <w:spacing w:val="0"/>
          <w:w w:val="100"/>
          <w:position w:val="0"/>
          <w:sz w:val="24"/>
          <w:highlight w:val="none"/>
          <w:lang w:val="en-US" w:eastAsia="zh-CN"/>
        </w:rPr>
        <w:t>规划提到的</w:t>
      </w:r>
      <w:r>
        <w:rPr>
          <w:rFonts w:hint="default" w:ascii="Times New Roman" w:hAnsi="Times New Roman" w:eastAsia="宋体" w:cs="Times New Roman"/>
          <w:color w:val="auto"/>
          <w:spacing w:val="0"/>
          <w:w w:val="100"/>
          <w:position w:val="0"/>
          <w:sz w:val="24"/>
          <w:highlight w:val="none"/>
        </w:rPr>
        <w:t>重点开采矿种，</w:t>
      </w:r>
      <w:r>
        <w:rPr>
          <w:rFonts w:hint="default" w:ascii="Times New Roman" w:hAnsi="Times New Roman" w:eastAsia="宋体" w:cs="Times New Roman"/>
          <w:color w:val="auto"/>
          <w:spacing w:val="0"/>
          <w:w w:val="100"/>
          <w:position w:val="0"/>
          <w:sz w:val="24"/>
          <w:highlight w:val="none"/>
          <w:lang w:val="en-US" w:eastAsia="zh-CN"/>
        </w:rPr>
        <w:t>规模符合要求，</w:t>
      </w:r>
      <w:r>
        <w:rPr>
          <w:rFonts w:hint="default" w:ascii="Times New Roman" w:hAnsi="Times New Roman" w:eastAsia="宋体" w:cs="Times New Roman"/>
          <w:color w:val="auto"/>
          <w:spacing w:val="0"/>
          <w:w w:val="100"/>
          <w:position w:val="0"/>
          <w:sz w:val="24"/>
          <w:highlight w:val="none"/>
        </w:rPr>
        <w:t>且矿区不在禁止开发区域和限制</w:t>
      </w:r>
      <w:r>
        <w:rPr>
          <w:rFonts w:hint="default" w:ascii="Times New Roman" w:hAnsi="Times New Roman" w:eastAsia="宋体" w:cs="Times New Roman"/>
          <w:b w:val="0"/>
          <w:bCs w:val="0"/>
          <w:color w:val="auto"/>
          <w:spacing w:val="0"/>
          <w:w w:val="100"/>
          <w:position w:val="0"/>
          <w:sz w:val="24"/>
          <w:highlight w:val="none"/>
        </w:rPr>
        <w:t>开发区域，</w:t>
      </w:r>
      <w:r>
        <w:rPr>
          <w:rFonts w:hint="default" w:ascii="Times New Roman" w:hAnsi="Times New Roman" w:eastAsia="宋体" w:cs="Times New Roman"/>
          <w:b w:val="0"/>
          <w:bCs w:val="0"/>
          <w:color w:val="auto"/>
          <w:spacing w:val="0"/>
          <w:w w:val="100"/>
          <w:position w:val="0"/>
          <w:sz w:val="24"/>
          <w:highlight w:val="none"/>
          <w:lang w:val="en-US" w:eastAsia="zh-CN"/>
        </w:rPr>
        <w:t>不在生态环境敏感区域。</w:t>
      </w:r>
      <w:r>
        <w:rPr>
          <w:rFonts w:hint="default" w:ascii="Times New Roman" w:hAnsi="Times New Roman" w:eastAsia="宋体" w:cs="Times New Roman"/>
          <w:b w:val="0"/>
          <w:bCs w:val="0"/>
          <w:color w:val="auto"/>
          <w:spacing w:val="0"/>
          <w:w w:val="100"/>
          <w:position w:val="0"/>
          <w:sz w:val="24"/>
          <w:highlight w:val="none"/>
        </w:rPr>
        <w:t>符合《新疆维吾尔自治区矿产资源总体规划（2021</w:t>
      </w:r>
      <w:r>
        <w:rPr>
          <w:rFonts w:hint="default" w:ascii="Times New Roman" w:hAnsi="Times New Roman" w:cs="Times New Roman"/>
          <w:b w:val="0"/>
          <w:bCs w:val="0"/>
          <w:color w:val="auto"/>
          <w:spacing w:val="0"/>
          <w:w w:val="100"/>
          <w:position w:val="0"/>
          <w:sz w:val="24"/>
          <w:highlight w:val="none"/>
          <w:lang w:eastAsia="zh-CN"/>
        </w:rPr>
        <w:t>—</w:t>
      </w:r>
      <w:r>
        <w:rPr>
          <w:rFonts w:hint="default" w:ascii="Times New Roman" w:hAnsi="Times New Roman" w:eastAsia="宋体" w:cs="Times New Roman"/>
          <w:b w:val="0"/>
          <w:bCs w:val="0"/>
          <w:color w:val="auto"/>
          <w:spacing w:val="0"/>
          <w:w w:val="100"/>
          <w:position w:val="0"/>
          <w:sz w:val="24"/>
          <w:highlight w:val="none"/>
        </w:rPr>
        <w:t>2025</w:t>
      </w:r>
      <w:r>
        <w:rPr>
          <w:rFonts w:hint="default" w:ascii="Times New Roman" w:hAnsi="Times New Roman" w:eastAsia="宋体" w:cs="Times New Roman"/>
          <w:b w:val="0"/>
          <w:bCs w:val="0"/>
          <w:color w:val="auto"/>
          <w:spacing w:val="0"/>
          <w:w w:val="100"/>
          <w:position w:val="0"/>
          <w:sz w:val="24"/>
          <w:highlight w:val="none"/>
          <w:lang w:val="en-US" w:eastAsia="zh-CN"/>
        </w:rPr>
        <w:t>年）</w:t>
      </w:r>
      <w:r>
        <w:rPr>
          <w:rFonts w:hint="default" w:ascii="Times New Roman" w:hAnsi="Times New Roman" w:eastAsia="宋体" w:cs="Times New Roman"/>
          <w:b w:val="0"/>
          <w:bCs w:val="0"/>
          <w:color w:val="auto"/>
          <w:spacing w:val="0"/>
          <w:w w:val="100"/>
          <w:kern w:val="0"/>
          <w:position w:val="0"/>
          <w:sz w:val="24"/>
          <w:szCs w:val="21"/>
          <w:highlight w:val="none"/>
          <w:lang w:val="en-US" w:eastAsia="zh-CN" w:bidi="ar-SA"/>
        </w:rPr>
        <w:t>环境影响报告书</w:t>
      </w:r>
      <w:r>
        <w:rPr>
          <w:rFonts w:hint="default" w:ascii="Times New Roman" w:hAnsi="Times New Roman" w:eastAsia="宋体" w:cs="Times New Roman"/>
          <w:b w:val="0"/>
          <w:bCs w:val="0"/>
          <w:color w:val="auto"/>
          <w:spacing w:val="0"/>
          <w:w w:val="100"/>
          <w:position w:val="0"/>
          <w:sz w:val="24"/>
          <w:highlight w:val="none"/>
        </w:rPr>
        <w:t>》</w:t>
      </w:r>
      <w:r>
        <w:rPr>
          <w:rFonts w:hint="default" w:ascii="Times New Roman" w:hAnsi="Times New Roman" w:eastAsia="宋体" w:cs="Times New Roman"/>
          <w:b w:val="0"/>
          <w:bCs w:val="0"/>
          <w:color w:val="auto"/>
          <w:spacing w:val="0"/>
          <w:w w:val="100"/>
          <w:position w:val="0"/>
          <w:sz w:val="24"/>
          <w:highlight w:val="none"/>
          <w:lang w:val="en-US" w:eastAsia="zh-CN"/>
        </w:rPr>
        <w:t>及其审查意见中相关要求。</w:t>
      </w:r>
    </w:p>
    <w:p w14:paraId="12F38CB8">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5</w:t>
      </w:r>
      <w:r>
        <w:rPr>
          <w:rFonts w:hint="default" w:ascii="Times New Roman" w:hAnsi="Times New Roman" w:eastAsia="宋体" w:cs="Times New Roman"/>
          <w:b/>
          <w:bCs/>
          <w:color w:val="auto"/>
          <w:spacing w:val="0"/>
          <w:w w:val="100"/>
          <w:position w:val="0"/>
          <w:highlight w:val="none"/>
          <w:lang w:val="en-US" w:eastAsia="zh-CN"/>
        </w:rPr>
        <w:t>与《哈密市伊州区矿产资源总体规划（2021~2025）》的符合性分析</w:t>
      </w:r>
    </w:p>
    <w:p w14:paraId="0EE309E8">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480" w:lineRule="exact"/>
        <w:ind w:left="0" w:leftChars="0" w:right="0" w:rightChars="0" w:firstLine="480" w:firstLineChars="200"/>
        <w:textAlignment w:val="auto"/>
        <w:rPr>
          <w:rFonts w:hint="default" w:ascii="Times New Roman" w:hAnsi="Times New Roman" w:eastAsia="宋体" w:cs="Times New Roman"/>
          <w:color w:val="auto"/>
          <w:spacing w:val="0"/>
          <w:w w:val="100"/>
          <w:kern w:val="0"/>
          <w:position w:val="0"/>
          <w:sz w:val="24"/>
          <w:szCs w:val="21"/>
          <w:highlight w:val="none"/>
          <w:lang w:val="en-US" w:eastAsia="zh-CN" w:bidi="ar-SA"/>
        </w:rPr>
      </w:pPr>
      <w:r>
        <w:rPr>
          <w:rFonts w:hint="default" w:ascii="Times New Roman" w:hAnsi="Times New Roman" w:eastAsia="宋体" w:cs="Times New Roman"/>
          <w:color w:val="auto"/>
          <w:spacing w:val="0"/>
          <w:w w:val="100"/>
          <w:kern w:val="0"/>
          <w:position w:val="0"/>
          <w:sz w:val="24"/>
          <w:szCs w:val="21"/>
          <w:highlight w:val="none"/>
          <w:lang w:val="en-US" w:eastAsia="zh-CN" w:bidi="ar-SA"/>
        </w:rPr>
        <w:t>根据《哈密市伊州区矿产资源总体规划（2021~2025）》，伊州区矿产资源丰富，具有资源优势突出、矿种齐全、分布广、资源储量大等特点。截至2020年底，伊州区已发现各类矿产11大类88个矿种（含亚矿种），其中查明资源储量的矿产51种；查明资源储量的矿产地402处（含共伴生矿产），其中，大型28处、中型51处、小型323处。</w:t>
      </w:r>
    </w:p>
    <w:p w14:paraId="6A404437">
      <w:pPr>
        <w:ind w:firstLine="484" w:firstLineChars="202"/>
        <w:rPr>
          <w:rFonts w:hint="default" w:ascii="Times New Roman" w:hAnsi="Times New Roman" w:eastAsia="宋体" w:cs="Times New Roman"/>
          <w:color w:val="auto"/>
          <w:spacing w:val="0"/>
          <w:w w:val="100"/>
          <w:kern w:val="0"/>
          <w:position w:val="0"/>
          <w:sz w:val="24"/>
          <w:szCs w:val="21"/>
          <w:highlight w:val="none"/>
          <w:lang w:val="en-US" w:eastAsia="zh-CN" w:bidi="ar-SA"/>
        </w:rPr>
      </w:pPr>
      <w:r>
        <w:rPr>
          <w:rFonts w:hint="default" w:ascii="Times New Roman" w:hAnsi="Times New Roman" w:eastAsia="宋体" w:cs="Times New Roman"/>
          <w:color w:val="auto"/>
          <w:spacing w:val="0"/>
          <w:w w:val="100"/>
          <w:kern w:val="0"/>
          <w:position w:val="0"/>
          <w:sz w:val="24"/>
          <w:szCs w:val="21"/>
          <w:highlight w:val="none"/>
          <w:lang w:val="en-US" w:eastAsia="zh-CN" w:bidi="ar-SA"/>
        </w:rPr>
        <w:t>伊州区资源优势显著，勘查成果突出，探明了三道岭煤矿、沙尔湖煤矿、大南湖煤矿、奥莫尔塔格花岗岩矿、红石-黄土坡铜多金属矿、黄山铜镍矿、镜儿泉有色金属矿、土屋-延东铜矿、雅满苏铁矿、雅满苏石灰岩矿、白干湖铅锌矿、白山泉铁矿、尾亚钒钛铁矿、天湖铁矿、磁海铁矿、金窝子金矿等矿区，为国家资源安全供给做出重要保障，为伊州区经济发展提供充足矿产资源。</w:t>
      </w:r>
    </w:p>
    <w:p w14:paraId="4BB0E35B">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cs="Times New Roman"/>
          <w:color w:val="auto"/>
        </w:rPr>
      </w:pPr>
      <w:r>
        <w:rPr>
          <w:rFonts w:hint="default" w:ascii="Times New Roman" w:hAnsi="Times New Roman" w:eastAsia="宋体" w:cs="Times New Roman"/>
          <w:color w:val="auto"/>
          <w:spacing w:val="0"/>
          <w:w w:val="100"/>
          <w:kern w:val="0"/>
          <w:position w:val="0"/>
          <w:sz w:val="24"/>
          <w:szCs w:val="21"/>
          <w:highlight w:val="none"/>
          <w:lang w:val="en-US" w:eastAsia="zh-CN" w:bidi="ar-SA"/>
        </w:rPr>
        <w:t>落实能源资源基地2处、国家规划矿区7处、战略性矿产资源保护区1处及自治区级重点勘查区10处、重点开采区8处。</w:t>
      </w:r>
    </w:p>
    <w:p w14:paraId="14AB551D">
      <w:pPr>
        <w:pStyle w:val="9"/>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kern w:val="0"/>
          <w:position w:val="0"/>
          <w:sz w:val="24"/>
          <w:szCs w:val="21"/>
          <w:highlight w:val="none"/>
          <w:lang w:val="en-US" w:eastAsia="zh-CN" w:bidi="ar-SA"/>
        </w:rPr>
      </w:pPr>
      <w:r>
        <w:rPr>
          <w:rFonts w:hint="default" w:ascii="Times New Roman" w:hAnsi="Times New Roman" w:eastAsia="宋体" w:cs="Times New Roman"/>
          <w:color w:val="auto"/>
          <w:spacing w:val="0"/>
          <w:w w:val="100"/>
          <w:position w:val="0"/>
          <w:sz w:val="24"/>
          <w:highlight w:val="none"/>
        </w:rPr>
        <w:t>本项目为铜矿</w:t>
      </w:r>
      <w:r>
        <w:rPr>
          <w:rFonts w:hint="default" w:ascii="Times New Roman" w:hAnsi="Times New Roman" w:eastAsia="宋体" w:cs="Times New Roman"/>
          <w:color w:val="auto"/>
          <w:spacing w:val="0"/>
          <w:w w:val="100"/>
          <w:position w:val="0"/>
          <w:sz w:val="24"/>
          <w:highlight w:val="none"/>
          <w:lang w:val="en-US" w:eastAsia="zh-CN"/>
        </w:rPr>
        <w:t>采矿</w:t>
      </w:r>
      <w:r>
        <w:rPr>
          <w:rFonts w:hint="default" w:ascii="Times New Roman" w:hAnsi="Times New Roman" w:eastAsia="宋体" w:cs="Times New Roman"/>
          <w:color w:val="auto"/>
          <w:spacing w:val="0"/>
          <w:w w:val="100"/>
          <w:position w:val="0"/>
          <w:sz w:val="24"/>
          <w:highlight w:val="none"/>
        </w:rPr>
        <w:t>项目，</w:t>
      </w:r>
      <w:r>
        <w:rPr>
          <w:rFonts w:hint="default" w:ascii="Times New Roman" w:hAnsi="Times New Roman" w:eastAsia="宋体" w:cs="Times New Roman"/>
          <w:color w:val="auto"/>
          <w:spacing w:val="0"/>
          <w:w w:val="100"/>
          <w:position w:val="0"/>
          <w:sz w:val="24"/>
          <w:highlight w:val="none"/>
          <w:lang w:val="en-US" w:eastAsia="zh-CN"/>
        </w:rPr>
        <w:t>位于哈密市</w:t>
      </w:r>
      <w:r>
        <w:rPr>
          <w:rFonts w:hint="default" w:ascii="Times New Roman" w:hAnsi="Times New Roman" w:cs="Times New Roman"/>
          <w:color w:val="auto"/>
          <w:sz w:val="24"/>
          <w:szCs w:val="24"/>
          <w:lang w:val="en-US" w:eastAsia="zh-CN"/>
        </w:rPr>
        <w:t>伊州区</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eastAsia="宋体" w:cs="Times New Roman"/>
          <w:color w:val="auto"/>
          <w:spacing w:val="0"/>
          <w:w w:val="100"/>
          <w:position w:val="0"/>
          <w:sz w:val="24"/>
          <w:highlight w:val="none"/>
        </w:rPr>
        <w:t>属于</w:t>
      </w:r>
      <w:r>
        <w:rPr>
          <w:rFonts w:hint="default" w:ascii="Times New Roman" w:hAnsi="Times New Roman" w:eastAsia="宋体" w:cs="Times New Roman"/>
          <w:color w:val="auto"/>
          <w:spacing w:val="0"/>
          <w:w w:val="100"/>
          <w:position w:val="0"/>
          <w:sz w:val="24"/>
          <w:highlight w:val="none"/>
          <w:lang w:val="en-US" w:eastAsia="zh-CN"/>
        </w:rPr>
        <w:t>规划提到的</w:t>
      </w:r>
      <w:r>
        <w:rPr>
          <w:rFonts w:hint="default" w:ascii="Times New Roman" w:hAnsi="Times New Roman" w:eastAsia="宋体" w:cs="Times New Roman"/>
          <w:color w:val="auto"/>
          <w:spacing w:val="0"/>
          <w:w w:val="100"/>
          <w:position w:val="0"/>
          <w:sz w:val="24"/>
          <w:highlight w:val="none"/>
        </w:rPr>
        <w:t>重点开采矿种，</w:t>
      </w:r>
      <w:r>
        <w:rPr>
          <w:rFonts w:hint="default" w:ascii="Times New Roman" w:hAnsi="Times New Roman" w:eastAsia="宋体" w:cs="Times New Roman"/>
          <w:color w:val="auto"/>
          <w:spacing w:val="0"/>
          <w:w w:val="100"/>
          <w:position w:val="0"/>
          <w:sz w:val="24"/>
          <w:highlight w:val="none"/>
          <w:lang w:val="en-US" w:eastAsia="zh-CN"/>
        </w:rPr>
        <w:t>规模符合要求，</w:t>
      </w:r>
      <w:r>
        <w:rPr>
          <w:rFonts w:hint="default" w:ascii="Times New Roman" w:hAnsi="Times New Roman" w:eastAsia="宋体" w:cs="Times New Roman"/>
          <w:color w:val="auto"/>
          <w:spacing w:val="0"/>
          <w:w w:val="100"/>
          <w:position w:val="0"/>
          <w:sz w:val="24"/>
          <w:highlight w:val="none"/>
        </w:rPr>
        <w:t>且矿区不在禁止开发区域和限制</w:t>
      </w:r>
      <w:r>
        <w:rPr>
          <w:rFonts w:hint="default" w:ascii="Times New Roman" w:hAnsi="Times New Roman" w:eastAsia="宋体" w:cs="Times New Roman"/>
          <w:b w:val="0"/>
          <w:bCs w:val="0"/>
          <w:color w:val="auto"/>
          <w:spacing w:val="0"/>
          <w:w w:val="100"/>
          <w:position w:val="0"/>
          <w:sz w:val="24"/>
          <w:highlight w:val="none"/>
        </w:rPr>
        <w:t>开发区域，</w:t>
      </w:r>
      <w:r>
        <w:rPr>
          <w:rFonts w:hint="default" w:ascii="Times New Roman" w:hAnsi="Times New Roman" w:eastAsia="宋体" w:cs="Times New Roman"/>
          <w:b w:val="0"/>
          <w:bCs w:val="0"/>
          <w:color w:val="auto"/>
          <w:spacing w:val="0"/>
          <w:w w:val="100"/>
          <w:position w:val="0"/>
          <w:sz w:val="24"/>
          <w:highlight w:val="none"/>
          <w:lang w:val="en-US" w:eastAsia="zh-CN"/>
        </w:rPr>
        <w:t>不在生态环境敏感区域。</w:t>
      </w:r>
      <w:r>
        <w:rPr>
          <w:rFonts w:hint="default" w:ascii="Times New Roman" w:hAnsi="Times New Roman" w:eastAsia="宋体" w:cs="Times New Roman"/>
          <w:color w:val="auto"/>
          <w:spacing w:val="0"/>
          <w:w w:val="100"/>
          <w:kern w:val="0"/>
          <w:position w:val="0"/>
          <w:sz w:val="24"/>
          <w:szCs w:val="21"/>
          <w:highlight w:val="none"/>
          <w:lang w:val="en-US" w:eastAsia="zh-CN" w:bidi="ar-SA"/>
        </w:rPr>
        <w:t>本项目的建设符合《哈密市伊州区矿产资源总体规划（2021~2025）》中相关要求。</w:t>
      </w:r>
    </w:p>
    <w:p w14:paraId="7D467502">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6</w:t>
      </w:r>
      <w:r>
        <w:rPr>
          <w:rFonts w:hint="default" w:ascii="Times New Roman" w:hAnsi="Times New Roman" w:eastAsia="宋体" w:cs="Times New Roman"/>
          <w:b/>
          <w:bCs/>
          <w:color w:val="auto"/>
          <w:spacing w:val="0"/>
          <w:w w:val="100"/>
          <w:position w:val="0"/>
          <w:highlight w:val="none"/>
          <w:lang w:val="en-US" w:eastAsia="zh-CN"/>
        </w:rPr>
        <w:t>与《新疆维吾尔自治区主体功能区规划》的符合性分析</w:t>
      </w:r>
    </w:p>
    <w:p w14:paraId="254BF37C">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新疆维吾尔自治区主体功能区规划》中提出：主体功能区与能源和矿产资源开发的关系。一些能源和矿产资源富集的区域往往同时是生态脆弱或生态重要的区域，被划分为限制进行大规模高强度工业化城镇化开发的重点生态功能区或农产品主产区，并不是限制能源和矿产资源的开发，这类区域中的能源和矿产资源，仍然可以依法开发，资源开采的地点仍然可以定义为能源或矿产资源的重点开发基地，但应该按照该区域的主体功能定位实行</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点上开发、面上保护</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w:t>
      </w:r>
    </w:p>
    <w:p w14:paraId="46E12F22">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形成资源点状开发，生态面上保护的空间结构。针对阿尔泰山、塔里木盆地、准噶尔盆地等地的矿产资源富集区域的开发，要在科学规划的基础上，以点状开发方式有序进行，其开发强度控制在规划目标之内，尽可能减少对生态环境的扰动和破坏，同时加强对矿产开发区迹地的生态修复。</w:t>
      </w:r>
    </w:p>
    <w:p w14:paraId="6A401042">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限制开发区域是指关系国家农产品供给安全和生态安全，不应该或不适宜进行大规模、高强度工业化城镇化开发的农产品主产区和重点生态功能区。限制开发区域分为两类：一类是农产品主产区，即耕地较多、农业发展条件较好，尽管也适宜工业化城镇化开发，但从保障国家农产品安全以及国家永续发展的需要出发，必须把增强农业综合生产能力作为发展的首要任务，从而应该限制大规模高强度工业化城镇化开发的地区；一类是重点生态功能区，即生态系统脆弱或生态功能重要，资源环境承载能力较低，不具备大规模高强度工业化城镇化开发的条件，必须把增强生态产品生产能力作为首要任务，从而应该限制进行大规模高强度工业化城镇化开发的地区。</w:t>
      </w:r>
    </w:p>
    <w:p w14:paraId="350DEC38">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禁止开发区域是指依法设立的各级各类自然文化资源保护区域，以及其他禁止进行工业化城镇化开发、需要特殊保护的重点生态功能区。国家层面的禁止开发区域包括国家级自然保护区、世界文化自然遗产、国家级风景名胜区、国家森林公园、国家地质公园。省级层面的禁止开发区域，包括省级及以下各级各类自然文化资源保护区域、重要水源地、重要湿地以及其他省级人民政府根据需要确定的禁止开发区域。</w:t>
      </w:r>
    </w:p>
    <w:p w14:paraId="637F3AD0">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本项目所属区域不属于重点开发区</w:t>
      </w:r>
      <w:r>
        <w:rPr>
          <w:rFonts w:hint="default" w:ascii="Times New Roman" w:hAnsi="Times New Roman"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也不属于禁止与限制开发区，视为一般开发区。项目区内无地表径流，无野生动物迁徙通道，项目建设符合《新疆维吾尔自治区主体功能区规划》的相关要求。</w:t>
      </w:r>
    </w:p>
    <w:p w14:paraId="3A546EFD">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7</w:t>
      </w:r>
      <w:r>
        <w:rPr>
          <w:rFonts w:hint="default" w:ascii="Times New Roman" w:hAnsi="Times New Roman" w:eastAsia="宋体" w:cs="Times New Roman"/>
          <w:b/>
          <w:bCs/>
          <w:color w:val="auto"/>
          <w:spacing w:val="0"/>
          <w:w w:val="100"/>
          <w:position w:val="0"/>
          <w:highlight w:val="none"/>
          <w:lang w:val="en-US" w:eastAsia="zh-CN"/>
        </w:rPr>
        <w:t>与《有色金属行业绿色矿山建设规范》的符合性</w:t>
      </w:r>
    </w:p>
    <w:p w14:paraId="663637A7">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根据规范要求，在生产、运输、储存过程中，应采取防尘保洁措施，在储矿仓、破碎机、振动点、卸料点等产生粉尘的部位，宜采取全封闭措施或采取机械除尘、喷雾除尘及生物纳膜抑尘；道路、采区作业面、排土场等应采用洒水或喷雾除尘。矿区生活污水和生产废水分开收集、处理，污水100%达标排放。应采取合理有效的技术措施对高噪声设备进行降噪处理。</w:t>
      </w:r>
    </w:p>
    <w:p w14:paraId="5FA757DD">
      <w:pPr>
        <w:pageBreakBefore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本项目在产生粉尘的部位，采取集气罩+布袋除尘；废石场及采矿作业、道路运输等采用洒水除尘；矿区生活污水和生产废水分开收集、处理，污水全部回用。采取室内布置、减振等有效措施对高噪声设备进行降噪处理。因而符合规范要求。</w:t>
      </w:r>
    </w:p>
    <w:p w14:paraId="44A467B3">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bookmarkStart w:id="391" w:name="_Toc31538"/>
      <w:bookmarkStart w:id="392" w:name="_Toc21092"/>
      <w:bookmarkStart w:id="393" w:name="_Toc9197"/>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8</w:t>
      </w:r>
      <w:r>
        <w:rPr>
          <w:rFonts w:hint="default" w:ascii="Times New Roman" w:hAnsi="Times New Roman" w:eastAsia="宋体" w:cs="Times New Roman"/>
          <w:b/>
          <w:bCs/>
          <w:color w:val="auto"/>
          <w:spacing w:val="0"/>
          <w:w w:val="100"/>
          <w:position w:val="0"/>
          <w:highlight w:val="none"/>
          <w:lang w:val="en-US" w:eastAsia="zh-CN"/>
        </w:rPr>
        <w:t>与《关于印发〈土壤污染源头防控行动计划〉的通知》的符合性</w:t>
      </w:r>
    </w:p>
    <w:p w14:paraId="097AD7F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cs="Times New Roman"/>
          <w:color w:val="auto"/>
          <w:spacing w:val="0"/>
          <w:w w:val="100"/>
          <w:position w:val="0"/>
          <w:sz w:val="24"/>
          <w:lang w:val="en-US" w:eastAsia="zh-CN"/>
        </w:rPr>
        <w:t>根据要求，</w:t>
      </w:r>
      <w:r>
        <w:rPr>
          <w:rFonts w:hint="default" w:ascii="Times New Roman" w:hAnsi="Times New Roman" w:eastAsia="宋体" w:cs="Times New Roman"/>
          <w:color w:val="auto"/>
          <w:spacing w:val="0"/>
          <w:w w:val="100"/>
          <w:position w:val="0"/>
          <w:sz w:val="24"/>
          <w:lang w:val="en-US" w:eastAsia="zh-CN"/>
        </w:rPr>
        <w:t>对重有色金属矿采选业、重有色金属冶炼业、化学原料及化学制品制造业等涉重金属行业企业依法开展强制性清洁生产审核，强化气态及粉尘等无组织排放、防渗漏、防流失、防扬散等审核及监管要求。工程设计应按照环境保护相关规定和工程建设国家标准，为防治土壤和地下水污染提供工程条件。在健康、环境等技术规范和绿色工厂、绿色工业园区、生态工业园区评价体系中，增加或完善源头防控要求。推动电镀企业入园，因地制宜规范电镀</w:t>
      </w:r>
      <w:r>
        <w:rPr>
          <w:rFonts w:hint="default" w:ascii="Times New Roman" w:hAnsi="Times New Roman" w:cs="Times New Roman"/>
          <w:color w:val="auto"/>
          <w:spacing w:val="0"/>
          <w:w w:val="100"/>
          <w:position w:val="0"/>
          <w:sz w:val="24"/>
          <w:lang w:val="en-US" w:eastAsia="zh-CN"/>
        </w:rPr>
        <w:t>（</w:t>
      </w:r>
      <w:r>
        <w:rPr>
          <w:rFonts w:hint="default" w:ascii="Times New Roman" w:hAnsi="Times New Roman" w:eastAsia="宋体" w:cs="Times New Roman"/>
          <w:color w:val="auto"/>
          <w:spacing w:val="0"/>
          <w:w w:val="100"/>
          <w:position w:val="0"/>
          <w:sz w:val="24"/>
          <w:lang w:val="en-US" w:eastAsia="zh-CN"/>
        </w:rPr>
        <w:t>集中</w:t>
      </w:r>
      <w:r>
        <w:rPr>
          <w:rFonts w:hint="default" w:ascii="Times New Roman" w:hAnsi="Times New Roman" w:cs="Times New Roman"/>
          <w:color w:val="auto"/>
          <w:spacing w:val="0"/>
          <w:w w:val="100"/>
          <w:position w:val="0"/>
          <w:sz w:val="24"/>
          <w:lang w:val="en-US" w:eastAsia="zh-CN"/>
        </w:rPr>
        <w:t>）</w:t>
      </w:r>
      <w:r>
        <w:rPr>
          <w:rFonts w:hint="default" w:ascii="Times New Roman" w:hAnsi="Times New Roman" w:eastAsia="宋体" w:cs="Times New Roman"/>
          <w:color w:val="auto"/>
          <w:spacing w:val="0"/>
          <w:w w:val="100"/>
          <w:position w:val="0"/>
          <w:sz w:val="24"/>
          <w:lang w:val="en-US" w:eastAsia="zh-CN"/>
        </w:rPr>
        <w:t>园区建设。</w:t>
      </w:r>
    </w:p>
    <w:p w14:paraId="311CB69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z w:val="24"/>
          <w:szCs w:val="24"/>
        </w:rPr>
        <w:t>严格环境监管重点单位名录管理，确保土壤污染重点监管单位和地下水污染防治重点排污单位应纳尽纳。加强以排污许可为核心的环境管理，督促土壤污染重点监管单位按照排污许可证规定和标准规范落实控制有毒有害物质排放、土壤污染隐患排查、自行监测等要求。完善重点场所和设施设备清单，全面查清隐患并落实整改，优化提升自行监测工作质量，积极推进防腐防渗改造、存储转运密闭化、管道输送可视化等绿色化改造。已造成土壤和地下水污染的企业在实施改建、扩建和技术改造项目时，必须采取有效措施防控已有污染。持续推进重点行业防渗漏、隐患排查、周边监测等技术规范制修订。排放涉镉等重金属的大气、水环境重点排污单位，依法对排放口和周边环境进行定期监测，评估对周边农用地土壤重金属累积性风险，并采取有效措施防范环境风险。</w:t>
      </w:r>
    </w:p>
    <w:p w14:paraId="663EF8B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lang w:val="en-US" w:eastAsia="zh-CN"/>
        </w:rPr>
        <w:t>本项目为</w:t>
      </w:r>
      <w:r>
        <w:rPr>
          <w:rFonts w:hint="default" w:ascii="Times New Roman" w:hAnsi="Times New Roman" w:cs="Times New Roman"/>
          <w:color w:val="auto"/>
          <w:spacing w:val="0"/>
          <w:w w:val="100"/>
          <w:position w:val="0"/>
          <w:sz w:val="24"/>
          <w:lang w:val="en-US" w:eastAsia="zh-CN"/>
        </w:rPr>
        <w:t>铜矿</w:t>
      </w:r>
      <w:r>
        <w:rPr>
          <w:rFonts w:hint="default" w:ascii="Times New Roman" w:hAnsi="Times New Roman" w:eastAsia="宋体" w:cs="Times New Roman"/>
          <w:color w:val="auto"/>
          <w:spacing w:val="0"/>
          <w:w w:val="100"/>
          <w:position w:val="0"/>
          <w:sz w:val="24"/>
          <w:lang w:val="en-US" w:eastAsia="zh-CN"/>
        </w:rPr>
        <w:t>采矿项目，开采方</w:t>
      </w:r>
      <w:r>
        <w:rPr>
          <w:rFonts w:hint="eastAsia" w:ascii="Times New Roman" w:hAnsi="Times New Roman" w:cs="Times New Roman"/>
          <w:color w:val="auto"/>
          <w:spacing w:val="0"/>
          <w:w w:val="100"/>
          <w:position w:val="0"/>
          <w:sz w:val="24"/>
          <w:lang w:val="en-US" w:eastAsia="zh-CN"/>
        </w:rPr>
        <w:t>式为</w:t>
      </w:r>
      <w:r>
        <w:rPr>
          <w:rFonts w:hint="default" w:ascii="Times New Roman" w:hAnsi="Times New Roman" w:eastAsia="宋体" w:cs="Times New Roman"/>
          <w:color w:val="auto"/>
          <w:spacing w:val="0"/>
          <w:w w:val="100"/>
          <w:position w:val="0"/>
          <w:sz w:val="24"/>
          <w:lang w:val="en-US" w:eastAsia="zh-CN"/>
        </w:rPr>
        <w:t>地下开采。生产废水全部回用，无外排</w:t>
      </w:r>
      <w:r>
        <w:rPr>
          <w:rFonts w:hint="default" w:ascii="Times New Roman" w:hAnsi="Times New Roman" w:cs="Times New Roman"/>
          <w:color w:val="auto"/>
          <w:spacing w:val="0"/>
          <w:w w:val="100"/>
          <w:position w:val="0"/>
          <w:sz w:val="24"/>
          <w:lang w:val="en-US" w:eastAsia="zh-CN"/>
        </w:rPr>
        <w:t>。场地采取了分区防渗措施，制定了运营期监测计划。本项目投运后，应依法开展</w:t>
      </w:r>
      <w:r>
        <w:rPr>
          <w:rFonts w:hint="default" w:ascii="Times New Roman" w:hAnsi="Times New Roman" w:eastAsia="宋体" w:cs="Times New Roman"/>
          <w:color w:val="auto"/>
          <w:spacing w:val="0"/>
          <w:w w:val="100"/>
          <w:position w:val="0"/>
          <w:sz w:val="24"/>
          <w:lang w:val="en-US" w:eastAsia="zh-CN"/>
        </w:rPr>
        <w:t>清洁生产审核</w:t>
      </w:r>
      <w:r>
        <w:rPr>
          <w:rFonts w:hint="default" w:ascii="Times New Roman" w:hAnsi="Times New Roman" w:cs="Times New Roman"/>
          <w:color w:val="auto"/>
          <w:spacing w:val="0"/>
          <w:w w:val="100"/>
          <w:position w:val="0"/>
          <w:sz w:val="24"/>
          <w:lang w:val="en-US" w:eastAsia="zh-CN"/>
        </w:rPr>
        <w:t>工作。综上，本项目符合《关于印发〈土壤污染源头防控行动计划〉的通知》的相关要求。</w:t>
      </w:r>
    </w:p>
    <w:p w14:paraId="30EC68EF">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3.5.2.</w:t>
      </w:r>
      <w:r>
        <w:rPr>
          <w:rFonts w:hint="default" w:ascii="Times New Roman" w:hAnsi="Times New Roman" w:cs="Times New Roman"/>
          <w:b/>
          <w:bCs/>
          <w:color w:val="auto"/>
          <w:spacing w:val="0"/>
          <w:w w:val="100"/>
          <w:position w:val="0"/>
          <w:highlight w:val="none"/>
          <w:lang w:val="en-US" w:eastAsia="zh-CN"/>
        </w:rPr>
        <w:t>11</w:t>
      </w:r>
      <w:r>
        <w:rPr>
          <w:rFonts w:hint="default" w:ascii="Times New Roman" w:hAnsi="Times New Roman" w:eastAsia="宋体" w:cs="Times New Roman"/>
          <w:b/>
          <w:bCs/>
          <w:color w:val="auto"/>
          <w:spacing w:val="0"/>
          <w:w w:val="100"/>
          <w:position w:val="0"/>
          <w:highlight w:val="none"/>
          <w:lang w:val="en-US" w:eastAsia="zh-CN"/>
        </w:rPr>
        <w:t>与《</w:t>
      </w:r>
      <w:r>
        <w:rPr>
          <w:rFonts w:hint="default" w:ascii="Times New Roman" w:hAnsi="Times New Roman" w:cs="Times New Roman"/>
          <w:b/>
          <w:bCs/>
          <w:color w:val="auto"/>
          <w:spacing w:val="0"/>
          <w:w w:val="100"/>
          <w:position w:val="0"/>
          <w:highlight w:val="none"/>
          <w:lang w:val="en-US" w:eastAsia="zh-CN"/>
        </w:rPr>
        <w:t>哈密市戈壁生态环境保护办法（暂行）</w:t>
      </w:r>
      <w:r>
        <w:rPr>
          <w:rFonts w:hint="default" w:ascii="Times New Roman" w:hAnsi="Times New Roman" w:eastAsia="宋体" w:cs="Times New Roman"/>
          <w:b/>
          <w:bCs/>
          <w:color w:val="auto"/>
          <w:spacing w:val="0"/>
          <w:w w:val="100"/>
          <w:position w:val="0"/>
          <w:highlight w:val="none"/>
          <w:lang w:val="en-US" w:eastAsia="zh-CN"/>
        </w:rPr>
        <w:t>》的符合性</w:t>
      </w:r>
    </w:p>
    <w:p w14:paraId="4FD31BEA">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val="en-US" w:eastAsia="zh-Hans"/>
        </w:rPr>
      </w:pPr>
      <w:r>
        <w:rPr>
          <w:rFonts w:hint="default" w:ascii="Times New Roman" w:hAnsi="Times New Roman" w:eastAsia="宋体" w:cs="Times New Roman"/>
          <w:b w:val="0"/>
          <w:bCs w:val="0"/>
          <w:color w:val="auto"/>
          <w:spacing w:val="0"/>
          <w:w w:val="100"/>
          <w:position w:val="0"/>
          <w:sz w:val="24"/>
          <w:szCs w:val="24"/>
          <w:highlight w:val="none"/>
          <w:lang w:val="en-US" w:eastAsia="zh-Hans"/>
        </w:rPr>
        <w:t>《哈密市戈壁生态环境保护条例》坚持保护优先、科学规划、合理利用、可持续发展原则，重点保护戈壁砾幕层、地表结皮等原生戈壁地貌，规范戈壁区域开发建设行为，要求戈壁范围内开展生产建设活动应依法开展环评，最大限度减少对戈壁地表扰动，落实开发扰动后的生态修复，推进绿色矿山建设，防控废水、废渣、粉尘污染戈壁生态环境，严禁非法采石挖石，统筹资源开发与戈壁生态保护。</w:t>
      </w:r>
    </w:p>
    <w:p w14:paraId="583357DD">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val="en-US" w:eastAsia="zh-CN"/>
        </w:rPr>
      </w:pPr>
      <w:r>
        <w:rPr>
          <w:rFonts w:hint="default" w:ascii="Times New Roman" w:hAnsi="Times New Roman" w:eastAsia="宋体" w:cs="Times New Roman"/>
          <w:b w:val="0"/>
          <w:bCs w:val="0"/>
          <w:color w:val="auto"/>
          <w:spacing w:val="0"/>
          <w:w w:val="100"/>
          <w:position w:val="0"/>
          <w:sz w:val="24"/>
          <w:szCs w:val="24"/>
          <w:highlight w:val="none"/>
          <w:lang w:val="en-US" w:eastAsia="zh-Hans"/>
        </w:rPr>
        <w:t>本项目为哈密市伊州区地下铜矿开采项目，矿区地处戈壁区域，项目依法履行环境影响评价、矿山开发相关审批手续；采用地下充填开采工艺，地表扰动范围主要集中在采矿权划定的工业场地、硐口及 3 处废石临时堆场，不擅自扩大扰动范围，严格保护未占压区域戈壁原生砾幕与地表结皮；废石不在地表永久堆存，经破碎后全部作为井下充填骨料回填采空区，仅设置临时周转堆场，堆场配套挡墙、护坡、截排水设施，作业面洒水抑尘，管控粉尘、雨水径流对戈壁环境的影响；矿坑涌水优先内部回用，生产废水不外排；项目同步编制</w:t>
      </w:r>
      <w:r>
        <w:rPr>
          <w:rFonts w:hint="default" w:ascii="Times New Roman" w:hAnsi="Times New Roman" w:eastAsia="宋体" w:cs="Times New Roman"/>
          <w:b w:val="0"/>
          <w:bCs w:val="0"/>
          <w:color w:val="auto"/>
          <w:spacing w:val="0"/>
          <w:w w:val="100"/>
          <w:position w:val="0"/>
          <w:sz w:val="24"/>
          <w:szCs w:val="24"/>
          <w:highlight w:val="none"/>
          <w:lang w:val="en-US" w:eastAsia="zh-CN"/>
        </w:rPr>
        <w:t>生态修复方案</w:t>
      </w:r>
      <w:r>
        <w:rPr>
          <w:rFonts w:hint="default" w:ascii="Times New Roman" w:hAnsi="Times New Roman" w:eastAsia="宋体" w:cs="Times New Roman"/>
          <w:b w:val="0"/>
          <w:bCs w:val="0"/>
          <w:color w:val="auto"/>
          <w:spacing w:val="0"/>
          <w:w w:val="100"/>
          <w:position w:val="0"/>
          <w:sz w:val="24"/>
          <w:szCs w:val="24"/>
          <w:highlight w:val="none"/>
          <w:lang w:val="en-US" w:eastAsia="zh-Hans"/>
        </w:rPr>
        <w:t>，落实“边开采、边修复”，生产结束后对临时堆场、工业场地等扰动区域开展场地清理、地貌整治与生态恢复，最大限度修复受扰动戈壁地表，杜绝非法采石、挖掘戈壁石等破坏行为。项目后续运营过程中将严格控制施工及作业范围，减少新增地表扰动，落实生态修复承诺，开展戈壁区域环境巡查保护。综上，在严格落实各项生态保护及扰动修复措施前提下，本项目建设符合《哈密市戈壁生态环境保护条例》相关管控要求</w:t>
      </w:r>
      <w:r>
        <w:rPr>
          <w:rFonts w:hint="default" w:ascii="Times New Roman" w:hAnsi="Times New Roman" w:eastAsia="宋体" w:cs="Times New Roman"/>
          <w:b w:val="0"/>
          <w:bCs w:val="0"/>
          <w:color w:val="auto"/>
          <w:spacing w:val="0"/>
          <w:w w:val="100"/>
          <w:position w:val="0"/>
          <w:sz w:val="24"/>
          <w:szCs w:val="24"/>
          <w:highlight w:val="none"/>
          <w:lang w:val="en-US" w:eastAsia="zh-CN"/>
        </w:rPr>
        <w:t>。</w:t>
      </w:r>
    </w:p>
    <w:p w14:paraId="62ED4D5A">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相关条例符合性分析</w:t>
      </w:r>
      <w:bookmarkEnd w:id="391"/>
      <w:bookmarkEnd w:id="392"/>
      <w:bookmarkEnd w:id="393"/>
    </w:p>
    <w:p w14:paraId="50A4FAE2">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3.5.3.1与《新疆维吾尔自治区环境保护条例》（修订）的符合性分析</w:t>
      </w:r>
    </w:p>
    <w:p w14:paraId="05F4270F">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lang w:val="en-US" w:eastAsia="zh-CN"/>
        </w:rPr>
        <w:t>根据《新疆维吾尔自治区环境保护条例》第三十条中指出：“任何单位和个人不得在水源涵养区、饮用水水源保护区内和河流、湖泊、水库周围建设重化工、涉重金属等工业污染</w:t>
      </w:r>
      <w:r>
        <w:rPr>
          <w:rFonts w:hint="default" w:ascii="Times New Roman" w:hAnsi="Times New Roman" w:eastAsia="宋体" w:cs="Times New Roman"/>
          <w:color w:val="auto"/>
          <w:spacing w:val="0"/>
          <w:w w:val="100"/>
          <w:position w:val="0"/>
          <w:sz w:val="24"/>
          <w:highlight w:val="none"/>
          <w:lang w:val="en-US" w:eastAsia="zh-CN"/>
        </w:rPr>
        <w:t>项目；对已建成的工业污染项目，当地人民政府应当组织限期搬迁</w:t>
      </w:r>
      <w:r>
        <w:rPr>
          <w:rFonts w:hint="default" w:ascii="Times New Roman" w:hAnsi="Times New Roman" w:eastAsia="宋体" w:cs="Times New Roman"/>
          <w:color w:val="auto"/>
          <w:spacing w:val="0"/>
          <w:w w:val="100"/>
          <w:position w:val="0"/>
          <w:sz w:val="24"/>
          <w:lang w:val="en-US" w:eastAsia="zh-CN"/>
        </w:rPr>
        <w:t>”</w:t>
      </w:r>
      <w:r>
        <w:rPr>
          <w:rFonts w:hint="default" w:ascii="Times New Roman" w:hAnsi="Times New Roman" w:eastAsia="宋体" w:cs="Times New Roman"/>
          <w:color w:val="auto"/>
          <w:spacing w:val="0"/>
          <w:w w:val="100"/>
          <w:position w:val="0"/>
          <w:sz w:val="24"/>
          <w:highlight w:val="none"/>
          <w:lang w:val="en-US" w:eastAsia="zh-CN"/>
        </w:rPr>
        <w:t>。</w:t>
      </w:r>
    </w:p>
    <w:p w14:paraId="37C807B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highlight w:val="none"/>
          <w:lang w:val="en-US" w:eastAsia="zh-CN"/>
        </w:rPr>
        <w:t>本项目不在</w:t>
      </w:r>
      <w:r>
        <w:rPr>
          <w:rFonts w:hint="default" w:ascii="Times New Roman" w:hAnsi="Times New Roman" w:eastAsia="宋体" w:cs="Times New Roman"/>
          <w:color w:val="auto"/>
          <w:spacing w:val="0"/>
          <w:w w:val="100"/>
          <w:position w:val="0"/>
          <w:sz w:val="24"/>
          <w:lang w:val="en-US" w:eastAsia="zh-CN"/>
        </w:rPr>
        <w:t>水源涵养区、饮用水水源保护区内和河流、湖泊、水库等范围内，</w:t>
      </w:r>
      <w:r>
        <w:rPr>
          <w:rFonts w:hint="default" w:ascii="Times New Roman" w:hAnsi="Times New Roman" w:eastAsia="宋体" w:cs="Times New Roman"/>
          <w:color w:val="auto"/>
          <w:spacing w:val="0"/>
          <w:w w:val="100"/>
          <w:position w:val="0"/>
          <w:sz w:val="24"/>
          <w:highlight w:val="none"/>
          <w:lang w:val="en-US" w:eastAsia="zh-CN"/>
        </w:rPr>
        <w:t>符合《新疆维吾尔自治区环境保护条例》的相关要求。</w:t>
      </w:r>
    </w:p>
    <w:p w14:paraId="20BABA56">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Hans"/>
        </w:rPr>
      </w:pPr>
      <w:r>
        <w:rPr>
          <w:rFonts w:hint="default" w:ascii="Times New Roman" w:hAnsi="Times New Roman" w:eastAsia="宋体" w:cs="Times New Roman"/>
          <w:b/>
          <w:bCs/>
          <w:color w:val="auto"/>
          <w:spacing w:val="0"/>
          <w:w w:val="100"/>
          <w:position w:val="0"/>
          <w:highlight w:val="none"/>
          <w:lang w:val="en-US" w:eastAsia="zh-CN"/>
        </w:rPr>
        <w:t>3.5.3.2</w:t>
      </w:r>
      <w:r>
        <w:rPr>
          <w:rFonts w:hint="default" w:ascii="Times New Roman" w:hAnsi="Times New Roman" w:eastAsia="宋体" w:cs="Times New Roman"/>
          <w:b/>
          <w:bCs/>
          <w:color w:val="auto"/>
          <w:spacing w:val="0"/>
          <w:w w:val="100"/>
          <w:position w:val="0"/>
          <w:highlight w:val="none"/>
          <w:lang w:val="en-US" w:eastAsia="zh-Hans"/>
        </w:rPr>
        <w:t>与《新疆维吾尔自治区大气污染防治条例》的符合性分析</w:t>
      </w:r>
    </w:p>
    <w:p w14:paraId="70AF567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eastAsia="zh-Hans"/>
        </w:rPr>
      </w:pPr>
      <w:r>
        <w:rPr>
          <w:rFonts w:hint="default" w:ascii="Times New Roman" w:hAnsi="Times New Roman" w:eastAsia="宋体" w:cs="Times New Roman"/>
          <w:b w:val="0"/>
          <w:bCs w:val="0"/>
          <w:color w:val="auto"/>
          <w:spacing w:val="0"/>
          <w:w w:val="100"/>
          <w:position w:val="0"/>
          <w:sz w:val="24"/>
          <w:szCs w:val="24"/>
          <w:highlight w:val="none"/>
          <w:lang w:val="en-US" w:eastAsia="zh-Hans"/>
        </w:rPr>
        <w:t>根据</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新疆维吾尔自治区大气污染防治条例</w:t>
      </w:r>
      <w:r>
        <w:rPr>
          <w:rFonts w:hint="default" w:ascii="Times New Roman" w:hAnsi="Times New Roman" w:eastAsia="宋体" w:cs="Times New Roman"/>
          <w:b w:val="0"/>
          <w:bCs w:val="0"/>
          <w:color w:val="auto"/>
          <w:spacing w:val="0"/>
          <w:w w:val="100"/>
          <w:position w:val="0"/>
          <w:sz w:val="24"/>
          <w:szCs w:val="24"/>
          <w:highlight w:val="none"/>
          <w:lang w:eastAsia="zh-Hans"/>
        </w:rPr>
        <w:t>》（2019</w:t>
      </w:r>
      <w:r>
        <w:rPr>
          <w:rFonts w:hint="default" w:ascii="Times New Roman" w:hAnsi="Times New Roman" w:eastAsia="宋体" w:cs="Times New Roman"/>
          <w:b w:val="0"/>
          <w:bCs w:val="0"/>
          <w:color w:val="auto"/>
          <w:spacing w:val="0"/>
          <w:w w:val="100"/>
          <w:position w:val="0"/>
          <w:sz w:val="24"/>
          <w:szCs w:val="24"/>
          <w:highlight w:val="none"/>
          <w:lang w:val="en-US" w:eastAsia="zh-Hans"/>
        </w:rPr>
        <w:t>年</w:t>
      </w:r>
      <w:r>
        <w:rPr>
          <w:rFonts w:hint="default" w:ascii="Times New Roman" w:hAnsi="Times New Roman" w:eastAsia="宋体" w:cs="Times New Roman"/>
          <w:b w:val="0"/>
          <w:bCs w:val="0"/>
          <w:color w:val="auto"/>
          <w:spacing w:val="0"/>
          <w:w w:val="100"/>
          <w:position w:val="0"/>
          <w:sz w:val="24"/>
          <w:szCs w:val="24"/>
          <w:highlight w:val="none"/>
          <w:lang w:eastAsia="zh-Hans"/>
        </w:rPr>
        <w:t>1</w:t>
      </w:r>
      <w:r>
        <w:rPr>
          <w:rFonts w:hint="default" w:ascii="Times New Roman" w:hAnsi="Times New Roman" w:eastAsia="宋体" w:cs="Times New Roman"/>
          <w:b w:val="0"/>
          <w:bCs w:val="0"/>
          <w:color w:val="auto"/>
          <w:spacing w:val="0"/>
          <w:w w:val="100"/>
          <w:position w:val="0"/>
          <w:sz w:val="24"/>
          <w:szCs w:val="24"/>
          <w:highlight w:val="none"/>
          <w:lang w:val="en-US" w:eastAsia="zh-Hans"/>
        </w:rPr>
        <w:t>月</w:t>
      </w:r>
      <w:r>
        <w:rPr>
          <w:rFonts w:hint="default" w:ascii="Times New Roman" w:hAnsi="Times New Roman" w:eastAsia="宋体" w:cs="Times New Roman"/>
          <w:b w:val="0"/>
          <w:bCs w:val="0"/>
          <w:color w:val="auto"/>
          <w:spacing w:val="0"/>
          <w:w w:val="100"/>
          <w:position w:val="0"/>
          <w:sz w:val="24"/>
          <w:szCs w:val="24"/>
          <w:highlight w:val="none"/>
          <w:lang w:eastAsia="zh-Hans"/>
        </w:rPr>
        <w:t>1</w:t>
      </w:r>
      <w:r>
        <w:rPr>
          <w:rFonts w:hint="default" w:ascii="Times New Roman" w:hAnsi="Times New Roman" w:eastAsia="宋体" w:cs="Times New Roman"/>
          <w:b w:val="0"/>
          <w:bCs w:val="0"/>
          <w:color w:val="auto"/>
          <w:spacing w:val="0"/>
          <w:w w:val="100"/>
          <w:position w:val="0"/>
          <w:sz w:val="24"/>
          <w:szCs w:val="24"/>
          <w:highlight w:val="none"/>
          <w:lang w:val="en-US" w:eastAsia="zh-Hans"/>
        </w:rPr>
        <w:t>日实施</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中第四十四条</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eastAsia="zh-CN"/>
        </w:rPr>
        <w:t>“</w:t>
      </w:r>
      <w:r>
        <w:rPr>
          <w:rFonts w:hint="default" w:ascii="Times New Roman" w:hAnsi="Times New Roman" w:eastAsia="宋体" w:cs="Times New Roman"/>
          <w:b w:val="0"/>
          <w:bCs w:val="0"/>
          <w:color w:val="auto"/>
          <w:spacing w:val="0"/>
          <w:w w:val="100"/>
          <w:position w:val="0"/>
          <w:sz w:val="24"/>
          <w:szCs w:val="24"/>
          <w:highlight w:val="none"/>
          <w:lang w:eastAsia="zh-Hans"/>
        </w:rPr>
        <w:t>矿山开采产生的废石、废渣、泥土等应当堆放到专门存放地，并采取围挡、设置防尘网或者防尘布等防尘措施；施工便道应当硬化。</w:t>
      </w:r>
    </w:p>
    <w:p w14:paraId="7CE316C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eastAsia="zh-CN"/>
        </w:rPr>
      </w:pPr>
      <w:r>
        <w:rPr>
          <w:rFonts w:hint="default" w:ascii="Times New Roman" w:hAnsi="Times New Roman" w:eastAsia="宋体" w:cs="Times New Roman"/>
          <w:b w:val="0"/>
          <w:bCs w:val="0"/>
          <w:color w:val="auto"/>
          <w:spacing w:val="0"/>
          <w:w w:val="100"/>
          <w:position w:val="0"/>
          <w:sz w:val="24"/>
          <w:szCs w:val="24"/>
          <w:highlight w:val="none"/>
          <w:lang w:eastAsia="zh-Hans"/>
        </w:rPr>
        <w:t>在采石、采砂和其他矿产资源开采过程中，或者在停办、关闭矿山前，采矿权人应当整修被损坏的道路，恢复原有地貌，并按照规定处置矿山开采废弃物，防止扬尘污染。</w:t>
      </w:r>
      <w:r>
        <w:rPr>
          <w:rFonts w:hint="default" w:ascii="Times New Roman" w:hAnsi="Times New Roman" w:eastAsia="宋体" w:cs="Times New Roman"/>
          <w:b w:val="0"/>
          <w:bCs w:val="0"/>
          <w:color w:val="auto"/>
          <w:spacing w:val="0"/>
          <w:w w:val="100"/>
          <w:position w:val="0"/>
          <w:sz w:val="24"/>
          <w:szCs w:val="24"/>
          <w:highlight w:val="none"/>
          <w:lang w:eastAsia="zh-CN"/>
        </w:rPr>
        <w:t>”</w:t>
      </w:r>
    </w:p>
    <w:p w14:paraId="369D7A1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eastAsia="zh-Hans"/>
        </w:rPr>
      </w:pPr>
      <w:r>
        <w:rPr>
          <w:rFonts w:hint="default" w:ascii="Times New Roman" w:hAnsi="Times New Roman" w:eastAsia="宋体" w:cs="Times New Roman"/>
          <w:b w:val="0"/>
          <w:bCs w:val="0"/>
          <w:color w:val="auto"/>
          <w:spacing w:val="0"/>
          <w:w w:val="100"/>
          <w:position w:val="0"/>
          <w:sz w:val="24"/>
          <w:szCs w:val="24"/>
          <w:highlight w:val="none"/>
          <w:lang w:val="en-US" w:eastAsia="zh-CN"/>
        </w:rPr>
        <w:t>本项目</w:t>
      </w:r>
      <w:r>
        <w:rPr>
          <w:rFonts w:hint="default" w:ascii="Times New Roman" w:hAnsi="Times New Roman" w:eastAsia="宋体" w:cs="Times New Roman"/>
          <w:b w:val="0"/>
          <w:bCs w:val="0"/>
          <w:color w:val="auto"/>
          <w:spacing w:val="0"/>
          <w:w w:val="100"/>
          <w:position w:val="0"/>
          <w:sz w:val="24"/>
          <w:szCs w:val="24"/>
          <w:highlight w:val="none"/>
          <w:lang w:val="en-US" w:eastAsia="zh-Hans"/>
        </w:rPr>
        <w:t>拟建</w:t>
      </w:r>
      <w:r>
        <w:rPr>
          <w:rFonts w:hint="default" w:ascii="Times New Roman" w:hAnsi="Times New Roman" w:cs="Times New Roman"/>
          <w:b w:val="0"/>
          <w:bCs w:val="0"/>
          <w:color w:val="auto"/>
          <w:spacing w:val="0"/>
          <w:w w:val="100"/>
          <w:position w:val="0"/>
          <w:sz w:val="24"/>
          <w:szCs w:val="24"/>
          <w:highlight w:val="none"/>
          <w:lang w:val="en-US" w:eastAsia="zh-CN"/>
        </w:rPr>
        <w:t>3</w:t>
      </w:r>
      <w:r>
        <w:rPr>
          <w:rFonts w:hint="default" w:ascii="Times New Roman" w:hAnsi="Times New Roman" w:eastAsia="宋体" w:cs="Times New Roman"/>
          <w:b w:val="0"/>
          <w:bCs w:val="0"/>
          <w:color w:val="auto"/>
          <w:spacing w:val="0"/>
          <w:w w:val="100"/>
          <w:position w:val="0"/>
          <w:sz w:val="24"/>
          <w:szCs w:val="24"/>
          <w:highlight w:val="none"/>
          <w:lang w:val="en-US" w:eastAsia="zh-Hans"/>
        </w:rPr>
        <w:t>座</w:t>
      </w:r>
      <w:r>
        <w:rPr>
          <w:rFonts w:hint="default" w:ascii="Times New Roman" w:hAnsi="Times New Roman" w:eastAsia="宋体" w:cs="Times New Roman"/>
          <w:b w:val="0"/>
          <w:bCs w:val="0"/>
          <w:color w:val="auto"/>
          <w:spacing w:val="0"/>
          <w:w w:val="100"/>
          <w:position w:val="0"/>
          <w:sz w:val="24"/>
          <w:szCs w:val="24"/>
          <w:highlight w:val="none"/>
          <w:lang w:val="en-US" w:eastAsia="zh-CN"/>
        </w:rPr>
        <w:t>废石</w:t>
      </w:r>
      <w:r>
        <w:rPr>
          <w:rFonts w:hint="default" w:ascii="Times New Roman" w:hAnsi="Times New Roman" w:cs="Times New Roman"/>
          <w:b w:val="0"/>
          <w:bCs w:val="0"/>
          <w:color w:val="auto"/>
          <w:spacing w:val="0"/>
          <w:w w:val="100"/>
          <w:position w:val="0"/>
          <w:sz w:val="24"/>
          <w:szCs w:val="24"/>
          <w:highlight w:val="none"/>
          <w:lang w:val="en-US" w:eastAsia="zh-CN"/>
        </w:rPr>
        <w:t>临时堆</w:t>
      </w:r>
      <w:r>
        <w:rPr>
          <w:rFonts w:hint="default" w:ascii="Times New Roman" w:hAnsi="Times New Roman" w:eastAsia="宋体" w:cs="Times New Roman"/>
          <w:b w:val="0"/>
          <w:bCs w:val="0"/>
          <w:color w:val="auto"/>
          <w:spacing w:val="0"/>
          <w:w w:val="100"/>
          <w:position w:val="0"/>
          <w:sz w:val="24"/>
          <w:szCs w:val="24"/>
          <w:highlight w:val="none"/>
          <w:lang w:val="en-US" w:eastAsia="zh-CN"/>
        </w:rPr>
        <w:t>场</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cs="Times New Roman"/>
          <w:b w:val="0"/>
          <w:bCs w:val="0"/>
          <w:color w:val="auto"/>
          <w:spacing w:val="0"/>
          <w:w w:val="100"/>
          <w:position w:val="0"/>
          <w:sz w:val="24"/>
          <w:szCs w:val="24"/>
          <w:highlight w:val="none"/>
          <w:lang w:val="en-US" w:eastAsia="zh-CN"/>
        </w:rPr>
        <w:t>临时</w:t>
      </w:r>
      <w:r>
        <w:rPr>
          <w:rFonts w:hint="default" w:ascii="Times New Roman" w:hAnsi="Times New Roman" w:eastAsia="宋体" w:cs="Times New Roman"/>
          <w:b w:val="0"/>
          <w:bCs w:val="0"/>
          <w:color w:val="auto"/>
          <w:spacing w:val="0"/>
          <w:w w:val="100"/>
          <w:position w:val="0"/>
          <w:sz w:val="24"/>
          <w:szCs w:val="24"/>
          <w:highlight w:val="none"/>
          <w:lang w:val="en-US" w:eastAsia="zh-Hans"/>
        </w:rPr>
        <w:t>堆放</w:t>
      </w:r>
      <w:r>
        <w:rPr>
          <w:rFonts w:hint="default" w:ascii="Times New Roman" w:hAnsi="Times New Roman" w:eastAsia="宋体" w:cs="Times New Roman"/>
          <w:b w:val="0"/>
          <w:bCs w:val="0"/>
          <w:color w:val="auto"/>
          <w:spacing w:val="0"/>
          <w:w w:val="100"/>
          <w:position w:val="0"/>
          <w:sz w:val="24"/>
          <w:szCs w:val="24"/>
          <w:highlight w:val="none"/>
          <w:lang w:val="en-US" w:eastAsia="zh-CN"/>
        </w:rPr>
        <w:t>地下</w:t>
      </w:r>
      <w:r>
        <w:rPr>
          <w:rFonts w:hint="default" w:ascii="Times New Roman" w:hAnsi="Times New Roman" w:eastAsia="宋体" w:cs="Times New Roman"/>
          <w:b w:val="0"/>
          <w:bCs w:val="0"/>
          <w:color w:val="auto"/>
          <w:spacing w:val="0"/>
          <w:w w:val="100"/>
          <w:position w:val="0"/>
          <w:sz w:val="24"/>
          <w:szCs w:val="24"/>
          <w:highlight w:val="none"/>
          <w:lang w:val="en-US" w:eastAsia="zh-Hans"/>
        </w:rPr>
        <w:t>开采期产生的废石</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CN"/>
        </w:rPr>
        <w:t>废石场</w:t>
      </w:r>
      <w:r>
        <w:rPr>
          <w:rFonts w:hint="default" w:ascii="Times New Roman" w:hAnsi="Times New Roman" w:eastAsia="宋体" w:cs="Times New Roman"/>
          <w:b w:val="0"/>
          <w:bCs w:val="0"/>
          <w:color w:val="auto"/>
          <w:spacing w:val="0"/>
          <w:w w:val="100"/>
          <w:position w:val="0"/>
          <w:sz w:val="24"/>
          <w:szCs w:val="24"/>
          <w:highlight w:val="none"/>
          <w:lang w:eastAsia="zh-Hans"/>
        </w:rPr>
        <w:t>坡顶修建截排水沟，坡脚修建挡石（土）墙，预计截排水沟，挡石（土）墙。并在坡脚各设置警示牌。</w:t>
      </w:r>
      <w:r>
        <w:rPr>
          <w:rFonts w:hint="default" w:ascii="Times New Roman" w:hAnsi="Times New Roman" w:cs="Times New Roman"/>
          <w:b w:val="0"/>
          <w:bCs w:val="0"/>
          <w:color w:val="auto"/>
          <w:spacing w:val="0"/>
          <w:w w:val="100"/>
          <w:position w:val="0"/>
          <w:sz w:val="24"/>
          <w:szCs w:val="24"/>
          <w:highlight w:val="none"/>
          <w:lang w:val="en-US" w:eastAsia="zh-CN"/>
        </w:rPr>
        <w:t>废石定期回填井下</w:t>
      </w:r>
      <w:r>
        <w:rPr>
          <w:rFonts w:hint="default" w:ascii="Times New Roman" w:hAnsi="Times New Roman" w:eastAsia="宋体" w:cs="Times New Roman"/>
          <w:b w:val="0"/>
          <w:bCs w:val="0"/>
          <w:color w:val="auto"/>
          <w:spacing w:val="0"/>
          <w:w w:val="100"/>
          <w:position w:val="0"/>
          <w:sz w:val="24"/>
          <w:szCs w:val="24"/>
          <w:highlight w:val="none"/>
          <w:lang w:val="en-US" w:eastAsia="zh-CN"/>
        </w:rPr>
        <w:t>，尽量减少地面塌陷</w:t>
      </w:r>
      <w:r>
        <w:rPr>
          <w:rFonts w:hint="default" w:ascii="Times New Roman" w:hAnsi="Times New Roman" w:eastAsia="宋体" w:cs="Times New Roman"/>
          <w:b w:val="0"/>
          <w:bCs w:val="0"/>
          <w:color w:val="auto"/>
          <w:spacing w:val="0"/>
          <w:w w:val="100"/>
          <w:position w:val="0"/>
          <w:sz w:val="24"/>
          <w:szCs w:val="24"/>
          <w:highlight w:val="none"/>
          <w:lang w:eastAsia="zh-Hans"/>
        </w:rPr>
        <w:t>，并</w:t>
      </w:r>
      <w:r>
        <w:rPr>
          <w:rFonts w:hint="default" w:ascii="Times New Roman" w:hAnsi="Times New Roman" w:eastAsia="宋体" w:cs="Times New Roman"/>
          <w:b w:val="0"/>
          <w:bCs w:val="0"/>
          <w:color w:val="auto"/>
          <w:spacing w:val="0"/>
          <w:w w:val="100"/>
          <w:position w:val="0"/>
          <w:sz w:val="24"/>
          <w:szCs w:val="24"/>
          <w:highlight w:val="none"/>
          <w:lang w:val="en-US" w:eastAsia="zh-CN"/>
        </w:rPr>
        <w:t>对扰动土地</w:t>
      </w:r>
      <w:r>
        <w:rPr>
          <w:rFonts w:hint="default" w:ascii="Times New Roman" w:hAnsi="Times New Roman" w:eastAsia="宋体" w:cs="Times New Roman"/>
          <w:b w:val="0"/>
          <w:bCs w:val="0"/>
          <w:color w:val="auto"/>
          <w:spacing w:val="0"/>
          <w:w w:val="100"/>
          <w:position w:val="0"/>
          <w:sz w:val="24"/>
          <w:szCs w:val="24"/>
          <w:highlight w:val="none"/>
          <w:lang w:eastAsia="zh-Hans"/>
        </w:rPr>
        <w:t>进行</w:t>
      </w:r>
      <w:r>
        <w:rPr>
          <w:rFonts w:hint="default" w:ascii="Times New Roman" w:hAnsi="Times New Roman" w:eastAsia="宋体" w:cs="Times New Roman"/>
          <w:b w:val="0"/>
          <w:bCs w:val="0"/>
          <w:color w:val="auto"/>
          <w:spacing w:val="0"/>
          <w:w w:val="100"/>
          <w:position w:val="0"/>
          <w:sz w:val="24"/>
          <w:szCs w:val="24"/>
          <w:highlight w:val="none"/>
          <w:lang w:val="en-US" w:eastAsia="zh-CN"/>
        </w:rPr>
        <w:t>建筑拆除、土地</w:t>
      </w:r>
      <w:r>
        <w:rPr>
          <w:rFonts w:hint="default" w:ascii="Times New Roman" w:hAnsi="Times New Roman" w:eastAsia="宋体" w:cs="Times New Roman"/>
          <w:b w:val="0"/>
          <w:bCs w:val="0"/>
          <w:color w:val="auto"/>
          <w:spacing w:val="0"/>
          <w:w w:val="100"/>
          <w:position w:val="0"/>
          <w:sz w:val="24"/>
          <w:szCs w:val="24"/>
          <w:highlight w:val="none"/>
          <w:lang w:eastAsia="zh-Hans"/>
        </w:rPr>
        <w:t>平整，覆土后恢复植被，最终恢复原有地形地貌景观及土地类型。</w:t>
      </w:r>
    </w:p>
    <w:p w14:paraId="4892421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eastAsia="zh-Hans"/>
        </w:rPr>
      </w:pPr>
      <w:r>
        <w:rPr>
          <w:rFonts w:hint="default" w:ascii="Times New Roman" w:hAnsi="Times New Roman" w:eastAsia="宋体" w:cs="Times New Roman"/>
          <w:b w:val="0"/>
          <w:bCs w:val="0"/>
          <w:color w:val="auto"/>
          <w:spacing w:val="0"/>
          <w:w w:val="100"/>
          <w:position w:val="0"/>
          <w:sz w:val="24"/>
          <w:szCs w:val="24"/>
          <w:highlight w:val="none"/>
          <w:lang w:val="en-US" w:eastAsia="zh-Hans"/>
        </w:rPr>
        <w:t>根据各矿体开采结束时间，遵循</w:t>
      </w:r>
      <w:r>
        <w:rPr>
          <w:rFonts w:hint="default" w:ascii="Times New Roman" w:hAnsi="Times New Roman" w:eastAsia="宋体" w:cs="Times New Roman"/>
          <w:b w:val="0"/>
          <w:bCs w:val="0"/>
          <w:color w:val="auto"/>
          <w:spacing w:val="0"/>
          <w:w w:val="100"/>
          <w:position w:val="0"/>
          <w:sz w:val="24"/>
          <w:szCs w:val="24"/>
          <w:highlight w:val="none"/>
          <w:lang w:val="en-US" w:eastAsia="zh-CN"/>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边开采，边治理</w:t>
      </w:r>
      <w:r>
        <w:rPr>
          <w:rFonts w:hint="default" w:ascii="Times New Roman" w:hAnsi="Times New Roman" w:eastAsia="宋体" w:cs="Times New Roman"/>
          <w:b w:val="0"/>
          <w:bCs w:val="0"/>
          <w:color w:val="auto"/>
          <w:spacing w:val="0"/>
          <w:w w:val="100"/>
          <w:position w:val="0"/>
          <w:sz w:val="24"/>
          <w:szCs w:val="24"/>
          <w:highlight w:val="none"/>
          <w:lang w:val="en-US" w:eastAsia="zh-CN"/>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原则进行采矿工业场地的防治工程，其地形地貌景观的防治工程为：将区内地面建筑设施全部拆除，可再利用材料外运，废弃物用于封堵各平硐口、风井口、竖井口，对场地及矿区道路进行平整处理，防止扬尘污染</w:t>
      </w:r>
      <w:r>
        <w:rPr>
          <w:rFonts w:hint="default" w:ascii="Times New Roman" w:hAnsi="Times New Roman" w:eastAsia="宋体" w:cs="Times New Roman"/>
          <w:b w:val="0"/>
          <w:bCs w:val="0"/>
          <w:color w:val="auto"/>
          <w:spacing w:val="0"/>
          <w:w w:val="100"/>
          <w:position w:val="0"/>
          <w:sz w:val="24"/>
          <w:szCs w:val="24"/>
          <w:highlight w:val="none"/>
          <w:lang w:eastAsia="zh-Hans"/>
        </w:rPr>
        <w:t>。</w:t>
      </w:r>
    </w:p>
    <w:p w14:paraId="31618666">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b w:val="0"/>
          <w:bCs w:val="0"/>
          <w:color w:val="auto"/>
          <w:spacing w:val="0"/>
          <w:w w:val="100"/>
          <w:position w:val="0"/>
          <w:sz w:val="24"/>
          <w:szCs w:val="24"/>
          <w:highlight w:val="none"/>
          <w:lang w:eastAsia="zh-Hans"/>
        </w:rPr>
      </w:pPr>
      <w:r>
        <w:rPr>
          <w:rFonts w:hint="default" w:ascii="Times New Roman" w:hAnsi="Times New Roman" w:eastAsia="宋体" w:cs="Times New Roman"/>
          <w:b w:val="0"/>
          <w:bCs w:val="0"/>
          <w:color w:val="auto"/>
          <w:spacing w:val="0"/>
          <w:w w:val="100"/>
          <w:position w:val="0"/>
          <w:sz w:val="24"/>
          <w:szCs w:val="24"/>
          <w:highlight w:val="none"/>
          <w:lang w:val="en-US" w:eastAsia="zh-Hans"/>
        </w:rPr>
        <w:t>综上</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CN"/>
        </w:rPr>
        <w:t>本项目</w:t>
      </w:r>
      <w:r>
        <w:rPr>
          <w:rFonts w:hint="default" w:ascii="Times New Roman" w:hAnsi="Times New Roman" w:eastAsia="宋体" w:cs="Times New Roman"/>
          <w:b w:val="0"/>
          <w:bCs w:val="0"/>
          <w:color w:val="auto"/>
          <w:spacing w:val="0"/>
          <w:w w:val="100"/>
          <w:position w:val="0"/>
          <w:sz w:val="24"/>
          <w:szCs w:val="24"/>
          <w:highlight w:val="none"/>
          <w:lang w:val="en-US" w:eastAsia="zh-Hans"/>
        </w:rPr>
        <w:t>对污染物的防治措施符合</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新疆维吾尔自治区大气污染防治条例</w:t>
      </w:r>
      <w:r>
        <w:rPr>
          <w:rFonts w:hint="default" w:ascii="Times New Roman" w:hAnsi="Times New Roman" w:eastAsia="宋体" w:cs="Times New Roman"/>
          <w:b w:val="0"/>
          <w:bCs w:val="0"/>
          <w:color w:val="auto"/>
          <w:spacing w:val="0"/>
          <w:w w:val="100"/>
          <w:position w:val="0"/>
          <w:sz w:val="24"/>
          <w:szCs w:val="24"/>
          <w:highlight w:val="none"/>
          <w:lang w:eastAsia="zh-Hans"/>
        </w:rPr>
        <w:t>》（2019</w:t>
      </w:r>
      <w:r>
        <w:rPr>
          <w:rFonts w:hint="default" w:ascii="Times New Roman" w:hAnsi="Times New Roman" w:eastAsia="宋体" w:cs="Times New Roman"/>
          <w:b w:val="0"/>
          <w:bCs w:val="0"/>
          <w:color w:val="auto"/>
          <w:spacing w:val="0"/>
          <w:w w:val="100"/>
          <w:position w:val="0"/>
          <w:sz w:val="24"/>
          <w:szCs w:val="24"/>
          <w:highlight w:val="none"/>
          <w:lang w:val="en-US" w:eastAsia="zh-Hans"/>
        </w:rPr>
        <w:t>年</w:t>
      </w:r>
      <w:r>
        <w:rPr>
          <w:rFonts w:hint="default" w:ascii="Times New Roman" w:hAnsi="Times New Roman" w:eastAsia="宋体" w:cs="Times New Roman"/>
          <w:b w:val="0"/>
          <w:bCs w:val="0"/>
          <w:color w:val="auto"/>
          <w:spacing w:val="0"/>
          <w:w w:val="100"/>
          <w:position w:val="0"/>
          <w:sz w:val="24"/>
          <w:szCs w:val="24"/>
          <w:highlight w:val="none"/>
          <w:lang w:eastAsia="zh-Hans"/>
        </w:rPr>
        <w:t>1</w:t>
      </w:r>
      <w:r>
        <w:rPr>
          <w:rFonts w:hint="default" w:ascii="Times New Roman" w:hAnsi="Times New Roman" w:eastAsia="宋体" w:cs="Times New Roman"/>
          <w:b w:val="0"/>
          <w:bCs w:val="0"/>
          <w:color w:val="auto"/>
          <w:spacing w:val="0"/>
          <w:w w:val="100"/>
          <w:position w:val="0"/>
          <w:sz w:val="24"/>
          <w:szCs w:val="24"/>
          <w:highlight w:val="none"/>
          <w:lang w:val="en-US" w:eastAsia="zh-Hans"/>
        </w:rPr>
        <w:t>月</w:t>
      </w:r>
      <w:r>
        <w:rPr>
          <w:rFonts w:hint="default" w:ascii="Times New Roman" w:hAnsi="Times New Roman" w:eastAsia="宋体" w:cs="Times New Roman"/>
          <w:b w:val="0"/>
          <w:bCs w:val="0"/>
          <w:color w:val="auto"/>
          <w:spacing w:val="0"/>
          <w:w w:val="100"/>
          <w:position w:val="0"/>
          <w:sz w:val="24"/>
          <w:szCs w:val="24"/>
          <w:highlight w:val="none"/>
          <w:lang w:eastAsia="zh-Hans"/>
        </w:rPr>
        <w:t>1</w:t>
      </w:r>
      <w:r>
        <w:rPr>
          <w:rFonts w:hint="default" w:ascii="Times New Roman" w:hAnsi="Times New Roman" w:eastAsia="宋体" w:cs="Times New Roman"/>
          <w:b w:val="0"/>
          <w:bCs w:val="0"/>
          <w:color w:val="auto"/>
          <w:spacing w:val="0"/>
          <w:w w:val="100"/>
          <w:position w:val="0"/>
          <w:sz w:val="24"/>
          <w:szCs w:val="24"/>
          <w:highlight w:val="none"/>
          <w:lang w:val="en-US" w:eastAsia="zh-Hans"/>
        </w:rPr>
        <w:t>日实施</w:t>
      </w:r>
      <w:r>
        <w:rPr>
          <w:rFonts w:hint="default" w:ascii="Times New Roman" w:hAnsi="Times New Roman" w:eastAsia="宋体" w:cs="Times New Roman"/>
          <w:b w:val="0"/>
          <w:bCs w:val="0"/>
          <w:color w:val="auto"/>
          <w:spacing w:val="0"/>
          <w:w w:val="100"/>
          <w:position w:val="0"/>
          <w:sz w:val="24"/>
          <w:szCs w:val="24"/>
          <w:highlight w:val="none"/>
          <w:lang w:eastAsia="zh-Hans"/>
        </w:rPr>
        <w:t>）</w:t>
      </w:r>
      <w:r>
        <w:rPr>
          <w:rFonts w:hint="default" w:ascii="Times New Roman" w:hAnsi="Times New Roman" w:eastAsia="宋体" w:cs="Times New Roman"/>
          <w:b w:val="0"/>
          <w:bCs w:val="0"/>
          <w:color w:val="auto"/>
          <w:spacing w:val="0"/>
          <w:w w:val="100"/>
          <w:position w:val="0"/>
          <w:sz w:val="24"/>
          <w:szCs w:val="24"/>
          <w:highlight w:val="none"/>
          <w:lang w:val="en-US" w:eastAsia="zh-Hans"/>
        </w:rPr>
        <w:t>的相关要求</w:t>
      </w:r>
      <w:r>
        <w:rPr>
          <w:rFonts w:hint="default" w:ascii="Times New Roman" w:hAnsi="Times New Roman" w:eastAsia="宋体" w:cs="Times New Roman"/>
          <w:b w:val="0"/>
          <w:bCs w:val="0"/>
          <w:color w:val="auto"/>
          <w:spacing w:val="0"/>
          <w:w w:val="100"/>
          <w:position w:val="0"/>
          <w:sz w:val="24"/>
          <w:szCs w:val="24"/>
          <w:highlight w:val="none"/>
          <w:lang w:eastAsia="zh-Hans"/>
        </w:rPr>
        <w:t>。</w:t>
      </w:r>
    </w:p>
    <w:p w14:paraId="717C0B91">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Hans"/>
        </w:rPr>
      </w:pPr>
      <w:r>
        <w:rPr>
          <w:rFonts w:hint="default" w:ascii="Times New Roman" w:hAnsi="Times New Roman" w:eastAsia="宋体" w:cs="Times New Roman"/>
          <w:b/>
          <w:bCs/>
          <w:color w:val="auto"/>
          <w:spacing w:val="0"/>
          <w:w w:val="100"/>
          <w:position w:val="0"/>
          <w:highlight w:val="none"/>
          <w:lang w:val="en-US" w:eastAsia="zh-CN"/>
        </w:rPr>
        <w:t>3.5.3.3</w:t>
      </w:r>
      <w:r>
        <w:rPr>
          <w:rFonts w:hint="default" w:ascii="Times New Roman" w:hAnsi="Times New Roman" w:eastAsia="宋体" w:cs="Times New Roman"/>
          <w:b/>
          <w:bCs/>
          <w:color w:val="auto"/>
          <w:spacing w:val="0"/>
          <w:w w:val="100"/>
          <w:position w:val="0"/>
          <w:highlight w:val="none"/>
          <w:lang w:val="en-US" w:eastAsia="zh-Hans"/>
        </w:rPr>
        <w:t>与《</w:t>
      </w:r>
      <w:r>
        <w:rPr>
          <w:rFonts w:hint="default" w:ascii="Times New Roman" w:hAnsi="Times New Roman" w:eastAsia="宋体" w:cs="Times New Roman"/>
          <w:b/>
          <w:bCs/>
          <w:color w:val="auto"/>
          <w:spacing w:val="0"/>
          <w:w w:val="100"/>
          <w:position w:val="0"/>
          <w:highlight w:val="none"/>
          <w:lang w:val="en-US" w:eastAsia="zh-CN"/>
        </w:rPr>
        <w:t>新疆维吾尔自治区矿产资源管理条例》</w:t>
      </w:r>
      <w:r>
        <w:rPr>
          <w:rFonts w:hint="default" w:ascii="Times New Roman" w:hAnsi="Times New Roman" w:eastAsia="宋体" w:cs="Times New Roman"/>
          <w:b/>
          <w:bCs/>
          <w:color w:val="auto"/>
          <w:spacing w:val="0"/>
          <w:w w:val="100"/>
          <w:position w:val="0"/>
          <w:highlight w:val="none"/>
          <w:lang w:val="en-US" w:eastAsia="zh-Hans"/>
        </w:rPr>
        <w:t>的符合性分析</w:t>
      </w:r>
    </w:p>
    <w:p w14:paraId="5F47E57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Hans"/>
        </w:rPr>
        <w:t>根据</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val="en-US" w:eastAsia="zh-Hans"/>
        </w:rPr>
        <w:t>新疆维吾尔自治区矿产资源管理条例</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val="en-US" w:eastAsia="zh-Hans"/>
        </w:rPr>
        <w:t>中第五条指出</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勘查、开采矿产资源，应当加强水土保持、土地复垦和环境保护工作，加强地质环境保护、监测和地质灾害的整治工作”。</w:t>
      </w:r>
    </w:p>
    <w:p w14:paraId="661AF4E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Hans"/>
        </w:rPr>
        <w:t>第三十五条提出</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开采矿产资源，必须遵守国家、自治区土地、草原、森林、环保、文物保护、水法等</w:t>
      </w:r>
      <w:r>
        <w:rPr>
          <w:rFonts w:hint="default" w:ascii="Times New Roman" w:hAnsi="Times New Roman" w:cs="Times New Roman"/>
          <w:color w:val="auto"/>
          <w:spacing w:val="0"/>
          <w:w w:val="100"/>
          <w:position w:val="0"/>
          <w:sz w:val="24"/>
          <w:szCs w:val="24"/>
          <w:highlight w:val="none"/>
          <w:lang w:val="en-US" w:eastAsia="zh-CN"/>
        </w:rPr>
        <w:t>法律法规</w:t>
      </w:r>
      <w:r>
        <w:rPr>
          <w:rFonts w:hint="default" w:ascii="Times New Roman" w:hAnsi="Times New Roman" w:eastAsia="宋体" w:cs="Times New Roman"/>
          <w:color w:val="auto"/>
          <w:spacing w:val="0"/>
          <w:w w:val="100"/>
          <w:position w:val="0"/>
          <w:sz w:val="24"/>
          <w:szCs w:val="24"/>
          <w:highlight w:val="none"/>
          <w:lang w:val="en-US" w:eastAsia="zh-CN"/>
        </w:rPr>
        <w:t>。开采矿产资源造成矿山地质环境、生态环境破坏的，应当治理恢复</w:t>
      </w: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给他人生产、生活造成损害的，依法予以补偿，并采取必要的补救措施。”。</w:t>
      </w:r>
    </w:p>
    <w:p w14:paraId="7AB5BA6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kern w:val="10"/>
          <w:position w:val="0"/>
          <w:sz w:val="24"/>
          <w:szCs w:val="24"/>
          <w:lang w:eastAsia="zh-Hans"/>
        </w:rPr>
      </w:pPr>
      <w:r>
        <w:rPr>
          <w:rFonts w:hint="default" w:ascii="Times New Roman" w:hAnsi="Times New Roman" w:eastAsia="宋体" w:cs="Times New Roman"/>
          <w:color w:val="auto"/>
          <w:spacing w:val="0"/>
          <w:w w:val="100"/>
          <w:position w:val="0"/>
          <w:sz w:val="24"/>
          <w:szCs w:val="24"/>
          <w:highlight w:val="none"/>
          <w:lang w:val="en-US" w:eastAsia="zh-CN"/>
        </w:rPr>
        <w:t>本项目</w:t>
      </w:r>
      <w:r>
        <w:rPr>
          <w:rFonts w:hint="default" w:ascii="Times New Roman" w:hAnsi="Times New Roman" w:eastAsia="宋体" w:cs="Times New Roman"/>
          <w:color w:val="auto"/>
          <w:spacing w:val="0"/>
          <w:w w:val="100"/>
          <w:position w:val="0"/>
          <w:sz w:val="24"/>
          <w:szCs w:val="24"/>
          <w:highlight w:val="none"/>
          <w:lang w:val="en-US" w:eastAsia="zh-Hans"/>
        </w:rPr>
        <w:t>属于</w:t>
      </w:r>
      <w:r>
        <w:rPr>
          <w:rFonts w:hint="default" w:ascii="Times New Roman" w:hAnsi="Times New Roman" w:eastAsia="宋体" w:cs="Times New Roman"/>
          <w:color w:val="auto"/>
          <w:spacing w:val="0"/>
          <w:w w:val="100"/>
          <w:position w:val="0"/>
          <w:sz w:val="24"/>
          <w:szCs w:val="24"/>
          <w:highlight w:val="none"/>
          <w:lang w:val="en-US" w:eastAsia="zh-CN"/>
        </w:rPr>
        <w:t>铜矿采矿</w:t>
      </w:r>
      <w:r>
        <w:rPr>
          <w:rFonts w:hint="default" w:ascii="Times New Roman" w:hAnsi="Times New Roman" w:eastAsia="宋体" w:cs="Times New Roman"/>
          <w:color w:val="auto"/>
          <w:spacing w:val="0"/>
          <w:w w:val="100"/>
          <w:position w:val="0"/>
          <w:sz w:val="24"/>
          <w:szCs w:val="24"/>
          <w:highlight w:val="none"/>
          <w:lang w:val="en-US" w:eastAsia="zh-Hans"/>
        </w:rPr>
        <w:t>项目</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val="en-US" w:eastAsia="zh-Hans"/>
        </w:rPr>
        <w:t>对矿山在开采过程中产生的生态环境</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position w:val="0"/>
          <w:sz w:val="24"/>
          <w:szCs w:val="24"/>
          <w:highlight w:val="none"/>
          <w:lang w:val="en-US" w:eastAsia="zh-Hans"/>
        </w:rPr>
        <w:t>土地等破坏</w:t>
      </w:r>
      <w:r>
        <w:rPr>
          <w:rFonts w:hint="default" w:ascii="Times New Roman" w:hAnsi="Times New Roman" w:eastAsia="宋体" w:cs="Times New Roman"/>
          <w:color w:val="auto"/>
          <w:spacing w:val="0"/>
          <w:w w:val="100"/>
          <w:position w:val="0"/>
          <w:sz w:val="24"/>
          <w:szCs w:val="24"/>
          <w:highlight w:val="none"/>
          <w:lang w:eastAsia="zh-Hans"/>
        </w:rPr>
        <w:t>，</w:t>
      </w:r>
      <w:r>
        <w:rPr>
          <w:rFonts w:hint="default" w:ascii="Times New Roman" w:hAnsi="Times New Roman" w:eastAsia="宋体" w:cs="Times New Roman"/>
          <w:color w:val="auto"/>
          <w:spacing w:val="0"/>
          <w:w w:val="100"/>
          <w:kern w:val="10"/>
          <w:position w:val="0"/>
          <w:sz w:val="24"/>
          <w:szCs w:val="24"/>
        </w:rPr>
        <w:t>按照</w:t>
      </w:r>
      <w:r>
        <w:rPr>
          <w:rFonts w:hint="default" w:ascii="Times New Roman" w:hAnsi="Times New Roman" w:eastAsia="宋体" w:cs="Times New Roman"/>
          <w:color w:val="auto"/>
          <w:spacing w:val="0"/>
          <w:w w:val="100"/>
          <w:kern w:val="10"/>
          <w:position w:val="0"/>
          <w:sz w:val="24"/>
          <w:szCs w:val="24"/>
          <w:lang w:eastAsia="zh-CN"/>
        </w:rPr>
        <w:t>“</w:t>
      </w:r>
      <w:r>
        <w:rPr>
          <w:rFonts w:hint="default" w:ascii="Times New Roman" w:hAnsi="Times New Roman" w:eastAsia="宋体" w:cs="Times New Roman"/>
          <w:color w:val="auto"/>
          <w:spacing w:val="0"/>
          <w:w w:val="100"/>
          <w:kern w:val="10"/>
          <w:position w:val="0"/>
          <w:sz w:val="24"/>
          <w:szCs w:val="24"/>
        </w:rPr>
        <w:t>边开采，边治理</w:t>
      </w:r>
      <w:r>
        <w:rPr>
          <w:rFonts w:hint="default" w:ascii="Times New Roman" w:hAnsi="Times New Roman" w:eastAsia="宋体" w:cs="Times New Roman"/>
          <w:color w:val="auto"/>
          <w:spacing w:val="0"/>
          <w:w w:val="100"/>
          <w:kern w:val="10"/>
          <w:position w:val="0"/>
          <w:sz w:val="24"/>
          <w:szCs w:val="24"/>
          <w:lang w:eastAsia="zh-CN"/>
        </w:rPr>
        <w:t>”</w:t>
      </w:r>
      <w:r>
        <w:rPr>
          <w:rFonts w:hint="default" w:ascii="Times New Roman" w:hAnsi="Times New Roman" w:eastAsia="宋体" w:cs="Times New Roman"/>
          <w:color w:val="auto"/>
          <w:spacing w:val="0"/>
          <w:w w:val="100"/>
          <w:kern w:val="10"/>
          <w:position w:val="0"/>
          <w:sz w:val="24"/>
          <w:szCs w:val="24"/>
        </w:rPr>
        <w:t>的方针，严格落实矿山生态</w:t>
      </w:r>
      <w:r>
        <w:rPr>
          <w:rFonts w:hint="default" w:ascii="Times New Roman" w:hAnsi="Times New Roman" w:eastAsia="宋体" w:cs="Times New Roman"/>
          <w:color w:val="auto"/>
          <w:spacing w:val="0"/>
          <w:w w:val="100"/>
          <w:kern w:val="10"/>
          <w:position w:val="0"/>
          <w:sz w:val="24"/>
          <w:szCs w:val="24"/>
          <w:lang w:val="en-US" w:eastAsia="zh-CN"/>
        </w:rPr>
        <w:t>保护修复</w:t>
      </w:r>
      <w:r>
        <w:rPr>
          <w:rFonts w:hint="default" w:ascii="Times New Roman" w:hAnsi="Times New Roman" w:eastAsia="宋体" w:cs="Times New Roman"/>
          <w:color w:val="auto"/>
          <w:spacing w:val="0"/>
          <w:w w:val="100"/>
          <w:kern w:val="10"/>
          <w:position w:val="0"/>
          <w:sz w:val="24"/>
          <w:szCs w:val="24"/>
        </w:rPr>
        <w:t>方案，要做到预防为主，针对存在的问题，制定出预防措施，对生产中出现的问题要及时采取相应的措施予以解决，达到防灾、减灾的目的。</w:t>
      </w:r>
      <w:r>
        <w:rPr>
          <w:rFonts w:hint="default" w:ascii="Times New Roman" w:hAnsi="Times New Roman" w:eastAsia="宋体" w:cs="Times New Roman"/>
          <w:color w:val="auto"/>
          <w:spacing w:val="0"/>
          <w:w w:val="100"/>
          <w:kern w:val="10"/>
          <w:position w:val="0"/>
          <w:sz w:val="24"/>
          <w:szCs w:val="24"/>
          <w:lang w:val="en-US" w:eastAsia="zh-Hans"/>
        </w:rPr>
        <w:t>因此</w:t>
      </w:r>
      <w:r>
        <w:rPr>
          <w:rFonts w:hint="default" w:ascii="Times New Roman" w:hAnsi="Times New Roman" w:eastAsia="宋体" w:cs="Times New Roman"/>
          <w:color w:val="auto"/>
          <w:spacing w:val="0"/>
          <w:w w:val="100"/>
          <w:kern w:val="10"/>
          <w:position w:val="0"/>
          <w:sz w:val="24"/>
          <w:szCs w:val="24"/>
          <w:lang w:eastAsia="zh-Hans"/>
        </w:rPr>
        <w:t>，</w:t>
      </w:r>
      <w:r>
        <w:rPr>
          <w:rFonts w:hint="default" w:ascii="Times New Roman" w:hAnsi="Times New Roman" w:eastAsia="宋体" w:cs="Times New Roman"/>
          <w:color w:val="auto"/>
          <w:spacing w:val="0"/>
          <w:w w:val="100"/>
          <w:kern w:val="10"/>
          <w:position w:val="0"/>
          <w:sz w:val="24"/>
          <w:szCs w:val="24"/>
          <w:lang w:val="en-US" w:eastAsia="zh-CN"/>
        </w:rPr>
        <w:t>本项目</w:t>
      </w:r>
      <w:r>
        <w:rPr>
          <w:rFonts w:hint="default" w:ascii="Times New Roman" w:hAnsi="Times New Roman" w:eastAsia="宋体" w:cs="Times New Roman"/>
          <w:color w:val="auto"/>
          <w:spacing w:val="0"/>
          <w:w w:val="100"/>
          <w:kern w:val="10"/>
          <w:position w:val="0"/>
          <w:sz w:val="24"/>
          <w:szCs w:val="24"/>
          <w:lang w:val="en-US" w:eastAsia="zh-Hans"/>
        </w:rPr>
        <w:t>建设符合</w:t>
      </w:r>
      <w:r>
        <w:rPr>
          <w:rFonts w:hint="default" w:ascii="Times New Roman" w:hAnsi="Times New Roman" w:eastAsia="宋体" w:cs="Times New Roman"/>
          <w:color w:val="auto"/>
          <w:spacing w:val="0"/>
          <w:w w:val="100"/>
          <w:kern w:val="10"/>
          <w:position w:val="0"/>
          <w:sz w:val="24"/>
          <w:szCs w:val="24"/>
          <w:lang w:eastAsia="zh-Hans"/>
        </w:rPr>
        <w:t>《</w:t>
      </w:r>
      <w:r>
        <w:rPr>
          <w:rFonts w:hint="default" w:ascii="Times New Roman" w:hAnsi="Times New Roman" w:eastAsia="宋体" w:cs="Times New Roman"/>
          <w:color w:val="auto"/>
          <w:spacing w:val="0"/>
          <w:w w:val="100"/>
          <w:kern w:val="10"/>
          <w:position w:val="0"/>
          <w:sz w:val="24"/>
          <w:szCs w:val="24"/>
          <w:lang w:val="en-US" w:eastAsia="zh-Hans"/>
        </w:rPr>
        <w:t>新疆维吾尔自治区矿产资源管理条例</w:t>
      </w:r>
      <w:r>
        <w:rPr>
          <w:rFonts w:hint="default" w:ascii="Times New Roman" w:hAnsi="Times New Roman" w:eastAsia="宋体" w:cs="Times New Roman"/>
          <w:color w:val="auto"/>
          <w:spacing w:val="0"/>
          <w:w w:val="100"/>
          <w:kern w:val="10"/>
          <w:position w:val="0"/>
          <w:sz w:val="24"/>
          <w:szCs w:val="24"/>
          <w:lang w:eastAsia="zh-Hans"/>
        </w:rPr>
        <w:t>》</w:t>
      </w:r>
      <w:r>
        <w:rPr>
          <w:rFonts w:hint="default" w:ascii="Times New Roman" w:hAnsi="Times New Roman" w:eastAsia="宋体" w:cs="Times New Roman"/>
          <w:color w:val="auto"/>
          <w:spacing w:val="0"/>
          <w:w w:val="100"/>
          <w:kern w:val="10"/>
          <w:position w:val="0"/>
          <w:sz w:val="24"/>
          <w:szCs w:val="24"/>
          <w:lang w:val="en-US" w:eastAsia="zh-Hans"/>
        </w:rPr>
        <w:t>的项目要求</w:t>
      </w:r>
      <w:r>
        <w:rPr>
          <w:rFonts w:hint="default" w:ascii="Times New Roman" w:hAnsi="Times New Roman" w:eastAsia="宋体" w:cs="Times New Roman"/>
          <w:color w:val="auto"/>
          <w:spacing w:val="0"/>
          <w:w w:val="100"/>
          <w:kern w:val="10"/>
          <w:position w:val="0"/>
          <w:sz w:val="24"/>
          <w:szCs w:val="24"/>
          <w:lang w:eastAsia="zh-Hans"/>
        </w:rPr>
        <w:t>。</w:t>
      </w:r>
    </w:p>
    <w:p w14:paraId="2F39EC1C">
      <w:pPr>
        <w:pStyle w:val="4"/>
        <w:bidi w:val="0"/>
        <w:rPr>
          <w:rFonts w:hint="default" w:ascii="Times New Roman" w:hAnsi="Times New Roman" w:cs="Times New Roman"/>
          <w:color w:val="auto"/>
          <w:lang w:val="en-US" w:eastAsia="zh-CN"/>
        </w:rPr>
      </w:pPr>
      <w:bookmarkStart w:id="394" w:name="_Toc1014"/>
      <w:bookmarkStart w:id="395" w:name="_Toc9740"/>
      <w:bookmarkStart w:id="396" w:name="_Toc19787"/>
      <w:bookmarkStart w:id="397" w:name="_Toc32419"/>
      <w:bookmarkStart w:id="398" w:name="_Toc363115841"/>
      <w:r>
        <w:rPr>
          <w:rFonts w:hint="default" w:ascii="Times New Roman" w:hAnsi="Times New Roman" w:cs="Times New Roman"/>
          <w:color w:val="auto"/>
          <w:lang w:val="en-US" w:eastAsia="zh-CN"/>
        </w:rPr>
        <w:t>与“生态环境分区管控”符合性分析</w:t>
      </w:r>
      <w:bookmarkEnd w:id="394"/>
      <w:bookmarkEnd w:id="395"/>
      <w:bookmarkEnd w:id="396"/>
    </w:p>
    <w:bookmarkEnd w:id="397"/>
    <w:bookmarkEnd w:id="398"/>
    <w:p w14:paraId="49A539B4">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3.5.4.1与《新疆维吾尔自治区生态环境分区管控动态更新成果》符合性分析</w:t>
      </w:r>
    </w:p>
    <w:p w14:paraId="30D68F2C">
      <w:pPr>
        <w:pStyle w:val="18"/>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cs="Times New Roman"/>
          <w:color w:val="auto"/>
          <w:spacing w:val="0"/>
          <w:w w:val="100"/>
          <w:position w:val="0"/>
          <w:sz w:val="24"/>
          <w:szCs w:val="24"/>
          <w:highlight w:val="none"/>
          <w:lang w:val="en-US" w:eastAsia="zh-CN"/>
        </w:rPr>
        <w:t>本项目与《新疆维吾尔自治区生态环境分区管控动态更新成果》符合性分析见表3.5-2</w:t>
      </w:r>
      <w:r>
        <w:rPr>
          <w:rFonts w:hint="default" w:ascii="Times New Roman" w:hAnsi="Times New Roman" w:eastAsia="宋体" w:cs="Times New Roman"/>
          <w:color w:val="auto"/>
          <w:spacing w:val="0"/>
          <w:w w:val="100"/>
          <w:kern w:val="10"/>
          <w:position w:val="0"/>
          <w:sz w:val="24"/>
          <w:szCs w:val="24"/>
          <w:lang w:eastAsia="zh-Hans"/>
        </w:rPr>
        <w:t>。</w:t>
      </w:r>
    </w:p>
    <w:p w14:paraId="064BA327">
      <w:pPr>
        <w:pStyle w:val="18"/>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szCs w:val="24"/>
          <w:highlight w:val="none"/>
        </w:rPr>
      </w:pPr>
    </w:p>
    <w:p w14:paraId="7312AA3E">
      <w:pPr>
        <w:pStyle w:val="18"/>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szCs w:val="24"/>
          <w:highlight w:val="none"/>
        </w:rPr>
        <w:sectPr>
          <w:headerReference r:id="rId23" w:type="default"/>
          <w:footerReference r:id="rId24" w:type="default"/>
          <w:footerReference r:id="rId25" w:type="even"/>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p>
    <w:p w14:paraId="4122295A">
      <w:pPr>
        <w:tabs>
          <w:tab w:val="left" w:pos="3844"/>
        </w:tabs>
        <w:ind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表3.5-2     与自治区生态环境分区管控符合性分析表</w:t>
      </w:r>
    </w:p>
    <w:tbl>
      <w:tblPr>
        <w:tblStyle w:val="2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9"/>
        <w:gridCol w:w="890"/>
        <w:gridCol w:w="1397"/>
        <w:gridCol w:w="1142"/>
        <w:gridCol w:w="6784"/>
        <w:gridCol w:w="2127"/>
        <w:gridCol w:w="625"/>
      </w:tblGrid>
      <w:tr w14:paraId="2BBF9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restart"/>
            <w:tcBorders>
              <w:tl2br w:val="nil"/>
              <w:tr2bl w:val="nil"/>
            </w:tcBorders>
            <w:vAlign w:val="center"/>
          </w:tcPr>
          <w:p w14:paraId="4F0BAE29">
            <w:pPr>
              <w:widowControl/>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1</w:t>
            </w:r>
          </w:p>
        </w:tc>
        <w:tc>
          <w:tcPr>
            <w:tcW w:w="330" w:type="pct"/>
            <w:vMerge w:val="restart"/>
            <w:tcBorders>
              <w:tl2br w:val="nil"/>
              <w:tr2bl w:val="nil"/>
            </w:tcBorders>
            <w:vAlign w:val="center"/>
          </w:tcPr>
          <w:p w14:paraId="06F3EE1D">
            <w:pPr>
              <w:widowControl/>
              <w:adjustRightInd w:val="0"/>
              <w:snapToGrid w:val="0"/>
              <w:spacing w:line="240" w:lineRule="auto"/>
              <w:ind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新疆维吾尔自治区生态环境分区管控动态更新成果</w:t>
            </w:r>
          </w:p>
        </w:tc>
        <w:tc>
          <w:tcPr>
            <w:tcW w:w="519" w:type="pct"/>
            <w:vMerge w:val="restart"/>
            <w:tcBorders>
              <w:tl2br w:val="nil"/>
              <w:tr2bl w:val="nil"/>
            </w:tcBorders>
            <w:vAlign w:val="center"/>
          </w:tcPr>
          <w:p w14:paraId="413A9C7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A1空间布局约束</w:t>
            </w:r>
          </w:p>
        </w:tc>
        <w:tc>
          <w:tcPr>
            <w:tcW w:w="424" w:type="pct"/>
            <w:vMerge w:val="restart"/>
            <w:tcBorders>
              <w:tl2br w:val="nil"/>
              <w:tr2bl w:val="nil"/>
            </w:tcBorders>
            <w:vAlign w:val="center"/>
          </w:tcPr>
          <w:p w14:paraId="007D8A1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 禁止开发建设的活动</w:t>
            </w:r>
          </w:p>
        </w:tc>
        <w:tc>
          <w:tcPr>
            <w:tcW w:w="2521" w:type="pct"/>
            <w:tcBorders>
              <w:tl2br w:val="nil"/>
              <w:tr2bl w:val="nil"/>
            </w:tcBorders>
            <w:vAlign w:val="center"/>
          </w:tcPr>
          <w:p w14:paraId="6424CE1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〔A1.1-1〕禁止新建、扩建《产业结构调整指导目录（2024年本</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》中淘汰类项目。禁止引入《市场准入负面清单（2022年版</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》禁止准入类事项。</w:t>
            </w:r>
          </w:p>
        </w:tc>
        <w:tc>
          <w:tcPr>
            <w:tcW w:w="790" w:type="pct"/>
            <w:tcBorders>
              <w:tl2br w:val="nil"/>
              <w:tr2bl w:val="nil"/>
            </w:tcBorders>
            <w:vAlign w:val="center"/>
          </w:tcPr>
          <w:p w14:paraId="07EEC85E">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不属于《产业结构调整指导目录（2024年本</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》中淘汰类项目及《市场准入负面清单（2022年版</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》禁止准入类事项</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58F4770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C4E5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D266AF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3C4A589">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A46105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82FD03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359B4A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〔A1.1-2〕禁止建设不符合国家和自治区环境保护标准的项目。</w:t>
            </w:r>
          </w:p>
        </w:tc>
        <w:tc>
          <w:tcPr>
            <w:tcW w:w="790" w:type="pct"/>
            <w:tcBorders>
              <w:tl2br w:val="nil"/>
              <w:tr2bl w:val="nil"/>
            </w:tcBorders>
            <w:vAlign w:val="center"/>
          </w:tcPr>
          <w:p w14:paraId="4A595EAC">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各类污染物均可做到达标排放和有效控制，符合国家和自治区各项环境保护标准</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2DB18E9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1B3C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4BE6E7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290456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C5DBD3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26B48F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35FDFC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〔A1.1-3〕禁止在饮用水水源保护区、风景名胜区、自然保护区的核心区和缓冲区、城镇居民区、文化教育科学研究区等人口集中区域以及</w:t>
            </w:r>
            <w:r>
              <w:rPr>
                <w:rFonts w:hint="default" w:ascii="Times New Roman" w:hAnsi="Times New Roman" w:cs="Times New Roman"/>
                <w:color w:val="auto"/>
                <w:sz w:val="21"/>
                <w:szCs w:val="21"/>
                <w:lang w:eastAsia="zh-CN"/>
              </w:rPr>
              <w:t>法律法规</w:t>
            </w:r>
            <w:r>
              <w:rPr>
                <w:rFonts w:hint="default" w:ascii="Times New Roman" w:hAnsi="Times New Roman" w:cs="Times New Roman"/>
                <w:color w:val="auto"/>
                <w:sz w:val="21"/>
                <w:szCs w:val="21"/>
              </w:rPr>
              <w:t>规定的其他禁止养殖区域建设畜禽养殖场、养殖小区。</w:t>
            </w:r>
          </w:p>
        </w:tc>
        <w:tc>
          <w:tcPr>
            <w:tcW w:w="790" w:type="pct"/>
            <w:tcBorders>
              <w:tl2br w:val="nil"/>
              <w:tr2bl w:val="nil"/>
            </w:tcBorders>
            <w:vAlign w:val="center"/>
          </w:tcPr>
          <w:p w14:paraId="220C5344">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5CE9DE4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5E17D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908148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7C142CE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514B99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007B06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7D941D65">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〔A1.1-4〕禁止在水源涵养区、地下水源、饮用水源、自然保护区、风景名胜区、森林公园、重要湿地及人群密集区等生态敏感区域内进行煤炭、石油、天然气开发。</w:t>
            </w:r>
          </w:p>
        </w:tc>
        <w:tc>
          <w:tcPr>
            <w:tcW w:w="790" w:type="pct"/>
            <w:tcBorders>
              <w:tl2br w:val="nil"/>
              <w:tr2bl w:val="nil"/>
            </w:tcBorders>
            <w:vAlign w:val="center"/>
          </w:tcPr>
          <w:p w14:paraId="7C40D24B">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本项目不涉及。</w:t>
            </w:r>
          </w:p>
        </w:tc>
        <w:tc>
          <w:tcPr>
            <w:tcW w:w="232" w:type="pct"/>
            <w:tcBorders>
              <w:tl2br w:val="nil"/>
              <w:tr2bl w:val="nil"/>
            </w:tcBorders>
            <w:vAlign w:val="center"/>
          </w:tcPr>
          <w:p w14:paraId="0588663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396F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9C0F2D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79BD76D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19C0E6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17D7C83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750E44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〔A1.1-5〕禁止下列破坏湿地及其生态功能的行为：（一</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开（围</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垦、排干自然湿地，永久性截断自然湿地水源；（二</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擅自填埋自然湿地，擅自采砂、采矿、取土；（三</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排放不符合水污染物排放标准的工业废水、生活污水及其他污染湿地的废水、污水，倾倒、堆放、丢弃、遗撒固体废物；（四</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过度放牧或者滥采野生植物，过度捕捞或者灭绝式捕捞，过度施肥、投药、投放饵料等污染湿地的种植养殖行为；（五</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其他破坏湿地及其生态功能的行为。</w:t>
            </w:r>
          </w:p>
        </w:tc>
        <w:tc>
          <w:tcPr>
            <w:tcW w:w="790" w:type="pct"/>
            <w:tcBorders>
              <w:tl2br w:val="nil"/>
              <w:tr2bl w:val="nil"/>
            </w:tcBorders>
            <w:vAlign w:val="center"/>
          </w:tcPr>
          <w:p w14:paraId="3C83B7D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96E27B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74BD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5D4F55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49F5D0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52EC4A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5252B3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18866C7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〔A1.1-6〕禁止在自治区行政区域内引进能（水</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耗不符合相关国家标准中准入值要求且污染物排放和环境风险防控不符合国家（地方</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标准及有关产业准入条件的高污染（排放</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、高能（水</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耗、高环境风险的工业项目。</w:t>
            </w:r>
          </w:p>
        </w:tc>
        <w:tc>
          <w:tcPr>
            <w:tcW w:w="790" w:type="pct"/>
            <w:vMerge w:val="restart"/>
            <w:tcBorders>
              <w:tl2br w:val="nil"/>
              <w:tr2bl w:val="nil"/>
            </w:tcBorders>
            <w:vAlign w:val="center"/>
          </w:tcPr>
          <w:p w14:paraId="487B561B">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不属于高污染（排放</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、高能（水</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耗、高环境风险的工业项目。</w:t>
            </w:r>
          </w:p>
        </w:tc>
        <w:tc>
          <w:tcPr>
            <w:tcW w:w="232" w:type="pct"/>
            <w:tcBorders>
              <w:tl2br w:val="nil"/>
              <w:tr2bl w:val="nil"/>
            </w:tcBorders>
            <w:vAlign w:val="center"/>
          </w:tcPr>
          <w:p w14:paraId="5DB751C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F78EF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33EB41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FC95EBC">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51F432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7F2BBA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C7E1B25">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〔A1.1-7〕①坚决遏制高耗能高排放低水平项目盲目发展。严把高耗能高排放低水平项目准入关口，严格落实污染物排放区域削</w:t>
            </w:r>
            <w:r>
              <w:rPr>
                <w:rFonts w:hint="default" w:ascii="Times New Roman" w:hAnsi="Times New Roman" w:cs="Times New Roman"/>
                <w:color w:val="auto"/>
                <w:sz w:val="21"/>
                <w:szCs w:val="21"/>
                <w:lang w:eastAsia="zh-CN"/>
              </w:rPr>
              <w:t>减</w:t>
            </w:r>
            <w:r>
              <w:rPr>
                <w:rFonts w:hint="default" w:ascii="Times New Roman" w:hAnsi="Times New Roman" w:cs="Times New Roman"/>
                <w:color w:val="auto"/>
                <w:sz w:val="21"/>
                <w:szCs w:val="21"/>
              </w:rPr>
              <w:t>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w:t>
            </w:r>
            <w:r>
              <w:rPr>
                <w:rFonts w:hint="default" w:ascii="Times New Roman" w:hAnsi="Times New Roman" w:cs="Times New Roman"/>
                <w:color w:val="auto"/>
                <w:sz w:val="21"/>
                <w:szCs w:val="21"/>
                <w:lang w:eastAsia="zh-CN"/>
              </w:rPr>
              <w:t>深入</w:t>
            </w:r>
            <w:r>
              <w:rPr>
                <w:rFonts w:hint="default" w:ascii="Times New Roman" w:hAnsi="Times New Roman" w:cs="Times New Roman"/>
                <w:color w:val="auto"/>
                <w:sz w:val="21"/>
                <w:szCs w:val="21"/>
              </w:rPr>
              <w:t>开展工业</w:t>
            </w:r>
            <w:r>
              <w:rPr>
                <w:rFonts w:hint="eastAsia" w:ascii="Times New Roman" w:hAnsi="Times New Roman" w:cs="Times New Roman"/>
                <w:color w:val="auto"/>
                <w:sz w:val="21"/>
                <w:szCs w:val="21"/>
                <w:lang w:val="en-US" w:eastAsia="zh-CN"/>
              </w:rPr>
              <w:t>炉窑</w:t>
            </w:r>
            <w:r>
              <w:rPr>
                <w:rFonts w:hint="default" w:ascii="Times New Roman" w:hAnsi="Times New Roman" w:cs="Times New Roman"/>
                <w:color w:val="auto"/>
                <w:sz w:val="21"/>
                <w:szCs w:val="21"/>
              </w:rPr>
              <w:t>综合整治，全面提升电解铝、活性炭、硅冶炼、纯碱、电石、聚</w:t>
            </w:r>
            <w:r>
              <w:rPr>
                <w:rFonts w:hint="default" w:ascii="Times New Roman" w:hAnsi="Times New Roman" w:cs="Times New Roman"/>
                <w:color w:val="auto"/>
                <w:sz w:val="21"/>
                <w:szCs w:val="21"/>
                <w:lang w:val="en-US" w:eastAsia="zh-CN"/>
              </w:rPr>
              <w:t>氯</w:t>
            </w:r>
            <w:r>
              <w:rPr>
                <w:rFonts w:hint="default" w:ascii="Times New Roman" w:hAnsi="Times New Roman" w:cs="Times New Roman"/>
                <w:color w:val="auto"/>
                <w:sz w:val="21"/>
                <w:szCs w:val="21"/>
              </w:rPr>
              <w:t>乙烯、石化等行业污染治理水平。</w:t>
            </w:r>
          </w:p>
        </w:tc>
        <w:tc>
          <w:tcPr>
            <w:tcW w:w="790" w:type="pct"/>
            <w:vMerge w:val="continue"/>
            <w:tcBorders>
              <w:tl2br w:val="nil"/>
              <w:tr2bl w:val="nil"/>
            </w:tcBorders>
            <w:vAlign w:val="center"/>
          </w:tcPr>
          <w:p w14:paraId="5720701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232" w:type="pct"/>
            <w:tcBorders>
              <w:tl2br w:val="nil"/>
              <w:tr2bl w:val="nil"/>
            </w:tcBorders>
            <w:vAlign w:val="center"/>
          </w:tcPr>
          <w:p w14:paraId="34BB773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811E0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43A417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507904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99CD19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1765528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1175853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〔A1.1-8〕严格执行危险化学品“禁限控”目录，新建危险化学品生产项目必须进入一般或较低安全风险的化工园区（与其他行业生产装置配套建设的项目除外</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，引导其他石化化工项目在化工园区发展。</w:t>
            </w:r>
          </w:p>
        </w:tc>
        <w:tc>
          <w:tcPr>
            <w:tcW w:w="790" w:type="pct"/>
            <w:tcBorders>
              <w:tl2br w:val="nil"/>
              <w:tr2bl w:val="nil"/>
            </w:tcBorders>
            <w:vAlign w:val="center"/>
          </w:tcPr>
          <w:p w14:paraId="09652754">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0095ECD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CCFA6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E4070F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2A955C1">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0296AF6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BBC99D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495A019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〔A1.1-9〕严禁新建自治区《禁止、控制和限制危险化学品目录》中淘汰类、禁止类危险化学品化工项目。严格执行生态保护红线、永久基本农田管控要求，禁止新（改、扩</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w:t>
            </w:r>
          </w:p>
        </w:tc>
        <w:tc>
          <w:tcPr>
            <w:tcW w:w="790" w:type="pct"/>
            <w:tcBorders>
              <w:tl2br w:val="nil"/>
              <w:tr2bl w:val="nil"/>
            </w:tcBorders>
            <w:vAlign w:val="center"/>
          </w:tcPr>
          <w:p w14:paraId="1EF8B3D5">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0C95596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26C1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8D8074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D641E7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E27D65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0F2320C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6870C1A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〔A1.1-10〕 推动涉重金属产业集中优化发展，禁止新建用汞的电石法（聚</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氯乙烯生产工艺，新建、扩建的重有色金属冶炼、电镀、制革企业优先选择布设在依法合规设立并依法开展规划环境影响评价的产业园区。</w:t>
            </w:r>
          </w:p>
        </w:tc>
        <w:tc>
          <w:tcPr>
            <w:tcW w:w="790" w:type="pct"/>
            <w:tcBorders>
              <w:tl2br w:val="nil"/>
              <w:tr2bl w:val="nil"/>
            </w:tcBorders>
            <w:vAlign w:val="center"/>
          </w:tcPr>
          <w:p w14:paraId="48FE4A11">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556D048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D12F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305845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DFC82CB">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063CC5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138201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AAC7DAC">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1.1-11〕国务院有关部门和青藏高原县级以上地方人民政府应当建立健全青藏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w:t>
            </w:r>
          </w:p>
        </w:tc>
        <w:tc>
          <w:tcPr>
            <w:tcW w:w="790" w:type="pct"/>
            <w:tcBorders>
              <w:tl2br w:val="nil"/>
              <w:tr2bl w:val="nil"/>
            </w:tcBorders>
            <w:vAlign w:val="center"/>
          </w:tcPr>
          <w:p w14:paraId="2B54A1BD">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2639609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48070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281900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A252308">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24D503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3A3981A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A1.2限制开发建设的活动</w:t>
            </w:r>
          </w:p>
        </w:tc>
        <w:tc>
          <w:tcPr>
            <w:tcW w:w="2521" w:type="pct"/>
            <w:tcBorders>
              <w:tl2br w:val="nil"/>
              <w:tr2bl w:val="nil"/>
            </w:tcBorders>
            <w:vAlign w:val="center"/>
          </w:tcPr>
          <w:p w14:paraId="17D9085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〔A1.2-1〕严格控制缺水地区、水污染严重区域和敏感区域高耗水、高污染行业发展。</w:t>
            </w:r>
          </w:p>
        </w:tc>
        <w:tc>
          <w:tcPr>
            <w:tcW w:w="790" w:type="pct"/>
            <w:tcBorders>
              <w:tl2br w:val="nil"/>
              <w:tr2bl w:val="nil"/>
            </w:tcBorders>
            <w:vAlign w:val="center"/>
          </w:tcPr>
          <w:p w14:paraId="60E03BD7">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不属于高耗水、高污染行业</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468B190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ABDD1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38FA4DC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68E01EC">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9536B6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7E4E596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0EE6440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790" w:type="pct"/>
            <w:tcBorders>
              <w:tl2br w:val="nil"/>
              <w:tr2bl w:val="nil"/>
            </w:tcBorders>
            <w:vAlign w:val="center"/>
          </w:tcPr>
          <w:p w14:paraId="70BB283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本项目采矿范围内不涉及农田</w:t>
            </w:r>
            <w:r>
              <w:rPr>
                <w:rFonts w:hint="default" w:ascii="Times New Roman" w:hAnsi="Times New Roman" w:cs="Times New Roman"/>
                <w:color w:val="auto"/>
                <w:sz w:val="21"/>
                <w:szCs w:val="21"/>
              </w:rPr>
              <w:t>。</w:t>
            </w:r>
          </w:p>
        </w:tc>
        <w:tc>
          <w:tcPr>
            <w:tcW w:w="232" w:type="pct"/>
            <w:tcBorders>
              <w:tl2br w:val="nil"/>
              <w:tr2bl w:val="nil"/>
            </w:tcBorders>
            <w:vAlign w:val="center"/>
          </w:tcPr>
          <w:p w14:paraId="700266C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209E2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34055F4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CDF3788">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39BE02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BD819F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64450E4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〔A1.2-3〕以用途变更为住宅、公共管理与公共服务用地的地块为重点，严格建设用地准入管理和风险管控，未依法完成土壤污染状况调查或风险评估的地块，不得开工建设与风险管控和修复无关的项目。</w:t>
            </w:r>
          </w:p>
        </w:tc>
        <w:tc>
          <w:tcPr>
            <w:tcW w:w="790" w:type="pct"/>
            <w:tcBorders>
              <w:tl2br w:val="nil"/>
              <w:tr2bl w:val="nil"/>
            </w:tcBorders>
            <w:vAlign w:val="center"/>
          </w:tcPr>
          <w:p w14:paraId="3C8CF3F0">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7E18205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0743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3FC11F6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776472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67A6211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137873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36E323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〔A1.2-4〕严格控制建设项目占用湿地。因国家和自治区重点建设工程、基础设施建设，以及重点公益性项目建设，确需占用湿地的，应当按照有关</w:t>
            </w:r>
            <w:r>
              <w:rPr>
                <w:rFonts w:hint="default" w:ascii="Times New Roman" w:hAnsi="Times New Roman" w:cs="Times New Roman"/>
                <w:color w:val="auto"/>
                <w:sz w:val="21"/>
                <w:szCs w:val="21"/>
                <w:lang w:eastAsia="zh-CN"/>
              </w:rPr>
              <w:t>法律法规</w:t>
            </w:r>
            <w:r>
              <w:rPr>
                <w:rFonts w:hint="default" w:ascii="Times New Roman" w:hAnsi="Times New Roman" w:cs="Times New Roman"/>
                <w:color w:val="auto"/>
                <w:sz w:val="21"/>
                <w:szCs w:val="21"/>
              </w:rPr>
              <w:t>规定的权限和程序办理批准手续。</w:t>
            </w:r>
          </w:p>
        </w:tc>
        <w:tc>
          <w:tcPr>
            <w:tcW w:w="790" w:type="pct"/>
            <w:tcBorders>
              <w:tl2br w:val="nil"/>
              <w:tr2bl w:val="nil"/>
            </w:tcBorders>
            <w:vAlign w:val="center"/>
          </w:tcPr>
          <w:p w14:paraId="0A507A3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2374209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2B1EB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84CA63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246C36F">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C8F2F9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3BA289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1848F27">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 2-5〕严格管控自然保护地范围内非生态活动，稳妥推进核心区内居民、耕地有序退出，矿权依法依规退出。</w:t>
            </w:r>
          </w:p>
        </w:tc>
        <w:tc>
          <w:tcPr>
            <w:tcW w:w="790" w:type="pct"/>
            <w:tcBorders>
              <w:tl2br w:val="nil"/>
              <w:tr2bl w:val="nil"/>
            </w:tcBorders>
            <w:vAlign w:val="center"/>
          </w:tcPr>
          <w:p w14:paraId="6FC7C305">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本项目不涉及。</w:t>
            </w:r>
          </w:p>
        </w:tc>
        <w:tc>
          <w:tcPr>
            <w:tcW w:w="232" w:type="pct"/>
            <w:tcBorders>
              <w:tl2br w:val="nil"/>
              <w:tr2bl w:val="nil"/>
            </w:tcBorders>
            <w:vAlign w:val="center"/>
          </w:tcPr>
          <w:p w14:paraId="2028AC0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C711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D4E718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5203A56">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BBC3AC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6B02CC2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A1.3不符合空间布局要求活动的退出要求</w:t>
            </w:r>
          </w:p>
        </w:tc>
        <w:tc>
          <w:tcPr>
            <w:tcW w:w="2521" w:type="pct"/>
            <w:tcBorders>
              <w:tl2br w:val="nil"/>
              <w:tr2bl w:val="nil"/>
            </w:tcBorders>
            <w:vAlign w:val="center"/>
          </w:tcPr>
          <w:p w14:paraId="07EEBCF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〔A1.3-1〕任何单位和个人不得在水源涵养区、饮用水水源保护区内和河流、湖泊、水库周围建设重化工、涉重金属等工业污染项目；对已建成的工业污染项目，当地人民政府应当组织限期搬迁。</w:t>
            </w:r>
          </w:p>
        </w:tc>
        <w:tc>
          <w:tcPr>
            <w:tcW w:w="790" w:type="pct"/>
            <w:tcBorders>
              <w:tl2br w:val="nil"/>
              <w:tr2bl w:val="nil"/>
            </w:tcBorders>
            <w:vAlign w:val="center"/>
          </w:tcPr>
          <w:p w14:paraId="241C4299">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6D30A05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1A5E7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26BFC5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09D66AA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54A535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22516B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CAB06F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 3-2〕对不符合国家产业政策、严重污染水环境的生产项目全部予以取缔。</w:t>
            </w:r>
          </w:p>
        </w:tc>
        <w:tc>
          <w:tcPr>
            <w:tcW w:w="790" w:type="pct"/>
            <w:tcBorders>
              <w:tl2br w:val="nil"/>
              <w:tr2bl w:val="nil"/>
            </w:tcBorders>
            <w:vAlign w:val="center"/>
          </w:tcPr>
          <w:p w14:paraId="6EE579D6">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本项目不涉及</w:t>
            </w:r>
            <w:r>
              <w:rPr>
                <w:rFonts w:hint="default" w:ascii="Times New Roman" w:hAnsi="Times New Roman" w:cs="Times New Roman"/>
                <w:color w:val="auto"/>
                <w:sz w:val="21"/>
                <w:szCs w:val="21"/>
                <w:lang w:eastAsia="zh-CN"/>
              </w:rPr>
              <w:t>。</w:t>
            </w:r>
          </w:p>
        </w:tc>
        <w:tc>
          <w:tcPr>
            <w:tcW w:w="232" w:type="pct"/>
            <w:tcBorders>
              <w:tl2br w:val="nil"/>
              <w:tr2bl w:val="nil"/>
            </w:tcBorders>
            <w:vAlign w:val="center"/>
          </w:tcPr>
          <w:p w14:paraId="30A7258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AA69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EC7E3F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FF7EEFB">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0B63ED0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759914C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0CF615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1.3-3〕根据《产业结构调整指导目录》《限期淘汰产生严重污染环境的工业固体废物的落后生产工艺设备名录》等要求，配合有关部门依法淘汰烧结-鼓风炉5炼铅工艺炼铅等涉重金属落后产能和化解过剩产能。严格执行生态环境保护等相关法规标准，推动经整改仍达不到要求的产能依法依规关闭退出。</w:t>
            </w:r>
          </w:p>
        </w:tc>
        <w:tc>
          <w:tcPr>
            <w:tcW w:w="790" w:type="pct"/>
            <w:tcBorders>
              <w:tl2br w:val="nil"/>
              <w:tr2bl w:val="nil"/>
            </w:tcBorders>
            <w:vAlign w:val="center"/>
          </w:tcPr>
          <w:p w14:paraId="514C3DA4">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4EF3EA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3685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687458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7E75B94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F12E8E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E796AB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78325F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〔A1.3-4〕城市建成区、重点流域内已建成投产化工企业和危险化学品生产企业应加快退城入园，搬入化工园区前企业不应实施改扩建工程扩大生产规模。</w:t>
            </w:r>
          </w:p>
        </w:tc>
        <w:tc>
          <w:tcPr>
            <w:tcW w:w="790" w:type="pct"/>
            <w:tcBorders>
              <w:tl2br w:val="nil"/>
              <w:tr2bl w:val="nil"/>
            </w:tcBorders>
            <w:vAlign w:val="center"/>
          </w:tcPr>
          <w:p w14:paraId="155F8A2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D0D318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63A0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27A1B5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C6F8758">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C3FD70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770DEA3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A1.4 </w:t>
            </w:r>
            <w:r>
              <w:rPr>
                <w:rFonts w:hint="default" w:ascii="Times New Roman" w:hAnsi="Times New Roman" w:cs="Times New Roman"/>
                <w:color w:val="auto"/>
                <w:sz w:val="21"/>
                <w:szCs w:val="21"/>
                <w:lang w:eastAsia="zh-CN"/>
              </w:rPr>
              <w:t>其他</w:t>
            </w:r>
            <w:r>
              <w:rPr>
                <w:rFonts w:hint="default" w:ascii="Times New Roman" w:hAnsi="Times New Roman" w:cs="Times New Roman"/>
                <w:color w:val="auto"/>
                <w:sz w:val="21"/>
                <w:szCs w:val="21"/>
              </w:rPr>
              <w:t>布局要求</w:t>
            </w:r>
          </w:p>
        </w:tc>
        <w:tc>
          <w:tcPr>
            <w:tcW w:w="2521" w:type="pct"/>
            <w:tcBorders>
              <w:tl2br w:val="nil"/>
              <w:tr2bl w:val="nil"/>
            </w:tcBorders>
            <w:vAlign w:val="center"/>
          </w:tcPr>
          <w:p w14:paraId="70048C1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790" w:type="pct"/>
            <w:tcBorders>
              <w:tl2br w:val="nil"/>
              <w:tr2bl w:val="nil"/>
            </w:tcBorders>
            <w:vAlign w:val="center"/>
          </w:tcPr>
          <w:p w14:paraId="2E8E4E6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符合国家、自治区主体功能区规划、自治区和各地颁布实施的生态环境功能区划、国民经济发展规划、产业发展规划、国土空间规划等相关规划及重点生态功能区负面清单要求</w:t>
            </w:r>
          </w:p>
        </w:tc>
        <w:tc>
          <w:tcPr>
            <w:tcW w:w="232" w:type="pct"/>
            <w:tcBorders>
              <w:tl2br w:val="nil"/>
              <w:tr2bl w:val="nil"/>
            </w:tcBorders>
            <w:vAlign w:val="center"/>
          </w:tcPr>
          <w:p w14:paraId="4453098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A3C7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205797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C60A5BA">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5CE03A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32D867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43AC41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〔A1.4-2〕新建、扩建石化、化工、焦化、有色金属冶炼、平板玻璃项目应布设在依法合规设立并经规划环评的产业园区。</w:t>
            </w:r>
          </w:p>
        </w:tc>
        <w:tc>
          <w:tcPr>
            <w:tcW w:w="790" w:type="pct"/>
            <w:tcBorders>
              <w:tl2br w:val="nil"/>
              <w:tr2bl w:val="nil"/>
            </w:tcBorders>
            <w:vAlign w:val="center"/>
          </w:tcPr>
          <w:p w14:paraId="682BDF3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6DB74A4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0605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1996BFE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62B47C2">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1D0CB9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6D72A2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163F3DE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790" w:type="pct"/>
            <w:tcBorders>
              <w:tl2br w:val="nil"/>
              <w:tr2bl w:val="nil"/>
            </w:tcBorders>
            <w:vAlign w:val="center"/>
          </w:tcPr>
          <w:p w14:paraId="3CEC6C3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AF5C6F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87AA2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B29CE1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4A1C2196">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restart"/>
            <w:tcBorders>
              <w:tl2br w:val="nil"/>
              <w:tr2bl w:val="nil"/>
            </w:tcBorders>
            <w:vAlign w:val="center"/>
          </w:tcPr>
          <w:p w14:paraId="3C9934B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A2污染物排放管控</w:t>
            </w:r>
          </w:p>
        </w:tc>
        <w:tc>
          <w:tcPr>
            <w:tcW w:w="424" w:type="pct"/>
            <w:vMerge w:val="restart"/>
            <w:tcBorders>
              <w:tl2br w:val="nil"/>
              <w:tr2bl w:val="nil"/>
            </w:tcBorders>
            <w:vAlign w:val="center"/>
          </w:tcPr>
          <w:p w14:paraId="2E20B5D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A2.1污染物削</w:t>
            </w:r>
            <w:r>
              <w:rPr>
                <w:rFonts w:hint="default" w:ascii="Times New Roman" w:hAnsi="Times New Roman" w:cs="Times New Roman"/>
                <w:color w:val="auto"/>
                <w:sz w:val="21"/>
                <w:szCs w:val="21"/>
                <w:lang w:eastAsia="zh-CN"/>
              </w:rPr>
              <w:t>减</w:t>
            </w:r>
            <w:r>
              <w:rPr>
                <w:rFonts w:hint="default" w:ascii="Times New Roman" w:hAnsi="Times New Roman" w:cs="Times New Roman"/>
                <w:color w:val="auto"/>
                <w:sz w:val="21"/>
                <w:szCs w:val="21"/>
              </w:rPr>
              <w:t>/替代要求</w:t>
            </w:r>
          </w:p>
        </w:tc>
        <w:tc>
          <w:tcPr>
            <w:tcW w:w="2521" w:type="pct"/>
            <w:tcBorders>
              <w:tl2br w:val="nil"/>
              <w:tr2bl w:val="nil"/>
            </w:tcBorders>
            <w:vAlign w:val="center"/>
          </w:tcPr>
          <w:p w14:paraId="0F2A0A8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2.1-1〕新、改、扩建重点行业建设项目应符合“三线一单”、产业政策、区域环评、规划环评和行业环境准入管控要求。重点区域的新、改、扩建重点行业建设项目应遵循重点重金属污染物排放“减量替代”原则。</w:t>
            </w:r>
          </w:p>
        </w:tc>
        <w:tc>
          <w:tcPr>
            <w:tcW w:w="790" w:type="pct"/>
            <w:tcBorders>
              <w:tl2br w:val="nil"/>
              <w:tr2bl w:val="nil"/>
            </w:tcBorders>
            <w:vAlign w:val="center"/>
          </w:tcPr>
          <w:p w14:paraId="55721FB9">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符合“</w:t>
            </w:r>
            <w:r>
              <w:rPr>
                <w:rFonts w:hint="default" w:ascii="Times New Roman" w:hAnsi="Times New Roman" w:cs="Times New Roman"/>
                <w:color w:val="auto"/>
                <w:sz w:val="21"/>
                <w:szCs w:val="21"/>
                <w:lang w:val="en-US" w:eastAsia="zh-CN"/>
              </w:rPr>
              <w:t>生态环境分区管控</w:t>
            </w:r>
            <w:r>
              <w:rPr>
                <w:rFonts w:hint="default" w:ascii="Times New Roman" w:hAnsi="Times New Roman" w:cs="Times New Roman"/>
                <w:color w:val="auto"/>
                <w:sz w:val="21"/>
                <w:szCs w:val="21"/>
              </w:rPr>
              <w:t>”及产业政策。</w:t>
            </w:r>
            <w:r>
              <w:rPr>
                <w:rFonts w:hint="default" w:ascii="Times New Roman" w:hAnsi="Times New Roman" w:cs="Times New Roman"/>
                <w:color w:val="auto"/>
                <w:sz w:val="21"/>
                <w:szCs w:val="21"/>
                <w:lang w:val="en-US" w:eastAsia="zh-CN"/>
              </w:rPr>
              <w:t>不位于重点区域，不涉及重金属总量</w:t>
            </w:r>
          </w:p>
        </w:tc>
        <w:tc>
          <w:tcPr>
            <w:tcW w:w="232" w:type="pct"/>
            <w:tcBorders>
              <w:tl2br w:val="nil"/>
              <w:tr2bl w:val="nil"/>
            </w:tcBorders>
            <w:vAlign w:val="center"/>
          </w:tcPr>
          <w:p w14:paraId="20E53AE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EBB4F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9FB8BF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8C538A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6F52B5A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0F830E2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10B10F2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〔A2.1-2〕以石化、化工、涂装、医药、包装印刷、油品储运销等行业领域为重点，安全高效推进挥发性有机物综合治理，实施原辅材料和产品源头替代工程。</w:t>
            </w:r>
          </w:p>
        </w:tc>
        <w:tc>
          <w:tcPr>
            <w:tcW w:w="790" w:type="pct"/>
            <w:tcBorders>
              <w:tl2br w:val="nil"/>
              <w:tr2bl w:val="nil"/>
            </w:tcBorders>
            <w:vAlign w:val="center"/>
          </w:tcPr>
          <w:p w14:paraId="0289397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56213B4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D1A9F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22D0E1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964C4F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298B47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CE843E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7B7578B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w:t>
            </w:r>
          </w:p>
        </w:tc>
        <w:tc>
          <w:tcPr>
            <w:tcW w:w="790" w:type="pct"/>
            <w:tcBorders>
              <w:tl2br w:val="nil"/>
              <w:tr2bl w:val="nil"/>
            </w:tcBorders>
            <w:vAlign w:val="center"/>
          </w:tcPr>
          <w:p w14:paraId="1F6E7FE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B47A6D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FEF70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92F330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715BC59">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407DD6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7B8224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60862D17">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〔A2.1-4〕严控建材、铸造、冶炼等行业无组织排放，推进石化、化工、涂装、医药、包装印刷、油品储运销等行业项目挥发性有机物（VOCs</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防治。严格有色金属</w:t>
            </w:r>
            <w:r>
              <w:rPr>
                <w:rFonts w:hint="default" w:ascii="Times New Roman" w:hAnsi="Times New Roman" w:cs="Times New Roman"/>
                <w:color w:val="auto"/>
                <w:sz w:val="21"/>
                <w:szCs w:val="21"/>
                <w:lang w:eastAsia="zh-CN"/>
              </w:rPr>
              <w:t>冶炼</w:t>
            </w:r>
            <w:r>
              <w:rPr>
                <w:rFonts w:hint="default" w:ascii="Times New Roman" w:hAnsi="Times New Roman" w:cs="Times New Roman"/>
                <w:color w:val="auto"/>
                <w:sz w:val="21"/>
                <w:szCs w:val="21"/>
              </w:rPr>
              <w:t>、石油加工、化工、焦化等行业项目的土壤、地下水污染防治措施要求。推进工业园区和企业集群建设涉 VOCs “绿岛”项目，统筹规划建设一批集中涂装中心、活性炭集中处理中心、溶剂回收中心等，实现VOCs集中高效处理。</w:t>
            </w:r>
          </w:p>
        </w:tc>
        <w:tc>
          <w:tcPr>
            <w:tcW w:w="790" w:type="pct"/>
            <w:tcBorders>
              <w:tl2br w:val="nil"/>
              <w:tr2bl w:val="nil"/>
            </w:tcBorders>
            <w:vAlign w:val="center"/>
          </w:tcPr>
          <w:p w14:paraId="1684204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3255D9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513C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8ABC9F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09383ECA">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9E35FB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1FFCF38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A2.2污染控制措施要求</w:t>
            </w:r>
          </w:p>
        </w:tc>
        <w:tc>
          <w:tcPr>
            <w:tcW w:w="2521" w:type="pct"/>
            <w:tcBorders>
              <w:tl2br w:val="nil"/>
              <w:tr2bl w:val="nil"/>
            </w:tcBorders>
            <w:vAlign w:val="center"/>
          </w:tcPr>
          <w:p w14:paraId="0F429CC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w:t>
            </w:r>
          </w:p>
        </w:tc>
        <w:tc>
          <w:tcPr>
            <w:tcW w:w="790" w:type="pct"/>
            <w:tcBorders>
              <w:tl2br w:val="nil"/>
              <w:tr2bl w:val="nil"/>
            </w:tcBorders>
            <w:vAlign w:val="center"/>
          </w:tcPr>
          <w:p w14:paraId="5EEEC4A4">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生活污水、矿井水全部综合利用不外排。采用电锅炉供热。</w:t>
            </w:r>
          </w:p>
        </w:tc>
        <w:tc>
          <w:tcPr>
            <w:tcW w:w="232" w:type="pct"/>
            <w:tcBorders>
              <w:tl2br w:val="nil"/>
              <w:tr2bl w:val="nil"/>
            </w:tcBorders>
            <w:vAlign w:val="center"/>
          </w:tcPr>
          <w:p w14:paraId="191DE91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3138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1EAF2F4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DEEC25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A2EEB0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0505509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62A22474">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w:t>
            </w:r>
          </w:p>
        </w:tc>
        <w:tc>
          <w:tcPr>
            <w:tcW w:w="790" w:type="pct"/>
            <w:tcBorders>
              <w:tl2br w:val="nil"/>
              <w:tr2bl w:val="nil"/>
            </w:tcBorders>
            <w:vAlign w:val="center"/>
          </w:tcPr>
          <w:p w14:paraId="5BA7AA0C">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3837C7F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CF9D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EA2E12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6651D21">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086A8FF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28611B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4EEEBAC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氨燃烧改造、工业园区内轨道运输（大宗货物“公转铁”</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、柴油货车治理、锅炉炉窑综合治理等工程项目。全面推行绿色施工，持续推动城市建成区重污染企业搬迁或关闭退出。</w:t>
            </w:r>
          </w:p>
        </w:tc>
        <w:tc>
          <w:tcPr>
            <w:tcW w:w="790" w:type="pct"/>
            <w:tcBorders>
              <w:tl2br w:val="nil"/>
              <w:tr2bl w:val="nil"/>
            </w:tcBorders>
            <w:vAlign w:val="center"/>
          </w:tcPr>
          <w:p w14:paraId="2BC2034B">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采用电锅炉供热。</w:t>
            </w:r>
          </w:p>
        </w:tc>
        <w:tc>
          <w:tcPr>
            <w:tcW w:w="232" w:type="pct"/>
            <w:tcBorders>
              <w:tl2br w:val="nil"/>
              <w:tr2bl w:val="nil"/>
            </w:tcBorders>
            <w:vAlign w:val="center"/>
          </w:tcPr>
          <w:p w14:paraId="00E78E2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4DA71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F6580D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4AD96E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3AC6A7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1D0A9A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79970E55">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〔A2.2-4〕强化用水定额管理。推进地下水超采综合治理。开展河湖生态流量（水量</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确定工作，强化生态用水保障。</w:t>
            </w:r>
          </w:p>
        </w:tc>
        <w:tc>
          <w:tcPr>
            <w:tcW w:w="790" w:type="pct"/>
            <w:tcBorders>
              <w:tl2br w:val="nil"/>
              <w:tr2bl w:val="nil"/>
            </w:tcBorders>
            <w:vAlign w:val="center"/>
          </w:tcPr>
          <w:p w14:paraId="524EFD11">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不涉及地下水开采</w:t>
            </w:r>
          </w:p>
        </w:tc>
        <w:tc>
          <w:tcPr>
            <w:tcW w:w="232" w:type="pct"/>
            <w:tcBorders>
              <w:tl2br w:val="nil"/>
              <w:tr2bl w:val="nil"/>
            </w:tcBorders>
            <w:vAlign w:val="center"/>
          </w:tcPr>
          <w:p w14:paraId="010060D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9591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3751EDA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0C0F3348">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A175F2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514FA8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31B871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w:t>
            </w:r>
          </w:p>
        </w:tc>
        <w:tc>
          <w:tcPr>
            <w:tcW w:w="790" w:type="pct"/>
            <w:tcBorders>
              <w:tl2br w:val="nil"/>
              <w:tr2bl w:val="nil"/>
            </w:tcBorders>
            <w:vAlign w:val="center"/>
          </w:tcPr>
          <w:p w14:paraId="3E56FBF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7698A9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7796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C1F27E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9A3A39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08D1C0E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1684EA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103530F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w:t>
            </w:r>
          </w:p>
        </w:tc>
        <w:tc>
          <w:tcPr>
            <w:tcW w:w="790" w:type="pct"/>
            <w:tcBorders>
              <w:tl2br w:val="nil"/>
              <w:tr2bl w:val="nil"/>
            </w:tcBorders>
            <w:vAlign w:val="center"/>
          </w:tcPr>
          <w:p w14:paraId="214940D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矿井水经处理后用于矿井生产及绿化，对地表水及地下水环境影响较小</w:t>
            </w:r>
          </w:p>
        </w:tc>
        <w:tc>
          <w:tcPr>
            <w:tcW w:w="232" w:type="pct"/>
            <w:tcBorders>
              <w:tl2br w:val="nil"/>
              <w:tr2bl w:val="nil"/>
            </w:tcBorders>
            <w:vAlign w:val="center"/>
          </w:tcPr>
          <w:p w14:paraId="21B55A2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C398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FE17F4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13F0FC9">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D4B667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1221B8C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04E8F31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790" w:type="pct"/>
            <w:tcBorders>
              <w:tl2br w:val="nil"/>
              <w:tr2bl w:val="nil"/>
            </w:tcBorders>
            <w:vAlign w:val="center"/>
          </w:tcPr>
          <w:p w14:paraId="7B8B689C">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应开展地下水环境状况跟踪监测，加强风险管控。</w:t>
            </w:r>
          </w:p>
        </w:tc>
        <w:tc>
          <w:tcPr>
            <w:tcW w:w="232" w:type="pct"/>
            <w:tcBorders>
              <w:tl2br w:val="nil"/>
              <w:tr2bl w:val="nil"/>
            </w:tcBorders>
            <w:vAlign w:val="center"/>
          </w:tcPr>
          <w:p w14:paraId="3D26AF0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C12BA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8054FA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4E69921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7D2FC9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575BC4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44F6FC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〔A2.2-8〕严控土壤重金属污染，加强油（气</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田开发土壤污染防治，以历史遗留工业企业污染场地为重点，开展土壤污染风险管控与修复工程。</w:t>
            </w:r>
          </w:p>
        </w:tc>
        <w:tc>
          <w:tcPr>
            <w:tcW w:w="790" w:type="pct"/>
            <w:tcBorders>
              <w:tl2br w:val="nil"/>
              <w:tr2bl w:val="nil"/>
            </w:tcBorders>
            <w:vAlign w:val="center"/>
          </w:tcPr>
          <w:p w14:paraId="501E6FD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090BB3A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0CAD5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952C5C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6FBE505">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AECB15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C91AEE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448B266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〔A2.2-9〕加强种植业污染防治。深入推进化肥农药</w:t>
            </w:r>
            <w:r>
              <w:rPr>
                <w:rFonts w:hint="default" w:ascii="Times New Roman" w:hAnsi="Times New Roman" w:cs="Times New Roman"/>
                <w:color w:val="auto"/>
                <w:sz w:val="21"/>
                <w:szCs w:val="21"/>
                <w:lang w:eastAsia="zh-CN"/>
              </w:rPr>
              <w:t>减</w:t>
            </w:r>
            <w:r>
              <w:rPr>
                <w:rFonts w:hint="default" w:ascii="Times New Roman" w:hAnsi="Times New Roman" w:cs="Times New Roman"/>
                <w:color w:val="auto"/>
                <w:sz w:val="21"/>
                <w:szCs w:val="21"/>
              </w:rPr>
              <w:t>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790" w:type="pct"/>
            <w:tcBorders>
              <w:tl2br w:val="nil"/>
              <w:tr2bl w:val="nil"/>
            </w:tcBorders>
            <w:vAlign w:val="center"/>
          </w:tcPr>
          <w:p w14:paraId="4CE7A59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B57C26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E0A1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537622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404E8AA">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restart"/>
            <w:tcBorders>
              <w:tl2br w:val="nil"/>
              <w:tr2bl w:val="nil"/>
            </w:tcBorders>
            <w:vAlign w:val="center"/>
          </w:tcPr>
          <w:p w14:paraId="05C754C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A3环境风险防控</w:t>
            </w:r>
          </w:p>
        </w:tc>
        <w:tc>
          <w:tcPr>
            <w:tcW w:w="424" w:type="pct"/>
            <w:vMerge w:val="restart"/>
            <w:tcBorders>
              <w:tl2br w:val="nil"/>
              <w:tr2bl w:val="nil"/>
            </w:tcBorders>
            <w:vAlign w:val="center"/>
          </w:tcPr>
          <w:p w14:paraId="7B0A98B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A3.1人居环境要求</w:t>
            </w:r>
          </w:p>
        </w:tc>
        <w:tc>
          <w:tcPr>
            <w:tcW w:w="2521" w:type="pct"/>
            <w:tcBorders>
              <w:tl2br w:val="nil"/>
              <w:tr2bl w:val="nil"/>
            </w:tcBorders>
            <w:vAlign w:val="center"/>
          </w:tcPr>
          <w:p w14:paraId="6F37747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〔A3.1-1〕建立和完善重污染天气兵地联合应急预案、预报预警应急机制和会商联动机制。“乌一昌一石”区域内可能影响相邻行政区域大气环境的项目，兵地间、城市间必须相互征求意见。</w:t>
            </w:r>
          </w:p>
        </w:tc>
        <w:tc>
          <w:tcPr>
            <w:tcW w:w="790" w:type="pct"/>
            <w:tcBorders>
              <w:tl2br w:val="nil"/>
              <w:tr2bl w:val="nil"/>
            </w:tcBorders>
            <w:vAlign w:val="center"/>
          </w:tcPr>
          <w:p w14:paraId="6FA9FA4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5A29C74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01C2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2BE950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BCA646F">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61F863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A2A7B2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4786AB6B">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 1-2〕对跨国境河流、涉及县级及以上集中式饮用水水源地的河流、其他重要环境敏感目标的河流，建立健全流域上下游突发水污染事件联防联动机制，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w:t>
            </w:r>
          </w:p>
        </w:tc>
        <w:tc>
          <w:tcPr>
            <w:tcW w:w="790" w:type="pct"/>
            <w:tcBorders>
              <w:tl2br w:val="nil"/>
              <w:tr2bl w:val="nil"/>
            </w:tcBorders>
            <w:vAlign w:val="center"/>
          </w:tcPr>
          <w:p w14:paraId="273FBCD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34FE8C1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3CAA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CB3D67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2189F2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D516B1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DA5F20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7BE086AB">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〔A3.1-3〕强化重污染天气监测预报预警能力，建立和完善重污染天气兵地联合应急预案、预警应急机制和会商联动机制，加强轻、中度污染天气管控。</w:t>
            </w:r>
          </w:p>
        </w:tc>
        <w:tc>
          <w:tcPr>
            <w:tcW w:w="790" w:type="pct"/>
            <w:tcBorders>
              <w:tl2br w:val="nil"/>
              <w:tr2bl w:val="nil"/>
            </w:tcBorders>
            <w:vAlign w:val="center"/>
          </w:tcPr>
          <w:p w14:paraId="7EDACB9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627ACA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70551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594596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73B31A3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66A2C99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5F59DB8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A3.2联防联控要求</w:t>
            </w:r>
          </w:p>
        </w:tc>
        <w:tc>
          <w:tcPr>
            <w:tcW w:w="2521" w:type="pct"/>
            <w:tcBorders>
              <w:tl2br w:val="nil"/>
              <w:tr2bl w:val="nil"/>
            </w:tcBorders>
            <w:vAlign w:val="center"/>
          </w:tcPr>
          <w:p w14:paraId="51C8E56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〔A3.2-1〕提升饮用水安全保障水平。以县级及以上集中式饮用水水源地为重点，推进饮用水水源保护区规范化建设，统筹推进备用水源或应急水源建设。单一水源供水的重点城市于 2025 年底前基本完成备用水源或应急水源建设，有条件的地区开展兵地互为备用水源建设。梯次推进农村集中式饮用水水源保护区划定，到 2025年，完成乡镇级集中式饮用水水源保护区划定与勘界立标。开展“千吨万人”农村饮用水水源保护区环境风险排查整治，加强农村水源水质监测，依法清理饮用水水源保护区内违法建筑和排污口，实施从水源到水龙头全过程监管。强化饮用水水源保护区环境应急管理，完善重大突发环境事件的物资和技术储备。针对汇水区、补给区存在兵地跨界的，建立统一的饮用水水源应急和执法机制，共享应急物资。</w:t>
            </w:r>
          </w:p>
        </w:tc>
        <w:tc>
          <w:tcPr>
            <w:tcW w:w="790" w:type="pct"/>
            <w:tcBorders>
              <w:tl2br w:val="nil"/>
              <w:tr2bl w:val="nil"/>
            </w:tcBorders>
            <w:vAlign w:val="center"/>
          </w:tcPr>
          <w:p w14:paraId="2DF669A4">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02DC8E4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ABC2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D2A83F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A1AC3DC">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6494A0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25BCFA3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412B38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〔A3.2-2〕依法推行农用地分类管理制度，强化受污染耕地安全利用和风险管控。因地制宜制定实施安全利用方案，鼓励采取种植结构调整等措施，确保受污染耕地全部实现安全利用。</w:t>
            </w:r>
          </w:p>
        </w:tc>
        <w:tc>
          <w:tcPr>
            <w:tcW w:w="790" w:type="pct"/>
            <w:tcBorders>
              <w:tl2br w:val="nil"/>
              <w:tr2bl w:val="nil"/>
            </w:tcBorders>
            <w:vAlign w:val="center"/>
          </w:tcPr>
          <w:p w14:paraId="27198B2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A79660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3D5A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1A9535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91B30C7">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640E71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64B141B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70CE51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污</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w:t>
            </w:r>
          </w:p>
        </w:tc>
        <w:tc>
          <w:tcPr>
            <w:tcW w:w="790" w:type="pct"/>
            <w:tcBorders>
              <w:tl2br w:val="nil"/>
              <w:tr2bl w:val="nil"/>
            </w:tcBorders>
            <w:vAlign w:val="center"/>
          </w:tcPr>
          <w:p w14:paraId="4CFA7725">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本项目不涉及新污染物，常规污染物可做到</w:t>
            </w:r>
            <w:r>
              <w:rPr>
                <w:rFonts w:hint="default" w:ascii="Times New Roman" w:hAnsi="Times New Roman" w:cs="Times New Roman"/>
                <w:color w:val="auto"/>
                <w:sz w:val="21"/>
                <w:szCs w:val="21"/>
              </w:rPr>
              <w:t>达标排放及有效控制</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按照排污许可管理有关要求，依法申领排污许可证或填写排污登记表，并在其中载明执行的污染控制标准要求及采取的污染控制措施</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运营后按照监测方案定期开展监测</w:t>
            </w:r>
          </w:p>
        </w:tc>
        <w:tc>
          <w:tcPr>
            <w:tcW w:w="232" w:type="pct"/>
            <w:tcBorders>
              <w:tl2br w:val="nil"/>
              <w:tr2bl w:val="nil"/>
            </w:tcBorders>
            <w:vAlign w:val="center"/>
          </w:tcPr>
          <w:p w14:paraId="0782AAC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A7DB2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E2B12B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658F8F5A">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CD8D63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5606912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0A87DA6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790" w:type="pct"/>
            <w:tcBorders>
              <w:tl2br w:val="nil"/>
              <w:tr2bl w:val="nil"/>
            </w:tcBorders>
            <w:vAlign w:val="center"/>
          </w:tcPr>
          <w:p w14:paraId="4175CB6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应加强环境风险预警防控。</w:t>
            </w:r>
          </w:p>
        </w:tc>
        <w:tc>
          <w:tcPr>
            <w:tcW w:w="232" w:type="pct"/>
            <w:tcBorders>
              <w:tl2br w:val="nil"/>
              <w:tr2bl w:val="nil"/>
            </w:tcBorders>
            <w:vAlign w:val="center"/>
          </w:tcPr>
          <w:p w14:paraId="7CDBAEE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22842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322ADC8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71095E3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88C1E3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2DB645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E9639C7">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790" w:type="pct"/>
            <w:tcBorders>
              <w:tl2br w:val="nil"/>
              <w:tr2bl w:val="nil"/>
            </w:tcBorders>
            <w:vAlign w:val="center"/>
          </w:tcPr>
          <w:p w14:paraId="2572840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w:t>
            </w:r>
            <w:r>
              <w:rPr>
                <w:rFonts w:hint="default" w:ascii="Times New Roman" w:hAnsi="Times New Roman" w:cs="Times New Roman"/>
                <w:color w:val="auto"/>
                <w:sz w:val="21"/>
                <w:szCs w:val="21"/>
              </w:rPr>
              <w:t>应实施企业突发生态环境应急预案电子化备案。妥善应对各类突发生态环境事件。加强应急监测装备配置，定期开展应急演练，增强实战能力。</w:t>
            </w:r>
          </w:p>
        </w:tc>
        <w:tc>
          <w:tcPr>
            <w:tcW w:w="232" w:type="pct"/>
            <w:tcBorders>
              <w:tl2br w:val="nil"/>
              <w:tr2bl w:val="nil"/>
            </w:tcBorders>
            <w:vAlign w:val="center"/>
          </w:tcPr>
          <w:p w14:paraId="50AD487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94914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830126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6E3573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43DBDA3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D32E13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939ADC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3.2-6〕强化兵地联防联控联治，落实兵地统一规划、统一政策、统一标准、统一要求、统一推进的防治管理措施，完善重大项目环境影响评价区域会商、重污染天气兵地联合应急联动机制。建立兵地生态环境联合执法和联合监测长效机制。</w:t>
            </w:r>
          </w:p>
        </w:tc>
        <w:tc>
          <w:tcPr>
            <w:tcW w:w="790" w:type="pct"/>
            <w:tcBorders>
              <w:tl2br w:val="nil"/>
              <w:tr2bl w:val="nil"/>
            </w:tcBorders>
            <w:vAlign w:val="center"/>
          </w:tcPr>
          <w:p w14:paraId="1FA8C82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4CF1F9F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B9F9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18AF98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AC4C440">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restart"/>
            <w:tcBorders>
              <w:tl2br w:val="nil"/>
              <w:tr2bl w:val="nil"/>
            </w:tcBorders>
            <w:vAlign w:val="center"/>
          </w:tcPr>
          <w:p w14:paraId="67A9EDB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 资源利用要求</w:t>
            </w:r>
          </w:p>
        </w:tc>
        <w:tc>
          <w:tcPr>
            <w:tcW w:w="424" w:type="pct"/>
            <w:vMerge w:val="restart"/>
            <w:tcBorders>
              <w:tl2br w:val="nil"/>
              <w:tr2bl w:val="nil"/>
            </w:tcBorders>
            <w:vAlign w:val="center"/>
          </w:tcPr>
          <w:p w14:paraId="36DCFF2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A4.1水资源</w:t>
            </w:r>
          </w:p>
        </w:tc>
        <w:tc>
          <w:tcPr>
            <w:tcW w:w="2521" w:type="pct"/>
            <w:tcBorders>
              <w:tl2br w:val="nil"/>
              <w:tr2bl w:val="nil"/>
            </w:tcBorders>
            <w:vAlign w:val="center"/>
          </w:tcPr>
          <w:p w14:paraId="05D8943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〔A4.1-1〕自治区用水总量2025年、2030年控制在国家下达的指标内。</w:t>
            </w:r>
          </w:p>
        </w:tc>
        <w:tc>
          <w:tcPr>
            <w:tcW w:w="790" w:type="pct"/>
            <w:tcBorders>
              <w:tl2br w:val="nil"/>
              <w:tr2bl w:val="nil"/>
            </w:tcBorders>
            <w:vAlign w:val="center"/>
          </w:tcPr>
          <w:p w14:paraId="61D4A5D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矿井水经处理后用于矿井生产及绿化。新鲜水用水量较少。</w:t>
            </w:r>
          </w:p>
        </w:tc>
        <w:tc>
          <w:tcPr>
            <w:tcW w:w="232" w:type="pct"/>
            <w:tcBorders>
              <w:tl2br w:val="nil"/>
              <w:tr2bl w:val="nil"/>
            </w:tcBorders>
            <w:vAlign w:val="center"/>
          </w:tcPr>
          <w:p w14:paraId="71CDFAE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403FEA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DE2EF5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015A641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2AB786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45FE2FA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5CF8B338">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4.1-2〕加大城镇污水再生利用工程建设力度，推进区域再生水循环利用，到2025年，城市生活污水再生利用率力争达到60%〔A4.1-3〕加强农村水利基础设施建设，推进农村供水保障工程，农村自来水普及率、集中供水率分别达到 99.3%、99.7%。</w:t>
            </w:r>
          </w:p>
        </w:tc>
        <w:tc>
          <w:tcPr>
            <w:tcW w:w="790" w:type="pct"/>
            <w:tcBorders>
              <w:tl2br w:val="nil"/>
              <w:tr2bl w:val="nil"/>
            </w:tcBorders>
            <w:vAlign w:val="center"/>
          </w:tcPr>
          <w:p w14:paraId="7AC8C6C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6AB0EAF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87346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6A692E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8BBD09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5F20DF3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6716644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7856B5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〔A4.1-4〕地下水资源利用实行总量控制和水位控制。取用地下水资源，应当按照国家和自治区有关规定申请取水许可。地下水利用应当以浅层地下水为主。</w:t>
            </w:r>
          </w:p>
        </w:tc>
        <w:tc>
          <w:tcPr>
            <w:tcW w:w="790" w:type="pct"/>
            <w:tcBorders>
              <w:tl2br w:val="nil"/>
              <w:tr2bl w:val="nil"/>
            </w:tcBorders>
            <w:vAlign w:val="center"/>
          </w:tcPr>
          <w:p w14:paraId="28DD7C1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6957375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1467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5FEDCE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C78726C">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92F474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tcBorders>
              <w:tl2br w:val="nil"/>
              <w:tr2bl w:val="nil"/>
            </w:tcBorders>
            <w:vAlign w:val="center"/>
          </w:tcPr>
          <w:p w14:paraId="6B3759A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A4.2土地资源</w:t>
            </w:r>
          </w:p>
        </w:tc>
        <w:tc>
          <w:tcPr>
            <w:tcW w:w="2521" w:type="pct"/>
            <w:tcBorders>
              <w:tl2br w:val="nil"/>
              <w:tr2bl w:val="nil"/>
            </w:tcBorders>
            <w:vAlign w:val="center"/>
          </w:tcPr>
          <w:p w14:paraId="76AEC68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〔A4.2-1〕土地资源上线指标控制在最终批复的国土空间规划控制指标内。</w:t>
            </w:r>
          </w:p>
        </w:tc>
        <w:tc>
          <w:tcPr>
            <w:tcW w:w="790" w:type="pct"/>
            <w:tcBorders>
              <w:tl2br w:val="nil"/>
              <w:tr2bl w:val="nil"/>
            </w:tcBorders>
            <w:vAlign w:val="center"/>
          </w:tcPr>
          <w:p w14:paraId="3702847D">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60B20E3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00AB4F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74F9294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43304EC1">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09A4467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2E99D898">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 能源利用</w:t>
            </w:r>
          </w:p>
        </w:tc>
        <w:tc>
          <w:tcPr>
            <w:tcW w:w="2521" w:type="pct"/>
            <w:tcBorders>
              <w:tl2br w:val="nil"/>
              <w:tr2bl w:val="nil"/>
            </w:tcBorders>
            <w:vAlign w:val="center"/>
          </w:tcPr>
          <w:p w14:paraId="30FB8D2B">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〔A4.3-1〕单位地区生产总值二氧化碳排放降低水平完成国家下达指标。</w:t>
            </w:r>
          </w:p>
          <w:p w14:paraId="076A9F4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〔A4.3-2〕到2025年，自治区万元国内生产总值能耗比2020年下降ß14.5%。〔A4.3-3〕到2025年，非化石能源占一次能源消费比重达 18%以上。</w:t>
            </w:r>
          </w:p>
        </w:tc>
        <w:tc>
          <w:tcPr>
            <w:tcW w:w="790" w:type="pct"/>
            <w:tcBorders>
              <w:tl2br w:val="nil"/>
              <w:tr2bl w:val="nil"/>
            </w:tcBorders>
            <w:vAlign w:val="center"/>
          </w:tcPr>
          <w:p w14:paraId="631D313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5E8B2B6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0742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1F5CA97A">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5012689">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1135C66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16C2821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2974F8B9">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〔A4.3-4〕鼓励使用清洁能源或电厂热力、工业余热等替代锅炉、炉窑燃料用煤。</w:t>
            </w:r>
          </w:p>
        </w:tc>
        <w:tc>
          <w:tcPr>
            <w:tcW w:w="790" w:type="pct"/>
            <w:tcBorders>
              <w:tl2br w:val="nil"/>
              <w:tr2bl w:val="nil"/>
            </w:tcBorders>
            <w:vAlign w:val="center"/>
          </w:tcPr>
          <w:p w14:paraId="022C890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采用电锅炉供热</w:t>
            </w:r>
          </w:p>
        </w:tc>
        <w:tc>
          <w:tcPr>
            <w:tcW w:w="232" w:type="pct"/>
            <w:tcBorders>
              <w:tl2br w:val="nil"/>
              <w:tr2bl w:val="nil"/>
            </w:tcBorders>
            <w:vAlign w:val="center"/>
          </w:tcPr>
          <w:p w14:paraId="2490209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1442D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4AD3415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C948F07">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76FB6AB6">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6BD6C51D">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C0BE71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〔A4.3-5〕以碳达峰碳中和工作为引领，着力提高能源资源利用效率。引导重点行业深入实施清洁生产改造，钢铁、建材、石油化工等重点行业以及其他行业重点用能单位持续开展节能降耗。</w:t>
            </w:r>
          </w:p>
        </w:tc>
        <w:tc>
          <w:tcPr>
            <w:tcW w:w="790" w:type="pct"/>
            <w:tcBorders>
              <w:tl2br w:val="nil"/>
              <w:tr2bl w:val="nil"/>
            </w:tcBorders>
            <w:vAlign w:val="center"/>
          </w:tcPr>
          <w:p w14:paraId="63E97464">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136A297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D70D9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1F30598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962CC7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EDB929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39CCB34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2521" w:type="pct"/>
            <w:tcBorders>
              <w:tl2br w:val="nil"/>
              <w:tr2bl w:val="nil"/>
            </w:tcBorders>
            <w:vAlign w:val="center"/>
          </w:tcPr>
          <w:p w14:paraId="3E149337">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〔A4.3-6〕深入推进碳达峰碳中和行动。推动能源清洁低碳转型，加强能耗“双控”管理，优化能源消费结构。新增原料用能不纳入能源消费总量控制。持续推进散煤整治。</w:t>
            </w:r>
          </w:p>
        </w:tc>
        <w:tc>
          <w:tcPr>
            <w:tcW w:w="790" w:type="pct"/>
            <w:tcBorders>
              <w:tl2br w:val="nil"/>
              <w:tr2bl w:val="nil"/>
            </w:tcBorders>
            <w:vAlign w:val="center"/>
          </w:tcPr>
          <w:p w14:paraId="3EB6D52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项目不涉及</w:t>
            </w:r>
          </w:p>
        </w:tc>
        <w:tc>
          <w:tcPr>
            <w:tcW w:w="232" w:type="pct"/>
            <w:tcBorders>
              <w:tl2br w:val="nil"/>
              <w:tr2bl w:val="nil"/>
            </w:tcBorders>
            <w:vAlign w:val="center"/>
          </w:tcPr>
          <w:p w14:paraId="7E9AFBC3">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8AE4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59ED0DFC">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D3AAA33">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645EFAF1">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tcBorders>
              <w:tl2br w:val="nil"/>
              <w:tr2bl w:val="nil"/>
            </w:tcBorders>
            <w:vAlign w:val="center"/>
          </w:tcPr>
          <w:p w14:paraId="73A1716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A4.4禁燃区要求</w:t>
            </w:r>
          </w:p>
        </w:tc>
        <w:tc>
          <w:tcPr>
            <w:tcW w:w="2521" w:type="pct"/>
            <w:tcBorders>
              <w:tl2br w:val="nil"/>
              <w:tr2bl w:val="nil"/>
            </w:tcBorders>
            <w:vAlign w:val="center"/>
          </w:tcPr>
          <w:p w14:paraId="1CC0BC73">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〔A4.4-1〕在禁燃区内，禁止销售、燃用高污染燃料；禁止新建、扩建燃用高污染燃料的设施。已建成的，应当在规定期限内改用清洁能源。</w:t>
            </w:r>
          </w:p>
        </w:tc>
        <w:tc>
          <w:tcPr>
            <w:tcW w:w="790" w:type="pct"/>
            <w:tcBorders>
              <w:tl2br w:val="nil"/>
              <w:tr2bl w:val="nil"/>
            </w:tcBorders>
            <w:vAlign w:val="center"/>
          </w:tcPr>
          <w:p w14:paraId="64D3C848">
            <w:pPr>
              <w:widowControl/>
              <w:adjustRightInd w:val="0"/>
              <w:snapToGrid w:val="0"/>
              <w:spacing w:line="240" w:lineRule="auto"/>
              <w:ind w:firstLine="0" w:firstLineChars="0"/>
              <w:jc w:val="left"/>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采用电锅炉供热</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不涉及高污染燃料</w:t>
            </w:r>
          </w:p>
        </w:tc>
        <w:tc>
          <w:tcPr>
            <w:tcW w:w="232" w:type="pct"/>
            <w:tcBorders>
              <w:tl2br w:val="nil"/>
              <w:tr2bl w:val="nil"/>
            </w:tcBorders>
            <w:vAlign w:val="center"/>
          </w:tcPr>
          <w:p w14:paraId="7972F8C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66E42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2D2B22C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243E94EA">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814196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424" w:type="pct"/>
            <w:vMerge w:val="restart"/>
            <w:tcBorders>
              <w:tl2br w:val="nil"/>
              <w:tr2bl w:val="nil"/>
            </w:tcBorders>
            <w:vAlign w:val="center"/>
          </w:tcPr>
          <w:p w14:paraId="16C2A52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A4.5资源综合利用</w:t>
            </w:r>
          </w:p>
        </w:tc>
        <w:tc>
          <w:tcPr>
            <w:tcW w:w="2521" w:type="pct"/>
            <w:tcBorders>
              <w:tl2br w:val="nil"/>
              <w:tr2bl w:val="nil"/>
            </w:tcBorders>
            <w:vAlign w:val="center"/>
          </w:tcPr>
          <w:p w14:paraId="57B82B9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生活垃圾处理设施，到2025年，全疆城市生活垃圾无害化处理率达到 99%以上。</w:t>
            </w:r>
          </w:p>
        </w:tc>
        <w:tc>
          <w:tcPr>
            <w:tcW w:w="790" w:type="pct"/>
            <w:tcBorders>
              <w:tl2br w:val="nil"/>
              <w:tr2bl w:val="nil"/>
            </w:tcBorders>
            <w:vAlign w:val="center"/>
          </w:tcPr>
          <w:p w14:paraId="5EE52F8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本项目废石</w:t>
            </w:r>
            <w:r>
              <w:rPr>
                <w:rFonts w:hint="default" w:ascii="Times New Roman" w:hAnsi="Times New Roman" w:cs="Times New Roman"/>
                <w:color w:val="auto"/>
                <w:sz w:val="21"/>
                <w:szCs w:val="21"/>
              </w:rPr>
              <w:t>全部综合利用，生活垃圾可做到妥善处理</w:t>
            </w:r>
          </w:p>
        </w:tc>
        <w:tc>
          <w:tcPr>
            <w:tcW w:w="232" w:type="pct"/>
            <w:tcBorders>
              <w:tl2br w:val="nil"/>
              <w:tr2bl w:val="nil"/>
            </w:tcBorders>
            <w:vAlign w:val="center"/>
          </w:tcPr>
          <w:p w14:paraId="05DAA372">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AC56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07DB631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551B66F9">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21DFD605">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637C3BF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2521" w:type="pct"/>
            <w:tcBorders>
              <w:tl2br w:val="nil"/>
              <w:tr2bl w:val="nil"/>
            </w:tcBorders>
            <w:vAlign w:val="center"/>
          </w:tcPr>
          <w:p w14:paraId="38354670">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〔A4.5-2〕推动工业固废按元素价值综合开发利用，加快推进尾矿（共伴生矿</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w:t>
            </w:r>
          </w:p>
        </w:tc>
        <w:tc>
          <w:tcPr>
            <w:tcW w:w="790" w:type="pct"/>
            <w:tcBorders>
              <w:tl2br w:val="nil"/>
              <w:tr2bl w:val="nil"/>
            </w:tcBorders>
            <w:vAlign w:val="center"/>
          </w:tcPr>
          <w:p w14:paraId="2B70101A">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本项目废石全部用于井下充填</w:t>
            </w:r>
            <w:r>
              <w:rPr>
                <w:rFonts w:hint="default" w:ascii="Times New Roman" w:hAnsi="Times New Roman" w:cs="Times New Roman"/>
                <w:color w:val="auto"/>
                <w:sz w:val="21"/>
                <w:szCs w:val="21"/>
              </w:rPr>
              <w:t>。</w:t>
            </w:r>
          </w:p>
        </w:tc>
        <w:tc>
          <w:tcPr>
            <w:tcW w:w="232" w:type="pct"/>
            <w:tcBorders>
              <w:tl2br w:val="nil"/>
              <w:tr2bl w:val="nil"/>
            </w:tcBorders>
            <w:vAlign w:val="center"/>
          </w:tcPr>
          <w:p w14:paraId="078019F9">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0CF9A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70F3A6F">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1B1E276E">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301D219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0E483961">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2521" w:type="pct"/>
            <w:tcBorders>
              <w:tl2br w:val="nil"/>
              <w:tr2bl w:val="nil"/>
            </w:tcBorders>
            <w:vAlign w:val="center"/>
          </w:tcPr>
          <w:p w14:paraId="56801BAF">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有价组分、生产建材、筑路、生态修复、土壤治理等领域的规模化利用。</w:t>
            </w:r>
          </w:p>
        </w:tc>
        <w:tc>
          <w:tcPr>
            <w:tcW w:w="790" w:type="pct"/>
            <w:tcBorders>
              <w:tl2br w:val="nil"/>
              <w:tr2bl w:val="nil"/>
            </w:tcBorders>
            <w:vAlign w:val="center"/>
          </w:tcPr>
          <w:p w14:paraId="37BE1F4E">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本项目废石全部用于井下充填</w:t>
            </w:r>
            <w:r>
              <w:rPr>
                <w:rFonts w:hint="default" w:ascii="Times New Roman" w:hAnsi="Times New Roman" w:cs="Times New Roman"/>
                <w:color w:val="auto"/>
                <w:sz w:val="21"/>
                <w:szCs w:val="21"/>
              </w:rPr>
              <w:t>。</w:t>
            </w:r>
          </w:p>
        </w:tc>
        <w:tc>
          <w:tcPr>
            <w:tcW w:w="232" w:type="pct"/>
            <w:tcBorders>
              <w:tl2br w:val="nil"/>
              <w:tr2bl w:val="nil"/>
            </w:tcBorders>
            <w:vAlign w:val="center"/>
          </w:tcPr>
          <w:p w14:paraId="09C553A7">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887E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1" w:type="pct"/>
            <w:vMerge w:val="continue"/>
            <w:tcBorders>
              <w:tl2br w:val="nil"/>
              <w:tr2bl w:val="nil"/>
            </w:tcBorders>
            <w:vAlign w:val="center"/>
          </w:tcPr>
          <w:p w14:paraId="6AA55F7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330" w:type="pct"/>
            <w:vMerge w:val="continue"/>
            <w:tcBorders>
              <w:tl2br w:val="nil"/>
              <w:tr2bl w:val="nil"/>
            </w:tcBorders>
            <w:vAlign w:val="center"/>
          </w:tcPr>
          <w:p w14:paraId="3EE713FD">
            <w:pPr>
              <w:widowControl/>
              <w:adjustRightInd w:val="0"/>
              <w:snapToGrid w:val="0"/>
              <w:spacing w:line="240" w:lineRule="auto"/>
              <w:ind w:firstLine="0" w:firstLineChars="0"/>
              <w:rPr>
                <w:rFonts w:hint="default" w:ascii="Times New Roman" w:hAnsi="Times New Roman" w:cs="Times New Roman"/>
                <w:color w:val="auto"/>
                <w:sz w:val="21"/>
                <w:szCs w:val="21"/>
                <w:highlight w:val="yellow"/>
              </w:rPr>
            </w:pPr>
          </w:p>
        </w:tc>
        <w:tc>
          <w:tcPr>
            <w:tcW w:w="519" w:type="pct"/>
            <w:vMerge w:val="continue"/>
            <w:tcBorders>
              <w:tl2br w:val="nil"/>
              <w:tr2bl w:val="nil"/>
            </w:tcBorders>
            <w:vAlign w:val="center"/>
          </w:tcPr>
          <w:p w14:paraId="6C5F1CE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424" w:type="pct"/>
            <w:vMerge w:val="continue"/>
            <w:tcBorders>
              <w:tl2br w:val="nil"/>
              <w:tr2bl w:val="nil"/>
            </w:tcBorders>
            <w:vAlign w:val="center"/>
          </w:tcPr>
          <w:p w14:paraId="00E00A06">
            <w:pPr>
              <w:widowControl/>
              <w:adjustRightInd w:val="0"/>
              <w:snapToGrid w:val="0"/>
              <w:spacing w:line="240" w:lineRule="auto"/>
              <w:ind w:firstLine="0" w:firstLineChars="0"/>
              <w:jc w:val="left"/>
              <w:rPr>
                <w:rFonts w:hint="default" w:ascii="Times New Roman" w:hAnsi="Times New Roman" w:cs="Times New Roman"/>
                <w:color w:val="auto"/>
                <w:sz w:val="21"/>
                <w:szCs w:val="21"/>
              </w:rPr>
            </w:pPr>
          </w:p>
        </w:tc>
        <w:tc>
          <w:tcPr>
            <w:tcW w:w="2521" w:type="pct"/>
            <w:tcBorders>
              <w:tl2br w:val="nil"/>
              <w:tr2bl w:val="nil"/>
            </w:tcBorders>
            <w:vAlign w:val="center"/>
          </w:tcPr>
          <w:p w14:paraId="3E1AE7D5">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〔A4. 5-4〕 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790" w:type="pct"/>
            <w:tcBorders>
              <w:tl2br w:val="nil"/>
              <w:tr2bl w:val="nil"/>
            </w:tcBorders>
            <w:vAlign w:val="center"/>
          </w:tcPr>
          <w:p w14:paraId="5D4B3D72">
            <w:pPr>
              <w:widowControl/>
              <w:adjustRightInd w:val="0"/>
              <w:snapToGrid w:val="0"/>
              <w:spacing w:line="240" w:lineRule="auto"/>
              <w:ind w:firstLine="0" w:firstLineChars="0"/>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本项目不涉及</w:t>
            </w:r>
          </w:p>
        </w:tc>
        <w:tc>
          <w:tcPr>
            <w:tcW w:w="232" w:type="pct"/>
            <w:tcBorders>
              <w:tl2br w:val="nil"/>
              <w:tr2bl w:val="nil"/>
            </w:tcBorders>
            <w:vAlign w:val="center"/>
          </w:tcPr>
          <w:p w14:paraId="2DCC0EF5">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14:paraId="7874F282">
      <w:pPr>
        <w:pStyle w:val="18"/>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szCs w:val="24"/>
          <w:highlight w:val="none"/>
        </w:rPr>
        <w:sectPr>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p>
    <w:p w14:paraId="75439BD4">
      <w:pPr>
        <w:pStyle w:val="18"/>
        <w:keepNext w:val="0"/>
        <w:keepLines w:val="0"/>
        <w:pageBreakBefore w:val="0"/>
        <w:widowControl/>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本项目建设符合《新疆维吾尔自治区生态环境分区管控动态更新成果》的要求。</w:t>
      </w:r>
    </w:p>
    <w:p w14:paraId="6A4BB233">
      <w:pPr>
        <w:pStyle w:val="5"/>
        <w:keepNext/>
        <w:keepLines/>
        <w:pageBreakBefore w:val="0"/>
        <w:widowControl w:val="0"/>
        <w:kinsoku/>
        <w:wordWrap/>
        <w:overflowPunct/>
        <w:topLinePunct w:val="0"/>
        <w:autoSpaceDE/>
        <w:autoSpaceDN/>
        <w:bidi w:val="0"/>
        <w:adjustRightInd/>
        <w:snapToGrid/>
        <w:spacing w:before="0" w:after="0"/>
        <w:ind w:firstLine="54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3.5.4.3与《哈密市生态环境准入清单（2024 版）》符合性分析</w:t>
      </w:r>
    </w:p>
    <w:p w14:paraId="5F7A5D70">
      <w:pPr>
        <w:keepNext w:val="0"/>
        <w:keepLines w:val="0"/>
        <w:pageBreakBefore w:val="0"/>
        <w:widowControl w:val="0"/>
        <w:kinsoku/>
        <w:wordWrap/>
        <w:overflowPunct/>
        <w:topLinePunct w:val="0"/>
        <w:autoSpaceDE/>
        <w:autoSpaceDN/>
        <w:bidi w:val="0"/>
        <w:adjustRightInd/>
        <w:snapToGrid/>
        <w:spacing w:line="480" w:lineRule="exact"/>
        <w:ind w:left="0" w:right="0" w:firstLine="479"/>
        <w:jc w:val="left"/>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①生态保护红线</w:t>
      </w:r>
    </w:p>
    <w:p w14:paraId="220A9569">
      <w:pPr>
        <w:keepNext w:val="0"/>
        <w:keepLines w:val="0"/>
        <w:pageBreakBefore w:val="0"/>
        <w:widowControl w:val="0"/>
        <w:kinsoku/>
        <w:wordWrap/>
        <w:overflowPunct/>
        <w:topLinePunct w:val="0"/>
        <w:autoSpaceDE/>
        <w:autoSpaceDN/>
        <w:bidi w:val="0"/>
        <w:adjustRightInd/>
        <w:snapToGrid/>
        <w:spacing w:line="480" w:lineRule="exact"/>
        <w:ind w:left="0" w:right="0" w:firstLine="479"/>
        <w:jc w:val="left"/>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本项目位于哈密市东南直距180千米处，行政</w:t>
      </w:r>
      <w:r>
        <w:rPr>
          <w:rFonts w:hint="default" w:ascii="Times New Roman" w:hAnsi="Times New Roman" w:cs="Times New Roman"/>
          <w:color w:val="auto"/>
          <w:spacing w:val="0"/>
          <w:w w:val="100"/>
          <w:position w:val="0"/>
          <w:sz w:val="24"/>
          <w:szCs w:val="24"/>
          <w:lang w:val="en-US" w:eastAsia="zh-CN"/>
        </w:rPr>
        <w:t>区划隶</w:t>
      </w:r>
      <w:r>
        <w:rPr>
          <w:rFonts w:hint="default" w:ascii="Times New Roman" w:hAnsi="Times New Roman" w:eastAsia="宋体" w:cs="Times New Roman"/>
          <w:color w:val="auto"/>
          <w:spacing w:val="0"/>
          <w:w w:val="100"/>
          <w:position w:val="0"/>
          <w:sz w:val="24"/>
          <w:szCs w:val="24"/>
        </w:rPr>
        <w:t>属哈密市伊州区双井子乡</w:t>
      </w:r>
      <w:r>
        <w:rPr>
          <w:rFonts w:hint="default" w:ascii="Times New Roman" w:hAnsi="Times New Roman" w:cs="Times New Roman"/>
          <w:color w:val="auto"/>
          <w:spacing w:val="0"/>
          <w:w w:val="100"/>
          <w:position w:val="0"/>
          <w:sz w:val="24"/>
          <w:szCs w:val="24"/>
          <w:lang w:val="en-US" w:eastAsia="zh-CN"/>
        </w:rPr>
        <w:t>管辖</w:t>
      </w:r>
      <w:r>
        <w:rPr>
          <w:rFonts w:hint="default" w:ascii="Times New Roman" w:hAnsi="Times New Roman" w:eastAsia="宋体" w:cs="Times New Roman"/>
          <w:color w:val="auto"/>
          <w:spacing w:val="0"/>
          <w:w w:val="100"/>
          <w:position w:val="0"/>
          <w:sz w:val="24"/>
          <w:szCs w:val="24"/>
        </w:rPr>
        <w:t>，项目区不涉及生态保护红线区及红线区外的饮用水水源保护区、水源涵养区、防风固沙区、土地沙化防控区、水土流失防控区等区域，处于哈密市环境管控单元中的</w:t>
      </w:r>
      <w:r>
        <w:rPr>
          <w:rFonts w:hint="default" w:ascii="Times New Roman" w:hAnsi="Times New Roman" w:cs="Times New Roman"/>
          <w:color w:val="auto"/>
          <w:spacing w:val="0"/>
          <w:w w:val="100"/>
          <w:position w:val="0"/>
          <w:sz w:val="24"/>
          <w:szCs w:val="24"/>
          <w:lang w:val="en-US" w:eastAsia="zh-CN"/>
        </w:rPr>
        <w:t>“伊州区双井子乡一般管控单元”</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具体见图3.5-1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，因而执行生态环境保护基本要求，即以生态环境保护与适度开发相结合为主，开发建设中应落实生态环境管控相关要求。</w:t>
      </w:r>
    </w:p>
    <w:p w14:paraId="63C6A7A7">
      <w:pPr>
        <w:keepNext w:val="0"/>
        <w:keepLines w:val="0"/>
        <w:pageBreakBefore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②环境质量底线</w:t>
      </w:r>
    </w:p>
    <w:p w14:paraId="504DFCCC">
      <w:pPr>
        <w:keepNext w:val="0"/>
        <w:keepLines w:val="0"/>
        <w:pageBreakBefore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根据环境空气质量模型技术支持服务系统达标区判定结果，可知哈密地区各项监测因子均符合《环境空气质量标准》（GB3095-20</w:t>
      </w:r>
      <w:r>
        <w:rPr>
          <w:rFonts w:hint="default" w:ascii="Times New Roman" w:hAnsi="Times New Roman" w:cs="Times New Roman"/>
          <w:color w:val="auto"/>
          <w:spacing w:val="0"/>
          <w:w w:val="100"/>
          <w:kern w:val="0"/>
          <w:position w:val="0"/>
          <w:sz w:val="24"/>
          <w:szCs w:val="24"/>
          <w:lang w:val="en-US" w:eastAsia="zh-CN" w:bidi="ar-SA"/>
        </w:rPr>
        <w:t>26</w:t>
      </w:r>
      <w:r>
        <w:rPr>
          <w:rFonts w:hint="default" w:ascii="Times New Roman" w:hAnsi="Times New Roman" w:eastAsia="宋体" w:cs="Times New Roman"/>
          <w:color w:val="auto"/>
          <w:spacing w:val="0"/>
          <w:w w:val="100"/>
          <w:kern w:val="0"/>
          <w:position w:val="0"/>
          <w:sz w:val="24"/>
          <w:szCs w:val="24"/>
          <w:lang w:val="en-US" w:eastAsia="zh-CN" w:bidi="ar-SA"/>
        </w:rPr>
        <w:t>）的二级标准要求，评价区域为达标区。</w:t>
      </w:r>
    </w:p>
    <w:p w14:paraId="7936B53A">
      <w:pPr>
        <w:keepNext w:val="0"/>
        <w:keepLines w:val="0"/>
        <w:pageBreakBefore w:val="0"/>
        <w:kinsoku/>
        <w:wordWrap/>
        <w:overflowPunct/>
        <w:topLinePunct w:val="0"/>
        <w:autoSpaceDE/>
        <w:autoSpaceDN/>
        <w:bidi w:val="0"/>
        <w:adjustRightInd/>
        <w:snapToGrid/>
        <w:spacing w:line="480" w:lineRule="exact"/>
        <w:ind w:left="0" w:right="0" w:firstLine="478"/>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本项目废气采用可靠有效的废气处理措施，对评价区环境影响较小；项目废水经沉淀后回用，不会对周边水环境造成不良影响；厂区内各类设备通过隔声、消声等措施降噪后，厂界噪声及敏感点噪声均能达标；固体废弃物全部合理处置。因此，本项目的建设不会影响当地的环境功能，符合环境质量底线要求。</w:t>
      </w:r>
    </w:p>
    <w:p w14:paraId="76C41473">
      <w:pPr>
        <w:keepNext w:val="0"/>
        <w:keepLines w:val="0"/>
        <w:pageBreakBefore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③资源利用上线</w:t>
      </w:r>
    </w:p>
    <w:p w14:paraId="2C352BE6">
      <w:pPr>
        <w:keepNext w:val="0"/>
        <w:keepLines w:val="0"/>
        <w:pageBreakBefore w:val="0"/>
        <w:kinsoku/>
        <w:wordWrap/>
        <w:overflowPunct/>
        <w:topLinePunct w:val="0"/>
        <w:autoSpaceDE/>
        <w:autoSpaceDN/>
        <w:bidi w:val="0"/>
        <w:adjustRightInd/>
        <w:snapToGrid/>
        <w:spacing w:line="480" w:lineRule="exact"/>
        <w:ind w:left="0" w:right="0" w:firstLine="480"/>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拟建项目用地位于哈密市土地利用规划中的哈密南部工业区，符合规划要求，未突破哈密市土地资源总量上限的</w:t>
      </w:r>
      <w:r>
        <w:rPr>
          <w:rFonts w:hint="default" w:ascii="Times New Roman" w:hAnsi="Times New Roman" w:eastAsia="宋体" w:cs="Times New Roman"/>
          <w:color w:val="auto"/>
          <w:spacing w:val="0"/>
          <w:w w:val="100"/>
          <w:kern w:val="0"/>
          <w:position w:val="0"/>
          <w:sz w:val="24"/>
          <w:szCs w:val="24"/>
          <w:highlight w:val="none"/>
          <w:lang w:val="en-US" w:eastAsia="zh-CN" w:bidi="ar-SA"/>
        </w:rPr>
        <w:t>要求。</w:t>
      </w:r>
    </w:p>
    <w:p w14:paraId="7BB8119F">
      <w:pPr>
        <w:keepNext w:val="0"/>
        <w:keepLines w:val="0"/>
        <w:pageBreakBefore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④环境准入负面清单</w:t>
      </w:r>
    </w:p>
    <w:p w14:paraId="6D98841E">
      <w:pPr>
        <w:keepNext w:val="0"/>
        <w:keepLines w:val="0"/>
        <w:pageBreakBefore w:val="0"/>
        <w:kinsoku/>
        <w:wordWrap/>
        <w:overflowPunct/>
        <w:topLinePunct w:val="0"/>
        <w:autoSpaceDE/>
        <w:autoSpaceDN/>
        <w:bidi w:val="0"/>
        <w:adjustRightInd/>
        <w:snapToGrid/>
        <w:spacing w:line="480" w:lineRule="exact"/>
        <w:ind w:left="0" w:right="0" w:firstLine="478"/>
        <w:textAlignment w:val="auto"/>
        <w:rPr>
          <w:rFonts w:hint="default" w:ascii="Times New Roman" w:hAnsi="Times New Roman" w:eastAsia="宋体" w:cs="Times New Roman"/>
          <w:color w:val="auto"/>
          <w:spacing w:val="0"/>
          <w:w w:val="100"/>
          <w:kern w:val="0"/>
          <w:position w:val="0"/>
          <w:sz w:val="24"/>
          <w:szCs w:val="24"/>
          <w:lang w:val="en-US" w:eastAsia="zh-CN" w:bidi="ar-SA"/>
        </w:rPr>
      </w:pPr>
      <w:r>
        <w:rPr>
          <w:rFonts w:hint="default" w:ascii="Times New Roman" w:hAnsi="Times New Roman" w:eastAsia="宋体" w:cs="Times New Roman"/>
          <w:color w:val="auto"/>
          <w:spacing w:val="0"/>
          <w:w w:val="100"/>
          <w:kern w:val="0"/>
          <w:position w:val="0"/>
          <w:sz w:val="24"/>
          <w:szCs w:val="24"/>
          <w:lang w:val="en-US" w:eastAsia="zh-CN" w:bidi="ar-SA"/>
        </w:rPr>
        <w:t>根据《关于印发新疆维吾尔自治区28个国家重点生态功能区县（市）产业准入负面清单（试行）的通知》（新发改规划〔2017〕891号）和《关于印发新疆维吾尔自治区17个新增纳入国家重点生态功能区县（市）产业准入负面清单（试行）的通知》（新发改规划〔2017〕1796号）的规定，本项目不在国家重点生态功能区县（市）产业准入负面清单之列。</w:t>
      </w:r>
    </w:p>
    <w:p w14:paraId="1A7121F1">
      <w:pPr>
        <w:pStyle w:val="18"/>
        <w:spacing w:after="0" w:line="480" w:lineRule="exact"/>
        <w:ind w:firstLine="480"/>
        <w:jc w:val="both"/>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w:t>
      </w:r>
      <w:r>
        <w:rPr>
          <w:rFonts w:hint="default" w:ascii="Times New Roman" w:hAnsi="Times New Roman" w:eastAsia="宋体" w:cs="Times New Roman"/>
          <w:color w:val="auto"/>
          <w:sz w:val="24"/>
          <w:szCs w:val="24"/>
          <w:lang w:val="en-US" w:eastAsia="zh-CN"/>
        </w:rPr>
        <w:t>哈密市生态环境准入清单（2024 版）</w:t>
      </w:r>
      <w:r>
        <w:rPr>
          <w:rFonts w:hint="default" w:ascii="Times New Roman" w:hAnsi="Times New Roman" w:eastAsia="宋体" w:cs="Times New Roman"/>
          <w:color w:val="auto"/>
          <w:sz w:val="24"/>
          <w:szCs w:val="24"/>
        </w:rPr>
        <w:t>》，本项目</w:t>
      </w:r>
      <w:r>
        <w:rPr>
          <w:rFonts w:hint="default" w:ascii="Times New Roman" w:hAnsi="Times New Roman" w:cs="Times New Roman"/>
          <w:color w:val="auto"/>
          <w:sz w:val="24"/>
          <w:szCs w:val="24"/>
          <w:lang w:val="en-US" w:eastAsia="zh-CN"/>
        </w:rPr>
        <w:t>位于伊州区双井子乡一般管控单元</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环境管控单元编码为</w:t>
      </w:r>
      <w:r>
        <w:rPr>
          <w:rFonts w:hint="default" w:ascii="Times New Roman" w:hAnsi="Times New Roman" w:eastAsia="宋体" w:cs="Times New Roman"/>
          <w:color w:val="auto"/>
          <w:sz w:val="24"/>
          <w:szCs w:val="24"/>
          <w:lang w:val="en-US"/>
        </w:rPr>
        <w:t>ZH65050230008</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，具体符合性分析见表3.5-</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，项目区与生态环境管控分区位置图见图3.</w:t>
      </w:r>
      <w:r>
        <w:rPr>
          <w:rFonts w:hint="default"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w:t>
      </w:r>
      <w:r>
        <w:rPr>
          <w:rFonts w:hint="default"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rPr>
        <w:t>。</w:t>
      </w:r>
    </w:p>
    <w:p w14:paraId="6C518FC1">
      <w:pPr>
        <w:tabs>
          <w:tab w:val="left" w:pos="3844"/>
        </w:tabs>
        <w:ind w:firstLine="0" w:firstLineChars="0"/>
        <w:jc w:val="center"/>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表3.5-3    哈密市生态环境准入清单符合性分析</w:t>
      </w:r>
    </w:p>
    <w:tbl>
      <w:tblPr>
        <w:tblStyle w:val="2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68"/>
        <w:gridCol w:w="740"/>
        <w:gridCol w:w="816"/>
        <w:gridCol w:w="806"/>
        <w:gridCol w:w="3362"/>
        <w:gridCol w:w="1238"/>
        <w:gridCol w:w="689"/>
      </w:tblGrid>
      <w:tr w14:paraId="7CEB3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509" w:type="pct"/>
            <w:tcBorders>
              <w:tl2br w:val="nil"/>
              <w:tr2bl w:val="nil"/>
            </w:tcBorders>
            <w:vAlign w:val="center"/>
          </w:tcPr>
          <w:p w14:paraId="79964CF2">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环境管控单元编码</w:t>
            </w:r>
          </w:p>
        </w:tc>
        <w:tc>
          <w:tcPr>
            <w:tcW w:w="434" w:type="pct"/>
            <w:tcBorders>
              <w:tl2br w:val="nil"/>
              <w:tr2bl w:val="nil"/>
            </w:tcBorders>
            <w:vAlign w:val="center"/>
          </w:tcPr>
          <w:p w14:paraId="0F675FEC">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环境管控单元名称</w:t>
            </w:r>
          </w:p>
        </w:tc>
        <w:tc>
          <w:tcPr>
            <w:tcW w:w="478" w:type="pct"/>
            <w:tcBorders>
              <w:tl2br w:val="nil"/>
              <w:tr2bl w:val="nil"/>
            </w:tcBorders>
            <w:vAlign w:val="center"/>
          </w:tcPr>
          <w:p w14:paraId="43AEEAF4">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环境管控单元类别</w:t>
            </w:r>
          </w:p>
        </w:tc>
        <w:tc>
          <w:tcPr>
            <w:tcW w:w="2446" w:type="pct"/>
            <w:gridSpan w:val="2"/>
            <w:tcBorders>
              <w:tl2br w:val="nil"/>
              <w:tr2bl w:val="nil"/>
            </w:tcBorders>
            <w:vAlign w:val="center"/>
          </w:tcPr>
          <w:p w14:paraId="6E88A479">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管控要求</w:t>
            </w:r>
          </w:p>
        </w:tc>
        <w:tc>
          <w:tcPr>
            <w:tcW w:w="726" w:type="pct"/>
            <w:tcBorders>
              <w:tl2br w:val="nil"/>
              <w:tr2bl w:val="nil"/>
            </w:tcBorders>
            <w:vAlign w:val="center"/>
          </w:tcPr>
          <w:p w14:paraId="2BDB0415">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本项目情况</w:t>
            </w:r>
          </w:p>
        </w:tc>
        <w:tc>
          <w:tcPr>
            <w:tcW w:w="404" w:type="pct"/>
            <w:tcBorders>
              <w:tl2br w:val="nil"/>
              <w:tr2bl w:val="nil"/>
            </w:tcBorders>
            <w:vAlign w:val="center"/>
          </w:tcPr>
          <w:p w14:paraId="413CBA9E">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符合性</w:t>
            </w:r>
          </w:p>
        </w:tc>
      </w:tr>
      <w:tr w14:paraId="1DA0A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9" w:type="pct"/>
            <w:vMerge w:val="restart"/>
            <w:tcBorders>
              <w:tl2br w:val="nil"/>
              <w:tr2bl w:val="nil"/>
            </w:tcBorders>
            <w:vAlign w:val="center"/>
          </w:tcPr>
          <w:p w14:paraId="5BDCEDC1">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ZH65050230008</w:t>
            </w:r>
          </w:p>
        </w:tc>
        <w:tc>
          <w:tcPr>
            <w:tcW w:w="434" w:type="pct"/>
            <w:vMerge w:val="restart"/>
            <w:tcBorders>
              <w:tl2br w:val="nil"/>
              <w:tr2bl w:val="nil"/>
            </w:tcBorders>
            <w:vAlign w:val="center"/>
          </w:tcPr>
          <w:p w14:paraId="672C4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伊州区双井子乡一般管控单元</w:t>
            </w:r>
          </w:p>
        </w:tc>
        <w:tc>
          <w:tcPr>
            <w:tcW w:w="478" w:type="pct"/>
            <w:vMerge w:val="restart"/>
            <w:tcBorders>
              <w:tl2br w:val="nil"/>
              <w:tr2bl w:val="nil"/>
            </w:tcBorders>
            <w:vAlign w:val="center"/>
          </w:tcPr>
          <w:p w14:paraId="13CB7DDA">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bidi="ar-SA"/>
              </w:rPr>
              <w:t>一般管控单元</w:t>
            </w:r>
          </w:p>
        </w:tc>
        <w:tc>
          <w:tcPr>
            <w:tcW w:w="473" w:type="pct"/>
            <w:tcBorders>
              <w:tl2br w:val="nil"/>
              <w:tr2bl w:val="nil"/>
            </w:tcBorders>
            <w:vAlign w:val="center"/>
          </w:tcPr>
          <w:p w14:paraId="3DD60841">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1973" w:type="pct"/>
            <w:tcBorders>
              <w:tl2br w:val="nil"/>
              <w:tr2bl w:val="nil"/>
            </w:tcBorders>
            <w:vAlign w:val="center"/>
          </w:tcPr>
          <w:p w14:paraId="637BD3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bidi="ar-SA"/>
              </w:rPr>
              <w:t>禁止在邻近基本农田区域新增排放重金属和多环芳烃、石油烃等有机污染物的开发建设活动。拟开发为农用地的，县级人民政府要组织开展土壤环境质量状况评估；不符合标准的，不得种植食用农产品。要加强纳入耕地后备资源的未利用地保护，定期开展巡查。</w:t>
            </w:r>
          </w:p>
        </w:tc>
        <w:tc>
          <w:tcPr>
            <w:tcW w:w="726" w:type="pct"/>
            <w:tcBorders>
              <w:tl2br w:val="nil"/>
              <w:tr2bl w:val="nil"/>
            </w:tcBorders>
            <w:vAlign w:val="center"/>
          </w:tcPr>
          <w:p w14:paraId="49F0BAD8">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本项目为铜矿开采项目，评价范围不涉及基本农田</w:t>
            </w:r>
          </w:p>
        </w:tc>
        <w:tc>
          <w:tcPr>
            <w:tcW w:w="404" w:type="pct"/>
            <w:tcBorders>
              <w:tl2br w:val="nil"/>
              <w:tr2bl w:val="nil"/>
            </w:tcBorders>
            <w:vAlign w:val="center"/>
          </w:tcPr>
          <w:p w14:paraId="060CB626">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7DDB7E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9" w:type="pct"/>
            <w:vMerge w:val="continue"/>
            <w:tcBorders>
              <w:tl2br w:val="nil"/>
              <w:tr2bl w:val="nil"/>
            </w:tcBorders>
            <w:vAlign w:val="center"/>
          </w:tcPr>
          <w:p w14:paraId="58A3BE20">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34" w:type="pct"/>
            <w:vMerge w:val="continue"/>
            <w:tcBorders>
              <w:tl2br w:val="nil"/>
              <w:tr2bl w:val="nil"/>
            </w:tcBorders>
            <w:vAlign w:val="center"/>
          </w:tcPr>
          <w:p w14:paraId="5045A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rPr>
            </w:pPr>
          </w:p>
        </w:tc>
        <w:tc>
          <w:tcPr>
            <w:tcW w:w="478" w:type="pct"/>
            <w:vMerge w:val="continue"/>
            <w:tcBorders>
              <w:tl2br w:val="nil"/>
              <w:tr2bl w:val="nil"/>
            </w:tcBorders>
            <w:vAlign w:val="center"/>
          </w:tcPr>
          <w:p w14:paraId="27888D7B">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73" w:type="pct"/>
            <w:tcBorders>
              <w:tl2br w:val="nil"/>
              <w:tr2bl w:val="nil"/>
            </w:tcBorders>
            <w:vAlign w:val="center"/>
          </w:tcPr>
          <w:p w14:paraId="6C082A94">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1973" w:type="pct"/>
            <w:tcBorders>
              <w:tl2br w:val="nil"/>
              <w:tr2bl w:val="nil"/>
            </w:tcBorders>
            <w:shd w:val="clear" w:color="auto" w:fill="auto"/>
            <w:vAlign w:val="center"/>
          </w:tcPr>
          <w:p w14:paraId="5928F5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第十六条 到 2025 年，污染物排放总量控制指标满足哈密市“十四五”生态环境保护规划要求。2025 年，工业污染源全面达标排放，新建项目新增污染物排放总量得到有效控制；全面完成钢铁行业超低排放改造，推进水泥、焦化（含半焦）行业全流程超低排放改造。按照“淘汰一批、替代一批、治理一批”的原则实施工业炉窑大气污染综合治理，加强无组织排放管控。实施黑有色金属、水泥、焦化、煤化工等行业季节性生产调控措施。</w:t>
            </w:r>
          </w:p>
          <w:p w14:paraId="66BD33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第十八条 到2025年，环境质量改善指标满足哈密市“十四五”生态环境保护规划要求。到2025年，哈密市大气环境质量得到有效改善，全市优良天数的比例、PM</w:t>
            </w:r>
            <w:r>
              <w:rPr>
                <w:rFonts w:hint="default" w:ascii="Times New Roman" w:hAnsi="Times New Roman" w:eastAsia="宋体" w:cs="Times New Roman"/>
                <w:color w:val="auto"/>
                <w:kern w:val="2"/>
                <w:sz w:val="21"/>
                <w:szCs w:val="21"/>
                <w:vertAlign w:val="subscript"/>
                <w:lang w:val="en-US" w:eastAsia="zh-CN" w:bidi="ar-SA"/>
              </w:rPr>
              <w:t>2.5</w:t>
            </w:r>
            <w:r>
              <w:rPr>
                <w:rFonts w:hint="default" w:ascii="Times New Roman" w:hAnsi="Times New Roman" w:eastAsia="宋体" w:cs="Times New Roman"/>
                <w:color w:val="auto"/>
                <w:kern w:val="2"/>
                <w:sz w:val="21"/>
                <w:szCs w:val="21"/>
                <w:lang w:val="en-US" w:eastAsia="zh-CN" w:bidi="ar-SA"/>
              </w:rPr>
              <w:t xml:space="preserve"> 年均浓度达到自治区约束性指标。水环境质量持续改善，全市水质达到或优于Ⅲ类比例满足约束性指标要求。2025 年，地表水达到或好于 Ⅲ 类的河流断面比例保持 100%不降低，城市黑臭水体基本消除，地下水质量 V 类水比例不大于 0%，农村生活污水治理率达到30%左右。到 2025 年，土壤污染风险管控和安全利用水平巩固提升，受污染耕地安全利用率达 100%，重点建设用地安全利用得到有效保障。到2025年，河流、湖（库）水环境质量和乡（镇）大气环境质量保持良好，城乡饮用水安全，城镇集中式饮用水源地水质达标率达到100%。</w:t>
            </w:r>
          </w:p>
          <w:p w14:paraId="3E0C71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山南片区第八条 山南片区到2025年，地区城市和重点乡（镇）具备污水收集处理能力，城市污水处理率分别达到 90%左右。到2030年，基本完善地下水监测及监测网络体系。工业集聚区内工业废水须经预处理达到集中处理要求，方可进入污水集中处理设施。到2025年规模养殖场配套建设粪污处理设施比例达95%以上，畜禽粪污资源化利用率80%以上。控制农业面源污染，大力发展生态循环农业，加快推广测土配方施肥、安全用药、绿色防控、农业废弃物资源化利用等农业清洁生产技术与装备，完善动植物疫情防控体系。2025年，伊州区建成区黑臭水体消除比例达到国家考核要求。</w:t>
            </w:r>
          </w:p>
        </w:tc>
        <w:tc>
          <w:tcPr>
            <w:tcW w:w="726" w:type="pct"/>
            <w:tcBorders>
              <w:tl2br w:val="nil"/>
              <w:tr2bl w:val="nil"/>
            </w:tcBorders>
            <w:vAlign w:val="center"/>
          </w:tcPr>
          <w:p w14:paraId="25D29320">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本项目污染物均达标排放。不属于钢铁、水泥、焦化行业。生活污水通过地埋式一体化污水处理设施处理</w:t>
            </w:r>
          </w:p>
        </w:tc>
        <w:tc>
          <w:tcPr>
            <w:tcW w:w="404" w:type="pct"/>
            <w:tcBorders>
              <w:tl2br w:val="nil"/>
              <w:tr2bl w:val="nil"/>
            </w:tcBorders>
            <w:vAlign w:val="center"/>
          </w:tcPr>
          <w:p w14:paraId="4C4C103F">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43557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9" w:type="pct"/>
            <w:vMerge w:val="continue"/>
            <w:tcBorders>
              <w:tl2br w:val="nil"/>
              <w:tr2bl w:val="nil"/>
            </w:tcBorders>
            <w:vAlign w:val="center"/>
          </w:tcPr>
          <w:p w14:paraId="7B4A9FB5">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34" w:type="pct"/>
            <w:vMerge w:val="continue"/>
            <w:tcBorders>
              <w:tl2br w:val="nil"/>
              <w:tr2bl w:val="nil"/>
            </w:tcBorders>
            <w:vAlign w:val="center"/>
          </w:tcPr>
          <w:p w14:paraId="5C8198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rPr>
            </w:pPr>
          </w:p>
        </w:tc>
        <w:tc>
          <w:tcPr>
            <w:tcW w:w="478" w:type="pct"/>
            <w:vMerge w:val="continue"/>
            <w:tcBorders>
              <w:tl2br w:val="nil"/>
              <w:tr2bl w:val="nil"/>
            </w:tcBorders>
            <w:vAlign w:val="center"/>
          </w:tcPr>
          <w:p w14:paraId="5D76922F">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73" w:type="pct"/>
            <w:tcBorders>
              <w:tl2br w:val="nil"/>
              <w:tr2bl w:val="nil"/>
            </w:tcBorders>
            <w:vAlign w:val="center"/>
          </w:tcPr>
          <w:p w14:paraId="745A637F">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1973" w:type="pct"/>
            <w:tcBorders>
              <w:tl2br w:val="nil"/>
              <w:tr2bl w:val="nil"/>
            </w:tcBorders>
            <w:shd w:val="clear" w:color="auto" w:fill="auto"/>
            <w:vAlign w:val="center"/>
          </w:tcPr>
          <w:p w14:paraId="68C751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第九条关于矿山土壤污染风险防控的要求</w:t>
            </w:r>
          </w:p>
          <w:p w14:paraId="284F63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哈密市伊州区矿产资源开发活动集中区域执行相关行业污染物排放标准中的重点污染物特别排放限值。整治伊州区病危险尾矿库和“头顶库”，对存在超负荷使用、废水超标</w:t>
            </w:r>
          </w:p>
          <w:p w14:paraId="6DABDE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排放、接近使用年限等问题的尾矿库制定综合整治方案，开展专项整治，消除隐患。</w:t>
            </w:r>
          </w:p>
          <w:p w14:paraId="321558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重点监管尾矿库企业风险排查和环境风险评估工作，对危库和病库以及风险评估有严重环境安全隐患的尾矿库，要求企业完善污染治理设施、进行治理和修复。全面排查历史遗留尾矿库情况，全面整治历史遗留尾矿库，完善覆膜、压土、排洪、堤坝加固等隐患治理和闭库措施。加强煤矿等主要矿产资源的辐射水平调查，完善伴生放射性矿监管名录，细化监管要求。</w:t>
            </w:r>
          </w:p>
          <w:p w14:paraId="240125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第十条关于土壤治理与修复重点的要求</w:t>
            </w:r>
          </w:p>
          <w:p w14:paraId="7CA0A8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以伊州区历史遗留工业企业污染场地为重点，开展治理与修复，制定修复进度计划，优先治理修复重点区域。重点区域应根据土壤污染程度、环境风险及其影响范围进行划定。</w:t>
            </w:r>
          </w:p>
        </w:tc>
        <w:tc>
          <w:tcPr>
            <w:tcW w:w="726" w:type="pct"/>
            <w:tcBorders>
              <w:tl2br w:val="nil"/>
              <w:tr2bl w:val="nil"/>
            </w:tcBorders>
            <w:vAlign w:val="center"/>
          </w:tcPr>
          <w:p w14:paraId="7B675DE6">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本项目不涉及尾矿库</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本项目矿石、废石含有的铀（钍）系单个核素活度浓度均未超过1贝可/克（Bq/g），</w:t>
            </w:r>
            <w:r>
              <w:rPr>
                <w:rFonts w:hint="default" w:ascii="Times New Roman" w:hAnsi="Times New Roman" w:eastAsia="宋体" w:cs="Times New Roman"/>
                <w:color w:val="auto"/>
                <w:sz w:val="21"/>
                <w:szCs w:val="21"/>
              </w:rPr>
              <w:t>符合</w:t>
            </w:r>
            <w:r>
              <w:rPr>
                <w:rFonts w:hint="default" w:ascii="Times New Roman" w:hAnsi="Times New Roman" w:eastAsia="宋体" w:cs="Times New Roman"/>
                <w:color w:val="auto"/>
                <w:sz w:val="21"/>
                <w:szCs w:val="21"/>
                <w:lang w:val="en-US" w:eastAsia="zh-CN"/>
              </w:rPr>
              <w:t>要求</w:t>
            </w:r>
          </w:p>
        </w:tc>
        <w:tc>
          <w:tcPr>
            <w:tcW w:w="404" w:type="pct"/>
            <w:tcBorders>
              <w:tl2br w:val="nil"/>
              <w:tr2bl w:val="nil"/>
            </w:tcBorders>
            <w:vAlign w:val="center"/>
          </w:tcPr>
          <w:p w14:paraId="731EB714">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6CA17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9" w:type="pct"/>
            <w:vMerge w:val="continue"/>
            <w:tcBorders>
              <w:tl2br w:val="nil"/>
              <w:tr2bl w:val="nil"/>
            </w:tcBorders>
            <w:vAlign w:val="center"/>
          </w:tcPr>
          <w:p w14:paraId="13C5C469">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34" w:type="pct"/>
            <w:vMerge w:val="continue"/>
            <w:tcBorders>
              <w:tl2br w:val="nil"/>
              <w:tr2bl w:val="nil"/>
            </w:tcBorders>
            <w:vAlign w:val="center"/>
          </w:tcPr>
          <w:p w14:paraId="5CE15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rPr>
            </w:pPr>
          </w:p>
        </w:tc>
        <w:tc>
          <w:tcPr>
            <w:tcW w:w="478" w:type="pct"/>
            <w:vMerge w:val="continue"/>
            <w:tcBorders>
              <w:tl2br w:val="nil"/>
              <w:tr2bl w:val="nil"/>
            </w:tcBorders>
            <w:vAlign w:val="center"/>
          </w:tcPr>
          <w:p w14:paraId="61FC2DB7">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473" w:type="pct"/>
            <w:tcBorders>
              <w:tl2br w:val="nil"/>
              <w:tr2bl w:val="nil"/>
            </w:tcBorders>
            <w:vAlign w:val="center"/>
          </w:tcPr>
          <w:p w14:paraId="389B58B6">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资源开发效率要求</w:t>
            </w:r>
          </w:p>
        </w:tc>
        <w:tc>
          <w:tcPr>
            <w:tcW w:w="1973" w:type="pct"/>
            <w:tcBorders>
              <w:tl2br w:val="nil"/>
              <w:tr2bl w:val="nil"/>
            </w:tcBorders>
            <w:shd w:val="clear" w:color="auto" w:fill="auto"/>
            <w:vAlign w:val="center"/>
          </w:tcPr>
          <w:p w14:paraId="35C666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严格控制地下水开采新增量。</w:t>
            </w:r>
          </w:p>
        </w:tc>
        <w:tc>
          <w:tcPr>
            <w:tcW w:w="726" w:type="pct"/>
            <w:tcBorders>
              <w:tl2br w:val="nil"/>
              <w:tr2bl w:val="nil"/>
            </w:tcBorders>
            <w:shd w:val="clear" w:color="auto" w:fill="auto"/>
            <w:vAlign w:val="center"/>
          </w:tcPr>
          <w:p w14:paraId="20248CC1">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本项目不涉及地下水的开采，符合要求</w:t>
            </w:r>
          </w:p>
        </w:tc>
        <w:tc>
          <w:tcPr>
            <w:tcW w:w="404" w:type="pct"/>
            <w:tcBorders>
              <w:tl2br w:val="nil"/>
              <w:tr2bl w:val="nil"/>
            </w:tcBorders>
            <w:vAlign w:val="center"/>
          </w:tcPr>
          <w:p w14:paraId="3D2FC518">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50D1050A">
      <w:pPr>
        <w:rPr>
          <w:rFonts w:hint="default" w:ascii="Times New Roman" w:hAnsi="Times New Roman" w:cs="Times New Roman"/>
          <w:color w:val="auto"/>
        </w:rPr>
      </w:pPr>
    </w:p>
    <w:p w14:paraId="7160D35E">
      <w:pPr>
        <w:pStyle w:val="11"/>
        <w:rPr>
          <w:rFonts w:hint="default" w:ascii="Times New Roman" w:hAnsi="Times New Roman" w:cs="Times New Roman"/>
          <w:color w:val="auto"/>
        </w:rPr>
        <w:sectPr>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p>
    <w:p w14:paraId="4EB1456E">
      <w:pPr>
        <w:pStyle w:val="2"/>
        <w:bidi w:val="0"/>
        <w:rPr>
          <w:rFonts w:hint="default" w:ascii="Times New Roman" w:hAnsi="Times New Roman" w:cs="Times New Roman"/>
          <w:color w:val="auto"/>
        </w:rPr>
      </w:pPr>
      <w:bookmarkStart w:id="399" w:name="_Toc22353_WPSOffice_Level1"/>
      <w:bookmarkStart w:id="400" w:name="_Toc3182"/>
      <w:bookmarkStart w:id="401" w:name="_Toc29811"/>
      <w:bookmarkStart w:id="402" w:name="_Toc1461"/>
      <w:bookmarkStart w:id="403" w:name="_Toc15145"/>
      <w:bookmarkStart w:id="404" w:name="_Toc28472"/>
      <w:bookmarkStart w:id="405" w:name="_Toc6742"/>
      <w:bookmarkStart w:id="406" w:name="_Toc17795"/>
      <w:bookmarkStart w:id="407" w:name="_Toc21474_WPSOffice_Level1"/>
      <w:bookmarkStart w:id="408" w:name="_Toc22095"/>
      <w:bookmarkStart w:id="409" w:name="_Toc30333"/>
      <w:bookmarkStart w:id="410" w:name="_Toc12190"/>
      <w:bookmarkStart w:id="411" w:name="_Toc25204"/>
      <w:r>
        <w:rPr>
          <w:rFonts w:hint="default" w:ascii="Times New Roman" w:hAnsi="Times New Roman" w:cs="Times New Roman"/>
          <w:color w:val="auto"/>
        </w:rPr>
        <w:t>环境现状调查与评价</w:t>
      </w:r>
      <w:bookmarkEnd w:id="399"/>
      <w:bookmarkEnd w:id="400"/>
      <w:bookmarkEnd w:id="401"/>
      <w:bookmarkEnd w:id="402"/>
      <w:bookmarkEnd w:id="403"/>
      <w:bookmarkEnd w:id="404"/>
    </w:p>
    <w:p w14:paraId="53C54D6E">
      <w:pPr>
        <w:pStyle w:val="3"/>
        <w:bidi w:val="0"/>
        <w:rPr>
          <w:rFonts w:hint="default" w:ascii="Times New Roman" w:hAnsi="Times New Roman" w:cs="Times New Roman"/>
          <w:color w:val="auto"/>
          <w:lang w:val="en-US" w:eastAsia="zh-CN"/>
        </w:rPr>
      </w:pPr>
      <w:bookmarkStart w:id="412" w:name="_Toc6404"/>
      <w:bookmarkStart w:id="413" w:name="_Toc96"/>
      <w:bookmarkStart w:id="414" w:name="_Toc20708"/>
      <w:bookmarkStart w:id="415" w:name="_Toc8176"/>
      <w:bookmarkStart w:id="416" w:name="_Toc16586"/>
      <w:bookmarkStart w:id="417" w:name="_Toc11549"/>
      <w:bookmarkStart w:id="418" w:name="_Toc17165"/>
      <w:bookmarkStart w:id="419" w:name="_Toc14087"/>
      <w:bookmarkStart w:id="420" w:name="_Toc19465"/>
      <w:bookmarkStart w:id="421" w:name="_Toc21521"/>
      <w:bookmarkStart w:id="422" w:name="_Toc29478"/>
      <w:bookmarkStart w:id="423" w:name="_Toc23778"/>
      <w:bookmarkStart w:id="424" w:name="_Toc2361"/>
      <w:bookmarkStart w:id="425" w:name="_Toc7162"/>
      <w:bookmarkStart w:id="426" w:name="_Toc24135"/>
      <w:bookmarkStart w:id="427" w:name="_Toc6577"/>
      <w:bookmarkStart w:id="428" w:name="_Toc13294"/>
      <w:r>
        <w:rPr>
          <w:rFonts w:hint="default" w:ascii="Times New Roman" w:hAnsi="Times New Roman" w:cs="Times New Roman"/>
          <w:color w:val="auto"/>
          <w:lang w:val="en-US" w:eastAsia="zh-CN"/>
        </w:rPr>
        <w:t>区域自然环境</w:t>
      </w:r>
      <w:bookmarkEnd w:id="412"/>
      <w:r>
        <w:rPr>
          <w:rFonts w:hint="default" w:ascii="Times New Roman" w:hAnsi="Times New Roman" w:cs="Times New Roman"/>
          <w:color w:val="auto"/>
          <w:lang w:val="en-US" w:eastAsia="zh-CN"/>
        </w:rPr>
        <w:t>概况</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6AC9FA3F">
      <w:pPr>
        <w:pStyle w:val="4"/>
        <w:bidi w:val="0"/>
        <w:rPr>
          <w:rFonts w:hint="default" w:ascii="Times New Roman" w:hAnsi="Times New Roman" w:cs="Times New Roman"/>
          <w:color w:val="auto"/>
          <w:lang w:val="en-US" w:eastAsia="zh-CN"/>
        </w:rPr>
      </w:pPr>
      <w:bookmarkStart w:id="429" w:name="_Toc12473"/>
      <w:bookmarkStart w:id="430" w:name="_Toc30207"/>
      <w:bookmarkStart w:id="431" w:name="_Toc26432"/>
      <w:bookmarkStart w:id="432" w:name="_Toc6426"/>
      <w:bookmarkStart w:id="433" w:name="_Toc1496"/>
      <w:bookmarkStart w:id="434" w:name="_Toc20425"/>
      <w:bookmarkStart w:id="435" w:name="_Toc25319"/>
      <w:bookmarkStart w:id="436" w:name="_Toc2649"/>
      <w:bookmarkStart w:id="437" w:name="_Toc31888"/>
      <w:bookmarkStart w:id="438" w:name="_Toc24251"/>
      <w:bookmarkStart w:id="439" w:name="_Toc6355"/>
      <w:bookmarkStart w:id="440" w:name="_Toc30695"/>
      <w:r>
        <w:rPr>
          <w:rFonts w:hint="default" w:ascii="Times New Roman" w:hAnsi="Times New Roman" w:cs="Times New Roman"/>
          <w:color w:val="auto"/>
          <w:lang w:val="en-US" w:eastAsia="zh-CN"/>
        </w:rPr>
        <w:t>地理位置</w:t>
      </w:r>
      <w:bookmarkEnd w:id="429"/>
      <w:bookmarkEnd w:id="430"/>
      <w:bookmarkEnd w:id="431"/>
      <w:bookmarkEnd w:id="432"/>
      <w:bookmarkEnd w:id="433"/>
      <w:bookmarkEnd w:id="434"/>
      <w:bookmarkEnd w:id="435"/>
      <w:bookmarkEnd w:id="436"/>
      <w:bookmarkEnd w:id="437"/>
      <w:bookmarkEnd w:id="438"/>
      <w:bookmarkEnd w:id="439"/>
      <w:bookmarkEnd w:id="440"/>
    </w:p>
    <w:p w14:paraId="6B9C02D7">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9"/>
        <w:rPr>
          <w:rFonts w:hint="default" w:ascii="Times New Roman" w:hAnsi="Times New Roman" w:eastAsia="宋体" w:cs="Times New Roman"/>
          <w:color w:val="auto"/>
          <w:spacing w:val="0"/>
          <w:w w:val="100"/>
          <w:position w:val="0"/>
          <w:sz w:val="24"/>
          <w:szCs w:val="24"/>
          <w:lang w:val="en-US" w:eastAsia="zh-CN" w:bidi="ar"/>
        </w:rPr>
      </w:pPr>
      <w:r>
        <w:rPr>
          <w:rFonts w:hint="default" w:ascii="Times New Roman" w:hAnsi="Times New Roman" w:eastAsia="宋体" w:cs="Times New Roman"/>
          <w:color w:val="auto"/>
          <w:spacing w:val="0"/>
          <w:w w:val="100"/>
          <w:position w:val="0"/>
          <w:sz w:val="24"/>
          <w:szCs w:val="24"/>
          <w:lang w:val="en-US" w:eastAsia="zh-CN" w:bidi="ar"/>
        </w:rPr>
        <w:t>矿区位于哈密市东南直距180千米处，行政区属哈密市伊州区双井子乡直属，地理坐标为（CGCS2000坐标系）：东经95°17′34″～95°18′35″、北纬41°52′05″～41°53′20″，中心点坐标：东经95°18′05″、北纬41°52′42″。矿区面积2.7131平方千米。</w:t>
      </w:r>
    </w:p>
    <w:p w14:paraId="0388C253">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9"/>
        <w:rPr>
          <w:rFonts w:hint="default" w:ascii="Times New Roman" w:hAnsi="Times New Roman" w:eastAsia="宋体" w:cs="Times New Roman"/>
          <w:color w:val="auto"/>
          <w:spacing w:val="0"/>
          <w:w w:val="100"/>
          <w:position w:val="0"/>
          <w:sz w:val="24"/>
          <w:szCs w:val="24"/>
          <w:lang w:val="en-US" w:eastAsia="zh-CN" w:bidi="ar"/>
        </w:rPr>
      </w:pPr>
      <w:r>
        <w:rPr>
          <w:rFonts w:hint="default" w:ascii="Times New Roman" w:hAnsi="Times New Roman" w:eastAsia="宋体" w:cs="Times New Roman"/>
          <w:color w:val="auto"/>
          <w:spacing w:val="0"/>
          <w:w w:val="100"/>
          <w:position w:val="0"/>
          <w:sz w:val="24"/>
          <w:szCs w:val="24"/>
          <w:lang w:val="en-US" w:eastAsia="zh-CN" w:bidi="ar"/>
        </w:rPr>
        <w:t>矿区距哈密市东南直距180千米，距星星峡镇北东直距18千米，距兰新铁路大泉火车站直距约85千米。矿区西南有312国道经过，从哈密市向东南方向沿312国道行驶195千米至星星峡镇，再沿星星峡镇北东方向至矿山有简易石子路行驶28千米到达矿区，交通便利。</w:t>
      </w:r>
    </w:p>
    <w:p w14:paraId="1366E28C">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9"/>
        <w:rPr>
          <w:rFonts w:hint="default" w:ascii="Times New Roman" w:hAnsi="Times New Roman" w:eastAsia="宋体" w:cs="Times New Roman"/>
          <w:color w:val="auto"/>
          <w:spacing w:val="0"/>
          <w:w w:val="100"/>
          <w:position w:val="0"/>
          <w:sz w:val="24"/>
          <w:szCs w:val="24"/>
          <w:lang w:bidi="ar"/>
        </w:rPr>
      </w:pPr>
      <w:r>
        <w:rPr>
          <w:rFonts w:hint="default" w:ascii="Times New Roman" w:hAnsi="Times New Roman" w:eastAsia="宋体" w:cs="Times New Roman"/>
          <w:color w:val="auto"/>
          <w:spacing w:val="0"/>
          <w:w w:val="100"/>
          <w:position w:val="0"/>
          <w:sz w:val="24"/>
          <w:szCs w:val="24"/>
          <w:lang w:bidi="ar"/>
        </w:rPr>
        <w:t>矿区</w:t>
      </w:r>
      <w:r>
        <w:rPr>
          <w:rFonts w:hint="default" w:ascii="Times New Roman" w:hAnsi="Times New Roman" w:eastAsia="宋体" w:cs="Times New Roman"/>
          <w:color w:val="auto"/>
          <w:spacing w:val="0"/>
          <w:w w:val="100"/>
          <w:position w:val="0"/>
          <w:sz w:val="24"/>
          <w:szCs w:val="24"/>
          <w:lang w:val="en-US" w:eastAsia="zh-CN" w:bidi="ar"/>
        </w:rPr>
        <w:t>地理</w:t>
      </w:r>
      <w:r>
        <w:rPr>
          <w:rFonts w:hint="default" w:ascii="Times New Roman" w:hAnsi="Times New Roman" w:eastAsia="宋体" w:cs="Times New Roman"/>
          <w:color w:val="auto"/>
          <w:spacing w:val="0"/>
          <w:w w:val="100"/>
          <w:position w:val="0"/>
          <w:sz w:val="24"/>
          <w:szCs w:val="24"/>
          <w:lang w:bidi="ar"/>
        </w:rPr>
        <w:t>位置见图4.1-1</w:t>
      </w:r>
      <w:r>
        <w:rPr>
          <w:rFonts w:hint="default" w:ascii="Times New Roman" w:hAnsi="Times New Roman" w:cs="Times New Roman"/>
          <w:color w:val="auto"/>
          <w:spacing w:val="0"/>
          <w:w w:val="100"/>
          <w:position w:val="0"/>
          <w:sz w:val="24"/>
          <w:szCs w:val="24"/>
          <w:lang w:eastAsia="zh-CN" w:bidi="ar"/>
        </w:rPr>
        <w:t>，</w:t>
      </w:r>
      <w:r>
        <w:rPr>
          <w:rFonts w:hint="default" w:ascii="Times New Roman" w:hAnsi="Times New Roman" w:cs="Times New Roman"/>
          <w:color w:val="auto"/>
          <w:spacing w:val="0"/>
          <w:w w:val="100"/>
          <w:position w:val="0"/>
          <w:sz w:val="24"/>
          <w:szCs w:val="24"/>
          <w:lang w:val="en-US" w:eastAsia="zh-CN" w:bidi="ar"/>
        </w:rPr>
        <w:t>区域位置图见图4.1-2</w:t>
      </w:r>
      <w:r>
        <w:rPr>
          <w:rFonts w:hint="default" w:ascii="Times New Roman" w:hAnsi="Times New Roman" w:eastAsia="宋体" w:cs="Times New Roman"/>
          <w:color w:val="auto"/>
          <w:spacing w:val="0"/>
          <w:w w:val="100"/>
          <w:position w:val="0"/>
          <w:sz w:val="24"/>
          <w:szCs w:val="24"/>
          <w:lang w:bidi="ar"/>
        </w:rPr>
        <w:t>。</w:t>
      </w:r>
    </w:p>
    <w:p w14:paraId="1816EED4">
      <w:pPr>
        <w:pStyle w:val="4"/>
        <w:bidi w:val="0"/>
        <w:rPr>
          <w:rFonts w:hint="default" w:ascii="Times New Roman" w:hAnsi="Times New Roman" w:cs="Times New Roman"/>
          <w:color w:val="auto"/>
        </w:rPr>
      </w:pPr>
      <w:bookmarkStart w:id="441" w:name="_Toc31789"/>
      <w:bookmarkStart w:id="442" w:name="_Toc876"/>
      <w:bookmarkStart w:id="443" w:name="_Toc15883"/>
      <w:bookmarkStart w:id="444" w:name="_Toc26769"/>
      <w:bookmarkStart w:id="445" w:name="_Toc12586"/>
      <w:bookmarkStart w:id="446" w:name="_Toc27247"/>
      <w:bookmarkStart w:id="447" w:name="_Toc20900"/>
      <w:bookmarkStart w:id="448" w:name="_Toc25756"/>
      <w:bookmarkStart w:id="449" w:name="_Toc21217"/>
      <w:bookmarkStart w:id="450" w:name="_Toc26407"/>
      <w:bookmarkStart w:id="451" w:name="_Toc4458"/>
      <w:bookmarkStart w:id="452" w:name="_Toc3643"/>
      <w:r>
        <w:rPr>
          <w:rFonts w:hint="default" w:ascii="Times New Roman" w:hAnsi="Times New Roman" w:cs="Times New Roman"/>
          <w:color w:val="auto"/>
        </w:rPr>
        <w:t>地形地貌</w:t>
      </w:r>
      <w:bookmarkEnd w:id="441"/>
      <w:bookmarkEnd w:id="442"/>
      <w:bookmarkEnd w:id="443"/>
      <w:bookmarkEnd w:id="444"/>
      <w:bookmarkEnd w:id="445"/>
      <w:bookmarkEnd w:id="446"/>
      <w:bookmarkEnd w:id="447"/>
      <w:bookmarkEnd w:id="448"/>
      <w:bookmarkEnd w:id="449"/>
      <w:bookmarkEnd w:id="450"/>
      <w:bookmarkEnd w:id="451"/>
      <w:bookmarkEnd w:id="452"/>
    </w:p>
    <w:p w14:paraId="7642401E">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矿区地形地貌属低山丘陵地带，海拔高程在1982～2120米，相对高差一 般仅有50～20米，最大高差138米。地形切割较小，地势较平缓。地形坡度小于20°，总体趋势东北高西南低。</w:t>
      </w:r>
    </w:p>
    <w:p w14:paraId="368D83E0">
      <w:pPr>
        <w:pStyle w:val="4"/>
        <w:bidi w:val="0"/>
        <w:rPr>
          <w:rFonts w:hint="default" w:ascii="Times New Roman" w:hAnsi="Times New Roman" w:cs="Times New Roman"/>
          <w:color w:val="auto"/>
          <w:lang w:val="en-US" w:eastAsia="zh-CN"/>
        </w:rPr>
      </w:pPr>
      <w:bookmarkStart w:id="453" w:name="_Toc86176411"/>
      <w:bookmarkStart w:id="454" w:name="_Toc80792625"/>
      <w:bookmarkStart w:id="455" w:name="_Toc6405"/>
      <w:bookmarkStart w:id="456" w:name="_Toc7357"/>
      <w:bookmarkStart w:id="457" w:name="_Toc7884"/>
      <w:bookmarkStart w:id="458" w:name="_Toc13388"/>
      <w:bookmarkStart w:id="459" w:name="_Toc28168"/>
      <w:bookmarkStart w:id="460" w:name="_Toc26824"/>
      <w:bookmarkStart w:id="461" w:name="_Toc11627"/>
      <w:bookmarkStart w:id="462" w:name="_Toc15004"/>
      <w:bookmarkStart w:id="463" w:name="_Toc27408"/>
      <w:bookmarkStart w:id="464" w:name="_Toc13296"/>
      <w:bookmarkStart w:id="465" w:name="_Toc6157"/>
      <w:bookmarkStart w:id="466" w:name="_Toc3732"/>
      <w:bookmarkStart w:id="467" w:name="_Toc10958"/>
      <w:r>
        <w:rPr>
          <w:rFonts w:hint="default" w:ascii="Times New Roman" w:hAnsi="Times New Roman" w:cs="Times New Roman"/>
          <w:color w:val="auto"/>
          <w:lang w:val="en-US" w:eastAsia="zh-CN"/>
        </w:rPr>
        <w:t>矿</w:t>
      </w:r>
      <w:r>
        <w:rPr>
          <w:rFonts w:hint="default" w:ascii="Times New Roman" w:hAnsi="Times New Roman" w:cs="Times New Roman"/>
          <w:color w:val="auto"/>
        </w:rPr>
        <w:t>区</w:t>
      </w:r>
      <w:bookmarkEnd w:id="453"/>
      <w:bookmarkEnd w:id="454"/>
      <w:r>
        <w:rPr>
          <w:rFonts w:hint="default" w:ascii="Times New Roman" w:hAnsi="Times New Roman" w:cs="Times New Roman"/>
          <w:color w:val="auto"/>
          <w:lang w:val="en-US" w:eastAsia="zh-CN"/>
        </w:rPr>
        <w:t>地质</w:t>
      </w:r>
      <w:bookmarkEnd w:id="455"/>
    </w:p>
    <w:p w14:paraId="3EE6125A">
      <w:pPr>
        <w:pStyle w:val="5"/>
        <w:bidi w:val="0"/>
        <w:rPr>
          <w:rFonts w:hint="default" w:ascii="Times New Roman" w:hAnsi="Times New Roman" w:cs="Times New Roman"/>
          <w:color w:val="auto"/>
          <w:lang w:val="en-US" w:eastAsia="zh-CN"/>
        </w:rPr>
      </w:pPr>
      <w:bookmarkStart w:id="468" w:name="_Toc25255"/>
      <w:r>
        <w:rPr>
          <w:rFonts w:hint="default" w:ascii="Times New Roman" w:hAnsi="Times New Roman" w:cs="Times New Roman"/>
          <w:color w:val="auto"/>
          <w:lang w:val="en-US" w:eastAsia="zh-CN"/>
        </w:rPr>
        <w:t>4.1.3.1地层</w:t>
      </w:r>
      <w:bookmarkEnd w:id="468"/>
    </w:p>
    <w:p w14:paraId="02F383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矿区出露地层主要为中元古界蓟县系卡瓦布拉克群（JxKw），其次在沟谷、山坡洼地有第四系全新统冲洪积和坡积物</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Qhpl</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。现</w:t>
      </w:r>
      <w:r>
        <w:rPr>
          <w:rFonts w:hint="default" w:ascii="Times New Roman" w:hAnsi="Times New Roman" w:eastAsia="宋体" w:cs="Times New Roman"/>
          <w:color w:val="auto"/>
          <w:sz w:val="24"/>
          <w:szCs w:val="24"/>
          <w:lang w:val="en-US" w:eastAsia="zh-CN"/>
        </w:rPr>
        <w:t>将其</w:t>
      </w:r>
      <w:r>
        <w:rPr>
          <w:rFonts w:hint="default" w:ascii="Times New Roman" w:hAnsi="Times New Roman" w:eastAsia="宋体" w:cs="Times New Roman"/>
          <w:color w:val="auto"/>
          <w:sz w:val="24"/>
          <w:szCs w:val="24"/>
        </w:rPr>
        <w:t>分述如下：</w:t>
      </w:r>
    </w:p>
    <w:p w14:paraId="282790E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1、中元古界蓟县系卡瓦布拉克群（JxKw）</w:t>
      </w:r>
    </w:p>
    <w:p w14:paraId="5C1D1A5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该组</w:t>
      </w:r>
      <w:r>
        <w:rPr>
          <w:rFonts w:hint="default" w:ascii="Times New Roman" w:hAnsi="Times New Roman" w:eastAsia="宋体" w:cs="Times New Roman"/>
          <w:color w:val="auto"/>
          <w:sz w:val="24"/>
          <w:szCs w:val="24"/>
        </w:rPr>
        <w:t>岩性</w:t>
      </w:r>
      <w:r>
        <w:rPr>
          <w:rFonts w:hint="default" w:ascii="Times New Roman" w:hAnsi="Times New Roman" w:eastAsia="宋体" w:cs="Times New Roman"/>
          <w:color w:val="auto"/>
          <w:sz w:val="24"/>
          <w:szCs w:val="24"/>
          <w:lang w:val="en-US" w:eastAsia="zh-CN"/>
        </w:rPr>
        <w:t>主要</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val="en-US" w:eastAsia="zh-CN"/>
        </w:rPr>
        <w:t>变质</w:t>
      </w:r>
      <w:r>
        <w:rPr>
          <w:rFonts w:hint="default" w:ascii="Times New Roman" w:hAnsi="Times New Roman" w:eastAsia="宋体" w:cs="Times New Roman"/>
          <w:color w:val="auto"/>
          <w:sz w:val="24"/>
          <w:szCs w:val="24"/>
        </w:rPr>
        <w:t>碳酸盐岩沉积建造，主要有</w:t>
      </w:r>
      <w:r>
        <w:rPr>
          <w:rFonts w:hint="default" w:ascii="Times New Roman" w:hAnsi="Times New Roman" w:eastAsia="宋体" w:cs="Times New Roman"/>
          <w:color w:val="auto"/>
          <w:sz w:val="24"/>
          <w:szCs w:val="24"/>
          <w:lang w:val="en-US" w:eastAsia="zh-CN"/>
        </w:rPr>
        <w:t>灰黑色</w:t>
      </w:r>
      <w:r>
        <w:rPr>
          <w:rFonts w:hint="default" w:ascii="Times New Roman" w:hAnsi="Times New Roman" w:eastAsia="宋体" w:cs="Times New Roman"/>
          <w:color w:val="auto"/>
          <w:sz w:val="24"/>
          <w:szCs w:val="24"/>
        </w:rPr>
        <w:t>灰岩</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条带状大理岩</w:t>
      </w:r>
      <w:r>
        <w:rPr>
          <w:rFonts w:hint="default" w:ascii="Times New Roman" w:hAnsi="Times New Roman" w:eastAsia="宋体" w:cs="Times New Roman"/>
          <w:color w:val="auto"/>
          <w:sz w:val="24"/>
          <w:szCs w:val="24"/>
          <w:lang w:val="en-US" w:eastAsia="zh-CN"/>
        </w:rPr>
        <w:t>化灰岩</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白云质大理岩和</w:t>
      </w:r>
      <w:r>
        <w:rPr>
          <w:rFonts w:hint="default" w:ascii="Times New Roman" w:hAnsi="Times New Roman" w:eastAsia="宋体" w:cs="Times New Roman"/>
          <w:color w:val="auto"/>
          <w:sz w:val="24"/>
          <w:szCs w:val="24"/>
        </w:rPr>
        <w:t>硅</w:t>
      </w:r>
      <w:r>
        <w:rPr>
          <w:rFonts w:hint="default" w:ascii="Times New Roman" w:hAnsi="Times New Roman" w:eastAsia="宋体" w:cs="Times New Roman"/>
          <w:color w:val="auto"/>
          <w:sz w:val="24"/>
          <w:szCs w:val="24"/>
          <w:lang w:val="en-US" w:eastAsia="zh-CN"/>
        </w:rPr>
        <w:t>化</w:t>
      </w:r>
      <w:r>
        <w:rPr>
          <w:rFonts w:hint="default" w:ascii="Times New Roman" w:hAnsi="Times New Roman" w:eastAsia="宋体" w:cs="Times New Roman"/>
          <w:color w:val="auto"/>
          <w:sz w:val="24"/>
          <w:szCs w:val="24"/>
        </w:rPr>
        <w:t>灰岩等</w:t>
      </w:r>
      <w:r>
        <w:rPr>
          <w:rFonts w:hint="default" w:ascii="Times New Roman" w:hAnsi="Times New Roman" w:eastAsia="宋体" w:cs="Times New Roman"/>
          <w:color w:val="auto"/>
          <w:sz w:val="24"/>
          <w:szCs w:val="24"/>
          <w:lang w:eastAsia="zh-CN"/>
        </w:rPr>
        <w:t>。受构造和岩浆活动破坏分布较为零散，</w:t>
      </w:r>
      <w:r>
        <w:rPr>
          <w:rFonts w:hint="default" w:ascii="Times New Roman" w:hAnsi="Times New Roman" w:eastAsia="宋体" w:cs="Times New Roman"/>
          <w:color w:val="auto"/>
          <w:sz w:val="24"/>
          <w:szCs w:val="24"/>
          <w:lang w:val="en-US" w:eastAsia="zh-CN"/>
        </w:rPr>
        <w:t>产状变化较大。总体</w:t>
      </w:r>
      <w:r>
        <w:rPr>
          <w:rFonts w:hint="default" w:ascii="Times New Roman" w:hAnsi="Times New Roman" w:eastAsia="宋体" w:cs="Times New Roman"/>
          <w:color w:val="auto"/>
          <w:sz w:val="24"/>
          <w:szCs w:val="24"/>
        </w:rPr>
        <w:t>走向</w:t>
      </w:r>
      <w:r>
        <w:rPr>
          <w:rFonts w:hint="default" w:ascii="Times New Roman" w:hAnsi="Times New Roman" w:eastAsia="宋体" w:cs="Times New Roman"/>
          <w:color w:val="auto"/>
          <w:sz w:val="24"/>
          <w:szCs w:val="24"/>
          <w:lang w:val="en-US" w:eastAsia="zh-CN"/>
        </w:rPr>
        <w:t>18</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45</w:t>
      </w:r>
      <w:r>
        <w:rPr>
          <w:rFonts w:hint="default" w:ascii="Times New Roman" w:hAnsi="Times New Roman" w:eastAsia="宋体" w:cs="Times New Roman"/>
          <w:color w:val="auto"/>
          <w:sz w:val="24"/>
          <w:szCs w:val="24"/>
        </w:rPr>
        <w:t>°，倾向北西，倾角40°～65°，</w:t>
      </w:r>
      <w:r>
        <w:rPr>
          <w:rFonts w:hint="default" w:ascii="Times New Roman" w:hAnsi="Times New Roman" w:eastAsia="宋体" w:cs="Times New Roman"/>
          <w:color w:val="auto"/>
          <w:sz w:val="24"/>
          <w:szCs w:val="24"/>
          <w:lang w:val="en-US" w:eastAsia="zh-CN"/>
        </w:rPr>
        <w:t>矿区东南部地层总体走向136°，受两侧岩体影响，</w:t>
      </w:r>
      <w:r>
        <w:rPr>
          <w:rFonts w:hint="default" w:ascii="Times New Roman" w:hAnsi="Times New Roman" w:eastAsia="宋体" w:cs="Times New Roman"/>
          <w:color w:val="auto"/>
          <w:sz w:val="24"/>
          <w:szCs w:val="24"/>
        </w:rPr>
        <w:t>倾向</w:t>
      </w:r>
      <w:r>
        <w:rPr>
          <w:rFonts w:hint="default" w:ascii="Times New Roman" w:hAnsi="Times New Roman" w:eastAsia="宋体" w:cs="Times New Roman"/>
          <w:color w:val="auto"/>
          <w:sz w:val="24"/>
          <w:szCs w:val="24"/>
          <w:lang w:val="en-US" w:eastAsia="zh-CN"/>
        </w:rPr>
        <w:t>变化较大</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或南倾或北倾，</w:t>
      </w:r>
      <w:r>
        <w:rPr>
          <w:rFonts w:hint="default" w:ascii="Times New Roman" w:hAnsi="Times New Roman" w:eastAsia="宋体" w:cs="Times New Roman"/>
          <w:color w:val="auto"/>
          <w:sz w:val="24"/>
          <w:szCs w:val="24"/>
        </w:rPr>
        <w:t>倾角</w:t>
      </w:r>
      <w:r>
        <w:rPr>
          <w:rFonts w:hint="default" w:ascii="Times New Roman" w:hAnsi="Times New Roman" w:eastAsia="宋体" w:cs="Times New Roman"/>
          <w:color w:val="auto"/>
          <w:sz w:val="24"/>
          <w:szCs w:val="24"/>
          <w:lang w:val="en-US" w:eastAsia="zh-CN"/>
        </w:rPr>
        <w:t>28°</w:t>
      </w:r>
      <w:r>
        <w:rPr>
          <w:rFonts w:hint="default" w:ascii="Times New Roman" w:hAnsi="Times New Roman" w:eastAsia="宋体" w:cs="Times New Roman"/>
          <w:color w:val="auto"/>
          <w:sz w:val="24"/>
          <w:szCs w:val="24"/>
        </w:rPr>
        <w:t>～65°</w:t>
      </w:r>
      <w:r>
        <w:rPr>
          <w:rFonts w:hint="default" w:ascii="Times New Roman" w:hAnsi="Times New Roman" w:eastAsia="宋体" w:cs="Times New Roman"/>
          <w:color w:val="auto"/>
          <w:sz w:val="24"/>
          <w:szCs w:val="24"/>
          <w:lang w:val="en-US" w:eastAsia="zh-CN"/>
        </w:rPr>
        <w:t>不等</w:t>
      </w:r>
      <w:r>
        <w:rPr>
          <w:rFonts w:hint="default" w:ascii="Times New Roman" w:hAnsi="Times New Roman" w:eastAsia="宋体" w:cs="Times New Roman"/>
          <w:color w:val="auto"/>
          <w:sz w:val="24"/>
          <w:szCs w:val="24"/>
        </w:rPr>
        <w:t>。</w:t>
      </w:r>
    </w:p>
    <w:p w14:paraId="1CD986E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灰黑色</w:t>
      </w:r>
      <w:r>
        <w:rPr>
          <w:rFonts w:hint="default" w:ascii="Times New Roman" w:hAnsi="Times New Roman" w:eastAsia="宋体" w:cs="Times New Roman"/>
          <w:color w:val="auto"/>
          <w:sz w:val="24"/>
          <w:szCs w:val="24"/>
        </w:rPr>
        <w:t>灰岩</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Ls</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：分布于</w:t>
      </w:r>
      <w:r>
        <w:rPr>
          <w:rFonts w:hint="default" w:ascii="Times New Roman" w:hAnsi="Times New Roman" w:eastAsia="宋体" w:cs="Times New Roman"/>
          <w:color w:val="auto"/>
          <w:sz w:val="24"/>
          <w:szCs w:val="24"/>
          <w:lang w:val="en-US" w:eastAsia="zh-CN"/>
        </w:rPr>
        <w:t>矿区大部分区域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该层总体</w:t>
      </w:r>
      <w:r>
        <w:rPr>
          <w:rFonts w:hint="default" w:ascii="Times New Roman" w:hAnsi="Times New Roman" w:eastAsia="宋体" w:cs="Times New Roman"/>
          <w:color w:val="auto"/>
          <w:sz w:val="24"/>
          <w:szCs w:val="24"/>
        </w:rPr>
        <w:t>产状300°～310°∠62°～78°，厚度约100米。</w:t>
      </w:r>
      <w:r>
        <w:rPr>
          <w:rFonts w:hint="default" w:ascii="Times New Roman" w:hAnsi="Times New Roman" w:eastAsia="宋体" w:cs="Times New Roman"/>
          <w:color w:val="auto"/>
          <w:sz w:val="24"/>
          <w:szCs w:val="24"/>
          <w:lang w:val="en-US" w:eastAsia="zh-CN"/>
        </w:rPr>
        <w:t>矿区东南部该层总体</w:t>
      </w:r>
      <w:r>
        <w:rPr>
          <w:rFonts w:hint="default" w:ascii="Times New Roman" w:hAnsi="Times New Roman" w:eastAsia="宋体" w:cs="Times New Roman"/>
          <w:color w:val="auto"/>
          <w:sz w:val="24"/>
          <w:szCs w:val="24"/>
        </w:rPr>
        <w:t>产状30°～3</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28</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65</w:t>
      </w:r>
      <w:r>
        <w:rPr>
          <w:rFonts w:hint="default" w:ascii="Times New Roman" w:hAnsi="Times New Roman" w:eastAsia="宋体" w:cs="Times New Roman"/>
          <w:color w:val="auto"/>
          <w:sz w:val="24"/>
          <w:szCs w:val="24"/>
        </w:rPr>
        <w:t>°，厚度约</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0</w:t>
      </w:r>
      <w:r>
        <w:rPr>
          <w:rFonts w:hint="default" w:ascii="Times New Roman" w:hAnsi="Times New Roman" w:eastAsia="宋体" w:cs="Times New Roman"/>
          <w:color w:val="auto"/>
          <w:sz w:val="24"/>
          <w:szCs w:val="24"/>
          <w:lang w:val="en-US" w:eastAsia="zh-CN"/>
        </w:rPr>
        <w:t>-75</w:t>
      </w:r>
      <w:r>
        <w:rPr>
          <w:rFonts w:hint="default" w:ascii="Times New Roman" w:hAnsi="Times New Roman" w:eastAsia="宋体" w:cs="Times New Roman"/>
          <w:color w:val="auto"/>
          <w:sz w:val="24"/>
          <w:szCs w:val="24"/>
        </w:rPr>
        <w:t>米</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岩石肉眼观察：呈</w:t>
      </w:r>
      <w:r>
        <w:rPr>
          <w:rFonts w:hint="default" w:ascii="Times New Roman" w:hAnsi="Times New Roman" w:eastAsia="宋体" w:cs="Times New Roman"/>
          <w:color w:val="auto"/>
          <w:sz w:val="24"/>
          <w:szCs w:val="24"/>
          <w:lang w:val="en-US" w:eastAsia="zh-CN"/>
        </w:rPr>
        <w:t>灰黑色</w:t>
      </w:r>
      <w:r>
        <w:rPr>
          <w:rFonts w:hint="default" w:ascii="Times New Roman" w:hAnsi="Times New Roman" w:eastAsia="宋体" w:cs="Times New Roman"/>
          <w:color w:val="auto"/>
          <w:sz w:val="24"/>
          <w:szCs w:val="24"/>
        </w:rPr>
        <w:t>，晶粒状结构，块状构造，岩石矿物成分主要为方解石和少量炭质，滴稀盐酸剧烈起泡。岩石镜下观察：岩石中方解石重结晶程度整体较高，主要由大多数近等轴粒状近平直镶嵌、少数它形粒状不规则镶嵌的方解石组成；黑灰色细条带区它形粒状不规则镶嵌，粒度约0.06—0.2mm±变化，不透明尘点状杂质（判断为炭质，一般小于0.02mm±，聚集状者可达0.1mm±，薄片下无法确定）较多，包裹或晶粒之间分布，尤其沿半定向细密微裂隙群相对集中填充状分布，一方面使岩石变余微层状构造特征明显，另一方面方解石粒度细小杂质偏多使岩石呈黑灰色，整体上按方解石结晶程度属灰岩，但其条带或变余微层细，不占主要。近等轴粒状近平直镶嵌的灰色变余微层占主要，粒度约0.1—0.3mm±变化，相间的灰白色细变余微层中方解石呈等轴粒状平直镶嵌，粒度约0.3—0.6mm±变化，这些变余微层中不透明尘点状杂质（判断为炭质，一般小于0.01mm±，薄片下无法确定）少量到微量。沿裂隙石英脉分布，脉中部石英呈近等轴粒状近平直镶嵌—它形粒状不规则镶嵌，两侧石英呈片柱状近垂直脉壁排布及它形粒状不规则镶嵌，石英粒度在0.03—0.3mm±不均匀随脉的不同而变化，石英脉约占岩石的10%，另外这种裂隙和脉也反映出热液的影响较强。岩石矿物含量方解石85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、尘点状不透明炭质等杂质≤15%。此层易风化呈负地形</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受构造作用影响，</w:t>
      </w:r>
      <w:r>
        <w:rPr>
          <w:rFonts w:hint="default" w:ascii="Times New Roman" w:hAnsi="Times New Roman" w:eastAsia="宋体" w:cs="Times New Roman"/>
          <w:color w:val="auto"/>
          <w:sz w:val="24"/>
          <w:szCs w:val="24"/>
        </w:rPr>
        <w:t>层理面与节理面交织呈棱角状</w:t>
      </w:r>
      <w:r>
        <w:rPr>
          <w:rFonts w:hint="default" w:ascii="Times New Roman" w:hAnsi="Times New Roman" w:eastAsia="宋体" w:cs="Times New Roman"/>
          <w:color w:val="auto"/>
          <w:sz w:val="24"/>
          <w:szCs w:val="24"/>
          <w:lang w:eastAsia="zh-CN"/>
        </w:rPr>
        <w:t>，该套岩性层在与</w:t>
      </w:r>
      <w:r>
        <w:rPr>
          <w:rFonts w:hint="default" w:ascii="Times New Roman" w:hAnsi="Times New Roman" w:eastAsia="宋体" w:cs="Times New Roman"/>
          <w:color w:val="auto"/>
          <w:sz w:val="24"/>
          <w:szCs w:val="24"/>
          <w:lang w:val="en-US" w:eastAsia="zh-CN"/>
        </w:rPr>
        <w:t>中酸性侵入岩体</w:t>
      </w:r>
      <w:r>
        <w:rPr>
          <w:rFonts w:hint="default" w:ascii="Times New Roman" w:hAnsi="Times New Roman" w:eastAsia="宋体" w:cs="Times New Roman"/>
          <w:color w:val="auto"/>
          <w:sz w:val="24"/>
          <w:szCs w:val="24"/>
          <w:lang w:eastAsia="zh-CN"/>
        </w:rPr>
        <w:t>接触部位形成</w:t>
      </w:r>
      <w:r>
        <w:rPr>
          <w:rFonts w:hint="default" w:ascii="Times New Roman" w:hAnsi="Times New Roman" w:eastAsia="宋体" w:cs="Times New Roman"/>
          <w:color w:val="auto"/>
          <w:sz w:val="24"/>
          <w:szCs w:val="24"/>
          <w:lang w:val="en-US" w:eastAsia="zh-CN"/>
        </w:rPr>
        <w:t>较为</w:t>
      </w:r>
      <w:r>
        <w:rPr>
          <w:rFonts w:hint="default" w:ascii="Times New Roman" w:hAnsi="Times New Roman" w:eastAsia="宋体" w:cs="Times New Roman"/>
          <w:color w:val="auto"/>
          <w:sz w:val="24"/>
          <w:szCs w:val="24"/>
          <w:lang w:eastAsia="zh-CN"/>
        </w:rPr>
        <w:t>连续的矽卡岩化，</w:t>
      </w:r>
      <w:r>
        <w:rPr>
          <w:rFonts w:hint="default" w:ascii="Times New Roman" w:hAnsi="Times New Roman" w:eastAsia="宋体" w:cs="Times New Roman"/>
          <w:color w:val="auto"/>
          <w:sz w:val="24"/>
          <w:szCs w:val="24"/>
        </w:rPr>
        <w:t>是该区成矿极有利的围岩</w:t>
      </w:r>
      <w:r>
        <w:rPr>
          <w:rFonts w:hint="default" w:ascii="Times New Roman" w:hAnsi="Times New Roman" w:eastAsia="宋体" w:cs="Times New Roman"/>
          <w:color w:val="auto"/>
          <w:sz w:val="24"/>
          <w:szCs w:val="24"/>
          <w:lang w:eastAsia="zh-CN"/>
        </w:rPr>
        <w:t>。</w:t>
      </w:r>
    </w:p>
    <w:p w14:paraId="6907A46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条带状</w:t>
      </w:r>
      <w:r>
        <w:rPr>
          <w:rFonts w:hint="default" w:ascii="Times New Roman" w:hAnsi="Times New Roman" w:eastAsia="宋体" w:cs="Times New Roman"/>
          <w:color w:val="auto"/>
          <w:sz w:val="24"/>
          <w:szCs w:val="24"/>
        </w:rPr>
        <w:t>大理岩</w:t>
      </w:r>
      <w:r>
        <w:rPr>
          <w:rFonts w:hint="default" w:ascii="Times New Roman" w:hAnsi="Times New Roman" w:eastAsia="宋体" w:cs="Times New Roman"/>
          <w:color w:val="auto"/>
          <w:sz w:val="24"/>
          <w:szCs w:val="24"/>
          <w:lang w:val="en-US" w:eastAsia="zh-CN"/>
        </w:rPr>
        <w:t>化灰岩</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mbls</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主要分布于矿区中部，产状：300°∠65°，厚约50米。岩石肉眼观察：呈灰白色、白色，晶粒状结构，块状、板状构造，矿物成分主要为方解石及极少量绢云母等，滴稀盐酸剧烈起泡。岩石镜下观察：原岩重结晶程度较高，呈近等轴粒状近平直镶嵌的方解石组成，粒度约0.1—1.5mm±，集中于0.3—0.6mm±，整体略有半定向分布特征，细小尘点状不透明杂质（可能炭质，薄片下无法确定），岩石重结晶程度较高，属大理岩。晚期破裂、破碎，尘点状细小不透明混杂集合体状杂质和少量方解石断续填充形成微细脉，呈灰色，少数微裂隙中氧化铁少量填充染色，呈浅褐色。岩石矿物含量方解石≤95</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、碳质、粘土矿物、氧化铁质等杂质≤5</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。由于其成分不纯，结构不致密，与中酸性岩体侵入接触时，极易产生交代蚀变，形成一定规模的含矿矽卡岩，是该区成矿极有利的围岩</w:t>
      </w:r>
      <w:r>
        <w:rPr>
          <w:rFonts w:hint="default" w:ascii="Times New Roman" w:hAnsi="Times New Roman" w:eastAsia="宋体" w:cs="Times New Roman"/>
          <w:color w:val="auto"/>
          <w:sz w:val="24"/>
          <w:szCs w:val="24"/>
          <w:lang w:eastAsia="zh-CN"/>
        </w:rPr>
        <w:t>。</w:t>
      </w:r>
    </w:p>
    <w:p w14:paraId="3DB9E18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（3）白云质大理岩</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dmb</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：岩石呈灰白色、灰色，粒状变晶结构，块状构造。主要由方解石、白云石、白云母和磁铁矿组成。方解石粒状变晶镶嵌在一起，在方解石粒间有白云石以及片状白云母，在方解石之间还有细粒磁铁矿。</w:t>
      </w:r>
    </w:p>
    <w:p w14:paraId="63AC7B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硅化灰岩（sils）：分布于矿区西北部，岩石呈灰白、浅灰色，粒状变晶结构，条带状、网脉状构造。岩石主要矿物为方解石、石英，含少量的炭质、绢云母和褐铁矿。方解石粒状变晶，方解石长轴和层理方向一致，在方解石粒间有粒状石英或石英细脉与层理方向一致，石英局部呈网脉状。沿层理走向有细小的炭质，在方解石之间还有半自形粒状黄铁矿具褐铁矿化，表面见有绢云母集合体。</w:t>
      </w:r>
    </w:p>
    <w:p w14:paraId="52B2459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2、第四系</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Qhpl</w:t>
      </w:r>
      <w:r>
        <w:rPr>
          <w:rFonts w:hint="default" w:ascii="Times New Roman" w:hAnsi="Times New Roman" w:cs="Times New Roman"/>
          <w:color w:val="auto"/>
          <w:sz w:val="24"/>
          <w:szCs w:val="24"/>
          <w:lang w:eastAsia="zh-CN"/>
        </w:rPr>
        <w:t>）</w:t>
      </w:r>
    </w:p>
    <w:p w14:paraId="11BB53B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）全新统冲洪积层（Qhpl）</w:t>
      </w:r>
    </w:p>
    <w:p w14:paraId="3E51A9D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分布于矿区</w:t>
      </w:r>
      <w:r>
        <w:rPr>
          <w:rFonts w:hint="default" w:ascii="Times New Roman" w:hAnsi="Times New Roman" w:eastAsia="宋体" w:cs="Times New Roman"/>
          <w:color w:val="auto"/>
          <w:sz w:val="24"/>
          <w:szCs w:val="24"/>
          <w:lang w:val="en-US" w:eastAsia="zh-CN"/>
        </w:rPr>
        <w:t>北</w:t>
      </w:r>
      <w:r>
        <w:rPr>
          <w:rFonts w:hint="default" w:ascii="Times New Roman" w:hAnsi="Times New Roman" w:eastAsia="宋体" w:cs="Times New Roman"/>
          <w:color w:val="auto"/>
          <w:sz w:val="24"/>
          <w:szCs w:val="24"/>
        </w:rPr>
        <w:t>部、西南部沟谷中，主要由残坡积物、冲洪积物组成，主要成分为砂土、碎石及砂砾石等组成。一般厚度在2～4米，局部可达10米以上。</w:t>
      </w:r>
    </w:p>
    <w:p w14:paraId="35189B1F">
      <w:pPr>
        <w:pStyle w:val="5"/>
        <w:bidi w:val="0"/>
        <w:rPr>
          <w:rFonts w:hint="default" w:ascii="Times New Roman" w:hAnsi="Times New Roman" w:cs="Times New Roman"/>
          <w:color w:val="auto"/>
          <w:lang w:val="en-US" w:eastAsia="zh-CN"/>
        </w:rPr>
      </w:pPr>
      <w:bookmarkStart w:id="469" w:name="_Toc167815376"/>
      <w:bookmarkStart w:id="470" w:name="_Toc1733"/>
      <w:bookmarkStart w:id="471" w:name="_Toc168431018"/>
      <w:bookmarkStart w:id="472" w:name="_Toc155943335"/>
      <w:bookmarkStart w:id="473" w:name="_Toc80792626"/>
      <w:bookmarkStart w:id="474" w:name="_Toc86176414"/>
      <w:bookmarkStart w:id="475" w:name="_Toc235254146"/>
      <w:bookmarkStart w:id="476" w:name="_Toc230430845"/>
      <w:bookmarkStart w:id="477" w:name="_Toc230624772"/>
      <w:bookmarkStart w:id="478" w:name="_Toc257836940"/>
      <w:bookmarkStart w:id="479" w:name="_Toc167814897"/>
      <w:bookmarkStart w:id="480" w:name="_Toc235277170"/>
      <w:bookmarkStart w:id="481" w:name="_Toc235277171"/>
      <w:bookmarkStart w:id="482" w:name="_Toc235254147"/>
      <w:bookmarkStart w:id="483" w:name="_Toc257836941"/>
      <w:bookmarkStart w:id="484" w:name="_Toc230430846"/>
      <w:bookmarkStart w:id="485" w:name="_Toc230624773"/>
      <w:r>
        <w:rPr>
          <w:rFonts w:hint="default" w:ascii="Times New Roman" w:hAnsi="Times New Roman" w:cs="Times New Roman"/>
          <w:color w:val="auto"/>
          <w:lang w:val="en-US" w:eastAsia="zh-CN"/>
        </w:rPr>
        <w:t>4.1.3.2构造</w:t>
      </w:r>
      <w:bookmarkEnd w:id="469"/>
      <w:bookmarkEnd w:id="470"/>
      <w:bookmarkEnd w:id="471"/>
      <w:bookmarkEnd w:id="472"/>
      <w:bookmarkEnd w:id="473"/>
      <w:bookmarkEnd w:id="474"/>
      <w:bookmarkEnd w:id="475"/>
      <w:bookmarkEnd w:id="476"/>
      <w:bookmarkEnd w:id="477"/>
      <w:bookmarkEnd w:id="478"/>
      <w:bookmarkEnd w:id="479"/>
      <w:bookmarkEnd w:id="480"/>
    </w:p>
    <w:p w14:paraId="1759EE3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矿区内目前未发现有大型褶皱和断层。矿区</w:t>
      </w:r>
      <w:r>
        <w:rPr>
          <w:rFonts w:hint="default" w:ascii="Times New Roman" w:hAnsi="Times New Roman" w:eastAsia="宋体" w:cs="Times New Roman"/>
          <w:color w:val="auto"/>
          <w:sz w:val="24"/>
          <w:szCs w:val="24"/>
          <w:lang w:val="en-US" w:eastAsia="zh-CN"/>
        </w:rPr>
        <w:t>西北部及</w:t>
      </w:r>
      <w:r>
        <w:rPr>
          <w:rFonts w:hint="default" w:ascii="Times New Roman" w:hAnsi="Times New Roman" w:eastAsia="宋体" w:cs="Times New Roman"/>
          <w:color w:val="auto"/>
          <w:sz w:val="24"/>
          <w:szCs w:val="24"/>
        </w:rPr>
        <w:t>底部为花岗岩基，</w:t>
      </w:r>
      <w:r>
        <w:rPr>
          <w:rFonts w:hint="default" w:ascii="Times New Roman" w:hAnsi="Times New Roman" w:eastAsia="宋体" w:cs="Times New Roman"/>
          <w:color w:val="auto"/>
          <w:sz w:val="24"/>
          <w:szCs w:val="24"/>
          <w:lang w:val="en-US" w:eastAsia="zh-CN"/>
        </w:rPr>
        <w:t>东部为闪长岩</w:t>
      </w:r>
      <w:r>
        <w:rPr>
          <w:rFonts w:hint="default" w:ascii="Times New Roman" w:hAnsi="Times New Roman" w:eastAsia="宋体" w:cs="Times New Roman"/>
          <w:color w:val="auto"/>
          <w:sz w:val="24"/>
          <w:szCs w:val="24"/>
        </w:rPr>
        <w:t>株</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地表出露的蓟县系卡瓦布拉克岩群（JxKw.）地层</w:t>
      </w:r>
      <w:r>
        <w:rPr>
          <w:rFonts w:hint="default" w:ascii="Times New Roman" w:hAnsi="Times New Roman" w:eastAsia="宋体" w:cs="Times New Roman"/>
          <w:color w:val="auto"/>
          <w:sz w:val="24"/>
          <w:szCs w:val="24"/>
          <w:lang w:val="en-US" w:eastAsia="zh-CN"/>
        </w:rPr>
        <w:t>受侵入岩侵入挤压，</w:t>
      </w:r>
      <w:r>
        <w:rPr>
          <w:rFonts w:hint="default" w:ascii="Times New Roman" w:hAnsi="Times New Roman" w:eastAsia="宋体" w:cs="Times New Roman"/>
          <w:color w:val="auto"/>
          <w:sz w:val="24"/>
          <w:szCs w:val="24"/>
        </w:rPr>
        <w:t>整个地层抬升、剥蚀后，地表形成不连续的卡瓦布拉克岩群残留体。通过钻探工程，目前已基本掌握地层与岩体的形态，多为“托盘”式特征</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即</w:t>
      </w:r>
      <w:r>
        <w:rPr>
          <w:rFonts w:hint="default" w:ascii="Times New Roman" w:hAnsi="Times New Roman" w:eastAsia="宋体" w:cs="Times New Roman"/>
          <w:color w:val="auto"/>
          <w:sz w:val="24"/>
          <w:szCs w:val="24"/>
        </w:rPr>
        <w:t>蓟县系卡瓦布拉克岩群（JxKw.）地层</w:t>
      </w:r>
      <w:r>
        <w:rPr>
          <w:rFonts w:hint="default" w:ascii="Times New Roman" w:hAnsi="Times New Roman" w:eastAsia="宋体" w:cs="Times New Roman"/>
          <w:color w:val="auto"/>
          <w:sz w:val="24"/>
          <w:szCs w:val="24"/>
          <w:lang w:val="en-US" w:eastAsia="zh-CN"/>
        </w:rPr>
        <w:t>覆盖在中酸性侵入岩体之上。</w:t>
      </w:r>
    </w:p>
    <w:p w14:paraId="6EB333F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、褶皱构造</w:t>
      </w:r>
    </w:p>
    <w:p w14:paraId="6D5A24D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矿区位于白虎关北山背斜的南翼，褶皱构造较复杂。矿区北部及中部总体</w:t>
      </w:r>
      <w:r>
        <w:rPr>
          <w:rFonts w:hint="default" w:ascii="Times New Roman" w:hAnsi="Times New Roman" w:eastAsia="宋体" w:cs="Times New Roman"/>
          <w:color w:val="auto"/>
          <w:sz w:val="24"/>
          <w:szCs w:val="24"/>
        </w:rPr>
        <w:t>表现为</w:t>
      </w:r>
      <w:r>
        <w:rPr>
          <w:rFonts w:hint="default" w:ascii="Times New Roman" w:hAnsi="Times New Roman" w:eastAsia="宋体" w:cs="Times New Roman"/>
          <w:color w:val="auto"/>
          <w:sz w:val="24"/>
          <w:szCs w:val="24"/>
          <w:lang w:val="en-US" w:eastAsia="zh-CN"/>
        </w:rPr>
        <w:t>北西倾斜的</w:t>
      </w:r>
      <w:r>
        <w:rPr>
          <w:rFonts w:hint="default" w:ascii="Times New Roman" w:hAnsi="Times New Roman" w:eastAsia="宋体" w:cs="Times New Roman"/>
          <w:color w:val="auto"/>
          <w:sz w:val="24"/>
          <w:szCs w:val="24"/>
        </w:rPr>
        <w:t>单斜构造</w:t>
      </w:r>
      <w:r>
        <w:rPr>
          <w:rFonts w:hint="default" w:ascii="Times New Roman" w:hAnsi="Times New Roman" w:eastAsia="宋体" w:cs="Times New Roman"/>
          <w:color w:val="auto"/>
          <w:sz w:val="24"/>
          <w:szCs w:val="24"/>
          <w:lang w:val="en-US" w:eastAsia="zh-CN"/>
        </w:rPr>
        <w:t>，倾角45°-75°不等。矿区东南部受构造及岩体影响，变化较大。总体为北西-南东走向的单斜构造，在203线附近为略向南西倾斜的舒缓小型背斜构造，白云质大理岩为其核部，条带状大理岩、灰黑色含炭结晶灰岩为其两翼，203线-207线以西表现为向南西倾斜的单斜构造，倾角30°-65°不等，在200线以东表现为向北东倾斜的单斜构造，倾角60-65°，</w:t>
      </w:r>
      <w:r>
        <w:rPr>
          <w:rFonts w:hint="default" w:ascii="Times New Roman" w:hAnsi="Times New Roman" w:eastAsia="宋体" w:cs="Times New Roman"/>
          <w:color w:val="auto"/>
          <w:sz w:val="24"/>
          <w:szCs w:val="24"/>
        </w:rPr>
        <w:t>局部</w:t>
      </w:r>
      <w:r>
        <w:rPr>
          <w:rFonts w:hint="default" w:ascii="Times New Roman" w:hAnsi="Times New Roman" w:eastAsia="宋体" w:cs="Times New Roman"/>
          <w:color w:val="auto"/>
          <w:sz w:val="24"/>
          <w:szCs w:val="24"/>
          <w:lang w:val="en-US" w:eastAsia="zh-CN"/>
        </w:rPr>
        <w:t>倒转，并</w:t>
      </w:r>
      <w:r>
        <w:rPr>
          <w:rFonts w:hint="default" w:ascii="Times New Roman" w:hAnsi="Times New Roman" w:eastAsia="宋体" w:cs="Times New Roman"/>
          <w:color w:val="auto"/>
          <w:sz w:val="24"/>
          <w:szCs w:val="24"/>
        </w:rPr>
        <w:t>可见牵引小褶皱</w:t>
      </w:r>
      <w:r>
        <w:rPr>
          <w:rFonts w:hint="default" w:ascii="Times New Roman" w:hAnsi="Times New Roman" w:eastAsia="宋体" w:cs="Times New Roman"/>
          <w:color w:val="auto"/>
          <w:sz w:val="24"/>
          <w:szCs w:val="24"/>
          <w:lang w:eastAsia="zh-CN"/>
        </w:rPr>
        <w:t>。</w:t>
      </w:r>
    </w:p>
    <w:p w14:paraId="4095E7C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、断裂构造</w:t>
      </w:r>
    </w:p>
    <w:p w14:paraId="2D17310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矿区</w:t>
      </w:r>
      <w:r>
        <w:rPr>
          <w:rFonts w:hint="default" w:ascii="Times New Roman" w:hAnsi="Times New Roman" w:eastAsia="宋体" w:cs="Times New Roman"/>
          <w:color w:val="auto"/>
          <w:sz w:val="24"/>
          <w:szCs w:val="24"/>
          <w:lang w:val="en-US" w:eastAsia="zh-CN"/>
        </w:rPr>
        <w:t>处区域性次一级逆冲推覆构造、逆断层以西，矿区内侵入岩体广泛发育，占出露面积的60%以上。受区域性构造作用及侵入岩体的影响，</w:t>
      </w:r>
      <w:r>
        <w:rPr>
          <w:rFonts w:hint="default" w:ascii="Times New Roman" w:hAnsi="Times New Roman" w:eastAsia="宋体" w:cs="Times New Roman"/>
          <w:color w:val="auto"/>
          <w:sz w:val="24"/>
          <w:szCs w:val="24"/>
        </w:rPr>
        <w:t>矿区内小的张性断裂构造特别是节理裂隙构造比较发育</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地层中</w:t>
      </w:r>
      <w:r>
        <w:rPr>
          <w:rFonts w:hint="default" w:ascii="Times New Roman" w:hAnsi="Times New Roman" w:eastAsia="宋体" w:cs="Times New Roman"/>
          <w:color w:val="auto"/>
          <w:sz w:val="24"/>
          <w:szCs w:val="24"/>
          <w:lang w:eastAsia="zh-CN"/>
        </w:rPr>
        <w:t>发育断续片理、劈理化，</w:t>
      </w:r>
      <w:r>
        <w:rPr>
          <w:rFonts w:hint="default" w:ascii="Times New Roman" w:hAnsi="Times New Roman" w:eastAsia="宋体" w:cs="Times New Roman"/>
          <w:color w:val="auto"/>
          <w:sz w:val="24"/>
          <w:szCs w:val="24"/>
          <w:lang w:val="en-US" w:eastAsia="zh-CN"/>
        </w:rPr>
        <w:t>与地层走向基本一致</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在侵入岩体附近，“X”型的节理构造发育，沿节理裂隙充填有矽卡岩、石英脉等。这些张性的断裂构造是本区主要的含矿构造。</w:t>
      </w:r>
    </w:p>
    <w:bookmarkEnd w:id="481"/>
    <w:bookmarkEnd w:id="482"/>
    <w:bookmarkEnd w:id="483"/>
    <w:bookmarkEnd w:id="484"/>
    <w:bookmarkEnd w:id="485"/>
    <w:p w14:paraId="014F21E1">
      <w:pPr>
        <w:pStyle w:val="5"/>
        <w:bidi w:val="0"/>
        <w:rPr>
          <w:rFonts w:hint="default" w:ascii="Times New Roman" w:hAnsi="Times New Roman" w:cs="Times New Roman"/>
          <w:color w:val="auto"/>
          <w:lang w:val="en-US" w:eastAsia="zh-CN"/>
        </w:rPr>
      </w:pPr>
      <w:bookmarkStart w:id="486" w:name="_Toc86176420"/>
      <w:bookmarkStart w:id="487" w:name="_Toc24139"/>
      <w:bookmarkStart w:id="488" w:name="_Toc80792627"/>
      <w:r>
        <w:rPr>
          <w:rFonts w:hint="default" w:ascii="Times New Roman" w:hAnsi="Times New Roman" w:cs="Times New Roman"/>
          <w:color w:val="auto"/>
          <w:lang w:val="en-US" w:eastAsia="zh-CN"/>
        </w:rPr>
        <w:t>4.1.3.3岩浆岩</w:t>
      </w:r>
      <w:bookmarkEnd w:id="486"/>
      <w:bookmarkEnd w:id="487"/>
      <w:bookmarkEnd w:id="488"/>
    </w:p>
    <w:p w14:paraId="33D01F9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区内岩浆活动频繁，以岩浆侵入活动为主，主要为中—酸性岩类，多为华力西中期的产物。岩体蚀变分带特征不明显。岩性主要为</w:t>
      </w:r>
      <w:bookmarkStart w:id="489" w:name="OLE_LINK4"/>
      <w:r>
        <w:rPr>
          <w:rFonts w:hint="default" w:ascii="Times New Roman" w:hAnsi="Times New Roman" w:eastAsia="宋体" w:cs="Times New Roman"/>
          <w:color w:val="auto"/>
          <w:sz w:val="24"/>
          <w:szCs w:val="24"/>
        </w:rPr>
        <w:t>晚石炭世二长花岗岩（ηγC2）、</w:t>
      </w:r>
      <w:bookmarkEnd w:id="489"/>
      <w:r>
        <w:rPr>
          <w:rFonts w:hint="default" w:ascii="Times New Roman" w:hAnsi="Times New Roman" w:eastAsia="宋体" w:cs="Times New Roman"/>
          <w:color w:val="auto"/>
          <w:sz w:val="24"/>
          <w:szCs w:val="24"/>
        </w:rPr>
        <w:t>晚石炭世花岗闪长岩（γδC2）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晚石炭世闪长岩（δC2）等，呈岩株、岩基状产出。脉岩不甚发育，仅见有少量石英脉。在岩体接触带</w:t>
      </w:r>
      <w:r>
        <w:rPr>
          <w:rFonts w:hint="default" w:ascii="Times New Roman" w:hAnsi="Times New Roman" w:eastAsia="宋体" w:cs="Times New Roman"/>
          <w:color w:val="auto"/>
          <w:sz w:val="24"/>
          <w:szCs w:val="24"/>
          <w:lang w:val="en-US" w:eastAsia="zh-CN"/>
        </w:rPr>
        <w:t>受接触交代作用</w:t>
      </w:r>
      <w:r>
        <w:rPr>
          <w:rFonts w:hint="default" w:ascii="Times New Roman" w:hAnsi="Times New Roman" w:eastAsia="宋体" w:cs="Times New Roman"/>
          <w:color w:val="auto"/>
          <w:sz w:val="24"/>
          <w:szCs w:val="24"/>
        </w:rPr>
        <w:t>局部地段</w:t>
      </w:r>
      <w:r>
        <w:rPr>
          <w:rFonts w:hint="default" w:ascii="Times New Roman" w:hAnsi="Times New Roman" w:eastAsia="宋体" w:cs="Times New Roman"/>
          <w:color w:val="auto"/>
          <w:sz w:val="24"/>
          <w:szCs w:val="24"/>
          <w:lang w:val="en-US" w:eastAsia="zh-CN"/>
        </w:rPr>
        <w:t>形成</w:t>
      </w:r>
      <w:r>
        <w:rPr>
          <w:rFonts w:hint="default" w:ascii="Times New Roman" w:hAnsi="Times New Roman" w:eastAsia="宋体" w:cs="Times New Roman"/>
          <w:color w:val="auto"/>
          <w:sz w:val="24"/>
          <w:szCs w:val="24"/>
        </w:rPr>
        <w:t>矽卡岩。</w:t>
      </w:r>
      <w:r>
        <w:rPr>
          <w:rFonts w:hint="default" w:ascii="Times New Roman" w:hAnsi="Times New Roman" w:eastAsia="宋体" w:cs="Times New Roman"/>
          <w:color w:val="auto"/>
          <w:sz w:val="24"/>
          <w:szCs w:val="24"/>
          <w:lang w:val="en-US" w:eastAsia="zh-CN"/>
        </w:rPr>
        <w:t>侵入岩与围岩的接触界面清晰，接触关系为侵入接触。现由老到新分述如下：</w:t>
      </w:r>
    </w:p>
    <w:p w14:paraId="495D5FD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晚石炭世闪长岩（δC2）</w:t>
      </w:r>
      <w:r>
        <w:rPr>
          <w:rFonts w:hint="eastAsia" w:ascii="Times New Roman" w:hAnsi="Times New Roman" w:cs="Times New Roman"/>
          <w:color w:val="auto"/>
          <w:sz w:val="24"/>
          <w:szCs w:val="24"/>
          <w:lang w:eastAsia="zh-CN"/>
        </w:rPr>
        <w:t>：</w:t>
      </w:r>
    </w:p>
    <w:p w14:paraId="5CFBBFD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主要</w:t>
      </w:r>
      <w:r>
        <w:rPr>
          <w:rFonts w:hint="default" w:ascii="Times New Roman" w:hAnsi="Times New Roman" w:eastAsia="宋体" w:cs="Times New Roman"/>
          <w:color w:val="auto"/>
          <w:sz w:val="24"/>
          <w:szCs w:val="24"/>
        </w:rPr>
        <w:t>分布</w:t>
      </w:r>
      <w:r>
        <w:rPr>
          <w:rFonts w:hint="default" w:ascii="Times New Roman" w:hAnsi="Times New Roman" w:eastAsia="宋体" w:cs="Times New Roman"/>
          <w:color w:val="auto"/>
          <w:sz w:val="24"/>
          <w:szCs w:val="24"/>
          <w:lang w:val="en-US" w:eastAsia="zh-CN"/>
        </w:rPr>
        <w:t>在核实区东</w:t>
      </w:r>
      <w:r>
        <w:rPr>
          <w:rFonts w:hint="default" w:ascii="Times New Roman" w:hAnsi="Times New Roman" w:eastAsia="宋体" w:cs="Times New Roman"/>
          <w:color w:val="auto"/>
          <w:sz w:val="24"/>
          <w:szCs w:val="24"/>
        </w:rPr>
        <w:t>部，出露面积</w:t>
      </w:r>
      <w:r>
        <w:rPr>
          <w:rFonts w:hint="default" w:ascii="Times New Roman" w:hAnsi="Times New Roman" w:eastAsia="宋体" w:cs="Times New Roman"/>
          <w:color w:val="auto"/>
          <w:sz w:val="24"/>
          <w:szCs w:val="24"/>
          <w:lang w:val="en-US" w:eastAsia="zh-CN"/>
        </w:rPr>
        <w:t>约0.65</w:t>
      </w:r>
      <w:r>
        <w:rPr>
          <w:rFonts w:hint="default" w:ascii="Times New Roman" w:hAnsi="Times New Roman" w:eastAsia="宋体" w:cs="Times New Roman"/>
          <w:color w:val="auto"/>
          <w:sz w:val="24"/>
          <w:szCs w:val="24"/>
        </w:rPr>
        <w:t>Km2，</w:t>
      </w:r>
      <w:r>
        <w:rPr>
          <w:rFonts w:hint="default" w:ascii="Times New Roman" w:hAnsi="Times New Roman" w:eastAsia="宋体" w:cs="Times New Roman"/>
          <w:color w:val="auto"/>
          <w:sz w:val="24"/>
          <w:szCs w:val="24"/>
          <w:lang w:val="en-US" w:eastAsia="zh-CN"/>
        </w:rPr>
        <w:t>占核实区总面积的23.96%，向东沿出矿界。</w:t>
      </w:r>
      <w:r>
        <w:rPr>
          <w:rFonts w:hint="default" w:ascii="Times New Roman" w:hAnsi="Times New Roman" w:eastAsia="宋体" w:cs="Times New Roman"/>
          <w:color w:val="auto"/>
          <w:sz w:val="24"/>
          <w:szCs w:val="24"/>
        </w:rPr>
        <w:t>主要侵入卡瓦布拉克群</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呈</w:t>
      </w:r>
      <w:r>
        <w:rPr>
          <w:rFonts w:hint="default" w:ascii="Times New Roman" w:hAnsi="Times New Roman" w:eastAsia="宋体" w:cs="Times New Roman"/>
          <w:color w:val="auto"/>
          <w:sz w:val="24"/>
          <w:szCs w:val="24"/>
        </w:rPr>
        <w:t>灰绿色、</w:t>
      </w:r>
      <w:r>
        <w:rPr>
          <w:rFonts w:hint="default" w:ascii="Times New Roman" w:hAnsi="Times New Roman" w:eastAsia="宋体" w:cs="Times New Roman"/>
          <w:color w:val="auto"/>
          <w:sz w:val="24"/>
          <w:szCs w:val="24"/>
          <w:lang w:val="en-US" w:eastAsia="zh-CN"/>
        </w:rPr>
        <w:t>半自</w:t>
      </w:r>
      <w:r>
        <w:rPr>
          <w:rFonts w:hint="eastAsia" w:ascii="Times New Roman" w:hAnsi="Times New Roman" w:cs="Times New Roman"/>
          <w:color w:val="auto"/>
          <w:sz w:val="24"/>
          <w:szCs w:val="24"/>
          <w:lang w:val="en-US" w:eastAsia="zh-CN"/>
        </w:rPr>
        <w:t>形</w:t>
      </w:r>
      <w:r>
        <w:rPr>
          <w:rFonts w:hint="default" w:ascii="Times New Roman" w:hAnsi="Times New Roman" w:eastAsia="宋体" w:cs="Times New Roman"/>
          <w:color w:val="auto"/>
          <w:sz w:val="24"/>
          <w:szCs w:val="24"/>
          <w:lang w:val="en-US" w:eastAsia="zh-CN"/>
        </w:rPr>
        <w:t>粒状</w:t>
      </w:r>
      <w:r>
        <w:rPr>
          <w:rFonts w:hint="default" w:ascii="Times New Roman" w:hAnsi="Times New Roman" w:eastAsia="宋体" w:cs="Times New Roman"/>
          <w:color w:val="auto"/>
          <w:sz w:val="24"/>
          <w:szCs w:val="24"/>
        </w:rPr>
        <w:t>结构、块状构造。</w:t>
      </w:r>
      <w:r>
        <w:rPr>
          <w:rFonts w:hint="default" w:ascii="Times New Roman" w:hAnsi="Times New Roman" w:eastAsia="宋体" w:cs="Times New Roman"/>
          <w:color w:val="auto"/>
          <w:sz w:val="24"/>
          <w:szCs w:val="24"/>
          <w:lang w:val="en-US" w:eastAsia="zh-CN"/>
        </w:rPr>
        <w:t>主要</w:t>
      </w:r>
      <w:r>
        <w:rPr>
          <w:rFonts w:hint="default" w:ascii="Times New Roman" w:hAnsi="Times New Roman" w:eastAsia="宋体" w:cs="Times New Roman"/>
          <w:color w:val="auto"/>
          <w:sz w:val="24"/>
          <w:szCs w:val="24"/>
        </w:rPr>
        <w:t>由斜长石、</w:t>
      </w:r>
      <w:r>
        <w:rPr>
          <w:rFonts w:hint="default" w:ascii="Times New Roman" w:hAnsi="Times New Roman" w:eastAsia="宋体" w:cs="Times New Roman"/>
          <w:color w:val="auto"/>
          <w:sz w:val="24"/>
          <w:szCs w:val="24"/>
          <w:lang w:val="en-US" w:eastAsia="zh-CN"/>
        </w:rPr>
        <w:t>角闪石、</w:t>
      </w:r>
      <w:r>
        <w:rPr>
          <w:rFonts w:hint="default" w:ascii="Times New Roman" w:hAnsi="Times New Roman" w:eastAsia="宋体" w:cs="Times New Roman"/>
          <w:color w:val="auto"/>
          <w:sz w:val="24"/>
          <w:szCs w:val="24"/>
        </w:rPr>
        <w:t>黑云母组成</w:t>
      </w:r>
      <w:r>
        <w:rPr>
          <w:rFonts w:hint="eastAsia" w:ascii="Times New Roman" w:hAnsi="Times New Roman" w:cs="Times New Roman"/>
          <w:color w:val="auto"/>
          <w:sz w:val="24"/>
          <w:szCs w:val="24"/>
          <w:lang w:eastAsia="zh-CN"/>
        </w:rPr>
        <w:t>且</w:t>
      </w:r>
      <w:r>
        <w:rPr>
          <w:rFonts w:hint="default" w:ascii="Times New Roman" w:hAnsi="Times New Roman" w:eastAsia="宋体" w:cs="Times New Roman"/>
          <w:color w:val="auto"/>
          <w:sz w:val="24"/>
          <w:szCs w:val="24"/>
        </w:rPr>
        <w:t>分布有少量石英</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其中斜长石含量约为60%左右，角闪石和暗色矿约占20-25%左右，石英占5-10%左右，暗色矿物定向排列较为明显</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其中</w:t>
      </w:r>
      <w:r>
        <w:rPr>
          <w:rFonts w:hint="default" w:ascii="Times New Roman" w:hAnsi="Times New Roman" w:eastAsia="宋体" w:cs="Times New Roman"/>
          <w:color w:val="auto"/>
          <w:sz w:val="24"/>
          <w:szCs w:val="24"/>
        </w:rPr>
        <w:t>。在该岩体边部和地层接触带附近形成有大量的矽卡岩，</w:t>
      </w:r>
      <w:r>
        <w:rPr>
          <w:rFonts w:hint="default" w:ascii="Times New Roman" w:hAnsi="Times New Roman" w:eastAsia="宋体" w:cs="Times New Roman"/>
          <w:color w:val="auto"/>
          <w:sz w:val="24"/>
          <w:szCs w:val="24"/>
          <w:lang w:eastAsia="zh-CN"/>
        </w:rPr>
        <w:t>铜</w:t>
      </w:r>
      <w:r>
        <w:rPr>
          <w:rFonts w:hint="default" w:ascii="Times New Roman" w:hAnsi="Times New Roman" w:eastAsia="宋体" w:cs="Times New Roman"/>
          <w:color w:val="auto"/>
          <w:sz w:val="24"/>
          <w:szCs w:val="24"/>
        </w:rPr>
        <w:t>矿的形成与其有关。</w:t>
      </w:r>
    </w:p>
    <w:p w14:paraId="035E27E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、晚石炭世花岗闪长岩（γδC2）：主要分布于</w:t>
      </w:r>
      <w:r>
        <w:rPr>
          <w:rFonts w:hint="default" w:ascii="Times New Roman" w:hAnsi="Times New Roman" w:eastAsia="宋体" w:cs="Times New Roman"/>
          <w:color w:val="auto"/>
          <w:sz w:val="24"/>
          <w:szCs w:val="24"/>
          <w:lang w:val="en-US" w:eastAsia="zh-CN"/>
        </w:rPr>
        <w:t>核实</w:t>
      </w:r>
      <w:r>
        <w:rPr>
          <w:rFonts w:hint="default" w:ascii="Times New Roman" w:hAnsi="Times New Roman" w:eastAsia="宋体" w:cs="Times New Roman"/>
          <w:color w:val="auto"/>
          <w:sz w:val="24"/>
          <w:szCs w:val="24"/>
        </w:rPr>
        <w:t>区的</w:t>
      </w:r>
      <w:r>
        <w:rPr>
          <w:rFonts w:hint="default" w:ascii="Times New Roman" w:hAnsi="Times New Roman" w:eastAsia="宋体" w:cs="Times New Roman"/>
          <w:color w:val="auto"/>
          <w:sz w:val="24"/>
          <w:szCs w:val="24"/>
          <w:lang w:val="en-US" w:eastAsia="zh-CN"/>
        </w:rPr>
        <w:t>南</w:t>
      </w:r>
      <w:r>
        <w:rPr>
          <w:rFonts w:hint="default" w:ascii="Times New Roman" w:hAnsi="Times New Roman" w:eastAsia="宋体" w:cs="Times New Roman"/>
          <w:color w:val="auto"/>
          <w:sz w:val="24"/>
          <w:szCs w:val="24"/>
        </w:rPr>
        <w:t>部</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出露面积约</w:t>
      </w:r>
      <w:r>
        <w:rPr>
          <w:rFonts w:hint="default" w:ascii="Times New Roman" w:hAnsi="Times New Roman" w:eastAsia="宋体" w:cs="Times New Roman"/>
          <w:color w:val="auto"/>
          <w:sz w:val="24"/>
          <w:szCs w:val="24"/>
          <w:lang w:val="en-US" w:eastAsia="zh-CN"/>
        </w:rPr>
        <w:t>0.09</w:t>
      </w:r>
      <w:r>
        <w:rPr>
          <w:rFonts w:hint="default" w:ascii="Times New Roman" w:hAnsi="Times New Roman" w:eastAsia="宋体" w:cs="Times New Roman"/>
          <w:color w:val="auto"/>
          <w:sz w:val="24"/>
          <w:szCs w:val="24"/>
        </w:rPr>
        <w:t>Km2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占核实区总面积的3.32%，向南沿出矿界</w:t>
      </w:r>
      <w:r>
        <w:rPr>
          <w:rFonts w:hint="default" w:ascii="Times New Roman" w:hAnsi="Times New Roman" w:eastAsia="宋体" w:cs="Times New Roman"/>
          <w:color w:val="auto"/>
          <w:sz w:val="24"/>
          <w:szCs w:val="24"/>
        </w:rPr>
        <w:t>。岩石镜下观察：主要由黑云母、斜长石、</w:t>
      </w:r>
      <w:r>
        <w:rPr>
          <w:rFonts w:hint="default" w:ascii="Times New Roman" w:hAnsi="Times New Roman" w:eastAsia="宋体" w:cs="Times New Roman"/>
          <w:color w:val="auto"/>
          <w:sz w:val="24"/>
          <w:szCs w:val="24"/>
          <w:lang w:val="en-US" w:eastAsia="zh-CN"/>
        </w:rPr>
        <w:t>钾</w:t>
      </w:r>
      <w:r>
        <w:rPr>
          <w:rFonts w:hint="default" w:ascii="Times New Roman" w:hAnsi="Times New Roman" w:eastAsia="宋体" w:cs="Times New Roman"/>
          <w:color w:val="auto"/>
          <w:sz w:val="24"/>
          <w:szCs w:val="24"/>
        </w:rPr>
        <w:t>长石</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角闪石</w:t>
      </w:r>
      <w:r>
        <w:rPr>
          <w:rFonts w:hint="default" w:ascii="Times New Roman" w:hAnsi="Times New Roman" w:eastAsia="宋体" w:cs="Times New Roman"/>
          <w:color w:val="auto"/>
          <w:sz w:val="24"/>
          <w:szCs w:val="24"/>
        </w:rPr>
        <w:t>及石英组成；岩石局部遭受较强烈应力作用破裂、破碎，破碎区原岩结构遭到弱破坏。主要矿物斜长石宽板状，黑云母大致片状，正长石、石英呈它形粒状，主要矿物粒度大多在0.2－1.2mm±，形成较特征的细粒花岗结构。黑云母个别见片状，零星分布于斜长石等空隙间，粒度大多在0.2－1mm±，已被细小纤维状集合体绿泥石、少量磁铁矿等或白云母等取代，多有变形；斜长石，宽板状、个别板状，很少见聚片双晶，多数部分隐约可见或残缺，判断成分以更长石为主，一般有大量次生物细小绢云母、少量到微量碳酸盐、粘土、隐晶状帘石等不均匀分布或覆盖，个别隐约可见次生物不均匀分布显示的环带结构，粒度大多在0.3－1.2mm±；正长石，它形，仅有微量高岭土等次生物，出现于斜长石空隙中或边缘，接触处对斜长石弱交代略有钠长石反应，个别与石英不规则镶嵌分布，粒度大多在0.3－0.6mm±。石英，它</w:t>
      </w:r>
      <w:r>
        <w:rPr>
          <w:rFonts w:hint="eastAsia" w:ascii="Times New Roman" w:hAnsi="Times New Roman" w:cs="Times New Roman"/>
          <w:color w:val="auto"/>
          <w:sz w:val="24"/>
          <w:szCs w:val="24"/>
          <w:lang w:eastAsia="zh-CN"/>
        </w:rPr>
        <w:t>呈</w:t>
      </w:r>
      <w:r>
        <w:rPr>
          <w:rFonts w:hint="default" w:ascii="Times New Roman" w:hAnsi="Times New Roman" w:eastAsia="宋体" w:cs="Times New Roman"/>
          <w:color w:val="auto"/>
          <w:sz w:val="24"/>
          <w:szCs w:val="24"/>
        </w:rPr>
        <w:t>粒状，透明洁净，分布不均匀，局部零星或碎粒聚集状分布，粒度大多在0.3－1.5mm±。矿物含量黑云母</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、斜长石</w:t>
      </w:r>
      <w:r>
        <w:rPr>
          <w:rFonts w:hint="default" w:ascii="Times New Roman" w:hAnsi="Times New Roman" w:eastAsia="宋体" w:cs="Times New Roman"/>
          <w:color w:val="auto"/>
          <w:sz w:val="24"/>
          <w:szCs w:val="24"/>
          <w:lang w:val="en-US" w:eastAsia="zh-CN"/>
        </w:rPr>
        <w:t>45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钾</w:t>
      </w:r>
      <w:r>
        <w:rPr>
          <w:rFonts w:hint="default" w:ascii="Times New Roman" w:hAnsi="Times New Roman" w:eastAsia="宋体" w:cs="Times New Roman"/>
          <w:color w:val="auto"/>
          <w:sz w:val="24"/>
          <w:szCs w:val="24"/>
        </w:rPr>
        <w:t>长石</w:t>
      </w:r>
      <w:bookmarkStart w:id="490" w:name="OLE_LINK2"/>
      <w:r>
        <w:rPr>
          <w:rFonts w:hint="default" w:ascii="Times New Roman" w:hAnsi="Times New Roman" w:eastAsia="宋体" w:cs="Times New Roman"/>
          <w:color w:val="auto"/>
          <w:sz w:val="24"/>
          <w:szCs w:val="24"/>
          <w:lang w:val="en-US" w:eastAsia="zh-CN"/>
        </w:rPr>
        <w:t>15</w:t>
      </w:r>
      <w:bookmarkEnd w:id="490"/>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、石英2</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角闪石约15%</w:t>
      </w:r>
      <w:r>
        <w:rPr>
          <w:rFonts w:hint="default" w:ascii="Times New Roman" w:hAnsi="Times New Roman" w:eastAsia="宋体" w:cs="Times New Roman"/>
          <w:color w:val="auto"/>
          <w:sz w:val="24"/>
          <w:szCs w:val="24"/>
        </w:rPr>
        <w:t>。在该岩体边部和地层接触带附近形成有大量的矽卡岩，铜矿的形成与其有关</w:t>
      </w:r>
      <w:r>
        <w:rPr>
          <w:rFonts w:hint="default" w:ascii="Times New Roman" w:hAnsi="Times New Roman" w:eastAsia="宋体" w:cs="Times New Roman"/>
          <w:color w:val="auto"/>
          <w:sz w:val="24"/>
          <w:szCs w:val="24"/>
          <w:lang w:eastAsia="zh-CN"/>
        </w:rPr>
        <w:t>。</w:t>
      </w:r>
    </w:p>
    <w:p w14:paraId="04F902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晚石炭世</w:t>
      </w:r>
      <w:r>
        <w:rPr>
          <w:rFonts w:hint="default" w:ascii="Times New Roman" w:hAnsi="Times New Roman" w:eastAsia="宋体" w:cs="Times New Roman"/>
          <w:color w:val="auto"/>
          <w:sz w:val="24"/>
          <w:szCs w:val="24"/>
        </w:rPr>
        <w:t>二长花岗岩（ηγC2）：主要分布在矿区中西部，</w:t>
      </w:r>
      <w:r>
        <w:rPr>
          <w:rFonts w:hint="default" w:ascii="Times New Roman" w:hAnsi="Times New Roman" w:eastAsia="宋体" w:cs="Times New Roman"/>
          <w:color w:val="auto"/>
          <w:sz w:val="24"/>
          <w:szCs w:val="24"/>
          <w:lang w:val="en-US" w:eastAsia="zh-CN"/>
        </w:rPr>
        <w:t>北部及西部零星出露，</w:t>
      </w:r>
      <w:r>
        <w:rPr>
          <w:rFonts w:hint="default" w:ascii="Times New Roman" w:hAnsi="Times New Roman" w:eastAsia="宋体" w:cs="Times New Roman"/>
          <w:color w:val="auto"/>
          <w:sz w:val="24"/>
          <w:szCs w:val="24"/>
        </w:rPr>
        <w:t>出露面积约</w:t>
      </w:r>
      <w:r>
        <w:rPr>
          <w:rFonts w:hint="default" w:ascii="Times New Roman" w:hAnsi="Times New Roman" w:eastAsia="宋体" w:cs="Times New Roman"/>
          <w:color w:val="auto"/>
          <w:sz w:val="24"/>
          <w:szCs w:val="24"/>
          <w:lang w:val="en-US" w:eastAsia="zh-CN"/>
        </w:rPr>
        <w:t>0.75</w:t>
      </w:r>
      <w:r>
        <w:rPr>
          <w:rFonts w:hint="default" w:ascii="Times New Roman" w:hAnsi="Times New Roman" w:eastAsia="宋体" w:cs="Times New Roman"/>
          <w:color w:val="auto"/>
          <w:sz w:val="24"/>
          <w:szCs w:val="24"/>
        </w:rPr>
        <w:t>Km2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占核实区总面积的27.64%。经</w:t>
      </w:r>
      <w:r>
        <w:rPr>
          <w:rFonts w:hint="default" w:ascii="Times New Roman" w:hAnsi="Times New Roman" w:eastAsia="宋体" w:cs="Times New Roman"/>
          <w:color w:val="auto"/>
          <w:sz w:val="24"/>
          <w:szCs w:val="24"/>
        </w:rPr>
        <w:t>岩石镜下观察：岩石主要由黑云母、斜长石、正长石及石英等组成。主要矿物黑云母大致片状，斜长石宽板状，正长石、石英呈它形粒状，主要矿物长石粒度大多集中在0.3－1.5mm±，形成较特征的细粒花岗结构。黑云母，片状，已变形，个别呈半透明蚀变物混杂集合体状，一般已被细小鳞片状白云母、少量磁铁矿等取代，粒度大多在0.3－0.5×1mm±。斜长石，宽板状、个别板状，个别次生物偏少者隐约可见残缺聚片双晶，多数不很清楚，判断成分以更长石为主，一般有大量次生物细小绢云母混杂少量细小碳酸盐集合体、微量隐晶状帘石集合体、粘土等分布或覆盖，少数中部次生物更多分布显示成分变化的环带结构，粒度大多在0.3－1.2×1.5mm±，偏小者一般为被正长石包裹并交代者，钠长石反应边清楚，边缘不规整并粒度减小，多见破裂；正长石，它形局部具直边，有少量高岭土等次生物，少数可见滴状条纹结构，出现于斜长石空隙中或边缘，个别粒度偏大者包裹斜长石者并交代，也偶见包裹黑云母，粒度大多在0.6－1.8mm±，细粒为主；石英，它形粒状，透明洁净，不很均匀不规则镶嵌分布，局部零星，少数有弱波状消光，粒度大多在0.3－1.2mm±。矿物含量黑云母≤13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、斜长石40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、正长石（含少数条纹长石）25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、石英22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，副矿物磷灰石、锆石、磁铁矿等少量—微量。</w:t>
      </w:r>
    </w:p>
    <w:p w14:paraId="17C53B4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3、脉岩：主要为石英脉，多沿结晶灰岩、硅质灰岩中的构造裂隙产出，部分石英脉具铜矿化，是寻找铜多金属矿的有利地段。</w:t>
      </w:r>
    </w:p>
    <w:bookmarkEnd w:id="456"/>
    <w:bookmarkEnd w:id="457"/>
    <w:bookmarkEnd w:id="458"/>
    <w:bookmarkEnd w:id="459"/>
    <w:bookmarkEnd w:id="460"/>
    <w:bookmarkEnd w:id="461"/>
    <w:bookmarkEnd w:id="462"/>
    <w:bookmarkEnd w:id="463"/>
    <w:bookmarkEnd w:id="464"/>
    <w:bookmarkEnd w:id="465"/>
    <w:bookmarkEnd w:id="466"/>
    <w:bookmarkEnd w:id="467"/>
    <w:p w14:paraId="4EF8978D">
      <w:pPr>
        <w:pStyle w:val="4"/>
        <w:bidi w:val="0"/>
        <w:rPr>
          <w:rFonts w:hint="default" w:ascii="Times New Roman" w:hAnsi="Times New Roman" w:cs="Times New Roman"/>
          <w:color w:val="auto"/>
        </w:rPr>
      </w:pPr>
      <w:bookmarkStart w:id="491" w:name="_Toc14002"/>
      <w:bookmarkStart w:id="492" w:name="_Toc5161"/>
      <w:bookmarkStart w:id="493" w:name="_Toc2345"/>
      <w:bookmarkStart w:id="494" w:name="_Toc10339"/>
      <w:bookmarkStart w:id="495" w:name="_Toc19382"/>
      <w:bookmarkStart w:id="496" w:name="_Toc7519"/>
      <w:bookmarkStart w:id="497" w:name="_Toc4004"/>
      <w:bookmarkStart w:id="498" w:name="_Toc2643"/>
      <w:bookmarkStart w:id="499" w:name="_Toc32673"/>
      <w:bookmarkStart w:id="500" w:name="_Toc25376"/>
      <w:bookmarkStart w:id="501" w:name="_Toc22234"/>
      <w:bookmarkStart w:id="502" w:name="_Toc2805"/>
      <w:r>
        <w:rPr>
          <w:rFonts w:hint="default" w:ascii="Times New Roman" w:hAnsi="Times New Roman" w:cs="Times New Roman"/>
          <w:color w:val="auto"/>
        </w:rPr>
        <w:t>气候气象</w:t>
      </w:r>
      <w:bookmarkEnd w:id="491"/>
      <w:bookmarkEnd w:id="492"/>
      <w:bookmarkEnd w:id="493"/>
      <w:bookmarkEnd w:id="494"/>
      <w:bookmarkEnd w:id="495"/>
      <w:bookmarkEnd w:id="496"/>
      <w:bookmarkEnd w:id="497"/>
      <w:bookmarkEnd w:id="498"/>
      <w:bookmarkEnd w:id="499"/>
      <w:bookmarkEnd w:id="500"/>
      <w:bookmarkEnd w:id="501"/>
      <w:bookmarkEnd w:id="502"/>
    </w:p>
    <w:p w14:paraId="2E66E6E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哈密市属温带半干旱大陆性气候，年平均气温9.8度，年均降水量33.8毫米，年蒸发量3300毫米，年均日照3358小时，无霜期182天。春季多风、冷暖多变，夏季酷热、蒸发强，秋季晴朗、降温迅速，冬季寒冷、低空气层稳定。极端最高气温44℃，出现在1952年，极端最低气温-32℃，出现在1954年，无霜期平均182天。这里空气干燥，大气透明度好，云量遮蔽少，光能资源丰富，为全国光能资源优越地区之一，日照充足，全年日照时数为3300至3500小时，哈密市最大冻土厚度为0.89米，4-6月为风季，平均每周有2—5天的大风天气，多为西北风，时有暴风，风力通常7-8级以上，一般风速2—2.5米/秒，最高可达25米/秒以上。哈密市单日最大降水量出现在2015年6月18日降水量为21.9毫米。积雪厚度17厘米，根据天气网资料哈密市伊州区，每年自10月初至翌年4月初为冰冻期，冰冻期5～6个月，年均冰冻期183d，单日最大降水量为21.9毫米，降雨主要集中在6、7、8三个月，为雨季，根据我国气象局的规定，暴雨：24小时降水量为50—99.9毫米，达不到暴雨级别，因此，矿区暴雨强度为弱。</w:t>
      </w:r>
    </w:p>
    <w:p w14:paraId="6710D517">
      <w:pPr>
        <w:pStyle w:val="4"/>
        <w:bidi w:val="0"/>
        <w:rPr>
          <w:rFonts w:hint="default" w:ascii="Times New Roman" w:hAnsi="Times New Roman" w:cs="Times New Roman"/>
          <w:color w:val="auto"/>
          <w:lang w:val="en-US" w:eastAsia="zh-CN"/>
        </w:rPr>
      </w:pPr>
      <w:bookmarkStart w:id="503" w:name="_Toc9313"/>
      <w:bookmarkStart w:id="504" w:name="_Toc10965"/>
      <w:bookmarkStart w:id="505" w:name="_Toc30255"/>
      <w:r>
        <w:rPr>
          <w:rFonts w:hint="default" w:ascii="Times New Roman" w:hAnsi="Times New Roman" w:cs="Times New Roman"/>
          <w:color w:val="auto"/>
          <w:lang w:val="en-US" w:eastAsia="zh-CN"/>
        </w:rPr>
        <w:t>地表水</w:t>
      </w:r>
      <w:bookmarkEnd w:id="503"/>
      <w:bookmarkEnd w:id="504"/>
      <w:bookmarkEnd w:id="505"/>
    </w:p>
    <w:p w14:paraId="409A446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bookmarkStart w:id="506" w:name="_Toc10336"/>
      <w:bookmarkStart w:id="507" w:name="_Toc15607"/>
      <w:bookmarkStart w:id="508" w:name="_Toc23026"/>
      <w:r>
        <w:rPr>
          <w:rFonts w:hint="default" w:ascii="Times New Roman" w:hAnsi="Times New Roman" w:eastAsia="宋体" w:cs="Times New Roman"/>
          <w:color w:val="auto"/>
          <w:spacing w:val="0"/>
          <w:w w:val="100"/>
          <w:position w:val="0"/>
          <w:sz w:val="24"/>
          <w:szCs w:val="24"/>
          <w:highlight w:val="none"/>
          <w:lang w:val="en-US" w:eastAsia="zh-CN"/>
        </w:rPr>
        <w:t>矿区位于哈密市东南部，极其干旱少雨贫水，地表无常年性地表水体水流存在，冲沟、干沟发育，暂时性地表径流皆因暴雨所致，多沿树枝状冲沟汇入山间洼地或主干沟谷，稍纵即逝，蒸发迅速。</w:t>
      </w:r>
    </w:p>
    <w:p w14:paraId="72C3C906">
      <w:pPr>
        <w:pStyle w:val="4"/>
        <w:bidi w:val="0"/>
        <w:rPr>
          <w:rFonts w:hint="default" w:ascii="Times New Roman" w:hAnsi="Times New Roman" w:cs="Times New Roman"/>
          <w:color w:val="auto"/>
        </w:rPr>
      </w:pPr>
      <w:r>
        <w:rPr>
          <w:rFonts w:hint="default" w:ascii="Times New Roman" w:hAnsi="Times New Roman" w:cs="Times New Roman"/>
          <w:color w:val="auto"/>
        </w:rPr>
        <w:t>水文地质</w:t>
      </w:r>
    </w:p>
    <w:p w14:paraId="5C03CE0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outlineLvl w:val="9"/>
        <w:rPr>
          <w:rFonts w:hint="default" w:ascii="Times New Roman" w:hAnsi="Times New Roman" w:eastAsia="宋体" w:cs="Times New Roman"/>
          <w:color w:val="auto"/>
          <w:spacing w:val="0"/>
          <w:w w:val="100"/>
          <w:position w:val="0"/>
          <w:sz w:val="24"/>
          <w:szCs w:val="24"/>
          <w:highlight w:val="none"/>
          <w:lang w:val="zh-CN" w:eastAsia="zh-CN"/>
        </w:rPr>
      </w:pPr>
      <w:bookmarkStart w:id="509" w:name="_Toc323809533"/>
      <w:r>
        <w:rPr>
          <w:rFonts w:hint="default" w:ascii="Times New Roman" w:hAnsi="Times New Roman" w:eastAsia="宋体" w:cs="Times New Roman"/>
          <w:color w:val="auto"/>
          <w:spacing w:val="0"/>
          <w:w w:val="100"/>
          <w:position w:val="0"/>
          <w:sz w:val="24"/>
          <w:szCs w:val="24"/>
          <w:highlight w:val="none"/>
          <w:lang w:val="zh-CN" w:eastAsia="zh-CN"/>
        </w:rPr>
        <w:t>根据</w:t>
      </w:r>
      <w:bookmarkStart w:id="510" w:name="_Toc100695228"/>
      <w:r>
        <w:rPr>
          <w:rFonts w:hint="default" w:ascii="Times New Roman" w:hAnsi="Times New Roman" w:eastAsia="宋体" w:cs="Times New Roman"/>
          <w:color w:val="auto"/>
          <w:spacing w:val="0"/>
          <w:w w:val="100"/>
          <w:position w:val="0"/>
          <w:sz w:val="24"/>
          <w:szCs w:val="24"/>
          <w:highlight w:val="none"/>
          <w:lang w:val="zh-CN" w:eastAsia="zh-CN"/>
        </w:rPr>
        <w:t>新疆哈密市大红山北铜矿</w:t>
      </w:r>
      <w:bookmarkEnd w:id="510"/>
      <w:bookmarkStart w:id="511" w:name="_Toc100695229"/>
      <w:r>
        <w:rPr>
          <w:rFonts w:hint="default" w:ascii="Times New Roman" w:hAnsi="Times New Roman" w:eastAsia="宋体" w:cs="Times New Roman"/>
          <w:color w:val="auto"/>
          <w:spacing w:val="0"/>
          <w:w w:val="100"/>
          <w:position w:val="0"/>
          <w:sz w:val="24"/>
          <w:szCs w:val="24"/>
          <w:highlight w:val="none"/>
          <w:lang w:val="zh-CN" w:eastAsia="zh-CN"/>
        </w:rPr>
        <w:t>资源量核实报告</w:t>
      </w:r>
      <w:bookmarkEnd w:id="511"/>
      <w:r>
        <w:rPr>
          <w:rFonts w:hint="default" w:ascii="Times New Roman" w:hAnsi="Times New Roman" w:eastAsia="宋体" w:cs="Times New Roman"/>
          <w:color w:val="auto"/>
          <w:spacing w:val="0"/>
          <w:w w:val="100"/>
          <w:position w:val="0"/>
          <w:sz w:val="24"/>
          <w:szCs w:val="24"/>
          <w:highlight w:val="none"/>
          <w:lang w:val="zh-CN" w:eastAsia="zh-CN"/>
        </w:rPr>
        <w:t>，将区内相关地层划分为两个含（隔）水层（段），一个含水层，一个透水不含水层，具体详见</w:t>
      </w:r>
      <w:r>
        <w:rPr>
          <w:rFonts w:hint="default" w:ascii="Times New Roman" w:hAnsi="Times New Roman" w:eastAsia="宋体" w:cs="Times New Roman"/>
          <w:color w:val="auto"/>
          <w:spacing w:val="0"/>
          <w:w w:val="100"/>
          <w:position w:val="0"/>
          <w:sz w:val="24"/>
          <w:szCs w:val="24"/>
          <w:highlight w:val="none"/>
          <w:lang w:val="en-US" w:eastAsia="zh-CN"/>
        </w:rPr>
        <w:t>下</w:t>
      </w:r>
      <w:r>
        <w:rPr>
          <w:rFonts w:hint="default" w:ascii="Times New Roman" w:hAnsi="Times New Roman" w:eastAsia="宋体" w:cs="Times New Roman"/>
          <w:color w:val="auto"/>
          <w:spacing w:val="0"/>
          <w:w w:val="100"/>
          <w:position w:val="0"/>
          <w:sz w:val="24"/>
          <w:szCs w:val="24"/>
          <w:highlight w:val="none"/>
          <w:lang w:val="zh-CN" w:eastAsia="zh-CN"/>
        </w:rPr>
        <w:t>表：</w:t>
      </w:r>
    </w:p>
    <w:p w14:paraId="1903130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w:t>
      </w:r>
      <w:r>
        <w:rPr>
          <w:rFonts w:hint="default" w:ascii="Times New Roman" w:hAnsi="Times New Roman" w:cs="Times New Roman"/>
          <w:b/>
          <w:bCs/>
          <w:color w:val="auto"/>
          <w:spacing w:val="0"/>
          <w:w w:val="100"/>
          <w:position w:val="0"/>
          <w:sz w:val="21"/>
          <w:szCs w:val="21"/>
          <w:lang w:val="en-US" w:eastAsia="zh-CN"/>
        </w:rPr>
        <w:t xml:space="preserve">4.1-1  </w:t>
      </w:r>
      <w:r>
        <w:rPr>
          <w:rFonts w:hint="default" w:ascii="Times New Roman" w:hAnsi="Times New Roman" w:eastAsia="宋体" w:cs="Times New Roman"/>
          <w:b/>
          <w:bCs/>
          <w:color w:val="auto"/>
          <w:spacing w:val="0"/>
          <w:w w:val="100"/>
          <w:position w:val="0"/>
          <w:sz w:val="21"/>
          <w:szCs w:val="21"/>
        </w:rPr>
        <w:t xml:space="preserve">  含（隔）水层划分一览表 </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665"/>
        <w:gridCol w:w="3637"/>
      </w:tblGrid>
      <w:tr w14:paraId="767F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376" w:type="dxa"/>
            <w:tcBorders>
              <w:top w:val="single" w:color="auto" w:sz="12" w:space="0"/>
              <w:left w:val="single" w:color="auto" w:sz="12" w:space="0"/>
            </w:tcBorders>
            <w:vAlign w:val="center"/>
          </w:tcPr>
          <w:p w14:paraId="25FE718D">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地层代号</w:t>
            </w:r>
          </w:p>
        </w:tc>
        <w:tc>
          <w:tcPr>
            <w:tcW w:w="2892" w:type="dxa"/>
            <w:tcBorders>
              <w:top w:val="single" w:color="auto" w:sz="12" w:space="0"/>
            </w:tcBorders>
            <w:vAlign w:val="center"/>
          </w:tcPr>
          <w:p w14:paraId="2D56FEEC">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含（隔）水层（段）编号</w:t>
            </w:r>
          </w:p>
        </w:tc>
        <w:tc>
          <w:tcPr>
            <w:tcW w:w="3984" w:type="dxa"/>
            <w:tcBorders>
              <w:top w:val="single" w:color="auto" w:sz="12" w:space="0"/>
              <w:right w:val="single" w:color="auto" w:sz="12" w:space="0"/>
            </w:tcBorders>
            <w:vAlign w:val="center"/>
          </w:tcPr>
          <w:p w14:paraId="7D7E6F42">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含（隔）水层（段）名称</w:t>
            </w:r>
          </w:p>
        </w:tc>
      </w:tr>
      <w:tr w14:paraId="09DE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376" w:type="dxa"/>
            <w:tcBorders>
              <w:left w:val="single" w:color="auto" w:sz="12" w:space="0"/>
            </w:tcBorders>
            <w:vAlign w:val="center"/>
          </w:tcPr>
          <w:p w14:paraId="09FEAB41">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QhpL</w:t>
            </w:r>
          </w:p>
        </w:tc>
        <w:tc>
          <w:tcPr>
            <w:tcW w:w="2892" w:type="dxa"/>
            <w:vAlign w:val="center"/>
          </w:tcPr>
          <w:p w14:paraId="09FC90B1">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Ⅰ</w:t>
            </w:r>
          </w:p>
        </w:tc>
        <w:tc>
          <w:tcPr>
            <w:tcW w:w="3984" w:type="dxa"/>
            <w:tcBorders>
              <w:right w:val="single" w:color="auto" w:sz="12" w:space="0"/>
            </w:tcBorders>
            <w:vAlign w:val="center"/>
          </w:tcPr>
          <w:p w14:paraId="394792FE">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第四系松散岩类透水不含水层</w:t>
            </w:r>
          </w:p>
        </w:tc>
      </w:tr>
      <w:tr w14:paraId="6328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2376" w:type="dxa"/>
            <w:tcBorders>
              <w:left w:val="single" w:color="auto" w:sz="12" w:space="0"/>
              <w:bottom w:val="single" w:color="auto" w:sz="12" w:space="0"/>
            </w:tcBorders>
            <w:vAlign w:val="center"/>
          </w:tcPr>
          <w:p w14:paraId="4A0585AC">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JxKw、δo、γ</w:t>
            </w:r>
          </w:p>
        </w:tc>
        <w:tc>
          <w:tcPr>
            <w:tcW w:w="2892" w:type="dxa"/>
            <w:tcBorders>
              <w:bottom w:val="single" w:color="auto" w:sz="12" w:space="0"/>
            </w:tcBorders>
            <w:vAlign w:val="center"/>
          </w:tcPr>
          <w:p w14:paraId="50E5ED6D">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3984" w:type="dxa"/>
            <w:tcBorders>
              <w:bottom w:val="single" w:color="auto" w:sz="12" w:space="0"/>
              <w:right w:val="single" w:color="auto" w:sz="12" w:space="0"/>
            </w:tcBorders>
            <w:vAlign w:val="center"/>
          </w:tcPr>
          <w:p w14:paraId="1FD2558D">
            <w:pPr>
              <w:widowControl/>
              <w:overflowPunct/>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基岩裂隙潜水含水层</w:t>
            </w:r>
          </w:p>
        </w:tc>
      </w:tr>
    </w:tbl>
    <w:p w14:paraId="2F1C7FA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sz w:val="24"/>
          <w:szCs w:val="24"/>
          <w:highlight w:val="none"/>
        </w:rPr>
      </w:pPr>
      <w:r>
        <w:rPr>
          <w:rFonts w:hint="default" w:ascii="Times New Roman" w:hAnsi="Times New Roman" w:cs="Times New Roman"/>
          <w:bCs/>
          <w:color w:val="auto"/>
          <w:spacing w:val="0"/>
          <w:sz w:val="24"/>
          <w:szCs w:val="24"/>
          <w:highlight w:val="none"/>
        </w:rPr>
        <w:t>1.含（隔）水层（段）特征</w:t>
      </w:r>
      <w:bookmarkStart w:id="512" w:name="_Toc212669005"/>
    </w:p>
    <w:bookmarkEnd w:id="512"/>
    <w:p w14:paraId="735AF945">
      <w:pPr>
        <w:keepNext w:val="0"/>
        <w:keepLines w:val="0"/>
        <w:pageBreakBefore w:val="0"/>
        <w:widowControl w:val="0"/>
        <w:kinsoku/>
        <w:wordWrap/>
        <w:overflowPunct/>
        <w:topLinePunct w:val="0"/>
        <w:autoSpaceDE/>
        <w:autoSpaceDN/>
        <w:bidi w:val="0"/>
        <w:adjustRightInd/>
        <w:snapToGrid/>
        <w:ind w:firstLine="544"/>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bCs/>
          <w:color w:val="auto"/>
          <w:spacing w:val="0"/>
          <w:sz w:val="24"/>
          <w:szCs w:val="24"/>
          <w:highlight w:val="none"/>
        </w:rPr>
        <w:t>（1）基岩裂隙潜水含水层</w:t>
      </w:r>
      <w:r>
        <w:rPr>
          <w:rFonts w:hint="default" w:ascii="Times New Roman" w:hAnsi="Times New Roman" w:cs="Times New Roman"/>
          <w:color w:val="auto"/>
          <w:spacing w:val="0"/>
          <w:sz w:val="24"/>
          <w:szCs w:val="24"/>
          <w:highlight w:val="none"/>
        </w:rPr>
        <w:t>（Ⅱ）（Jx</w:t>
      </w:r>
      <w:r>
        <w:rPr>
          <w:rFonts w:hint="default" w:ascii="Times New Roman" w:hAnsi="Times New Roman" w:cs="Times New Roman"/>
          <w:i/>
          <w:iCs/>
          <w:color w:val="auto"/>
          <w:spacing w:val="0"/>
          <w:sz w:val="24"/>
          <w:szCs w:val="24"/>
          <w:highlight w:val="none"/>
        </w:rPr>
        <w:t>Kw</w:t>
      </w:r>
      <w:r>
        <w:rPr>
          <w:rFonts w:hint="default" w:ascii="Times New Roman" w:hAnsi="Times New Roman" w:cs="Times New Roman"/>
          <w:color w:val="auto"/>
          <w:spacing w:val="0"/>
          <w:sz w:val="24"/>
          <w:szCs w:val="24"/>
          <w:highlight w:val="none"/>
        </w:rPr>
        <w:t>、δo、γ）</w:t>
      </w:r>
    </w:p>
    <w:p w14:paraId="0419BBB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bCs/>
          <w:color w:val="auto"/>
          <w:spacing w:val="0"/>
          <w:sz w:val="24"/>
          <w:szCs w:val="24"/>
          <w:highlight w:val="none"/>
        </w:rPr>
        <w:t>该层出露于</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大部，除了第四系分布区以外，均为基岩裂隙潜水含水层，面积较大。主要为蓟县系卡瓦布拉克岩群，为变质碳酸盐岩沉积建造，岩性变化较大。岩性主要由灰黑色灰岩、条带状大理岩化灰岩、白云质大理岩和硅质灰岩、闪长岩、中细粒黑云二长花岗岩等，呈层状、岩株、岩基等组成，岩性十分复杂。整个</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区范围内</w:t>
      </w:r>
      <w:r>
        <w:rPr>
          <w:rFonts w:hint="default" w:ascii="Times New Roman" w:hAnsi="Times New Roman" w:cs="Times New Roman"/>
          <w:color w:val="auto"/>
          <w:spacing w:val="0"/>
          <w:sz w:val="24"/>
          <w:szCs w:val="24"/>
          <w:highlight w:val="none"/>
        </w:rPr>
        <w:t>地下水位埋藏深度在24.12</w:t>
      </w:r>
      <w:r>
        <w:rPr>
          <w:rFonts w:hint="default" w:ascii="Times New Roman" w:hAnsi="Times New Roman" w:cs="Times New Roman"/>
          <w:bCs/>
          <w:color w:val="auto"/>
          <w:spacing w:val="0"/>
          <w:sz w:val="24"/>
          <w:szCs w:val="24"/>
          <w:highlight w:val="none"/>
        </w:rPr>
        <w:t>～</w:t>
      </w:r>
      <w:r>
        <w:rPr>
          <w:rFonts w:hint="default" w:ascii="Times New Roman" w:hAnsi="Times New Roman" w:cs="Times New Roman"/>
          <w:color w:val="auto"/>
          <w:spacing w:val="0"/>
          <w:sz w:val="24"/>
          <w:szCs w:val="24"/>
          <w:highlight w:val="none"/>
        </w:rPr>
        <w:t>66.60</w:t>
      </w:r>
      <w:r>
        <w:rPr>
          <w:rFonts w:hint="default" w:ascii="Times New Roman" w:hAnsi="Times New Roman" w:cs="Times New Roman"/>
          <w:bCs/>
          <w:color w:val="auto"/>
          <w:spacing w:val="0"/>
          <w:sz w:val="24"/>
          <w:szCs w:val="24"/>
          <w:highlight w:val="none"/>
        </w:rPr>
        <w:t>米之间</w:t>
      </w:r>
      <w:r>
        <w:rPr>
          <w:rFonts w:hint="default" w:ascii="Times New Roman" w:hAnsi="Times New Roman" w:cs="Times New Roman"/>
          <w:color w:val="auto"/>
          <w:spacing w:val="0"/>
          <w:sz w:val="24"/>
          <w:szCs w:val="24"/>
          <w:highlight w:val="none"/>
        </w:rPr>
        <w:t>。</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区Ⅳ-1号</w:t>
      </w:r>
      <w:r>
        <w:rPr>
          <w:rFonts w:hint="default" w:ascii="Times New Roman" w:hAnsi="Times New Roman" w:cs="Times New Roman"/>
          <w:bCs/>
          <w:color w:val="auto"/>
          <w:spacing w:val="0"/>
          <w:kern w:val="21"/>
          <w:sz w:val="24"/>
          <w:szCs w:val="24"/>
          <w:highlight w:val="none"/>
        </w:rPr>
        <w:t>矿体（层）分布区，</w:t>
      </w:r>
      <w:r>
        <w:rPr>
          <w:rFonts w:hint="default" w:ascii="Times New Roman" w:hAnsi="Times New Roman" w:cs="Times New Roman"/>
          <w:color w:val="auto"/>
          <w:spacing w:val="0"/>
          <w:sz w:val="24"/>
          <w:szCs w:val="24"/>
          <w:highlight w:val="none"/>
        </w:rPr>
        <w:t>地下水位埋藏深度在24.12</w:t>
      </w:r>
      <w:r>
        <w:rPr>
          <w:rFonts w:hint="default" w:ascii="Times New Roman" w:hAnsi="Times New Roman" w:cs="Times New Roman"/>
          <w:bCs/>
          <w:color w:val="auto"/>
          <w:spacing w:val="0"/>
          <w:sz w:val="24"/>
          <w:szCs w:val="24"/>
          <w:highlight w:val="none"/>
        </w:rPr>
        <w:t>～</w:t>
      </w:r>
      <w:r>
        <w:rPr>
          <w:rFonts w:hint="default" w:ascii="Times New Roman" w:hAnsi="Times New Roman" w:cs="Times New Roman"/>
          <w:color w:val="auto"/>
          <w:spacing w:val="0"/>
          <w:sz w:val="24"/>
          <w:szCs w:val="24"/>
          <w:highlight w:val="none"/>
        </w:rPr>
        <w:t>41.78</w:t>
      </w:r>
      <w:r>
        <w:rPr>
          <w:rFonts w:hint="default" w:ascii="Times New Roman" w:hAnsi="Times New Roman" w:cs="Times New Roman"/>
          <w:bCs/>
          <w:color w:val="auto"/>
          <w:spacing w:val="0"/>
          <w:sz w:val="24"/>
          <w:szCs w:val="24"/>
          <w:highlight w:val="none"/>
        </w:rPr>
        <w:t>米之间；</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区Ⅰ、Ⅱ号</w:t>
      </w:r>
      <w:r>
        <w:rPr>
          <w:rFonts w:hint="default" w:ascii="Times New Roman" w:hAnsi="Times New Roman" w:cs="Times New Roman"/>
          <w:bCs/>
          <w:color w:val="auto"/>
          <w:spacing w:val="0"/>
          <w:kern w:val="21"/>
          <w:sz w:val="24"/>
          <w:szCs w:val="24"/>
          <w:highlight w:val="none"/>
        </w:rPr>
        <w:t>矿体（层）分布区，</w:t>
      </w:r>
      <w:r>
        <w:rPr>
          <w:rFonts w:hint="default" w:ascii="Times New Roman" w:hAnsi="Times New Roman" w:cs="Times New Roman"/>
          <w:color w:val="auto"/>
          <w:spacing w:val="0"/>
          <w:sz w:val="24"/>
          <w:szCs w:val="24"/>
          <w:highlight w:val="none"/>
        </w:rPr>
        <w:t>地下水位埋藏深度在43.80</w:t>
      </w:r>
      <w:r>
        <w:rPr>
          <w:rFonts w:hint="default" w:ascii="Times New Roman" w:hAnsi="Times New Roman" w:cs="Times New Roman"/>
          <w:bCs/>
          <w:color w:val="auto"/>
          <w:spacing w:val="0"/>
          <w:sz w:val="24"/>
          <w:szCs w:val="24"/>
          <w:highlight w:val="none"/>
        </w:rPr>
        <w:t>～</w:t>
      </w:r>
      <w:r>
        <w:rPr>
          <w:rFonts w:hint="default" w:ascii="Times New Roman" w:hAnsi="Times New Roman" w:cs="Times New Roman"/>
          <w:color w:val="auto"/>
          <w:spacing w:val="0"/>
          <w:sz w:val="24"/>
          <w:szCs w:val="24"/>
          <w:highlight w:val="none"/>
        </w:rPr>
        <w:t>67.30</w:t>
      </w:r>
      <w:r>
        <w:rPr>
          <w:rFonts w:hint="default" w:ascii="Times New Roman" w:hAnsi="Times New Roman" w:cs="Times New Roman"/>
          <w:bCs/>
          <w:color w:val="auto"/>
          <w:spacing w:val="0"/>
          <w:sz w:val="24"/>
          <w:szCs w:val="24"/>
          <w:highlight w:val="none"/>
        </w:rPr>
        <w:t>米之间；</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区Ⅲ号</w:t>
      </w:r>
      <w:r>
        <w:rPr>
          <w:rFonts w:hint="default" w:ascii="Times New Roman" w:hAnsi="Times New Roman" w:cs="Times New Roman"/>
          <w:bCs/>
          <w:color w:val="auto"/>
          <w:spacing w:val="0"/>
          <w:kern w:val="21"/>
          <w:sz w:val="24"/>
          <w:szCs w:val="24"/>
          <w:highlight w:val="none"/>
        </w:rPr>
        <w:t>矿体（层）分布区，</w:t>
      </w:r>
      <w:r>
        <w:rPr>
          <w:rFonts w:hint="default" w:ascii="Times New Roman" w:hAnsi="Times New Roman" w:cs="Times New Roman"/>
          <w:color w:val="auto"/>
          <w:spacing w:val="0"/>
          <w:sz w:val="24"/>
          <w:szCs w:val="24"/>
          <w:highlight w:val="none"/>
        </w:rPr>
        <w:t>地下水位埋藏深度在32.80</w:t>
      </w:r>
      <w:r>
        <w:rPr>
          <w:rFonts w:hint="default" w:ascii="Times New Roman" w:hAnsi="Times New Roman" w:cs="Times New Roman"/>
          <w:bCs/>
          <w:color w:val="auto"/>
          <w:spacing w:val="0"/>
          <w:sz w:val="24"/>
          <w:szCs w:val="24"/>
          <w:highlight w:val="none"/>
        </w:rPr>
        <w:t>～64</w:t>
      </w:r>
      <w:r>
        <w:rPr>
          <w:rFonts w:hint="default" w:ascii="Times New Roman" w:hAnsi="Times New Roman" w:cs="Times New Roman"/>
          <w:color w:val="auto"/>
          <w:spacing w:val="0"/>
          <w:sz w:val="24"/>
          <w:szCs w:val="24"/>
          <w:highlight w:val="none"/>
        </w:rPr>
        <w:t>.70</w:t>
      </w:r>
      <w:r>
        <w:rPr>
          <w:rFonts w:hint="default" w:ascii="Times New Roman" w:hAnsi="Times New Roman" w:cs="Times New Roman"/>
          <w:bCs/>
          <w:color w:val="auto"/>
          <w:spacing w:val="0"/>
          <w:sz w:val="24"/>
          <w:szCs w:val="24"/>
          <w:highlight w:val="none"/>
        </w:rPr>
        <w:t>米之间；</w:t>
      </w:r>
      <w:r>
        <w:rPr>
          <w:rFonts w:hint="default" w:ascii="Times New Roman" w:hAnsi="Times New Roman" w:cs="Times New Roman"/>
          <w:bCs/>
          <w:color w:val="auto"/>
          <w:spacing w:val="0"/>
          <w:kern w:val="21"/>
          <w:sz w:val="24"/>
          <w:szCs w:val="24"/>
          <w:highlight w:val="none"/>
        </w:rPr>
        <w:t>矿</w:t>
      </w:r>
      <w:r>
        <w:rPr>
          <w:rFonts w:hint="default" w:ascii="Times New Roman" w:hAnsi="Times New Roman" w:cs="Times New Roman"/>
          <w:bCs/>
          <w:color w:val="auto"/>
          <w:spacing w:val="0"/>
          <w:sz w:val="24"/>
          <w:szCs w:val="24"/>
          <w:highlight w:val="none"/>
        </w:rPr>
        <w:t>区Ⅴ号</w:t>
      </w:r>
      <w:r>
        <w:rPr>
          <w:rFonts w:hint="default" w:ascii="Times New Roman" w:hAnsi="Times New Roman" w:cs="Times New Roman"/>
          <w:bCs/>
          <w:color w:val="auto"/>
          <w:spacing w:val="0"/>
          <w:kern w:val="21"/>
          <w:sz w:val="24"/>
          <w:szCs w:val="24"/>
          <w:highlight w:val="none"/>
        </w:rPr>
        <w:t>矿体（层）分布区，</w:t>
      </w:r>
      <w:r>
        <w:rPr>
          <w:rFonts w:hint="default" w:ascii="Times New Roman" w:hAnsi="Times New Roman" w:cs="Times New Roman"/>
          <w:color w:val="auto"/>
          <w:spacing w:val="0"/>
          <w:sz w:val="24"/>
          <w:szCs w:val="24"/>
          <w:highlight w:val="none"/>
        </w:rPr>
        <w:t>地下水位埋藏深度在36.26</w:t>
      </w:r>
      <w:r>
        <w:rPr>
          <w:rFonts w:hint="default" w:ascii="Times New Roman" w:hAnsi="Times New Roman" w:cs="Times New Roman"/>
          <w:bCs/>
          <w:color w:val="auto"/>
          <w:spacing w:val="0"/>
          <w:sz w:val="24"/>
          <w:szCs w:val="24"/>
          <w:highlight w:val="none"/>
        </w:rPr>
        <w:t>～37</w:t>
      </w:r>
      <w:r>
        <w:rPr>
          <w:rFonts w:hint="default" w:ascii="Times New Roman" w:hAnsi="Times New Roman" w:cs="Times New Roman"/>
          <w:color w:val="auto"/>
          <w:spacing w:val="0"/>
          <w:sz w:val="24"/>
          <w:szCs w:val="24"/>
          <w:highlight w:val="none"/>
        </w:rPr>
        <w:t>.49</w:t>
      </w:r>
      <w:r>
        <w:rPr>
          <w:rFonts w:hint="default" w:ascii="Times New Roman" w:hAnsi="Times New Roman" w:cs="Times New Roman"/>
          <w:bCs/>
          <w:color w:val="auto"/>
          <w:spacing w:val="0"/>
          <w:sz w:val="24"/>
          <w:szCs w:val="24"/>
          <w:highlight w:val="none"/>
        </w:rPr>
        <w:t>米之间</w:t>
      </w:r>
      <w:r>
        <w:rPr>
          <w:rFonts w:hint="default" w:ascii="Times New Roman" w:hAnsi="Times New Roman" w:cs="Times New Roman"/>
          <w:color w:val="auto"/>
          <w:spacing w:val="0"/>
          <w:sz w:val="24"/>
          <w:szCs w:val="24"/>
          <w:highlight w:val="none"/>
        </w:rPr>
        <w:t>。</w:t>
      </w:r>
    </w:p>
    <w:p w14:paraId="6A430178">
      <w:pPr>
        <w:keepNext w:val="0"/>
        <w:keepLines w:val="0"/>
        <w:pageBreakBefore w:val="0"/>
        <w:widowControl w:val="0"/>
        <w:kinsoku/>
        <w:wordWrap/>
        <w:overflowPunct/>
        <w:topLinePunct w:val="0"/>
        <w:autoSpaceDE/>
        <w:autoSpaceDN/>
        <w:bidi w:val="0"/>
        <w:adjustRightInd/>
        <w:snapToGrid/>
        <w:ind w:firstLine="544"/>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（2）</w:t>
      </w:r>
      <w:r>
        <w:rPr>
          <w:rFonts w:hint="default" w:ascii="Times New Roman" w:hAnsi="Times New Roman" w:cs="Times New Roman"/>
          <w:bCs/>
          <w:color w:val="auto"/>
          <w:spacing w:val="0"/>
          <w:sz w:val="24"/>
          <w:szCs w:val="24"/>
          <w:highlight w:val="none"/>
        </w:rPr>
        <w:t>第四系松散</w:t>
      </w:r>
      <w:r>
        <w:rPr>
          <w:rFonts w:hint="default" w:ascii="Times New Roman" w:hAnsi="Times New Roman" w:cs="Times New Roman"/>
          <w:color w:val="auto"/>
          <w:spacing w:val="0"/>
          <w:sz w:val="24"/>
          <w:szCs w:val="24"/>
          <w:highlight w:val="none"/>
        </w:rPr>
        <w:t>岩类透水不含水层（Ⅰ）</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Q</w:t>
      </w:r>
      <w:r>
        <w:rPr>
          <w:rFonts w:hint="default" w:ascii="Times New Roman" w:hAnsi="Times New Roman" w:cs="Times New Roman"/>
          <w:color w:val="auto"/>
          <w:spacing w:val="0"/>
          <w:sz w:val="24"/>
          <w:szCs w:val="24"/>
          <w:highlight w:val="none"/>
          <w:vertAlign w:val="subscript"/>
        </w:rPr>
        <w:t>h</w:t>
      </w:r>
      <w:r>
        <w:rPr>
          <w:rFonts w:hint="default" w:ascii="Times New Roman" w:hAnsi="Times New Roman" w:cs="Times New Roman"/>
          <w:color w:val="auto"/>
          <w:spacing w:val="0"/>
          <w:sz w:val="24"/>
          <w:szCs w:val="24"/>
          <w:highlight w:val="none"/>
          <w:vertAlign w:val="superscript"/>
        </w:rPr>
        <w:t>pL</w:t>
      </w:r>
      <w:r>
        <w:rPr>
          <w:rFonts w:hint="default" w:ascii="Times New Roman" w:hAnsi="Times New Roman" w:cs="Times New Roman"/>
          <w:color w:val="auto"/>
          <w:spacing w:val="0"/>
          <w:sz w:val="24"/>
          <w:szCs w:val="24"/>
          <w:highlight w:val="none"/>
          <w:vertAlign w:val="superscript"/>
          <w:lang w:eastAsia="zh-CN"/>
        </w:rPr>
        <w:t>）</w:t>
      </w:r>
    </w:p>
    <w:p w14:paraId="279C35F5">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sz w:val="24"/>
          <w:szCs w:val="24"/>
          <w:highlight w:val="none"/>
        </w:rPr>
      </w:pPr>
      <w:r>
        <w:rPr>
          <w:rFonts w:hint="default" w:ascii="Times New Roman" w:hAnsi="Times New Roman" w:cs="Times New Roman"/>
          <w:color w:val="auto"/>
          <w:spacing w:val="0"/>
          <w:sz w:val="24"/>
          <w:szCs w:val="24"/>
          <w:highlight w:val="none"/>
        </w:rPr>
        <w:t>该层由第四系全新统洪积物组成，主要分布于矿区北部及西南部，呈不规则状、条带状分布，面积不大。岩性是由</w:t>
      </w:r>
      <w:r>
        <w:rPr>
          <w:rFonts w:hint="default" w:ascii="Times New Roman" w:hAnsi="Times New Roman" w:cs="Times New Roman"/>
          <w:bCs/>
          <w:color w:val="auto"/>
          <w:spacing w:val="0"/>
          <w:sz w:val="24"/>
          <w:szCs w:val="24"/>
          <w:highlight w:val="none"/>
        </w:rPr>
        <w:t>砂砾石、碎石、碎石土、不等粒砂、亚砂土、亚粘土</w:t>
      </w:r>
      <w:r>
        <w:rPr>
          <w:rFonts w:hint="default" w:ascii="Times New Roman" w:hAnsi="Times New Roman" w:cs="Times New Roman"/>
          <w:color w:val="auto"/>
          <w:spacing w:val="0"/>
          <w:sz w:val="24"/>
          <w:szCs w:val="24"/>
          <w:highlight w:val="none"/>
        </w:rPr>
        <w:t>等组成，</w:t>
      </w:r>
      <w:r>
        <w:rPr>
          <w:rFonts w:hint="default" w:ascii="Times New Roman" w:hAnsi="Times New Roman" w:cs="Times New Roman"/>
          <w:bCs/>
          <w:color w:val="auto"/>
          <w:spacing w:val="0"/>
          <w:sz w:val="24"/>
          <w:szCs w:val="24"/>
          <w:highlight w:val="none"/>
        </w:rPr>
        <w:t>砾石直径一般在0.5～2厘米，分选性磨圆度差，一般厚度3～5米，最厚达10米，岩性结构疏松、孔隙大、透水性强，分布厚度有限，虽透水性能良好，但不具备储水条件，为透水不含水层，</w:t>
      </w:r>
    </w:p>
    <w:p w14:paraId="2ECEB7EB">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3.矿区隔水层</w:t>
      </w:r>
    </w:p>
    <w:p w14:paraId="4B7289E3">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根据矿区钻孔编录及水文地质资料分析，矿区内主要赋水空间为基岩裂隙。构成矿区主体的蓟县系卡瓦布拉克群变质岩及华力西期侵入岩，其岩体虽大部分完整，但节理、裂隙普遍发育，且基本能相互连通，形成了一个统一的地下水系统。</w:t>
      </w:r>
    </w:p>
    <w:p w14:paraId="0420A94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勘查施工的钻孔在揭露各地层时普遍发生漏水现象，结合抽水试验成果（单位涌水量q=0.0021～0.0274 L/s·m）证实，这些岩层均为弱富水的基岩裂隙含水层，不具备隔水性能。综合分析，矿区内无论是在区域上还是在各矿体周边，均不存在区域性良好隔水层，也无相对隔水的岩层或构造带分布。</w:t>
      </w:r>
    </w:p>
    <w:p w14:paraId="740BAEA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4.地下水的补、迳、排关系</w:t>
      </w:r>
    </w:p>
    <w:p w14:paraId="7F38725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kern w:val="144"/>
          <w:sz w:val="24"/>
          <w:szCs w:val="24"/>
          <w:highlight w:val="none"/>
        </w:rPr>
      </w:pPr>
      <w:r>
        <w:rPr>
          <w:rFonts w:hint="default" w:ascii="Times New Roman" w:hAnsi="Times New Roman" w:cs="Times New Roman"/>
          <w:bCs/>
          <w:color w:val="auto"/>
          <w:spacing w:val="0"/>
          <w:kern w:val="144"/>
          <w:sz w:val="24"/>
          <w:szCs w:val="24"/>
          <w:highlight w:val="none"/>
        </w:rPr>
        <w:t>矿区位于天山山脉觉罗塔格山东延部分，总体呈东西向延伸，属</w:t>
      </w:r>
      <w:r>
        <w:rPr>
          <w:rFonts w:hint="default" w:ascii="Times New Roman" w:hAnsi="Times New Roman" w:cs="Times New Roman"/>
          <w:bCs/>
          <w:color w:val="auto"/>
          <w:spacing w:val="0"/>
          <w:kern w:val="144"/>
          <w:sz w:val="24"/>
          <w:szCs w:val="24"/>
          <w:highlight w:val="none"/>
          <w:lang w:bidi="en-US"/>
        </w:rPr>
        <w:t>中</w:t>
      </w:r>
      <w:r>
        <w:rPr>
          <w:rFonts w:hint="default" w:ascii="Times New Roman" w:hAnsi="Times New Roman" w:cs="Times New Roman"/>
          <w:bCs/>
          <w:color w:val="auto"/>
          <w:spacing w:val="0"/>
          <w:kern w:val="144"/>
          <w:sz w:val="24"/>
          <w:szCs w:val="24"/>
          <w:highlight w:val="none"/>
        </w:rPr>
        <w:t>低山丘陵区，矿区位于区域水文地质单元中的觉罗塔格山贫水区中，属径流排泄区部位。根据区域水文地质条件综合分析，矿区地下水主要补给为东北侧地下水的侧向径流补给</w:t>
      </w:r>
      <w:r>
        <w:rPr>
          <w:rFonts w:hint="default" w:ascii="Times New Roman" w:hAnsi="Times New Roman" w:cs="Times New Roman"/>
          <w:bCs/>
          <w:color w:val="auto"/>
          <w:spacing w:val="0"/>
          <w:kern w:val="144"/>
          <w:sz w:val="24"/>
          <w:szCs w:val="24"/>
          <w:highlight w:val="none"/>
          <w:lang w:eastAsia="zh-CN"/>
        </w:rPr>
        <w:t>，其</w:t>
      </w:r>
      <w:r>
        <w:rPr>
          <w:rFonts w:hint="default" w:ascii="Times New Roman" w:hAnsi="Times New Roman" w:cs="Times New Roman"/>
          <w:bCs/>
          <w:color w:val="auto"/>
          <w:spacing w:val="0"/>
          <w:kern w:val="144"/>
          <w:sz w:val="24"/>
          <w:szCs w:val="24"/>
          <w:highlight w:val="none"/>
        </w:rPr>
        <w:t>次为大气降水、冰雪消融水。</w:t>
      </w:r>
    </w:p>
    <w:p w14:paraId="33886C6C">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kern w:val="144"/>
          <w:sz w:val="24"/>
          <w:szCs w:val="24"/>
          <w:highlight w:val="none"/>
        </w:rPr>
      </w:pPr>
      <w:r>
        <w:rPr>
          <w:rFonts w:hint="default" w:ascii="Times New Roman" w:hAnsi="Times New Roman" w:cs="Times New Roman"/>
          <w:bCs/>
          <w:color w:val="auto"/>
          <w:spacing w:val="0"/>
          <w:kern w:val="144"/>
          <w:sz w:val="24"/>
          <w:szCs w:val="24"/>
          <w:highlight w:val="none"/>
        </w:rPr>
        <w:t>这些补给水源在</w:t>
      </w:r>
      <w:r>
        <w:rPr>
          <w:rFonts w:hint="default" w:ascii="Times New Roman" w:hAnsi="Times New Roman" w:cs="Times New Roman"/>
          <w:color w:val="auto"/>
          <w:spacing w:val="0"/>
          <w:sz w:val="24"/>
          <w:szCs w:val="24"/>
          <w:highlight w:val="none"/>
          <w:lang w:bidi="en-US"/>
        </w:rPr>
        <w:t>矿区</w:t>
      </w:r>
      <w:r>
        <w:rPr>
          <w:rFonts w:hint="default" w:ascii="Times New Roman" w:hAnsi="Times New Roman" w:cs="Times New Roman"/>
          <w:bCs/>
          <w:color w:val="auto"/>
          <w:spacing w:val="0"/>
          <w:kern w:val="144"/>
          <w:sz w:val="24"/>
          <w:szCs w:val="24"/>
          <w:highlight w:val="none"/>
        </w:rPr>
        <w:t>北东部分水岭山脊以内，通过地下水侧向径流，大气降水通过地表基岩风化裂隙垂直入渗补给下伏基岩含水层。</w:t>
      </w:r>
    </w:p>
    <w:p w14:paraId="13B430D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kern w:val="144"/>
          <w:sz w:val="24"/>
          <w:szCs w:val="24"/>
          <w:highlight w:val="none"/>
        </w:rPr>
      </w:pPr>
      <w:r>
        <w:rPr>
          <w:rFonts w:hint="default" w:ascii="Times New Roman" w:hAnsi="Times New Roman" w:cs="Times New Roman"/>
          <w:color w:val="auto"/>
          <w:spacing w:val="0"/>
          <w:sz w:val="24"/>
          <w:szCs w:val="24"/>
          <w:highlight w:val="none"/>
          <w:lang w:bidi="en-US"/>
        </w:rPr>
        <w:t>矿区</w:t>
      </w:r>
      <w:r>
        <w:rPr>
          <w:rFonts w:hint="default" w:ascii="Times New Roman" w:hAnsi="Times New Roman" w:cs="Times New Roman"/>
          <w:bCs/>
          <w:color w:val="auto"/>
          <w:spacing w:val="0"/>
          <w:kern w:val="144"/>
          <w:sz w:val="24"/>
          <w:szCs w:val="24"/>
          <w:highlight w:val="none"/>
        </w:rPr>
        <w:t>内地下水的径流，主要由东北部接受各类补给源入渗地下后形成地下水的径流，在</w:t>
      </w:r>
      <w:r>
        <w:rPr>
          <w:rFonts w:hint="default" w:ascii="Times New Roman" w:hAnsi="Times New Roman" w:cs="Times New Roman"/>
          <w:bCs/>
          <w:color w:val="auto"/>
          <w:spacing w:val="0"/>
          <w:sz w:val="24"/>
          <w:szCs w:val="24"/>
          <w:highlight w:val="none"/>
        </w:rPr>
        <w:t>基岩裂隙潜水含水层</w:t>
      </w:r>
      <w:r>
        <w:rPr>
          <w:rFonts w:hint="default" w:ascii="Times New Roman" w:hAnsi="Times New Roman" w:cs="Times New Roman"/>
          <w:bCs/>
          <w:color w:val="auto"/>
          <w:spacing w:val="0"/>
          <w:kern w:val="144"/>
          <w:sz w:val="24"/>
          <w:szCs w:val="24"/>
          <w:highlight w:val="none"/>
        </w:rPr>
        <w:t>中向西南部下游低洼处径流，径流排泄于位置较低的含水层中，地下水总体上是由北东方向向西南方向运移，其运移方向与大区域的地下水运移方向基本一致。</w:t>
      </w:r>
    </w:p>
    <w:p w14:paraId="02C29E7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kern w:val="144"/>
          <w:sz w:val="24"/>
          <w:szCs w:val="24"/>
          <w:highlight w:val="none"/>
        </w:rPr>
      </w:pPr>
      <w:r>
        <w:rPr>
          <w:rFonts w:hint="default" w:ascii="Times New Roman" w:hAnsi="Times New Roman" w:cs="Times New Roman"/>
          <w:color w:val="auto"/>
          <w:spacing w:val="0"/>
          <w:sz w:val="24"/>
          <w:szCs w:val="24"/>
          <w:highlight w:val="none"/>
          <w:lang w:bidi="en-US"/>
        </w:rPr>
        <w:t>矿区</w:t>
      </w:r>
      <w:r>
        <w:rPr>
          <w:rFonts w:hint="default" w:ascii="Times New Roman" w:hAnsi="Times New Roman" w:cs="Times New Roman"/>
          <w:bCs/>
          <w:color w:val="auto"/>
          <w:spacing w:val="0"/>
          <w:kern w:val="144"/>
          <w:sz w:val="24"/>
          <w:szCs w:val="24"/>
          <w:highlight w:val="none"/>
        </w:rPr>
        <w:t>处于区域地下水的径流排泄区部位，地势呈北东高西南部低的中低山丘陵区，矿区东北部为地下水补给边界，西南部为排泄边界。通过钻孔静止水位观测成果，并结合区域水文地质资料及地形地势，判定矿区地下水流向是由北东向西南方向缓慢运移。矿区最低侵蚀基准面标高位于矿区东南部的</w:t>
      </w:r>
      <w:r>
        <w:rPr>
          <w:rFonts w:hint="default" w:ascii="Times New Roman" w:hAnsi="Times New Roman" w:cs="Times New Roman"/>
          <w:bCs/>
          <w:color w:val="auto"/>
          <w:spacing w:val="0"/>
          <w:kern w:val="144"/>
          <w:sz w:val="24"/>
          <w:szCs w:val="24"/>
          <w:highlight w:val="none"/>
          <w:lang w:eastAsia="zh-CN"/>
        </w:rPr>
        <w:t>原南风井</w:t>
      </w:r>
      <w:r>
        <w:rPr>
          <w:rFonts w:hint="default" w:ascii="Times New Roman" w:hAnsi="Times New Roman" w:cs="Times New Roman"/>
          <w:bCs/>
          <w:color w:val="auto"/>
          <w:spacing w:val="0"/>
          <w:kern w:val="144"/>
          <w:sz w:val="24"/>
          <w:szCs w:val="24"/>
          <w:highlight w:val="none"/>
        </w:rPr>
        <w:t>部位，水位埋深35.00米，水位标高为1980.96米。</w:t>
      </w:r>
    </w:p>
    <w:p w14:paraId="7F47214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bCs/>
          <w:color w:val="auto"/>
          <w:spacing w:val="0"/>
          <w:kern w:val="144"/>
          <w:sz w:val="24"/>
          <w:szCs w:val="24"/>
          <w:highlight w:val="none"/>
        </w:rPr>
      </w:pPr>
      <w:r>
        <w:rPr>
          <w:rFonts w:hint="default" w:ascii="Times New Roman" w:hAnsi="Times New Roman" w:cs="Times New Roman"/>
          <w:bCs/>
          <w:color w:val="auto"/>
          <w:spacing w:val="0"/>
          <w:kern w:val="144"/>
          <w:sz w:val="24"/>
          <w:szCs w:val="24"/>
          <w:highlight w:val="none"/>
        </w:rPr>
        <w:t>矿区地下水流向总体由北东部往西南运移或顺地层向更深处运移，少部分以蒸发形式排泄，大部分是通过地下径流的方式向西南排泄出矿区。未来矿山建成投产后，井下开采的疏干排水将是地下水的重要排泄方式之一。</w:t>
      </w:r>
    </w:p>
    <w:p w14:paraId="66D5D63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5.水化学特征及评价</w:t>
      </w:r>
    </w:p>
    <w:p w14:paraId="348849A9">
      <w:pPr>
        <w:keepNext w:val="0"/>
        <w:keepLines w:val="0"/>
        <w:pageBreakBefore w:val="0"/>
        <w:widowControl w:val="0"/>
        <w:kinsoku/>
        <w:wordWrap/>
        <w:overflowPunct/>
        <w:topLinePunct w:val="0"/>
        <w:autoSpaceDE/>
        <w:autoSpaceDN/>
        <w:bidi w:val="0"/>
        <w:adjustRightInd/>
        <w:snapToGrid/>
        <w:ind w:firstLine="544"/>
        <w:textAlignment w:val="auto"/>
        <w:rPr>
          <w:rFonts w:hint="default" w:ascii="Times New Roman" w:hAnsi="Times New Roman" w:cs="Times New Roman"/>
          <w:bCs/>
          <w:color w:val="auto"/>
          <w:spacing w:val="0"/>
          <w:sz w:val="24"/>
          <w:szCs w:val="24"/>
          <w:highlight w:val="none"/>
        </w:rPr>
      </w:pPr>
      <w:r>
        <w:rPr>
          <w:rFonts w:hint="default" w:ascii="Times New Roman" w:hAnsi="Times New Roman" w:cs="Times New Roman"/>
          <w:bCs/>
          <w:color w:val="auto"/>
          <w:spacing w:val="0"/>
          <w:sz w:val="24"/>
          <w:szCs w:val="24"/>
          <w:highlight w:val="none"/>
        </w:rPr>
        <w:t>地下水的水化学类型为SO</w:t>
      </w:r>
      <w:r>
        <w:rPr>
          <w:rFonts w:hint="default" w:ascii="Times New Roman" w:hAnsi="Times New Roman" w:cs="Times New Roman"/>
          <w:bCs/>
          <w:color w:val="auto"/>
          <w:spacing w:val="0"/>
          <w:sz w:val="24"/>
          <w:szCs w:val="24"/>
          <w:highlight w:val="none"/>
          <w:vertAlign w:val="subscript"/>
        </w:rPr>
        <w:t>4</w:t>
      </w:r>
      <w:r>
        <w:rPr>
          <w:rFonts w:hint="default" w:ascii="Times New Roman" w:hAnsi="Times New Roman" w:cs="Times New Roman"/>
          <w:bCs/>
          <w:color w:val="auto"/>
          <w:spacing w:val="0"/>
          <w:sz w:val="24"/>
          <w:szCs w:val="24"/>
          <w:highlight w:val="none"/>
        </w:rPr>
        <w:t>·CI-Na·Ca、SO</w:t>
      </w:r>
      <w:r>
        <w:rPr>
          <w:rFonts w:hint="default" w:ascii="Times New Roman" w:hAnsi="Times New Roman" w:cs="Times New Roman"/>
          <w:bCs/>
          <w:color w:val="auto"/>
          <w:spacing w:val="0"/>
          <w:sz w:val="24"/>
          <w:szCs w:val="24"/>
          <w:highlight w:val="none"/>
          <w:vertAlign w:val="subscript"/>
        </w:rPr>
        <w:t>4</w:t>
      </w:r>
      <w:r>
        <w:rPr>
          <w:rFonts w:hint="default" w:ascii="Times New Roman" w:hAnsi="Times New Roman" w:cs="Times New Roman"/>
          <w:bCs/>
          <w:color w:val="auto"/>
          <w:spacing w:val="0"/>
          <w:sz w:val="24"/>
          <w:szCs w:val="24"/>
          <w:highlight w:val="none"/>
        </w:rPr>
        <w:t>·CI-Na、CI·SO</w:t>
      </w:r>
      <w:r>
        <w:rPr>
          <w:rFonts w:hint="default" w:ascii="Times New Roman" w:hAnsi="Times New Roman" w:cs="Times New Roman"/>
          <w:bCs/>
          <w:color w:val="auto"/>
          <w:spacing w:val="0"/>
          <w:sz w:val="24"/>
          <w:szCs w:val="24"/>
          <w:highlight w:val="none"/>
          <w:vertAlign w:val="subscript"/>
        </w:rPr>
        <w:t>4</w:t>
      </w:r>
      <w:r>
        <w:rPr>
          <w:rFonts w:hint="default" w:ascii="Times New Roman" w:hAnsi="Times New Roman" w:cs="Times New Roman"/>
          <w:bCs/>
          <w:color w:val="auto"/>
          <w:spacing w:val="0"/>
          <w:sz w:val="24"/>
          <w:szCs w:val="24"/>
          <w:highlight w:val="none"/>
        </w:rPr>
        <w:t>-Na、CI·SO</w:t>
      </w:r>
      <w:r>
        <w:rPr>
          <w:rFonts w:hint="default" w:ascii="Times New Roman" w:hAnsi="Times New Roman" w:cs="Times New Roman"/>
          <w:bCs/>
          <w:color w:val="auto"/>
          <w:spacing w:val="0"/>
          <w:sz w:val="24"/>
          <w:szCs w:val="24"/>
          <w:highlight w:val="none"/>
          <w:vertAlign w:val="subscript"/>
        </w:rPr>
        <w:t>4</w:t>
      </w:r>
      <w:r>
        <w:rPr>
          <w:rFonts w:hint="default" w:ascii="Times New Roman" w:hAnsi="Times New Roman" w:cs="Times New Roman"/>
          <w:bCs/>
          <w:color w:val="auto"/>
          <w:spacing w:val="0"/>
          <w:sz w:val="24"/>
          <w:szCs w:val="24"/>
          <w:highlight w:val="none"/>
        </w:rPr>
        <w:t>-Na·Ca型水，pH值7.50～8.08，1318～1896mg/L（1.32～1.90g/L），属中性中矿化的微咸水。</w:t>
      </w:r>
    </w:p>
    <w:p w14:paraId="6B7EA305">
      <w:pPr>
        <w:keepNext w:val="0"/>
        <w:keepLines w:val="0"/>
        <w:pageBreakBefore w:val="0"/>
        <w:widowControl w:val="0"/>
        <w:kinsoku/>
        <w:wordWrap/>
        <w:overflowPunct/>
        <w:topLinePunct w:val="0"/>
        <w:autoSpaceDE/>
        <w:autoSpaceDN/>
        <w:bidi w:val="0"/>
        <w:adjustRightInd/>
        <w:snapToGrid/>
        <w:ind w:firstLine="544"/>
        <w:textAlignment w:val="auto"/>
        <w:rPr>
          <w:rFonts w:hint="default" w:ascii="Times New Roman" w:hAnsi="Times New Roman" w:cs="Times New Roman"/>
          <w:bCs/>
          <w:color w:val="auto"/>
          <w:spacing w:val="0"/>
          <w:sz w:val="24"/>
          <w:szCs w:val="24"/>
          <w:highlight w:val="none"/>
        </w:rPr>
      </w:pPr>
      <w:r>
        <w:rPr>
          <w:rFonts w:hint="default" w:ascii="Times New Roman" w:hAnsi="Times New Roman" w:cs="Times New Roman"/>
          <w:bCs/>
          <w:color w:val="auto"/>
          <w:spacing w:val="0"/>
          <w:sz w:val="24"/>
          <w:szCs w:val="24"/>
          <w:highlight w:val="none"/>
        </w:rPr>
        <w:t>在赋矿地层中，由于矿区处于基岩裂隙潜水含水层的径流排泄区部位，地下水运移速度缓慢，地下水蒸发浓缩作用较强，易溶盐逐渐富集，地下水水化学成分变化大，水质变差。</w:t>
      </w:r>
    </w:p>
    <w:bookmarkEnd w:id="509"/>
    <w:p w14:paraId="7440F3B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6.矿坑涌水量预测</w:t>
      </w:r>
    </w:p>
    <w:p w14:paraId="7AD2D240">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yellow"/>
        </w:rPr>
      </w:pPr>
      <w:r>
        <w:rPr>
          <w:rFonts w:hint="default" w:ascii="Times New Roman" w:hAnsi="Times New Roman" w:cs="Times New Roman"/>
          <w:color w:val="auto"/>
          <w:spacing w:val="0"/>
          <w:sz w:val="24"/>
          <w:szCs w:val="24"/>
          <w:highlight w:val="none"/>
        </w:rPr>
        <w:t>矿体多位于当地侵蚀基准面和地下水位以下，矿区内无地表水体。充水含水层富水性弱，地下水补给条件差。预测Ⅰ、Ⅱ号矿体（层）正常涌水量为0.60×10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、最大涌水量为0.80×10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Ⅲ矿体（层）正常涌水量为0.90×10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、最大涌水量为1.10×10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；Ⅳ矿体（层）正常涌水量为</w:t>
      </w:r>
      <w:r>
        <w:rPr>
          <w:rFonts w:hint="default" w:ascii="Times New Roman" w:hAnsi="Times New Roman" w:cs="Times New Roman"/>
          <w:color w:val="auto"/>
          <w:spacing w:val="0"/>
          <w:sz w:val="24"/>
          <w:szCs w:val="24"/>
          <w:highlight w:val="none"/>
          <w:lang w:val="en-US" w:eastAsia="zh-CN"/>
        </w:rPr>
        <w:t>0.56</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0.83</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Ⅴ矿体（层）井下矿坑正常矿坑涌水量为0.50×10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；最大矿坑涌水量分别为0.70×1</w:t>
      </w:r>
      <w:r>
        <w:rPr>
          <w:rFonts w:hint="default" w:ascii="Times New Roman" w:hAnsi="Times New Roman" w:cs="Times New Roman"/>
          <w:color w:val="auto"/>
          <w:spacing w:val="0"/>
          <w:sz w:val="24"/>
          <w:szCs w:val="24"/>
          <w:highlight w:val="none"/>
          <w:vertAlign w:val="baseline"/>
        </w:rPr>
        <w:t>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。Ⅳ-1矿体（层）正常涌水量为1.2</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、最大涌水量为1.6</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w:t>
      </w:r>
      <w:r>
        <w:rPr>
          <w:rFonts w:hint="default" w:ascii="Times New Roman" w:hAnsi="Times New Roman" w:eastAsia="微软雅黑" w:cs="Times New Roman"/>
          <w:color w:val="auto"/>
          <w:spacing w:val="0"/>
          <w:sz w:val="24"/>
          <w:szCs w:val="24"/>
          <w:highlight w:val="none"/>
        </w:rPr>
        <w:t>Ⅵ</w:t>
      </w:r>
      <w:r>
        <w:rPr>
          <w:rFonts w:hint="default" w:ascii="Times New Roman" w:hAnsi="Times New Roman" w:cs="Times New Roman"/>
          <w:color w:val="auto"/>
          <w:spacing w:val="0"/>
          <w:sz w:val="24"/>
          <w:szCs w:val="24"/>
          <w:highlight w:val="none"/>
        </w:rPr>
        <w:t>矿体（层）正常涌水量为</w:t>
      </w:r>
      <w:r>
        <w:rPr>
          <w:rFonts w:hint="default" w:ascii="Times New Roman" w:hAnsi="Times New Roman" w:cs="Times New Roman"/>
          <w:color w:val="auto"/>
          <w:spacing w:val="0"/>
          <w:sz w:val="24"/>
          <w:szCs w:val="24"/>
          <w:highlight w:val="none"/>
          <w:lang w:val="en-US" w:eastAsia="zh-CN"/>
        </w:rPr>
        <w:t>1.32</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1.98</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；确定铜矿床属第二类以裂隙充水为主，水文地质条件中等。</w:t>
      </w:r>
    </w:p>
    <w:p w14:paraId="04D8DD8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Cs w:val="28"/>
          <w:highlight w:val="none"/>
        </w:rPr>
      </w:pPr>
      <w:r>
        <w:rPr>
          <w:rFonts w:hint="default" w:ascii="Times New Roman" w:hAnsi="Times New Roman" w:cs="Times New Roman"/>
          <w:color w:val="auto"/>
          <w:spacing w:val="0"/>
          <w:sz w:val="24"/>
          <w:szCs w:val="24"/>
          <w:highlight w:val="none"/>
        </w:rPr>
        <w:t>综上所述，矿区水文地质条件中等。</w:t>
      </w:r>
    </w:p>
    <w:bookmarkEnd w:id="506"/>
    <w:bookmarkEnd w:id="507"/>
    <w:bookmarkEnd w:id="508"/>
    <w:p w14:paraId="742B7E5A">
      <w:pPr>
        <w:pStyle w:val="4"/>
        <w:bidi w:val="0"/>
        <w:rPr>
          <w:rFonts w:hint="default" w:ascii="Times New Roman" w:hAnsi="Times New Roman" w:cs="Times New Roman"/>
          <w:color w:val="auto"/>
          <w:lang w:val="en-US" w:eastAsia="zh-CN"/>
        </w:rPr>
      </w:pPr>
      <w:bookmarkStart w:id="513" w:name="_Toc4239"/>
      <w:bookmarkStart w:id="514" w:name="_Toc4039"/>
      <w:bookmarkStart w:id="515" w:name="_Toc23796"/>
      <w:bookmarkStart w:id="516" w:name="_Toc12676"/>
      <w:bookmarkStart w:id="517" w:name="_Toc21116"/>
      <w:r>
        <w:rPr>
          <w:rFonts w:hint="default" w:ascii="Times New Roman" w:hAnsi="Times New Roman" w:cs="Times New Roman"/>
          <w:color w:val="auto"/>
          <w:lang w:val="en-US" w:eastAsia="zh-CN"/>
        </w:rPr>
        <w:t>地震</w:t>
      </w:r>
      <w:bookmarkEnd w:id="513"/>
      <w:bookmarkEnd w:id="514"/>
      <w:bookmarkEnd w:id="515"/>
      <w:bookmarkEnd w:id="516"/>
      <w:bookmarkEnd w:id="517"/>
    </w:p>
    <w:p w14:paraId="50171F48">
      <w:pPr>
        <w:spacing w:line="360" w:lineRule="auto"/>
        <w:ind w:firstLine="480" w:firstLineChars="200"/>
        <w:jc w:val="left"/>
        <w:rPr>
          <w:rFonts w:hint="default" w:ascii="Times New Roman" w:hAnsi="Times New Roman" w:cs="Times New Roman" w:eastAsiaTheme="minorEastAsia"/>
          <w:bCs/>
          <w:color w:val="auto"/>
          <w:spacing w:val="-4"/>
          <w:sz w:val="28"/>
          <w:szCs w:val="28"/>
        </w:rPr>
      </w:pPr>
      <w:r>
        <w:rPr>
          <w:rFonts w:hint="default" w:ascii="Times New Roman" w:hAnsi="Times New Roman" w:eastAsia="宋体" w:cs="Times New Roman"/>
          <w:bCs/>
          <w:color w:val="auto"/>
          <w:spacing w:val="0"/>
          <w:kern w:val="144"/>
          <w:sz w:val="24"/>
          <w:szCs w:val="24"/>
          <w:highlight w:val="none"/>
        </w:rPr>
        <w:t>根据国家质量监督检验检疫总局和中国国家标准化管理委员会2015年5月15日发布的《中国地震动参数区划图》</w:t>
      </w:r>
      <w:r>
        <w:rPr>
          <w:rFonts w:hint="default" w:ascii="Times New Roman" w:hAnsi="Times New Roman" w:cs="Times New Roman"/>
          <w:bCs/>
          <w:color w:val="auto"/>
          <w:spacing w:val="0"/>
          <w:kern w:val="144"/>
          <w:sz w:val="24"/>
          <w:szCs w:val="24"/>
          <w:highlight w:val="none"/>
          <w:lang w:eastAsia="zh-CN"/>
        </w:rPr>
        <w:t>（</w:t>
      </w:r>
      <w:r>
        <w:rPr>
          <w:rFonts w:hint="default" w:ascii="Times New Roman" w:hAnsi="Times New Roman" w:eastAsia="宋体" w:cs="Times New Roman"/>
          <w:bCs/>
          <w:color w:val="auto"/>
          <w:spacing w:val="0"/>
          <w:kern w:val="144"/>
          <w:sz w:val="24"/>
          <w:szCs w:val="24"/>
          <w:highlight w:val="none"/>
        </w:rPr>
        <w:t>GB18306-2015</w:t>
      </w:r>
      <w:r>
        <w:rPr>
          <w:rFonts w:hint="default" w:ascii="Times New Roman" w:hAnsi="Times New Roman" w:cs="Times New Roman"/>
          <w:bCs/>
          <w:color w:val="auto"/>
          <w:spacing w:val="0"/>
          <w:kern w:val="144"/>
          <w:sz w:val="24"/>
          <w:szCs w:val="24"/>
          <w:highlight w:val="none"/>
          <w:lang w:eastAsia="zh-CN"/>
        </w:rPr>
        <w:t>）</w:t>
      </w:r>
      <w:r>
        <w:rPr>
          <w:rFonts w:hint="default" w:ascii="Times New Roman" w:hAnsi="Times New Roman" w:eastAsia="宋体" w:cs="Times New Roman"/>
          <w:bCs/>
          <w:color w:val="auto"/>
          <w:spacing w:val="0"/>
          <w:kern w:val="144"/>
          <w:sz w:val="24"/>
          <w:szCs w:val="24"/>
          <w:highlight w:val="none"/>
        </w:rPr>
        <w:t>中附录A《中国地震动峰值加速度区划图》、附录B《中国地震动加速度反应谱特征周期区划图》，矿区地震动峰值加速度0.05g，相应的地震设防烈度为Ⅵ度，将核实勘查区地壳稳定性划分为稳定区Ⅰ。</w:t>
      </w:r>
    </w:p>
    <w:p w14:paraId="0D07F3A7">
      <w:pPr>
        <w:spacing w:line="440" w:lineRule="exact"/>
        <w:jc w:val="center"/>
        <w:rPr>
          <w:rFonts w:hint="default" w:ascii="Times New Roman" w:hAnsi="Times New Roman" w:cs="Times New Roman"/>
          <w:b/>
          <w:color w:val="auto"/>
          <w:szCs w:val="21"/>
        </w:rPr>
      </w:pPr>
      <w:r>
        <w:rPr>
          <w:rFonts w:hint="default" w:ascii="Times New Roman" w:hAnsi="Times New Roman" w:cs="Times New Roman" w:eastAsiaTheme="minorEastAsia"/>
          <w:b/>
          <w:color w:val="auto"/>
          <w:szCs w:val="21"/>
        </w:rPr>
        <w:t>图</w:t>
      </w:r>
      <w:r>
        <w:rPr>
          <w:rFonts w:hint="default" w:ascii="Times New Roman" w:hAnsi="Times New Roman" w:cs="Times New Roman" w:eastAsiaTheme="minorEastAsia"/>
          <w:b/>
          <w:color w:val="auto"/>
          <w:szCs w:val="21"/>
          <w:lang w:val="en-US" w:eastAsia="zh-CN"/>
        </w:rPr>
        <w:t>4.1-3</w:t>
      </w:r>
      <w:r>
        <w:rPr>
          <w:rFonts w:hint="default" w:ascii="Times New Roman" w:hAnsi="Times New Roman" w:cs="Times New Roman" w:eastAsiaTheme="minorEastAsia"/>
          <w:b/>
          <w:color w:val="auto"/>
          <w:szCs w:val="21"/>
        </w:rPr>
        <w:t xml:space="preserve"> </w:t>
      </w:r>
      <w:r>
        <w:rPr>
          <w:rFonts w:hint="default" w:ascii="Times New Roman" w:hAnsi="Times New Roman" w:cs="Times New Roman"/>
          <w:b/>
          <w:color w:val="auto"/>
          <w:szCs w:val="21"/>
        </w:rPr>
        <w:t xml:space="preserve">   地震动峰值加速度区划图</w:t>
      </w:r>
    </w:p>
    <w:p w14:paraId="38B1487D">
      <w:pPr>
        <w:pStyle w:val="3"/>
        <w:bidi w:val="0"/>
        <w:rPr>
          <w:rFonts w:hint="default" w:ascii="Times New Roman" w:hAnsi="Times New Roman" w:cs="Times New Roman"/>
          <w:color w:val="auto"/>
          <w:lang w:val="en-US" w:eastAsia="zh-CN"/>
        </w:rPr>
      </w:pPr>
      <w:bookmarkStart w:id="518" w:name="_Toc13739_WPSOffice_Level1"/>
      <w:bookmarkStart w:id="519" w:name="_Toc18276"/>
      <w:bookmarkStart w:id="520" w:name="_Toc8518"/>
      <w:bookmarkStart w:id="521" w:name="_Toc13419"/>
      <w:bookmarkStart w:id="522" w:name="_Toc23905"/>
      <w:bookmarkStart w:id="523" w:name="_Toc20418"/>
      <w:bookmarkStart w:id="524" w:name="_Toc15748"/>
      <w:bookmarkStart w:id="525" w:name="_Toc20695"/>
      <w:bookmarkStart w:id="526" w:name="_Toc2612"/>
      <w:bookmarkStart w:id="527" w:name="_Toc5163"/>
      <w:bookmarkStart w:id="528" w:name="_Toc10713"/>
      <w:bookmarkStart w:id="529" w:name="_Toc26966"/>
      <w:bookmarkStart w:id="530" w:name="_Toc20462"/>
      <w:bookmarkStart w:id="531" w:name="_Toc6906"/>
      <w:r>
        <w:rPr>
          <w:rFonts w:hint="default" w:ascii="Times New Roman" w:hAnsi="Times New Roman" w:cs="Times New Roman"/>
          <w:color w:val="auto"/>
          <w:lang w:val="en-US" w:eastAsia="zh-CN"/>
        </w:rPr>
        <w:t>环境质量现状调查与评价</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77ED8EF2">
      <w:pPr>
        <w:pStyle w:val="4"/>
        <w:numPr>
          <w:ilvl w:val="0"/>
          <w:numId w:val="0"/>
        </w:numPr>
        <w:rPr>
          <w:rFonts w:hint="default" w:ascii="Times New Roman" w:hAnsi="Times New Roman" w:eastAsia="宋体" w:cs="Times New Roman"/>
          <w:b/>
          <w:bCs/>
          <w:color w:val="auto"/>
          <w:spacing w:val="0"/>
          <w:w w:val="100"/>
          <w:position w:val="0"/>
          <w:highlight w:val="none"/>
        </w:rPr>
      </w:pPr>
      <w:bookmarkStart w:id="532" w:name="_Toc2743"/>
      <w:bookmarkStart w:id="533" w:name="_Toc9787"/>
      <w:bookmarkStart w:id="534" w:name="_Toc19778"/>
      <w:bookmarkStart w:id="535" w:name="_Toc1016"/>
      <w:bookmarkStart w:id="536" w:name="_Toc22440"/>
      <w:bookmarkStart w:id="537" w:name="_Toc4868"/>
      <w:bookmarkStart w:id="538" w:name="_Toc7941"/>
      <w:bookmarkStart w:id="539" w:name="_Toc22380"/>
      <w:bookmarkStart w:id="540" w:name="_Toc25826"/>
      <w:bookmarkStart w:id="541" w:name="_Toc23490"/>
      <w:bookmarkStart w:id="542" w:name="_Toc16863"/>
      <w:bookmarkStart w:id="543" w:name="_Toc29632"/>
      <w:bookmarkStart w:id="544" w:name="_Toc3231"/>
      <w:r>
        <w:rPr>
          <w:rFonts w:hint="default" w:ascii="Times New Roman" w:hAnsi="Times New Roman" w:eastAsia="宋体" w:cs="Times New Roman"/>
          <w:b/>
          <w:bCs/>
          <w:color w:val="auto"/>
          <w:spacing w:val="0"/>
          <w:w w:val="100"/>
          <w:position w:val="0"/>
          <w:highlight w:val="none"/>
        </w:rPr>
        <w:t>4.</w:t>
      </w:r>
      <w:r>
        <w:rPr>
          <w:rFonts w:hint="default" w:ascii="Times New Roman" w:hAnsi="Times New Roman" w:eastAsia="宋体" w:cs="Times New Roman"/>
          <w:b/>
          <w:bCs/>
          <w:color w:val="auto"/>
          <w:spacing w:val="0"/>
          <w:w w:val="100"/>
          <w:position w:val="0"/>
          <w:highlight w:val="none"/>
          <w:lang w:val="en-US" w:eastAsia="zh-CN"/>
        </w:rPr>
        <w:t>2</w:t>
      </w:r>
      <w:r>
        <w:rPr>
          <w:rFonts w:hint="default" w:ascii="Times New Roman" w:hAnsi="Times New Roman" w:eastAsia="宋体" w:cs="Times New Roman"/>
          <w:b/>
          <w:bCs/>
          <w:color w:val="auto"/>
          <w:spacing w:val="0"/>
          <w:w w:val="100"/>
          <w:position w:val="0"/>
          <w:highlight w:val="none"/>
        </w:rPr>
        <w:t>.1环境空气质量现状调查与评价</w:t>
      </w:r>
      <w:bookmarkEnd w:id="532"/>
      <w:bookmarkEnd w:id="533"/>
      <w:bookmarkEnd w:id="534"/>
      <w:bookmarkEnd w:id="535"/>
      <w:bookmarkEnd w:id="536"/>
      <w:bookmarkEnd w:id="537"/>
      <w:bookmarkEnd w:id="538"/>
      <w:bookmarkEnd w:id="539"/>
      <w:bookmarkEnd w:id="540"/>
      <w:bookmarkEnd w:id="541"/>
      <w:bookmarkEnd w:id="542"/>
      <w:bookmarkEnd w:id="543"/>
      <w:bookmarkEnd w:id="544"/>
    </w:p>
    <w:p w14:paraId="7ACF8CC3">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lang w:val="en-US" w:eastAsia="zh-CN"/>
        </w:rPr>
      </w:pPr>
      <w:bookmarkStart w:id="545" w:name="_Toc20044"/>
      <w:bookmarkStart w:id="546" w:name="_Toc16154"/>
      <w:bookmarkStart w:id="547" w:name="_Toc8586"/>
      <w:bookmarkStart w:id="548" w:name="_Toc20762"/>
      <w:r>
        <w:rPr>
          <w:rFonts w:hint="default" w:ascii="Times New Roman" w:hAnsi="Times New Roman" w:eastAsia="宋体" w:cs="Times New Roman"/>
          <w:b/>
          <w:bCs/>
          <w:color w:val="auto"/>
          <w:spacing w:val="0"/>
          <w:w w:val="100"/>
          <w:position w:val="0"/>
          <w:lang w:val="en-US" w:eastAsia="zh-CN"/>
        </w:rPr>
        <w:t>4.2.1.1空气质量达标区的判定</w:t>
      </w:r>
    </w:p>
    <w:p w14:paraId="0C6BAD12">
      <w:pPr>
        <w:keepNext w:val="0"/>
        <w:keepLines w:val="0"/>
        <w:pageBreakBefore w:val="0"/>
        <w:widowControl/>
        <w:kinsoku/>
        <w:wordWrap/>
        <w:overflowPunct/>
        <w:topLinePunct w:val="0"/>
        <w:autoSpaceDE/>
        <w:autoSpaceDN/>
        <w:bidi w:val="0"/>
        <w:spacing w:line="480" w:lineRule="exact"/>
        <w:ind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本次评价</w:t>
      </w:r>
      <w:r>
        <w:rPr>
          <w:rFonts w:hint="default" w:ascii="Times New Roman" w:hAnsi="Times New Roman" w:eastAsia="宋体" w:cs="Times New Roman"/>
          <w:color w:val="auto"/>
          <w:sz w:val="24"/>
          <w:szCs w:val="24"/>
          <w:lang w:val="en-US" w:eastAsia="zh-CN"/>
        </w:rPr>
        <w:t>基本污染物评价引用生态环境部环境工程评估中心国家环境保护环境影响评价数值模拟重点实验室环境空气质量模型技术支持服务系统中</w:t>
      </w:r>
      <w:r>
        <w:rPr>
          <w:rFonts w:hint="default" w:ascii="Times New Roman" w:hAnsi="Times New Roman" w:cs="Times New Roman"/>
          <w:color w:val="auto"/>
          <w:sz w:val="24"/>
          <w:szCs w:val="24"/>
          <w:lang w:val="en-US" w:eastAsia="zh-CN"/>
        </w:rPr>
        <w:t>哈密市</w:t>
      </w:r>
      <w:r>
        <w:rPr>
          <w:rFonts w:hint="default" w:ascii="Times New Roman" w:hAnsi="Times New Roman" w:eastAsia="宋体" w:cs="Times New Roman"/>
          <w:color w:val="auto"/>
          <w:sz w:val="24"/>
          <w:szCs w:val="24"/>
          <w:lang w:val="en-US" w:eastAsia="zh-CN"/>
        </w:rPr>
        <w:t>2025年达标区判定数据，</w:t>
      </w:r>
      <w:r>
        <w:rPr>
          <w:rFonts w:hint="default" w:ascii="Times New Roman" w:hAnsi="Times New Roman" w:eastAsia="宋体" w:cs="Times New Roman"/>
          <w:color w:val="auto"/>
          <w:sz w:val="24"/>
          <w:szCs w:val="24"/>
        </w:rPr>
        <w:t>作为本项目环境空气现状评价基本污染物SO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、CO和O</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数据来源</w:t>
      </w:r>
      <w:r>
        <w:rPr>
          <w:rFonts w:hint="default" w:ascii="Times New Roman" w:hAnsi="Times New Roman" w:eastAsia="宋体" w:cs="Times New Roman"/>
          <w:color w:val="auto"/>
          <w:sz w:val="24"/>
          <w:szCs w:val="24"/>
          <w:lang w:val="en-US" w:eastAsia="zh-CN"/>
        </w:rPr>
        <w:t>。</w:t>
      </w:r>
    </w:p>
    <w:p w14:paraId="32BF9131">
      <w:pPr>
        <w:pStyle w:val="54"/>
        <w:keepNext w:val="0"/>
        <w:keepLines w:val="0"/>
        <w:pageBreakBefore w:val="0"/>
        <w:widowControl/>
        <w:kinsoku/>
        <w:wordWrap/>
        <w:overflowPunct/>
        <w:topLinePunct w:val="0"/>
        <w:autoSpaceDE/>
        <w:autoSpaceDN/>
        <w:bidi w:val="0"/>
        <w:spacing w:line="480" w:lineRule="exact"/>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数据统计结果</w:t>
      </w:r>
      <w:r>
        <w:rPr>
          <w:rFonts w:hint="default" w:ascii="Times New Roman" w:hAnsi="Times New Roman" w:cs="Times New Roman"/>
          <w:color w:val="auto"/>
          <w:sz w:val="24"/>
          <w:szCs w:val="24"/>
        </w:rPr>
        <w:t>见表</w:t>
      </w:r>
      <w:r>
        <w:rPr>
          <w:rFonts w:hint="default" w:ascii="Times New Roman" w:hAnsi="Times New Roman" w:cs="Times New Roman"/>
          <w:color w:val="auto"/>
          <w:sz w:val="24"/>
          <w:szCs w:val="24"/>
          <w:lang w:val="en-US" w:eastAsia="zh-CN"/>
        </w:rPr>
        <w:t>4.2-1</w:t>
      </w:r>
      <w:r>
        <w:rPr>
          <w:rFonts w:hint="default" w:ascii="Times New Roman" w:hAnsi="Times New Roman" w:eastAsia="宋体" w:cs="Times New Roman"/>
          <w:color w:val="auto"/>
          <w:sz w:val="24"/>
          <w:szCs w:val="24"/>
          <w:lang w:val="en-US" w:eastAsia="zh-CN"/>
        </w:rPr>
        <w:t>。</w:t>
      </w:r>
    </w:p>
    <w:p w14:paraId="6A9667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lang w:val="en-US" w:eastAsia="zh-CN"/>
        </w:rPr>
      </w:pPr>
      <w:r>
        <w:rPr>
          <w:rFonts w:hint="default" w:ascii="Times New Roman" w:hAnsi="Times New Roman" w:eastAsia="宋体" w:cs="Times New Roman"/>
          <w:b/>
          <w:bCs/>
          <w:color w:val="auto"/>
          <w:spacing w:val="0"/>
          <w:w w:val="100"/>
          <w:position w:val="0"/>
          <w:sz w:val="21"/>
          <w:szCs w:val="21"/>
          <w:lang w:val="en-US" w:eastAsia="zh-CN"/>
        </w:rPr>
        <w:t>表4.2-1    2025年哈密市主要空气污染物指标监测结果</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85"/>
        <w:gridCol w:w="3298"/>
        <w:gridCol w:w="1387"/>
        <w:gridCol w:w="1221"/>
        <w:gridCol w:w="1056"/>
        <w:gridCol w:w="766"/>
      </w:tblGrid>
      <w:tr w14:paraId="493B99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2B3A0E8F">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1936" w:type="pct"/>
            <w:noWrap w:val="0"/>
            <w:vAlign w:val="center"/>
          </w:tcPr>
          <w:p w14:paraId="0FEB41B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年评价指标</w:t>
            </w:r>
          </w:p>
        </w:tc>
        <w:tc>
          <w:tcPr>
            <w:tcW w:w="814" w:type="pct"/>
            <w:noWrap w:val="0"/>
            <w:vAlign w:val="center"/>
          </w:tcPr>
          <w:p w14:paraId="3DBFF38D">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现状浓度</w:t>
            </w:r>
          </w:p>
          <w:p w14:paraId="46F165A8">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717" w:type="pct"/>
            <w:noWrap w:val="0"/>
            <w:vAlign w:val="center"/>
          </w:tcPr>
          <w:p w14:paraId="7F2542A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标准值</w:t>
            </w:r>
          </w:p>
          <w:p w14:paraId="41EB276A">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（μg/m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p>
        </w:tc>
        <w:tc>
          <w:tcPr>
            <w:tcW w:w="620" w:type="pct"/>
            <w:noWrap w:val="0"/>
            <w:vAlign w:val="center"/>
          </w:tcPr>
          <w:p w14:paraId="62624AB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占标率</w:t>
            </w:r>
          </w:p>
          <w:p w14:paraId="7BA41CBE">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w:t>
            </w:r>
          </w:p>
        </w:tc>
        <w:tc>
          <w:tcPr>
            <w:tcW w:w="449" w:type="pct"/>
            <w:tcBorders>
              <w:right w:val="single" w:color="000000" w:sz="12" w:space="0"/>
            </w:tcBorders>
            <w:noWrap w:val="0"/>
            <w:vAlign w:val="center"/>
          </w:tcPr>
          <w:p w14:paraId="3E31D98C">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达标</w:t>
            </w:r>
          </w:p>
          <w:p w14:paraId="6909FC5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情况</w:t>
            </w:r>
          </w:p>
        </w:tc>
      </w:tr>
      <w:tr w14:paraId="5E87E5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7E9F80CF">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936" w:type="pct"/>
            <w:noWrap w:val="0"/>
            <w:vAlign w:val="center"/>
          </w:tcPr>
          <w:p w14:paraId="713C0E00">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814" w:type="pct"/>
            <w:noWrap w:val="0"/>
            <w:vAlign w:val="center"/>
          </w:tcPr>
          <w:p w14:paraId="44866F57">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7</w:t>
            </w:r>
          </w:p>
        </w:tc>
        <w:tc>
          <w:tcPr>
            <w:tcW w:w="717" w:type="pct"/>
            <w:noWrap w:val="0"/>
            <w:vAlign w:val="center"/>
          </w:tcPr>
          <w:p w14:paraId="099A273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kern w:val="2"/>
                <w:sz w:val="21"/>
                <w:szCs w:val="21"/>
                <w:highlight w:val="none"/>
                <w:lang w:val="en-US" w:eastAsia="zh-CN" w:bidi="ar-SA"/>
              </w:rPr>
              <w:t>60</w:t>
            </w:r>
          </w:p>
        </w:tc>
        <w:tc>
          <w:tcPr>
            <w:tcW w:w="620" w:type="pct"/>
            <w:noWrap w:val="0"/>
            <w:vAlign w:val="center"/>
          </w:tcPr>
          <w:p w14:paraId="0501E8C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10.0</w:t>
            </w:r>
          </w:p>
        </w:tc>
        <w:tc>
          <w:tcPr>
            <w:tcW w:w="449" w:type="pct"/>
            <w:tcBorders>
              <w:right w:val="single" w:color="000000" w:sz="12" w:space="0"/>
            </w:tcBorders>
            <w:noWrap w:val="0"/>
            <w:vAlign w:val="center"/>
          </w:tcPr>
          <w:p w14:paraId="3E2BA375">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7FC38C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78D36FF1">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1936" w:type="pct"/>
            <w:noWrap w:val="0"/>
            <w:vAlign w:val="center"/>
          </w:tcPr>
          <w:p w14:paraId="08A815D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814" w:type="pct"/>
            <w:noWrap w:val="0"/>
            <w:vAlign w:val="center"/>
          </w:tcPr>
          <w:p w14:paraId="0E08EAF7">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24</w:t>
            </w:r>
          </w:p>
        </w:tc>
        <w:tc>
          <w:tcPr>
            <w:tcW w:w="717" w:type="pct"/>
            <w:noWrap w:val="0"/>
            <w:vAlign w:val="center"/>
          </w:tcPr>
          <w:p w14:paraId="408C5273">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kern w:val="2"/>
                <w:sz w:val="21"/>
                <w:szCs w:val="21"/>
                <w:highlight w:val="none"/>
                <w:lang w:val="en-US" w:eastAsia="zh-CN" w:bidi="ar-SA"/>
              </w:rPr>
              <w:t>40</w:t>
            </w:r>
          </w:p>
        </w:tc>
        <w:tc>
          <w:tcPr>
            <w:tcW w:w="620" w:type="pct"/>
            <w:noWrap w:val="0"/>
            <w:vAlign w:val="center"/>
          </w:tcPr>
          <w:p w14:paraId="7A0A6D80">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65.0</w:t>
            </w:r>
          </w:p>
        </w:tc>
        <w:tc>
          <w:tcPr>
            <w:tcW w:w="449" w:type="pct"/>
            <w:tcBorders>
              <w:right w:val="single" w:color="000000" w:sz="12" w:space="0"/>
            </w:tcBorders>
            <w:noWrap w:val="0"/>
            <w:vAlign w:val="center"/>
          </w:tcPr>
          <w:p w14:paraId="17C8DF0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7D8AB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1888AA90">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1936" w:type="pct"/>
            <w:noWrap w:val="0"/>
            <w:vAlign w:val="center"/>
          </w:tcPr>
          <w:p w14:paraId="3A7FA584">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第95百分位数日平均质量浓度</w:t>
            </w:r>
          </w:p>
        </w:tc>
        <w:tc>
          <w:tcPr>
            <w:tcW w:w="814" w:type="pct"/>
            <w:noWrap w:val="0"/>
            <w:vAlign w:val="center"/>
          </w:tcPr>
          <w:p w14:paraId="561E266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800</w:t>
            </w:r>
          </w:p>
        </w:tc>
        <w:tc>
          <w:tcPr>
            <w:tcW w:w="717" w:type="pct"/>
            <w:noWrap w:val="0"/>
            <w:vAlign w:val="center"/>
          </w:tcPr>
          <w:p w14:paraId="41061E7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4000</w:t>
            </w:r>
          </w:p>
        </w:tc>
        <w:tc>
          <w:tcPr>
            <w:tcW w:w="620" w:type="pct"/>
            <w:noWrap w:val="0"/>
            <w:vAlign w:val="center"/>
          </w:tcPr>
          <w:p w14:paraId="61CA81B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w:t>
            </w:r>
          </w:p>
        </w:tc>
        <w:tc>
          <w:tcPr>
            <w:tcW w:w="449" w:type="pct"/>
            <w:tcBorders>
              <w:right w:val="single" w:color="000000" w:sz="12" w:space="0"/>
            </w:tcBorders>
            <w:noWrap w:val="0"/>
            <w:vAlign w:val="center"/>
          </w:tcPr>
          <w:p w14:paraId="0AEC5DCC">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290215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6C318DCB">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1936" w:type="pct"/>
            <w:noWrap w:val="0"/>
            <w:vAlign w:val="center"/>
          </w:tcPr>
          <w:p w14:paraId="6A7B3006">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第90百分位数8h平均质量浓度</w:t>
            </w:r>
          </w:p>
        </w:tc>
        <w:tc>
          <w:tcPr>
            <w:tcW w:w="814" w:type="pct"/>
            <w:noWrap w:val="0"/>
            <w:vAlign w:val="center"/>
          </w:tcPr>
          <w:p w14:paraId="0175CC34">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122</w:t>
            </w:r>
          </w:p>
        </w:tc>
        <w:tc>
          <w:tcPr>
            <w:tcW w:w="717" w:type="pct"/>
            <w:noWrap w:val="0"/>
            <w:vAlign w:val="center"/>
          </w:tcPr>
          <w:p w14:paraId="25A56EC5">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kern w:val="2"/>
                <w:sz w:val="21"/>
                <w:szCs w:val="21"/>
                <w:highlight w:val="none"/>
                <w:lang w:val="en-US" w:eastAsia="zh-CN" w:bidi="ar-SA"/>
              </w:rPr>
              <w:t>160</w:t>
            </w:r>
          </w:p>
        </w:tc>
        <w:tc>
          <w:tcPr>
            <w:tcW w:w="620" w:type="pct"/>
            <w:noWrap w:val="0"/>
            <w:vAlign w:val="center"/>
          </w:tcPr>
          <w:p w14:paraId="7A62BCDB">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87.5</w:t>
            </w:r>
          </w:p>
        </w:tc>
        <w:tc>
          <w:tcPr>
            <w:tcW w:w="449" w:type="pct"/>
            <w:tcBorders>
              <w:right w:val="single" w:color="000000" w:sz="12" w:space="0"/>
            </w:tcBorders>
            <w:noWrap w:val="0"/>
            <w:vAlign w:val="center"/>
          </w:tcPr>
          <w:p w14:paraId="44C8E573">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54B1FE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355F6EEC">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p>
        </w:tc>
        <w:tc>
          <w:tcPr>
            <w:tcW w:w="1936" w:type="pct"/>
            <w:noWrap w:val="0"/>
            <w:vAlign w:val="center"/>
          </w:tcPr>
          <w:p w14:paraId="3E8260CD">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814" w:type="pct"/>
            <w:noWrap w:val="0"/>
            <w:vAlign w:val="center"/>
          </w:tcPr>
          <w:p w14:paraId="39F1EBF0">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23</w:t>
            </w:r>
          </w:p>
        </w:tc>
        <w:tc>
          <w:tcPr>
            <w:tcW w:w="717" w:type="pct"/>
            <w:noWrap w:val="0"/>
            <w:vAlign w:val="center"/>
          </w:tcPr>
          <w:p w14:paraId="0330383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30</w:t>
            </w:r>
          </w:p>
        </w:tc>
        <w:tc>
          <w:tcPr>
            <w:tcW w:w="620" w:type="pct"/>
            <w:noWrap w:val="0"/>
            <w:vAlign w:val="center"/>
          </w:tcPr>
          <w:p w14:paraId="3A647CE4">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76.7</w:t>
            </w:r>
          </w:p>
        </w:tc>
        <w:tc>
          <w:tcPr>
            <w:tcW w:w="449" w:type="pct"/>
            <w:tcBorders>
              <w:right w:val="single" w:color="000000" w:sz="12" w:space="0"/>
            </w:tcBorders>
            <w:noWrap w:val="0"/>
            <w:vAlign w:val="center"/>
          </w:tcPr>
          <w:p w14:paraId="17A041BB">
            <w:pPr>
              <w:pStyle w:val="55"/>
              <w:keepNext w:val="0"/>
              <w:keepLines w:val="0"/>
              <w:pageBreakBefore w:val="0"/>
              <w:widowControl/>
              <w:kinsoku/>
              <w:wordWrap/>
              <w:overflowPunct/>
              <w:topLinePunct/>
              <w:autoSpaceDE/>
              <w:autoSpaceDN/>
              <w:bidi w:val="0"/>
              <w:adjustRightInd w:val="0"/>
              <w:snapToGrid w:val="0"/>
              <w:spacing w:line="360" w:lineRule="exact"/>
              <w:ind w:left="0" w:leftChars="0" w:right="0" w:rightChars="0" w:firstLine="0" w:firstLineChars="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达标</w:t>
            </w:r>
          </w:p>
        </w:tc>
      </w:tr>
      <w:tr w14:paraId="4B3150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61" w:type="pct"/>
            <w:tcBorders>
              <w:left w:val="single" w:color="000000" w:sz="12" w:space="0"/>
            </w:tcBorders>
            <w:noWrap w:val="0"/>
            <w:vAlign w:val="center"/>
          </w:tcPr>
          <w:p w14:paraId="5E1DC13C">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10</w:t>
            </w:r>
          </w:p>
        </w:tc>
        <w:tc>
          <w:tcPr>
            <w:tcW w:w="1936" w:type="pct"/>
            <w:noWrap w:val="0"/>
            <w:vAlign w:val="center"/>
          </w:tcPr>
          <w:p w14:paraId="71D25C3F">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年平均质量浓度</w:t>
            </w:r>
          </w:p>
        </w:tc>
        <w:tc>
          <w:tcPr>
            <w:tcW w:w="814" w:type="pct"/>
            <w:noWrap w:val="0"/>
            <w:vAlign w:val="center"/>
          </w:tcPr>
          <w:p w14:paraId="261BF492">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59</w:t>
            </w:r>
          </w:p>
        </w:tc>
        <w:tc>
          <w:tcPr>
            <w:tcW w:w="717" w:type="pct"/>
            <w:noWrap w:val="0"/>
            <w:vAlign w:val="center"/>
          </w:tcPr>
          <w:p w14:paraId="519E8AF9">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60</w:t>
            </w:r>
          </w:p>
        </w:tc>
        <w:tc>
          <w:tcPr>
            <w:tcW w:w="620" w:type="pct"/>
            <w:noWrap w:val="0"/>
            <w:vAlign w:val="center"/>
          </w:tcPr>
          <w:p w14:paraId="0CE20C18">
            <w:pPr>
              <w:pStyle w:val="55"/>
              <w:keepNext w:val="0"/>
              <w:keepLines w:val="0"/>
              <w:pageBreakBefore w:val="0"/>
              <w:widowControl/>
              <w:kinsoku/>
              <w:wordWrap/>
              <w:overflowPunct/>
              <w:topLinePunct/>
              <w:autoSpaceDE/>
              <w:autoSpaceDN/>
              <w:bidi w:val="0"/>
              <w:adjustRightInd w:val="0"/>
              <w:snapToGrid w:val="0"/>
              <w:spacing w:line="36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98.3</w:t>
            </w:r>
          </w:p>
        </w:tc>
        <w:tc>
          <w:tcPr>
            <w:tcW w:w="449" w:type="pct"/>
            <w:tcBorders>
              <w:right w:val="single" w:color="000000" w:sz="12" w:space="0"/>
            </w:tcBorders>
            <w:noWrap w:val="0"/>
            <w:vAlign w:val="center"/>
          </w:tcPr>
          <w:p w14:paraId="1E1809FC">
            <w:pPr>
              <w:pStyle w:val="55"/>
              <w:keepNext w:val="0"/>
              <w:keepLines w:val="0"/>
              <w:pageBreakBefore w:val="0"/>
              <w:widowControl/>
              <w:kinsoku/>
              <w:wordWrap/>
              <w:overflowPunct/>
              <w:topLinePunct/>
              <w:autoSpaceDE/>
              <w:autoSpaceDN/>
              <w:bidi w:val="0"/>
              <w:adjustRightInd w:val="0"/>
              <w:snapToGrid w:val="0"/>
              <w:spacing w:line="360" w:lineRule="exact"/>
              <w:ind w:left="0" w:leftChars="0" w:right="0" w:rightChars="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1E03E0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z w:val="24"/>
          <w:szCs w:val="24"/>
          <w:lang w:eastAsia="zh-CN"/>
        </w:rPr>
        <w:t>监测数据分析：</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CO、O</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浓度均满足《环境空气质量标准》（GB</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3095-20</w:t>
      </w:r>
      <w:r>
        <w:rPr>
          <w:rFonts w:hint="default" w:ascii="Times New Roman" w:hAnsi="Times New Roman" w:cs="Times New Roman"/>
          <w:color w:val="auto"/>
          <w:sz w:val="24"/>
          <w:szCs w:val="24"/>
          <w:lang w:val="en-US" w:eastAsia="zh-CN"/>
        </w:rPr>
        <w:t>26</w:t>
      </w:r>
      <w:r>
        <w:rPr>
          <w:rFonts w:hint="default" w:ascii="Times New Roman" w:hAnsi="Times New Roman" w:eastAsia="宋体" w:cs="Times New Roman"/>
          <w:color w:val="auto"/>
          <w:sz w:val="24"/>
          <w:szCs w:val="24"/>
        </w:rPr>
        <w:t>）二级标准要求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本项目所在区域</w:t>
      </w:r>
      <w:r>
        <w:rPr>
          <w:rFonts w:hint="default" w:ascii="Times New Roman" w:hAnsi="Times New Roman" w:cs="Times New Roman"/>
          <w:color w:val="auto"/>
          <w:sz w:val="24"/>
          <w:szCs w:val="24"/>
          <w:lang w:val="en-US" w:eastAsia="zh-CN"/>
        </w:rPr>
        <w:t>为达标区</w:t>
      </w:r>
      <w:r>
        <w:rPr>
          <w:rFonts w:hint="default" w:ascii="Times New Roman" w:hAnsi="Times New Roman" w:eastAsia="宋体" w:cs="Times New Roman"/>
          <w:color w:val="auto"/>
          <w:sz w:val="24"/>
          <w:szCs w:val="24"/>
        </w:rPr>
        <w:t>。</w:t>
      </w:r>
    </w:p>
    <w:p w14:paraId="73250497">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lang w:val="en-US" w:eastAsia="zh-CN"/>
        </w:rPr>
        <w:t>4.2.1.2其他污染物环境质量现状</w:t>
      </w:r>
    </w:p>
    <w:p w14:paraId="1454F03F">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lang w:val="de-DE" w:eastAsia="zh-CN"/>
        </w:rPr>
      </w:pPr>
      <w:r>
        <w:rPr>
          <w:rFonts w:hint="default" w:ascii="Times New Roman" w:hAnsi="Times New Roman" w:eastAsia="宋体" w:cs="Times New Roman"/>
          <w:color w:val="auto"/>
          <w:spacing w:val="0"/>
          <w:w w:val="100"/>
          <w:position w:val="0"/>
          <w:sz w:val="24"/>
          <w:szCs w:val="24"/>
          <w:lang w:val="de-DE" w:eastAsia="zh-CN"/>
        </w:rPr>
        <w:t>本评价对</w:t>
      </w:r>
      <w:r>
        <w:rPr>
          <w:rFonts w:hint="default" w:ascii="Times New Roman" w:hAnsi="Times New Roman" w:eastAsia="宋体" w:cs="Times New Roman"/>
          <w:color w:val="auto"/>
          <w:spacing w:val="0"/>
          <w:w w:val="100"/>
          <w:position w:val="0"/>
          <w:sz w:val="24"/>
          <w:szCs w:val="24"/>
          <w:lang w:val="en-US" w:eastAsia="zh-CN"/>
        </w:rPr>
        <w:t>特征因子TSP</w:t>
      </w:r>
      <w:r>
        <w:rPr>
          <w:rFonts w:hint="default" w:ascii="Times New Roman" w:hAnsi="Times New Roman" w:eastAsia="宋体" w:cs="Times New Roman"/>
          <w:color w:val="auto"/>
          <w:spacing w:val="0"/>
          <w:w w:val="100"/>
          <w:position w:val="0"/>
          <w:sz w:val="24"/>
          <w:szCs w:val="24"/>
          <w:lang w:val="de-DE" w:eastAsia="zh-CN"/>
        </w:rPr>
        <w:t>开展补充监测。</w:t>
      </w:r>
    </w:p>
    <w:p w14:paraId="2CC7BB3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监测点的布设及监测项目</w:t>
      </w:r>
    </w:p>
    <w:p w14:paraId="7D4DECB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特征污染物质量现状调查在项目区共设置了</w:t>
      </w:r>
      <w:r>
        <w:rPr>
          <w:rFonts w:hint="default"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个监测点，监测点位置见表4.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-2及图4.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w:t>
      </w:r>
    </w:p>
    <w:p w14:paraId="657596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rPr>
      </w:pPr>
      <w:r>
        <w:rPr>
          <w:rFonts w:hint="default" w:ascii="Times New Roman" w:hAnsi="Times New Roman" w:eastAsia="宋体" w:cs="Times New Roman"/>
          <w:b/>
          <w:bCs/>
          <w:color w:val="auto"/>
          <w:spacing w:val="0"/>
          <w:w w:val="100"/>
          <w:position w:val="0"/>
          <w:sz w:val="21"/>
          <w:szCs w:val="21"/>
          <w:lang w:val="zh-CN"/>
        </w:rPr>
        <w:t>表4.</w:t>
      </w:r>
      <w:r>
        <w:rPr>
          <w:rFonts w:hint="default" w:ascii="Times New Roman" w:hAnsi="Times New Roman" w:eastAsia="宋体" w:cs="Times New Roman"/>
          <w:b/>
          <w:bCs/>
          <w:color w:val="auto"/>
          <w:spacing w:val="0"/>
          <w:w w:val="100"/>
          <w:position w:val="0"/>
          <w:sz w:val="21"/>
          <w:szCs w:val="21"/>
          <w:lang w:val="en-US" w:eastAsia="zh-CN"/>
        </w:rPr>
        <w:t>2</w:t>
      </w:r>
      <w:r>
        <w:rPr>
          <w:rFonts w:hint="default" w:ascii="Times New Roman" w:hAnsi="Times New Roman" w:eastAsia="宋体" w:cs="Times New Roman"/>
          <w:b/>
          <w:bCs/>
          <w:color w:val="auto"/>
          <w:spacing w:val="0"/>
          <w:w w:val="100"/>
          <w:position w:val="0"/>
          <w:sz w:val="21"/>
          <w:szCs w:val="21"/>
          <w:lang w:val="zh-CN"/>
        </w:rPr>
        <w:t>-2    特征污染物大气环境现状监测点位一览表</w:t>
      </w:r>
    </w:p>
    <w:tbl>
      <w:tblPr>
        <w:tblStyle w:val="21"/>
        <w:tblW w:w="501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765"/>
        <w:gridCol w:w="2900"/>
        <w:gridCol w:w="1149"/>
        <w:gridCol w:w="1233"/>
        <w:gridCol w:w="1313"/>
      </w:tblGrid>
      <w:tr w14:paraId="69873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55" w:type="pct"/>
            <w:tcBorders>
              <w:tl2br w:val="nil"/>
              <w:tr2bl w:val="nil"/>
            </w:tcBorders>
            <w:vAlign w:val="center"/>
          </w:tcPr>
          <w:p w14:paraId="5B267A5C">
            <w:pPr>
              <w:pStyle w:val="4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监测点位</w:t>
            </w:r>
          </w:p>
        </w:tc>
        <w:tc>
          <w:tcPr>
            <w:tcW w:w="1734" w:type="pct"/>
            <w:tcBorders>
              <w:tl2br w:val="nil"/>
              <w:tr2bl w:val="nil"/>
            </w:tcBorders>
            <w:vAlign w:val="center"/>
          </w:tcPr>
          <w:p w14:paraId="34E4C4B2">
            <w:pPr>
              <w:pStyle w:val="4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坐标</w:t>
            </w:r>
          </w:p>
        </w:tc>
        <w:tc>
          <w:tcPr>
            <w:tcW w:w="687" w:type="pct"/>
            <w:tcBorders>
              <w:tl2br w:val="nil"/>
              <w:tr2bl w:val="nil"/>
            </w:tcBorders>
            <w:vAlign w:val="center"/>
          </w:tcPr>
          <w:p w14:paraId="5A707FCA">
            <w:pPr>
              <w:pStyle w:val="4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方位</w:t>
            </w:r>
          </w:p>
        </w:tc>
        <w:tc>
          <w:tcPr>
            <w:tcW w:w="737" w:type="pct"/>
            <w:tcBorders>
              <w:tl2br w:val="nil"/>
              <w:tr2bl w:val="nil"/>
            </w:tcBorders>
            <w:vAlign w:val="center"/>
          </w:tcPr>
          <w:p w14:paraId="734F7FD8">
            <w:pPr>
              <w:pStyle w:val="4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距离</w:t>
            </w:r>
          </w:p>
        </w:tc>
        <w:tc>
          <w:tcPr>
            <w:tcW w:w="785" w:type="pct"/>
            <w:tcBorders>
              <w:tl2br w:val="nil"/>
              <w:tr2bl w:val="nil"/>
            </w:tcBorders>
            <w:vAlign w:val="center"/>
          </w:tcPr>
          <w:p w14:paraId="27932F38">
            <w:pPr>
              <w:pStyle w:val="4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监测项目</w:t>
            </w:r>
          </w:p>
        </w:tc>
      </w:tr>
      <w:tr w14:paraId="554B28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055" w:type="pct"/>
            <w:tcBorders>
              <w:tl2br w:val="nil"/>
              <w:tr2bl w:val="nil"/>
            </w:tcBorders>
            <w:vAlign w:val="center"/>
          </w:tcPr>
          <w:p w14:paraId="77E2A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lang w:val="en-US" w:eastAsia="zh-CN"/>
              </w:rPr>
            </w:pPr>
            <w:r>
              <w:rPr>
                <w:rFonts w:hint="default" w:ascii="Times New Roman" w:hAnsi="Times New Roman" w:cs="Times New Roman"/>
                <w:iCs/>
                <w:color w:val="auto"/>
                <w:sz w:val="21"/>
                <w:szCs w:val="21"/>
                <w:highlight w:val="none"/>
                <w:lang w:val="en-US" w:eastAsia="zh-CN"/>
              </w:rPr>
              <w:t>采矿区</w:t>
            </w:r>
          </w:p>
        </w:tc>
        <w:tc>
          <w:tcPr>
            <w:tcW w:w="1734" w:type="pct"/>
            <w:tcBorders>
              <w:tl2br w:val="nil"/>
              <w:tr2bl w:val="nil"/>
            </w:tcBorders>
            <w:vAlign w:val="center"/>
          </w:tcPr>
          <w:p w14:paraId="2FA6ED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lang w:val="en-US" w:eastAsia="zh-CN"/>
              </w:rPr>
            </w:pPr>
            <w:r>
              <w:rPr>
                <w:rFonts w:hint="default" w:ascii="Times New Roman" w:hAnsi="Times New Roman" w:eastAsia="宋体" w:cs="Times New Roman"/>
                <w:iCs/>
                <w:color w:val="auto"/>
                <w:sz w:val="21"/>
                <w:szCs w:val="21"/>
                <w:highlight w:val="none"/>
                <w:lang w:val="en-US" w:eastAsia="zh-CN"/>
              </w:rPr>
              <w:t>E 9</w:t>
            </w:r>
            <w:r>
              <w:rPr>
                <w:rFonts w:hint="default" w:ascii="Times New Roman" w:hAnsi="Times New Roman" w:cs="Times New Roman"/>
                <w:iCs/>
                <w:color w:val="auto"/>
                <w:sz w:val="21"/>
                <w:szCs w:val="21"/>
                <w:highlight w:val="none"/>
                <w:lang w:val="en-US" w:eastAsia="zh-CN"/>
              </w:rPr>
              <w:t>5</w:t>
            </w:r>
            <w:r>
              <w:rPr>
                <w:rFonts w:hint="default" w:ascii="Times New Roman" w:hAnsi="Times New Roman" w:eastAsia="宋体" w:cs="Times New Roman"/>
                <w:iCs/>
                <w:color w:val="auto"/>
                <w:sz w:val="21"/>
                <w:szCs w:val="21"/>
                <w:highlight w:val="none"/>
                <w:lang w:val="en-US" w:eastAsia="zh-CN"/>
              </w:rPr>
              <w:t>°</w:t>
            </w:r>
            <w:r>
              <w:rPr>
                <w:rFonts w:hint="default" w:ascii="Times New Roman" w:hAnsi="Times New Roman" w:cs="Times New Roman"/>
                <w:iCs/>
                <w:color w:val="auto"/>
                <w:sz w:val="21"/>
                <w:szCs w:val="21"/>
                <w:highlight w:val="none"/>
                <w:lang w:val="en-US" w:eastAsia="zh-CN"/>
              </w:rPr>
              <w:t>17</w:t>
            </w:r>
            <w:r>
              <w:rPr>
                <w:rFonts w:hint="default" w:ascii="Times New Roman" w:hAnsi="Times New Roman" w:eastAsia="宋体" w:cs="Times New Roman"/>
                <w:iCs/>
                <w:color w:val="auto"/>
                <w:sz w:val="21"/>
                <w:szCs w:val="21"/>
                <w:highlight w:val="none"/>
                <w:lang w:val="en-US" w:eastAsia="zh-CN"/>
              </w:rPr>
              <w:t>′</w:t>
            </w:r>
            <w:r>
              <w:rPr>
                <w:rFonts w:hint="default" w:ascii="Times New Roman" w:hAnsi="Times New Roman" w:cs="Times New Roman"/>
                <w:iCs/>
                <w:color w:val="auto"/>
                <w:sz w:val="21"/>
                <w:szCs w:val="21"/>
                <w:highlight w:val="none"/>
                <w:lang w:val="en-US" w:eastAsia="zh-CN"/>
              </w:rPr>
              <w:t>31.49</w:t>
            </w:r>
            <w:r>
              <w:rPr>
                <w:rFonts w:hint="default" w:ascii="Times New Roman" w:hAnsi="Times New Roman" w:eastAsia="宋体" w:cs="Times New Roman"/>
                <w:iCs/>
                <w:color w:val="auto"/>
                <w:sz w:val="21"/>
                <w:szCs w:val="21"/>
                <w:highlight w:val="none"/>
                <w:lang w:val="en-US" w:eastAsia="zh-CN"/>
              </w:rPr>
              <w:t>″，</w:t>
            </w:r>
          </w:p>
          <w:p w14:paraId="20985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rPr>
            </w:pPr>
            <w:r>
              <w:rPr>
                <w:rFonts w:hint="default" w:ascii="Times New Roman" w:hAnsi="Times New Roman" w:eastAsia="宋体" w:cs="Times New Roman"/>
                <w:iCs/>
                <w:color w:val="auto"/>
                <w:sz w:val="21"/>
                <w:szCs w:val="21"/>
                <w:highlight w:val="none"/>
                <w:lang w:val="en-US" w:eastAsia="zh-CN"/>
              </w:rPr>
              <w:t>N 4</w:t>
            </w:r>
            <w:r>
              <w:rPr>
                <w:rFonts w:hint="default" w:ascii="Times New Roman" w:hAnsi="Times New Roman" w:cs="Times New Roman"/>
                <w:iCs/>
                <w:color w:val="auto"/>
                <w:sz w:val="21"/>
                <w:szCs w:val="21"/>
                <w:highlight w:val="none"/>
                <w:lang w:val="en-US" w:eastAsia="zh-CN"/>
              </w:rPr>
              <w:t>1</w:t>
            </w:r>
            <w:r>
              <w:rPr>
                <w:rFonts w:hint="default" w:ascii="Times New Roman" w:hAnsi="Times New Roman" w:eastAsia="宋体" w:cs="Times New Roman"/>
                <w:iCs/>
                <w:color w:val="auto"/>
                <w:sz w:val="21"/>
                <w:szCs w:val="21"/>
                <w:highlight w:val="none"/>
                <w:lang w:val="en-US" w:eastAsia="zh-CN"/>
              </w:rPr>
              <w:t>°</w:t>
            </w:r>
            <w:r>
              <w:rPr>
                <w:rFonts w:hint="default" w:ascii="Times New Roman" w:hAnsi="Times New Roman" w:cs="Times New Roman"/>
                <w:iCs/>
                <w:color w:val="auto"/>
                <w:sz w:val="21"/>
                <w:szCs w:val="21"/>
                <w:highlight w:val="none"/>
                <w:lang w:val="en-US" w:eastAsia="zh-CN"/>
              </w:rPr>
              <w:t>52</w:t>
            </w:r>
            <w:r>
              <w:rPr>
                <w:rFonts w:hint="default" w:ascii="Times New Roman" w:hAnsi="Times New Roman" w:eastAsia="宋体" w:cs="Times New Roman"/>
                <w:iCs/>
                <w:color w:val="auto"/>
                <w:sz w:val="21"/>
                <w:szCs w:val="21"/>
                <w:highlight w:val="none"/>
                <w:lang w:val="en-US" w:eastAsia="zh-CN"/>
              </w:rPr>
              <w:t>′</w:t>
            </w:r>
            <w:r>
              <w:rPr>
                <w:rFonts w:hint="default" w:ascii="Times New Roman" w:hAnsi="Times New Roman" w:cs="Times New Roman"/>
                <w:iCs/>
                <w:color w:val="auto"/>
                <w:sz w:val="21"/>
                <w:szCs w:val="21"/>
                <w:highlight w:val="none"/>
                <w:lang w:val="en-US" w:eastAsia="zh-CN"/>
              </w:rPr>
              <w:t>35.68</w:t>
            </w:r>
            <w:r>
              <w:rPr>
                <w:rFonts w:hint="default" w:ascii="Times New Roman" w:hAnsi="Times New Roman" w:eastAsia="宋体" w:cs="Times New Roman"/>
                <w:iCs/>
                <w:color w:val="auto"/>
                <w:sz w:val="21"/>
                <w:szCs w:val="21"/>
                <w:highlight w:val="none"/>
                <w:lang w:val="en-US" w:eastAsia="zh-CN"/>
              </w:rPr>
              <w:t>″</w:t>
            </w:r>
          </w:p>
        </w:tc>
        <w:tc>
          <w:tcPr>
            <w:tcW w:w="687" w:type="pct"/>
            <w:tcBorders>
              <w:tl2br w:val="nil"/>
              <w:tr2bl w:val="nil"/>
            </w:tcBorders>
            <w:vAlign w:val="center"/>
          </w:tcPr>
          <w:p w14:paraId="62DB43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lang w:eastAsia="zh-CN"/>
              </w:rPr>
            </w:pPr>
            <w:r>
              <w:rPr>
                <w:rFonts w:hint="default" w:ascii="Times New Roman" w:hAnsi="Times New Roman" w:cs="Times New Roman"/>
                <w:iCs/>
                <w:color w:val="auto"/>
                <w:sz w:val="21"/>
                <w:szCs w:val="21"/>
                <w:highlight w:val="none"/>
                <w:lang w:val="en-US" w:eastAsia="zh-CN"/>
              </w:rPr>
              <w:t>/</w:t>
            </w:r>
          </w:p>
        </w:tc>
        <w:tc>
          <w:tcPr>
            <w:tcW w:w="737" w:type="pct"/>
            <w:tcBorders>
              <w:tl2br w:val="nil"/>
              <w:tr2bl w:val="nil"/>
            </w:tcBorders>
            <w:vAlign w:val="center"/>
          </w:tcPr>
          <w:p w14:paraId="3C118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lang w:val="en-US" w:eastAsia="zh-CN"/>
              </w:rPr>
            </w:pPr>
            <w:r>
              <w:rPr>
                <w:rFonts w:hint="default" w:ascii="Times New Roman" w:hAnsi="Times New Roman" w:cs="Times New Roman"/>
                <w:iCs/>
                <w:color w:val="auto"/>
                <w:sz w:val="21"/>
                <w:szCs w:val="21"/>
                <w:highlight w:val="none"/>
                <w:lang w:val="en-US" w:eastAsia="zh-CN"/>
              </w:rPr>
              <w:t>500m</w:t>
            </w:r>
          </w:p>
        </w:tc>
        <w:tc>
          <w:tcPr>
            <w:tcW w:w="785" w:type="pct"/>
            <w:tcBorders>
              <w:tl2br w:val="nil"/>
              <w:tr2bl w:val="nil"/>
            </w:tcBorders>
            <w:vAlign w:val="center"/>
          </w:tcPr>
          <w:p w14:paraId="74177E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iCs/>
                <w:color w:val="auto"/>
                <w:sz w:val="21"/>
                <w:szCs w:val="21"/>
                <w:highlight w:val="none"/>
                <w:lang w:eastAsia="zh-CN"/>
              </w:rPr>
            </w:pPr>
            <w:r>
              <w:rPr>
                <w:rFonts w:hint="default" w:ascii="Times New Roman" w:hAnsi="Times New Roman" w:eastAsia="宋体" w:cs="Times New Roman"/>
                <w:iCs/>
                <w:color w:val="auto"/>
                <w:sz w:val="21"/>
                <w:szCs w:val="21"/>
                <w:highlight w:val="none"/>
                <w:lang w:val="en-US" w:eastAsia="zh-CN"/>
              </w:rPr>
              <w:t>TSP</w:t>
            </w:r>
          </w:p>
        </w:tc>
      </w:tr>
    </w:tbl>
    <w:p w14:paraId="3AE8581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监测时间、频率及检测单位</w:t>
      </w:r>
    </w:p>
    <w:p w14:paraId="3512DCE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特征污染物</w:t>
      </w:r>
      <w:r>
        <w:rPr>
          <w:rFonts w:hint="default" w:ascii="Times New Roman" w:hAnsi="Times New Roman" w:eastAsia="宋体" w:cs="Times New Roman"/>
          <w:color w:val="auto"/>
          <w:sz w:val="24"/>
          <w:szCs w:val="24"/>
          <w:highlight w:val="none"/>
          <w:lang w:val="en-US" w:eastAsia="zh-CN"/>
        </w:rPr>
        <w:t>TSP环境质量</w:t>
      </w:r>
      <w:r>
        <w:rPr>
          <w:rFonts w:hint="default" w:ascii="Times New Roman" w:hAnsi="Times New Roman" w:eastAsia="宋体" w:cs="Times New Roman"/>
          <w:color w:val="auto"/>
          <w:sz w:val="24"/>
          <w:szCs w:val="24"/>
          <w:highlight w:val="none"/>
        </w:rPr>
        <w:t>现状由新疆</w:t>
      </w:r>
      <w:r>
        <w:rPr>
          <w:rFonts w:hint="default" w:ascii="Times New Roman" w:hAnsi="Times New Roman" w:eastAsia="宋体" w:cs="Times New Roman"/>
          <w:color w:val="auto"/>
          <w:sz w:val="24"/>
          <w:szCs w:val="24"/>
          <w:highlight w:val="none"/>
          <w:lang w:val="en-US" w:eastAsia="zh-CN"/>
        </w:rPr>
        <w:t>齐新环境服务</w:t>
      </w:r>
      <w:r>
        <w:rPr>
          <w:rFonts w:hint="default" w:ascii="Times New Roman" w:hAnsi="Times New Roman" w:eastAsia="宋体" w:cs="Times New Roman"/>
          <w:color w:val="auto"/>
          <w:sz w:val="24"/>
          <w:szCs w:val="24"/>
          <w:highlight w:val="none"/>
        </w:rPr>
        <w:t>有限公司监测，</w:t>
      </w:r>
      <w:r>
        <w:rPr>
          <w:rFonts w:hint="default" w:ascii="Times New Roman" w:hAnsi="Times New Roman" w:eastAsia="宋体" w:cs="Times New Roman"/>
          <w:color w:val="auto"/>
          <w:sz w:val="24"/>
          <w:szCs w:val="24"/>
          <w:highlight w:val="none"/>
          <w:lang w:val="en-US" w:eastAsia="zh-CN"/>
        </w:rPr>
        <w:t>监测</w:t>
      </w:r>
      <w:r>
        <w:rPr>
          <w:rFonts w:hint="default" w:ascii="Times New Roman" w:hAnsi="Times New Roman" w:eastAsia="宋体" w:cs="Times New Roman"/>
          <w:color w:val="auto"/>
          <w:sz w:val="24"/>
          <w:szCs w:val="24"/>
          <w:highlight w:val="none"/>
        </w:rPr>
        <w:t>时间为202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日至202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日。</w:t>
      </w:r>
    </w:p>
    <w:p w14:paraId="09F2C32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4小时均值：</w:t>
      </w:r>
      <w:r>
        <w:rPr>
          <w:rFonts w:hint="default" w:ascii="Times New Roman" w:hAnsi="Times New Roman" w:eastAsia="宋体" w:cs="Times New Roman"/>
          <w:color w:val="auto"/>
          <w:sz w:val="24"/>
          <w:szCs w:val="24"/>
          <w:highlight w:val="none"/>
          <w:lang w:val="en-US" w:eastAsia="zh-CN"/>
        </w:rPr>
        <w:t>TSP</w:t>
      </w:r>
    </w:p>
    <w:p w14:paraId="5EAD438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监测结果及评价</w:t>
      </w:r>
    </w:p>
    <w:p w14:paraId="094C2F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评价区域环境空气监测点特征污染物监测结果及评价表4.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-3，监测点位见图4.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w:t>
      </w:r>
    </w:p>
    <w:p w14:paraId="35FA86F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p>
    <w:p w14:paraId="5FCB0F6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rPr>
        <w:sectPr>
          <w:headerReference r:id="rId26" w:type="default"/>
          <w:footerReference r:id="rId27" w:type="default"/>
          <w:footerReference r:id="rId28" w:type="even"/>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680C7A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lang w:val="zh-CN"/>
        </w:rPr>
      </w:pPr>
      <w:r>
        <w:rPr>
          <w:rFonts w:hint="default" w:ascii="Times New Roman" w:hAnsi="Times New Roman" w:eastAsia="宋体" w:cs="Times New Roman"/>
          <w:b/>
          <w:bCs/>
          <w:color w:val="auto"/>
          <w:spacing w:val="0"/>
          <w:w w:val="100"/>
          <w:position w:val="0"/>
          <w:sz w:val="21"/>
          <w:szCs w:val="21"/>
          <w:lang w:val="zh-CN"/>
        </w:rPr>
        <w:t>表4.</w:t>
      </w:r>
      <w:r>
        <w:rPr>
          <w:rFonts w:hint="default" w:ascii="Times New Roman" w:hAnsi="Times New Roman" w:eastAsia="宋体" w:cs="Times New Roman"/>
          <w:b/>
          <w:bCs/>
          <w:color w:val="auto"/>
          <w:spacing w:val="0"/>
          <w:w w:val="100"/>
          <w:position w:val="0"/>
          <w:sz w:val="21"/>
          <w:szCs w:val="21"/>
          <w:lang w:val="en-US" w:eastAsia="zh-CN"/>
        </w:rPr>
        <w:t>2</w:t>
      </w:r>
      <w:r>
        <w:rPr>
          <w:rFonts w:hint="default" w:ascii="Times New Roman" w:hAnsi="Times New Roman" w:eastAsia="宋体" w:cs="Times New Roman"/>
          <w:b/>
          <w:bCs/>
          <w:color w:val="auto"/>
          <w:spacing w:val="0"/>
          <w:w w:val="100"/>
          <w:position w:val="0"/>
          <w:sz w:val="21"/>
          <w:szCs w:val="21"/>
          <w:lang w:val="zh-CN"/>
        </w:rPr>
        <w:t>-3    环境空气质量现状监测与评价结果</w:t>
      </w:r>
    </w:p>
    <w:tbl>
      <w:tblPr>
        <w:tblStyle w:val="2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920"/>
        <w:gridCol w:w="1802"/>
        <w:gridCol w:w="2429"/>
        <w:gridCol w:w="1264"/>
        <w:gridCol w:w="1305"/>
      </w:tblGrid>
      <w:tr w14:paraId="4BC6FC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467" w:type="pct"/>
            <w:tcBorders>
              <w:tl2br w:val="nil"/>
              <w:tr2bl w:val="nil"/>
            </w:tcBorders>
            <w:vAlign w:val="center"/>
          </w:tcPr>
          <w:p w14:paraId="5592F23C">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w:t>
            </w:r>
          </w:p>
          <w:p w14:paraId="4E71FFAF">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因子</w:t>
            </w:r>
          </w:p>
        </w:tc>
        <w:tc>
          <w:tcPr>
            <w:tcW w:w="540" w:type="pct"/>
            <w:tcBorders>
              <w:tl2br w:val="nil"/>
              <w:tr2bl w:val="nil"/>
            </w:tcBorders>
            <w:vAlign w:val="center"/>
          </w:tcPr>
          <w:p w14:paraId="123D6DA4">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监测点位</w:t>
            </w:r>
          </w:p>
        </w:tc>
        <w:tc>
          <w:tcPr>
            <w:tcW w:w="2484" w:type="pct"/>
            <w:gridSpan w:val="2"/>
            <w:tcBorders>
              <w:tl2br w:val="nil"/>
              <w:tr2bl w:val="nil"/>
            </w:tcBorders>
            <w:vAlign w:val="center"/>
          </w:tcPr>
          <w:p w14:paraId="1A005F94">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监测结果统计</w:t>
            </w:r>
          </w:p>
        </w:tc>
        <w:tc>
          <w:tcPr>
            <w:tcW w:w="742" w:type="pct"/>
            <w:tcBorders>
              <w:tl2br w:val="nil"/>
              <w:tr2bl w:val="nil"/>
            </w:tcBorders>
            <w:vAlign w:val="center"/>
          </w:tcPr>
          <w:p w14:paraId="3C50EA9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浓度</w:t>
            </w:r>
          </w:p>
        </w:tc>
        <w:tc>
          <w:tcPr>
            <w:tcW w:w="766" w:type="pct"/>
            <w:tcBorders>
              <w:tl2br w:val="nil"/>
              <w:tr2bl w:val="nil"/>
            </w:tcBorders>
            <w:vAlign w:val="center"/>
          </w:tcPr>
          <w:p w14:paraId="4BE2585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最大占标率%</w:t>
            </w:r>
          </w:p>
        </w:tc>
      </w:tr>
      <w:tr w14:paraId="3EFF8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restart"/>
            <w:tcBorders>
              <w:tl2br w:val="nil"/>
              <w:tr2bl w:val="nil"/>
            </w:tcBorders>
            <w:vAlign w:val="center"/>
          </w:tcPr>
          <w:p w14:paraId="0B507B04">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TSP</w:t>
            </w:r>
          </w:p>
        </w:tc>
        <w:tc>
          <w:tcPr>
            <w:tcW w:w="540" w:type="pct"/>
            <w:vMerge w:val="restart"/>
            <w:tcBorders>
              <w:tl2br w:val="nil"/>
              <w:tr2bl w:val="nil"/>
            </w:tcBorders>
            <w:vAlign w:val="center"/>
          </w:tcPr>
          <w:p w14:paraId="20B88330">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采矿区</w:t>
            </w:r>
          </w:p>
        </w:tc>
        <w:tc>
          <w:tcPr>
            <w:tcW w:w="1058" w:type="pct"/>
            <w:vMerge w:val="restart"/>
            <w:tcBorders>
              <w:tl2br w:val="nil"/>
              <w:tr2bl w:val="nil"/>
            </w:tcBorders>
            <w:vAlign w:val="center"/>
          </w:tcPr>
          <w:p w14:paraId="546C15BF">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日均值（μg/m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1426" w:type="pct"/>
            <w:tcBorders>
              <w:tl2br w:val="nil"/>
              <w:tr2bl w:val="nil"/>
            </w:tcBorders>
            <w:shd w:val="clear" w:color="auto" w:fill="auto"/>
            <w:vAlign w:val="center"/>
          </w:tcPr>
          <w:p w14:paraId="3B04AEF6">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2026.05.30-05.31</w:t>
            </w:r>
          </w:p>
        </w:tc>
        <w:tc>
          <w:tcPr>
            <w:tcW w:w="742" w:type="pct"/>
            <w:tcBorders>
              <w:tl2br w:val="nil"/>
              <w:tr2bl w:val="nil"/>
            </w:tcBorders>
            <w:vAlign w:val="center"/>
          </w:tcPr>
          <w:p w14:paraId="0EC8E52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261</w:t>
            </w:r>
          </w:p>
        </w:tc>
        <w:tc>
          <w:tcPr>
            <w:tcW w:w="1305" w:type="dxa"/>
            <w:tcBorders>
              <w:tl2br w:val="nil"/>
              <w:tr2bl w:val="nil"/>
            </w:tcBorders>
            <w:vAlign w:val="center"/>
          </w:tcPr>
          <w:p w14:paraId="5685DFF8">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87</w:t>
            </w:r>
          </w:p>
        </w:tc>
      </w:tr>
      <w:tr w14:paraId="5AACF0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continue"/>
            <w:tcBorders>
              <w:tl2br w:val="nil"/>
              <w:tr2bl w:val="nil"/>
            </w:tcBorders>
            <w:vAlign w:val="center"/>
          </w:tcPr>
          <w:p w14:paraId="37D7D6E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2E93F802">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676CFF48">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24CEB8A8">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2026.05.31-06.01</w:t>
            </w:r>
          </w:p>
        </w:tc>
        <w:tc>
          <w:tcPr>
            <w:tcW w:w="742" w:type="pct"/>
            <w:tcBorders>
              <w:tl2br w:val="nil"/>
              <w:tr2bl w:val="nil"/>
            </w:tcBorders>
            <w:vAlign w:val="center"/>
          </w:tcPr>
          <w:p w14:paraId="3FC788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269</w:t>
            </w:r>
          </w:p>
        </w:tc>
        <w:tc>
          <w:tcPr>
            <w:tcW w:w="1305" w:type="dxa"/>
            <w:tcBorders>
              <w:tl2br w:val="nil"/>
              <w:tr2bl w:val="nil"/>
            </w:tcBorders>
            <w:vAlign w:val="center"/>
          </w:tcPr>
          <w:p w14:paraId="3560B1E2">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w:t>
            </w:r>
          </w:p>
        </w:tc>
      </w:tr>
      <w:tr w14:paraId="31639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7" w:type="pct"/>
            <w:vMerge w:val="continue"/>
            <w:tcBorders>
              <w:tl2br w:val="nil"/>
              <w:tr2bl w:val="nil"/>
            </w:tcBorders>
            <w:vAlign w:val="center"/>
          </w:tcPr>
          <w:p w14:paraId="4EF5407F">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2B3D8F3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5173A47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7A899985">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2026.06.01-06.02</w:t>
            </w:r>
          </w:p>
        </w:tc>
        <w:tc>
          <w:tcPr>
            <w:tcW w:w="742" w:type="pct"/>
            <w:tcBorders>
              <w:tl2br w:val="nil"/>
              <w:tr2bl w:val="nil"/>
            </w:tcBorders>
            <w:vAlign w:val="center"/>
          </w:tcPr>
          <w:p w14:paraId="3E5283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269</w:t>
            </w:r>
          </w:p>
        </w:tc>
        <w:tc>
          <w:tcPr>
            <w:tcW w:w="1305" w:type="dxa"/>
            <w:tcBorders>
              <w:tl2br w:val="nil"/>
              <w:tr2bl w:val="nil"/>
            </w:tcBorders>
            <w:vAlign w:val="center"/>
          </w:tcPr>
          <w:p w14:paraId="7A288DF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w:t>
            </w:r>
          </w:p>
        </w:tc>
      </w:tr>
      <w:tr w14:paraId="206047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continue"/>
            <w:tcBorders>
              <w:tl2br w:val="nil"/>
              <w:tr2bl w:val="nil"/>
            </w:tcBorders>
            <w:vAlign w:val="center"/>
          </w:tcPr>
          <w:p w14:paraId="0FF69965">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5E664D71">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79E750E8">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172C8C0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2026.06.02-06.03</w:t>
            </w:r>
          </w:p>
        </w:tc>
        <w:tc>
          <w:tcPr>
            <w:tcW w:w="742" w:type="pct"/>
            <w:tcBorders>
              <w:tl2br w:val="nil"/>
              <w:tr2bl w:val="nil"/>
            </w:tcBorders>
            <w:vAlign w:val="center"/>
          </w:tcPr>
          <w:p w14:paraId="2A2E04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276</w:t>
            </w:r>
          </w:p>
        </w:tc>
        <w:tc>
          <w:tcPr>
            <w:tcW w:w="1305" w:type="dxa"/>
            <w:tcBorders>
              <w:tl2br w:val="nil"/>
              <w:tr2bl w:val="nil"/>
            </w:tcBorders>
            <w:vAlign w:val="center"/>
          </w:tcPr>
          <w:p w14:paraId="0522D9EF">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91</w:t>
            </w:r>
          </w:p>
        </w:tc>
      </w:tr>
      <w:tr w14:paraId="01CD6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continue"/>
            <w:tcBorders>
              <w:tl2br w:val="nil"/>
              <w:tr2bl w:val="nil"/>
            </w:tcBorders>
            <w:vAlign w:val="center"/>
          </w:tcPr>
          <w:p w14:paraId="415449C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09262C14">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0C1DD6E7">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19BE8FFB">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2026.06.03-06.04</w:t>
            </w:r>
          </w:p>
        </w:tc>
        <w:tc>
          <w:tcPr>
            <w:tcW w:w="742" w:type="pct"/>
            <w:tcBorders>
              <w:tl2br w:val="nil"/>
              <w:tr2bl w:val="nil"/>
            </w:tcBorders>
            <w:vAlign w:val="center"/>
          </w:tcPr>
          <w:p w14:paraId="75491B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236</w:t>
            </w:r>
          </w:p>
        </w:tc>
        <w:tc>
          <w:tcPr>
            <w:tcW w:w="1305" w:type="dxa"/>
            <w:tcBorders>
              <w:tl2br w:val="nil"/>
              <w:tr2bl w:val="nil"/>
            </w:tcBorders>
            <w:vAlign w:val="center"/>
          </w:tcPr>
          <w:p w14:paraId="5C296126">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78</w:t>
            </w:r>
          </w:p>
        </w:tc>
      </w:tr>
      <w:tr w14:paraId="7143A8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continue"/>
            <w:tcBorders>
              <w:tl2br w:val="nil"/>
              <w:tr2bl w:val="nil"/>
            </w:tcBorders>
            <w:vAlign w:val="center"/>
          </w:tcPr>
          <w:p w14:paraId="37EA4BA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1A603E9C">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4C509DA4">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2E32A2BF">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2026.06.04-06.05</w:t>
            </w:r>
          </w:p>
        </w:tc>
        <w:tc>
          <w:tcPr>
            <w:tcW w:w="742" w:type="pct"/>
            <w:tcBorders>
              <w:tl2br w:val="nil"/>
              <w:tr2bl w:val="nil"/>
            </w:tcBorders>
            <w:vAlign w:val="center"/>
          </w:tcPr>
          <w:p w14:paraId="1600ED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270</w:t>
            </w:r>
          </w:p>
        </w:tc>
        <w:tc>
          <w:tcPr>
            <w:tcW w:w="1305" w:type="dxa"/>
            <w:tcBorders>
              <w:tl2br w:val="nil"/>
              <w:tr2bl w:val="nil"/>
            </w:tcBorders>
            <w:vAlign w:val="center"/>
          </w:tcPr>
          <w:p w14:paraId="6BAC1DA9">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89</w:t>
            </w:r>
          </w:p>
        </w:tc>
      </w:tr>
      <w:tr w14:paraId="654793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7" w:type="pct"/>
            <w:vMerge w:val="continue"/>
            <w:tcBorders>
              <w:tl2br w:val="nil"/>
              <w:tr2bl w:val="nil"/>
            </w:tcBorders>
            <w:vAlign w:val="center"/>
          </w:tcPr>
          <w:p w14:paraId="3B48263A">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540" w:type="pct"/>
            <w:vMerge w:val="continue"/>
            <w:tcBorders>
              <w:tl2br w:val="nil"/>
              <w:tr2bl w:val="nil"/>
            </w:tcBorders>
            <w:vAlign w:val="center"/>
          </w:tcPr>
          <w:p w14:paraId="01520AC5">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058" w:type="pct"/>
            <w:vMerge w:val="continue"/>
            <w:tcBorders>
              <w:tl2br w:val="nil"/>
              <w:tr2bl w:val="nil"/>
            </w:tcBorders>
            <w:vAlign w:val="center"/>
          </w:tcPr>
          <w:p w14:paraId="229DE56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rPr>
            </w:pPr>
          </w:p>
        </w:tc>
        <w:tc>
          <w:tcPr>
            <w:tcW w:w="1426" w:type="pct"/>
            <w:tcBorders>
              <w:tl2br w:val="nil"/>
              <w:tr2bl w:val="nil"/>
            </w:tcBorders>
            <w:shd w:val="clear" w:color="auto" w:fill="auto"/>
            <w:vAlign w:val="center"/>
          </w:tcPr>
          <w:p w14:paraId="728C025C">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2026.06.05-06.06</w:t>
            </w:r>
          </w:p>
        </w:tc>
        <w:tc>
          <w:tcPr>
            <w:tcW w:w="742" w:type="pct"/>
            <w:tcBorders>
              <w:tl2br w:val="nil"/>
              <w:tr2bl w:val="nil"/>
            </w:tcBorders>
            <w:vAlign w:val="center"/>
          </w:tcPr>
          <w:p w14:paraId="199D4D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259</w:t>
            </w:r>
          </w:p>
        </w:tc>
        <w:tc>
          <w:tcPr>
            <w:tcW w:w="1305" w:type="dxa"/>
            <w:tcBorders>
              <w:tl2br w:val="nil"/>
              <w:tr2bl w:val="nil"/>
            </w:tcBorders>
            <w:vAlign w:val="center"/>
          </w:tcPr>
          <w:p w14:paraId="7649A233">
            <w:pPr>
              <w:pStyle w:val="43"/>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85</w:t>
            </w:r>
          </w:p>
        </w:tc>
      </w:tr>
    </w:tbl>
    <w:p w14:paraId="5AA67B7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4"/>
          <w:szCs w:val="24"/>
          <w:lang w:val="de-DE" w:eastAsia="zh-CN"/>
        </w:rPr>
      </w:pPr>
      <w:r>
        <w:rPr>
          <w:rFonts w:hint="default" w:ascii="Times New Roman" w:hAnsi="Times New Roman" w:eastAsia="宋体" w:cs="Times New Roman"/>
          <w:color w:val="auto"/>
          <w:sz w:val="24"/>
          <w:szCs w:val="24"/>
          <w:highlight w:val="none"/>
        </w:rPr>
        <w:t>评价可知，</w:t>
      </w:r>
      <w:r>
        <w:rPr>
          <w:rFonts w:hint="default" w:ascii="Times New Roman" w:hAnsi="Times New Roman" w:eastAsia="宋体" w:cs="Times New Roman"/>
          <w:color w:val="auto"/>
          <w:sz w:val="24"/>
          <w:szCs w:val="24"/>
          <w:highlight w:val="none"/>
          <w:lang w:val="en-US" w:eastAsia="zh-CN"/>
        </w:rPr>
        <w:t>监测期间项目区下风向处TSP</w:t>
      </w:r>
      <w:r>
        <w:rPr>
          <w:rFonts w:hint="default" w:ascii="Times New Roman" w:hAnsi="Times New Roman" w:eastAsia="宋体" w:cs="Times New Roman"/>
          <w:color w:val="auto"/>
          <w:sz w:val="24"/>
          <w:szCs w:val="24"/>
          <w:highlight w:val="none"/>
        </w:rPr>
        <w:t>监测浓度可满足《环境空气质量标准》（GB3095-20</w:t>
      </w:r>
      <w:r>
        <w:rPr>
          <w:rFonts w:hint="default" w:ascii="Times New Roman" w:hAnsi="Times New Roman"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rPr>
        <w:t>）的二级标准要求</w:t>
      </w:r>
      <w:r>
        <w:rPr>
          <w:rFonts w:hint="default" w:ascii="Times New Roman" w:hAnsi="Times New Roman" w:eastAsia="宋体" w:cs="Times New Roman"/>
          <w:color w:val="auto"/>
          <w:sz w:val="24"/>
          <w:szCs w:val="24"/>
          <w:highlight w:val="none"/>
          <w:lang w:val="en-US" w:eastAsia="zh-CN"/>
        </w:rPr>
        <w:t>。</w:t>
      </w:r>
    </w:p>
    <w:p w14:paraId="5091162F">
      <w:pPr>
        <w:pStyle w:val="4"/>
        <w:numPr>
          <w:ilvl w:val="0"/>
          <w:numId w:val="0"/>
        </w:numPr>
        <w:rPr>
          <w:rFonts w:hint="default" w:ascii="Times New Roman" w:hAnsi="Times New Roman" w:eastAsia="宋体" w:cs="Times New Roman"/>
          <w:b/>
          <w:bCs/>
          <w:color w:val="auto"/>
          <w:spacing w:val="0"/>
          <w:w w:val="100"/>
          <w:position w:val="0"/>
          <w:highlight w:val="none"/>
        </w:rPr>
      </w:pPr>
      <w:bookmarkStart w:id="549" w:name="_Toc15331"/>
      <w:r>
        <w:rPr>
          <w:rFonts w:hint="default" w:ascii="Times New Roman" w:hAnsi="Times New Roman" w:eastAsia="宋体" w:cs="Times New Roman"/>
          <w:b/>
          <w:bCs/>
          <w:color w:val="auto"/>
          <w:spacing w:val="0"/>
          <w:w w:val="100"/>
          <w:position w:val="0"/>
          <w:highlight w:val="none"/>
          <w:lang w:val="en-US" w:eastAsia="zh-CN"/>
        </w:rPr>
        <w:t>4.2.2</w:t>
      </w:r>
      <w:r>
        <w:rPr>
          <w:rFonts w:hint="default" w:ascii="Times New Roman" w:hAnsi="Times New Roman" w:eastAsia="宋体" w:cs="Times New Roman"/>
          <w:b/>
          <w:bCs/>
          <w:color w:val="auto"/>
          <w:spacing w:val="0"/>
          <w:w w:val="100"/>
          <w:position w:val="0"/>
          <w:highlight w:val="none"/>
        </w:rPr>
        <w:t>地表水环境质量现状与评价</w:t>
      </w:r>
      <w:bookmarkEnd w:id="549"/>
    </w:p>
    <w:p w14:paraId="10737FCF">
      <w:pPr>
        <w:pStyle w:val="11"/>
        <w:keepNext w:val="0"/>
        <w:keepLines w:val="0"/>
        <w:pageBreakBefore w:val="0"/>
        <w:widowControl/>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bCs/>
          <w:snapToGrid w:val="0"/>
          <w:color w:val="auto"/>
          <w:sz w:val="24"/>
          <w:szCs w:val="24"/>
          <w:highlight w:val="none"/>
        </w:rPr>
      </w:pPr>
      <w:r>
        <w:rPr>
          <w:rFonts w:hint="default" w:ascii="Times New Roman" w:hAnsi="Times New Roman" w:eastAsia="宋体" w:cs="Times New Roman"/>
          <w:bCs/>
          <w:snapToGrid w:val="0"/>
          <w:color w:val="auto"/>
          <w:sz w:val="24"/>
          <w:szCs w:val="24"/>
          <w:highlight w:val="none"/>
        </w:rPr>
        <w:t>本项目周边</w:t>
      </w:r>
      <w:r>
        <w:rPr>
          <w:rFonts w:hint="default" w:ascii="Times New Roman" w:hAnsi="Times New Roman" w:eastAsia="宋体" w:cs="Times New Roman"/>
          <w:bCs/>
          <w:snapToGrid w:val="0"/>
          <w:color w:val="auto"/>
          <w:sz w:val="24"/>
          <w:szCs w:val="24"/>
          <w:highlight w:val="none"/>
          <w:lang w:val="en-US" w:eastAsia="zh-CN"/>
        </w:rPr>
        <w:t>30</w:t>
      </w:r>
      <w:r>
        <w:rPr>
          <w:rFonts w:hint="default" w:ascii="Times New Roman" w:hAnsi="Times New Roman" w:eastAsia="宋体" w:cs="Times New Roman"/>
          <w:bCs/>
          <w:snapToGrid w:val="0"/>
          <w:color w:val="auto"/>
          <w:sz w:val="24"/>
          <w:szCs w:val="24"/>
          <w:highlight w:val="none"/>
        </w:rPr>
        <w:t>km范围内无地表水体，另外本项目产生废水不外排，与地表水体无水力联系，因此本次不对地表水体进行监测。</w:t>
      </w:r>
    </w:p>
    <w:p w14:paraId="2DF5B509">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4.2.3地下水环境质量现状与评价</w:t>
      </w:r>
    </w:p>
    <w:p w14:paraId="72B4A091">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lang w:val="en-US" w:eastAsia="zh-CN"/>
        </w:rPr>
      </w:pPr>
      <w:bookmarkStart w:id="550" w:name="_Toc419451994"/>
      <w:bookmarkStart w:id="551" w:name="_Toc420601751"/>
      <w:r>
        <w:rPr>
          <w:rFonts w:hint="default" w:ascii="Times New Roman" w:hAnsi="Times New Roman" w:eastAsia="宋体" w:cs="Times New Roman"/>
          <w:b/>
          <w:bCs/>
          <w:color w:val="auto"/>
          <w:spacing w:val="0"/>
          <w:w w:val="100"/>
          <w:position w:val="0"/>
          <w:lang w:val="en-US" w:eastAsia="zh-CN"/>
        </w:rPr>
        <w:t>4.2.3.1监测布点</w:t>
      </w:r>
      <w:bookmarkEnd w:id="550"/>
      <w:bookmarkEnd w:id="551"/>
    </w:p>
    <w:p w14:paraId="263526CA">
      <w:pPr>
        <w:pStyle w:val="11"/>
        <w:keepNext w:val="0"/>
        <w:keepLines w:val="0"/>
        <w:pageBreakBefore w:val="0"/>
        <w:widowControl/>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bidi="ar"/>
        </w:rPr>
      </w:pPr>
      <w:r>
        <w:rPr>
          <w:rFonts w:hint="default" w:ascii="Times New Roman" w:hAnsi="Times New Roman" w:eastAsia="宋体" w:cs="Times New Roman"/>
          <w:color w:val="auto"/>
          <w:sz w:val="24"/>
          <w:szCs w:val="24"/>
          <w:highlight w:val="none"/>
          <w:lang w:bidi="ar"/>
        </w:rPr>
        <w:t>本评价区属于基岩山区，地表大面积出露中元古界蓟县系卡瓦布拉克群变质碳酸盐岩及华力西期中酸性侵入岩，地下水主要赋存于构造裂隙、节理及矽卡岩带内，为裂隙</w:t>
      </w:r>
      <w:r>
        <w:rPr>
          <w:rFonts w:hint="default" w:ascii="Times New Roman" w:hAnsi="Times New Roman" w:eastAsia="宋体" w:cs="Times New Roman"/>
          <w:color w:val="auto"/>
          <w:sz w:val="24"/>
          <w:szCs w:val="24"/>
          <w:highlight w:val="none"/>
          <w:lang w:bidi="ar"/>
        </w:rPr>
        <w:noBreakHyphen/>
      </w:r>
      <w:r>
        <w:rPr>
          <w:rFonts w:hint="default" w:ascii="Times New Roman" w:hAnsi="Times New Roman" w:eastAsia="宋体" w:cs="Times New Roman"/>
          <w:color w:val="auto"/>
          <w:sz w:val="24"/>
          <w:szCs w:val="24"/>
          <w:highlight w:val="none"/>
          <w:lang w:bidi="ar"/>
        </w:rPr>
        <w:t>岩溶型基岩地下水，含水层空间分布不均，第四系松散覆盖层薄，大部分地段基岩直接出露，钻探成井难度大，属于《环境影响评价技术导则 地下水环境》（HJ 610</w:t>
      </w:r>
      <w:r>
        <w:rPr>
          <w:rFonts w:hint="default" w:ascii="Times New Roman" w:hAnsi="Times New Roman" w:eastAsia="宋体" w:cs="Times New Roman"/>
          <w:color w:val="auto"/>
          <w:sz w:val="24"/>
          <w:szCs w:val="24"/>
          <w:highlight w:val="none"/>
          <w:lang w:bidi="ar"/>
        </w:rPr>
        <w:noBreakHyphen/>
      </w:r>
      <w:r>
        <w:rPr>
          <w:rFonts w:hint="default" w:ascii="Times New Roman" w:hAnsi="Times New Roman" w:eastAsia="宋体" w:cs="Times New Roman"/>
          <w:color w:val="auto"/>
          <w:sz w:val="24"/>
          <w:szCs w:val="24"/>
          <w:highlight w:val="none"/>
          <w:lang w:bidi="ar"/>
        </w:rPr>
        <w:t>2016）中监测井较难布置的基岩山区。</w:t>
      </w:r>
      <w:r>
        <w:rPr>
          <w:rFonts w:hint="default" w:ascii="Times New Roman" w:hAnsi="Times New Roman" w:cs="Times New Roman"/>
          <w:color w:val="auto"/>
          <w:sz w:val="24"/>
          <w:szCs w:val="24"/>
          <w:highlight w:val="none"/>
          <w:lang w:val="en-US" w:eastAsia="zh-CN" w:bidi="ar"/>
        </w:rPr>
        <w:t>根据导则：“在包气带厚度超过100m的地区或监测井较难布置的基岩山区，当地下水质监测点数无法满足要求时，可视情况调整数量，并说明调整理由。一般情况下，该类地区一级、二级评价项目应至少设置3个监测点”。本次共布设4口地下水监测井。</w:t>
      </w:r>
    </w:p>
    <w:p w14:paraId="40957001">
      <w:pPr>
        <w:pStyle w:val="11"/>
        <w:keepNext w:val="0"/>
        <w:keepLines w:val="0"/>
        <w:pageBreakBefore w:val="0"/>
        <w:widowControl/>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bCs/>
          <w:snapToGrid w:val="0"/>
          <w:color w:val="auto"/>
          <w:sz w:val="24"/>
          <w:szCs w:val="24"/>
          <w:highlight w:val="none"/>
        </w:rPr>
      </w:pPr>
      <w:r>
        <w:rPr>
          <w:rFonts w:hint="default" w:ascii="Times New Roman" w:hAnsi="Times New Roman" w:eastAsia="宋体" w:cs="Times New Roman"/>
          <w:bCs/>
          <w:snapToGrid w:val="0"/>
          <w:color w:val="auto"/>
          <w:sz w:val="24"/>
          <w:szCs w:val="24"/>
          <w:highlight w:val="none"/>
        </w:rPr>
        <w:t>取样监测井及其分布位置见表4.</w:t>
      </w:r>
      <w:r>
        <w:rPr>
          <w:rFonts w:hint="default" w:ascii="Times New Roman" w:hAnsi="Times New Roman" w:eastAsia="宋体" w:cs="Times New Roman"/>
          <w:bCs/>
          <w:snapToGrid w:val="0"/>
          <w:color w:val="auto"/>
          <w:sz w:val="24"/>
          <w:szCs w:val="24"/>
          <w:highlight w:val="none"/>
          <w:lang w:val="en-US" w:eastAsia="zh-CN"/>
        </w:rPr>
        <w:t>2</w:t>
      </w:r>
      <w:r>
        <w:rPr>
          <w:rFonts w:hint="default" w:ascii="Times New Roman" w:hAnsi="Times New Roman" w:eastAsia="宋体" w:cs="Times New Roman"/>
          <w:bCs/>
          <w:snapToGrid w:val="0"/>
          <w:color w:val="auto"/>
          <w:sz w:val="24"/>
          <w:szCs w:val="24"/>
          <w:highlight w:val="none"/>
        </w:rPr>
        <w:t>-4和图4.</w:t>
      </w:r>
      <w:r>
        <w:rPr>
          <w:rFonts w:hint="default" w:ascii="Times New Roman" w:hAnsi="Times New Roman" w:eastAsia="宋体" w:cs="Times New Roman"/>
          <w:bCs/>
          <w:snapToGrid w:val="0"/>
          <w:color w:val="auto"/>
          <w:sz w:val="24"/>
          <w:szCs w:val="24"/>
          <w:highlight w:val="none"/>
          <w:lang w:val="en-US" w:eastAsia="zh-CN"/>
        </w:rPr>
        <w:t>2</w:t>
      </w:r>
      <w:r>
        <w:rPr>
          <w:rFonts w:hint="default" w:ascii="Times New Roman" w:hAnsi="Times New Roman" w:eastAsia="宋体" w:cs="Times New Roman"/>
          <w:bCs/>
          <w:snapToGrid w:val="0"/>
          <w:color w:val="auto"/>
          <w:sz w:val="24"/>
          <w:szCs w:val="24"/>
          <w:highlight w:val="none"/>
        </w:rPr>
        <w:t>-1。</w:t>
      </w:r>
    </w:p>
    <w:p w14:paraId="7C7D9AE4">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sz w:val="21"/>
          <w:szCs w:val="21"/>
          <w:highlight w:val="none"/>
          <w:lang w:val="zh-CN"/>
        </w:rPr>
      </w:pPr>
      <w:r>
        <w:rPr>
          <w:rFonts w:hint="default" w:ascii="Times New Roman" w:hAnsi="Times New Roman" w:eastAsia="宋体" w:cs="Times New Roman"/>
          <w:b/>
          <w:color w:val="auto"/>
          <w:kern w:val="2"/>
          <w:sz w:val="21"/>
          <w:szCs w:val="21"/>
          <w:highlight w:val="none"/>
          <w:lang w:val="zh-CN"/>
        </w:rPr>
        <w:t>表4.</w:t>
      </w:r>
      <w:r>
        <w:rPr>
          <w:rFonts w:hint="default" w:ascii="Times New Roman" w:hAnsi="Times New Roman" w:eastAsia="宋体" w:cs="Times New Roman"/>
          <w:b/>
          <w:color w:val="auto"/>
          <w:kern w:val="2"/>
          <w:sz w:val="21"/>
          <w:szCs w:val="21"/>
          <w:highlight w:val="none"/>
          <w:lang w:val="en-US" w:eastAsia="zh-CN"/>
        </w:rPr>
        <w:t>2</w:t>
      </w:r>
      <w:r>
        <w:rPr>
          <w:rFonts w:hint="default" w:ascii="Times New Roman" w:hAnsi="Times New Roman" w:eastAsia="宋体" w:cs="Times New Roman"/>
          <w:b/>
          <w:color w:val="auto"/>
          <w:kern w:val="2"/>
          <w:sz w:val="21"/>
          <w:szCs w:val="21"/>
          <w:highlight w:val="none"/>
          <w:lang w:val="zh-CN"/>
        </w:rPr>
        <w:t>-4    项目地下水水质现状监测点一览表</w:t>
      </w:r>
    </w:p>
    <w:tbl>
      <w:tblPr>
        <w:tblStyle w:val="21"/>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1145"/>
        <w:gridCol w:w="1930"/>
        <w:gridCol w:w="794"/>
        <w:gridCol w:w="886"/>
        <w:gridCol w:w="1261"/>
        <w:gridCol w:w="1073"/>
        <w:gridCol w:w="940"/>
      </w:tblGrid>
      <w:tr w14:paraId="6556E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83" w:type="pct"/>
            <w:tcBorders>
              <w:tl2br w:val="nil"/>
              <w:tr2bl w:val="nil"/>
            </w:tcBorders>
            <w:vAlign w:val="center"/>
          </w:tcPr>
          <w:p w14:paraId="3610A8C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编号</w:t>
            </w:r>
          </w:p>
        </w:tc>
        <w:tc>
          <w:tcPr>
            <w:tcW w:w="672" w:type="pct"/>
            <w:tcBorders>
              <w:tl2br w:val="nil"/>
              <w:tr2bl w:val="nil"/>
            </w:tcBorders>
            <w:vAlign w:val="center"/>
          </w:tcPr>
          <w:p w14:paraId="3BEBA62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名称</w:t>
            </w:r>
          </w:p>
        </w:tc>
        <w:tc>
          <w:tcPr>
            <w:tcW w:w="1133" w:type="pct"/>
            <w:tcBorders>
              <w:tl2br w:val="nil"/>
              <w:tr2bl w:val="nil"/>
            </w:tcBorders>
            <w:vAlign w:val="center"/>
          </w:tcPr>
          <w:p w14:paraId="2A23F5B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地理坐标</w:t>
            </w:r>
          </w:p>
        </w:tc>
        <w:tc>
          <w:tcPr>
            <w:tcW w:w="466" w:type="pct"/>
            <w:tcBorders>
              <w:tl2br w:val="nil"/>
              <w:tr2bl w:val="nil"/>
            </w:tcBorders>
            <w:vAlign w:val="center"/>
          </w:tcPr>
          <w:p w14:paraId="0962237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监测层位</w:t>
            </w:r>
          </w:p>
        </w:tc>
        <w:tc>
          <w:tcPr>
            <w:tcW w:w="520" w:type="pct"/>
            <w:tcBorders>
              <w:tl2br w:val="nil"/>
              <w:tr2bl w:val="nil"/>
            </w:tcBorders>
            <w:vAlign w:val="center"/>
          </w:tcPr>
          <w:p w14:paraId="31D436A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水位</w:t>
            </w:r>
          </w:p>
        </w:tc>
        <w:tc>
          <w:tcPr>
            <w:tcW w:w="740" w:type="pct"/>
            <w:tcBorders>
              <w:tl2br w:val="nil"/>
              <w:tr2bl w:val="nil"/>
            </w:tcBorders>
            <w:vAlign w:val="center"/>
          </w:tcPr>
          <w:p w14:paraId="62A6681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与项目位置关系</w:t>
            </w:r>
          </w:p>
        </w:tc>
        <w:tc>
          <w:tcPr>
            <w:tcW w:w="630" w:type="pct"/>
            <w:tcBorders>
              <w:tl2br w:val="nil"/>
              <w:tr2bl w:val="nil"/>
            </w:tcBorders>
            <w:vAlign w:val="center"/>
          </w:tcPr>
          <w:p w14:paraId="0BFC6E9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使用功能</w:t>
            </w:r>
          </w:p>
        </w:tc>
        <w:tc>
          <w:tcPr>
            <w:tcW w:w="552" w:type="pct"/>
            <w:tcBorders>
              <w:tl2br w:val="nil"/>
              <w:tr2bl w:val="nil"/>
            </w:tcBorders>
            <w:vAlign w:val="center"/>
          </w:tcPr>
          <w:p w14:paraId="0FBCD4F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地下水井结构</w:t>
            </w:r>
          </w:p>
        </w:tc>
      </w:tr>
      <w:tr w14:paraId="7A70C5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83" w:type="pct"/>
            <w:tcBorders>
              <w:tl2br w:val="nil"/>
              <w:tr2bl w:val="nil"/>
            </w:tcBorders>
            <w:vAlign w:val="center"/>
          </w:tcPr>
          <w:p w14:paraId="0EB457D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672" w:type="pct"/>
            <w:tcBorders>
              <w:tl2br w:val="nil"/>
              <w:tr2bl w:val="nil"/>
            </w:tcBorders>
            <w:vAlign w:val="center"/>
          </w:tcPr>
          <w:p w14:paraId="781DB42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地下水1#</w:t>
            </w:r>
          </w:p>
        </w:tc>
        <w:tc>
          <w:tcPr>
            <w:tcW w:w="1133" w:type="pct"/>
            <w:tcBorders>
              <w:tl2br w:val="nil"/>
              <w:tr2bl w:val="nil"/>
            </w:tcBorders>
            <w:vAlign w:val="center"/>
          </w:tcPr>
          <w:p w14:paraId="03FDD7DB">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35.17</w:t>
            </w:r>
            <w:r>
              <w:rPr>
                <w:rFonts w:hint="default" w:ascii="Times New Roman" w:hAnsi="Times New Roman" w:cs="Times New Roman"/>
                <w:color w:val="auto"/>
                <w:sz w:val="21"/>
                <w:szCs w:val="21"/>
              </w:rPr>
              <w:t>″</w:t>
            </w:r>
          </w:p>
          <w:p w14:paraId="117FA000">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14.82</w:t>
            </w:r>
            <w:r>
              <w:rPr>
                <w:rFonts w:hint="default" w:ascii="Times New Roman" w:hAnsi="Times New Roman" w:cs="Times New Roman"/>
                <w:color w:val="auto"/>
                <w:sz w:val="21"/>
                <w:szCs w:val="21"/>
              </w:rPr>
              <w:t>″</w:t>
            </w:r>
          </w:p>
        </w:tc>
        <w:tc>
          <w:tcPr>
            <w:tcW w:w="466" w:type="pct"/>
            <w:tcBorders>
              <w:tl2br w:val="nil"/>
              <w:tr2bl w:val="nil"/>
            </w:tcBorders>
            <w:vAlign w:val="center"/>
          </w:tcPr>
          <w:p w14:paraId="57FA8CBA">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eastAsia="en-US"/>
              </w:rPr>
            </w:pPr>
            <w:r>
              <w:rPr>
                <w:rFonts w:hint="default" w:ascii="Times New Roman" w:hAnsi="Times New Roman" w:eastAsia="宋体" w:cs="Times New Roman"/>
                <w:color w:val="auto"/>
                <w:sz w:val="21"/>
                <w:szCs w:val="21"/>
                <w:highlight w:val="none"/>
                <w:lang w:val="en-US" w:eastAsia="en-US"/>
              </w:rPr>
              <w:t>潜水</w:t>
            </w:r>
          </w:p>
        </w:tc>
        <w:tc>
          <w:tcPr>
            <w:tcW w:w="520" w:type="pct"/>
            <w:tcBorders>
              <w:tl2br w:val="nil"/>
              <w:tr2bl w:val="nil"/>
            </w:tcBorders>
            <w:vAlign w:val="center"/>
          </w:tcPr>
          <w:p w14:paraId="62CA8338">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51</w:t>
            </w:r>
            <w:r>
              <w:rPr>
                <w:rFonts w:hint="default" w:ascii="Times New Roman" w:hAnsi="Times New Roman" w:cs="Times New Roman"/>
                <w:b w:val="0"/>
                <w:bCs w:val="0"/>
                <w:color w:val="auto"/>
                <w:sz w:val="21"/>
                <w:szCs w:val="21"/>
                <w:highlight w:val="none"/>
                <w:lang w:val="en-US" w:eastAsia="zh-CN"/>
              </w:rPr>
              <w:t>m</w:t>
            </w:r>
          </w:p>
        </w:tc>
        <w:tc>
          <w:tcPr>
            <w:tcW w:w="740" w:type="pct"/>
            <w:tcBorders>
              <w:tl2br w:val="nil"/>
              <w:tr2bl w:val="nil"/>
            </w:tcBorders>
            <w:vAlign w:val="center"/>
          </w:tcPr>
          <w:p w14:paraId="1EB6F78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采矿区内</w:t>
            </w:r>
          </w:p>
        </w:tc>
        <w:tc>
          <w:tcPr>
            <w:tcW w:w="630" w:type="pct"/>
            <w:tcBorders>
              <w:tl2br w:val="nil"/>
              <w:tr2bl w:val="nil"/>
            </w:tcBorders>
            <w:vAlign w:val="center"/>
          </w:tcPr>
          <w:p w14:paraId="0122280B">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监测井</w:t>
            </w:r>
          </w:p>
        </w:tc>
        <w:tc>
          <w:tcPr>
            <w:tcW w:w="552" w:type="pct"/>
            <w:tcBorders>
              <w:tl2br w:val="nil"/>
              <w:tr2bl w:val="nil"/>
            </w:tcBorders>
            <w:vAlign w:val="center"/>
          </w:tcPr>
          <w:p w14:paraId="692F657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PVC管</w:t>
            </w:r>
          </w:p>
        </w:tc>
      </w:tr>
      <w:tr w14:paraId="1DC64A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83" w:type="pct"/>
            <w:tcBorders>
              <w:tl2br w:val="nil"/>
              <w:tr2bl w:val="nil"/>
            </w:tcBorders>
            <w:vAlign w:val="center"/>
          </w:tcPr>
          <w:p w14:paraId="08E2DF4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672" w:type="pct"/>
            <w:tcBorders>
              <w:tl2br w:val="nil"/>
              <w:tr2bl w:val="nil"/>
            </w:tcBorders>
            <w:vAlign w:val="center"/>
          </w:tcPr>
          <w:p w14:paraId="544B9E7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地下水2#</w:t>
            </w:r>
          </w:p>
        </w:tc>
        <w:tc>
          <w:tcPr>
            <w:tcW w:w="1133" w:type="pct"/>
            <w:tcBorders>
              <w:tl2br w:val="nil"/>
              <w:tr2bl w:val="nil"/>
            </w:tcBorders>
            <w:vAlign w:val="center"/>
          </w:tcPr>
          <w:p w14:paraId="4258CF4E">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23.13</w:t>
            </w:r>
            <w:r>
              <w:rPr>
                <w:rFonts w:hint="default" w:ascii="Times New Roman" w:hAnsi="Times New Roman" w:cs="Times New Roman"/>
                <w:color w:val="auto"/>
                <w:sz w:val="21"/>
                <w:szCs w:val="21"/>
              </w:rPr>
              <w:t>″</w:t>
            </w:r>
          </w:p>
          <w:p w14:paraId="1E9A1DE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14.29</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highlight w:val="none"/>
              </w:rPr>
              <w:t>"</w:t>
            </w:r>
          </w:p>
        </w:tc>
        <w:tc>
          <w:tcPr>
            <w:tcW w:w="466" w:type="pct"/>
            <w:tcBorders>
              <w:tl2br w:val="nil"/>
              <w:tr2bl w:val="nil"/>
            </w:tcBorders>
            <w:vAlign w:val="center"/>
          </w:tcPr>
          <w:p w14:paraId="29E6F8A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eastAsia="en-US"/>
              </w:rPr>
            </w:pPr>
            <w:r>
              <w:rPr>
                <w:rFonts w:hint="default" w:ascii="Times New Roman" w:hAnsi="Times New Roman" w:eastAsia="宋体" w:cs="Times New Roman"/>
                <w:color w:val="auto"/>
                <w:sz w:val="21"/>
                <w:szCs w:val="21"/>
                <w:highlight w:val="none"/>
                <w:lang w:val="en-US" w:eastAsia="en-US"/>
              </w:rPr>
              <w:t>潜水</w:t>
            </w:r>
          </w:p>
        </w:tc>
        <w:tc>
          <w:tcPr>
            <w:tcW w:w="520" w:type="pct"/>
            <w:tcBorders>
              <w:tl2br w:val="nil"/>
              <w:tr2bl w:val="nil"/>
            </w:tcBorders>
            <w:vAlign w:val="center"/>
          </w:tcPr>
          <w:p w14:paraId="67ECC894">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53</w:t>
            </w:r>
            <w:r>
              <w:rPr>
                <w:rFonts w:hint="default" w:ascii="Times New Roman" w:hAnsi="Times New Roman" w:cs="Times New Roman"/>
                <w:b w:val="0"/>
                <w:bCs w:val="0"/>
                <w:color w:val="auto"/>
                <w:sz w:val="21"/>
                <w:szCs w:val="21"/>
                <w:highlight w:val="none"/>
                <w:lang w:val="en-US" w:eastAsia="zh-CN"/>
              </w:rPr>
              <w:t>m</w:t>
            </w:r>
          </w:p>
        </w:tc>
        <w:tc>
          <w:tcPr>
            <w:tcW w:w="740" w:type="pct"/>
            <w:tcBorders>
              <w:tl2br w:val="nil"/>
              <w:tr2bl w:val="nil"/>
            </w:tcBorders>
            <w:vAlign w:val="center"/>
          </w:tcPr>
          <w:p w14:paraId="1E9EFD33">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采矿区内</w:t>
            </w:r>
          </w:p>
        </w:tc>
        <w:tc>
          <w:tcPr>
            <w:tcW w:w="630" w:type="pct"/>
            <w:tcBorders>
              <w:tl2br w:val="nil"/>
              <w:tr2bl w:val="nil"/>
            </w:tcBorders>
            <w:vAlign w:val="center"/>
          </w:tcPr>
          <w:p w14:paraId="650BBD19">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监测井</w:t>
            </w:r>
          </w:p>
        </w:tc>
        <w:tc>
          <w:tcPr>
            <w:tcW w:w="552" w:type="pct"/>
            <w:tcBorders>
              <w:tl2br w:val="nil"/>
              <w:tr2bl w:val="nil"/>
            </w:tcBorders>
            <w:vAlign w:val="center"/>
          </w:tcPr>
          <w:p w14:paraId="1C27408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PVC管</w:t>
            </w:r>
          </w:p>
        </w:tc>
      </w:tr>
      <w:tr w14:paraId="2E418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83" w:type="pct"/>
            <w:tcBorders>
              <w:tl2br w:val="nil"/>
              <w:tr2bl w:val="nil"/>
            </w:tcBorders>
            <w:vAlign w:val="center"/>
          </w:tcPr>
          <w:p w14:paraId="0A5E1FE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672" w:type="pct"/>
            <w:tcBorders>
              <w:tl2br w:val="nil"/>
              <w:tr2bl w:val="nil"/>
            </w:tcBorders>
            <w:vAlign w:val="center"/>
          </w:tcPr>
          <w:p w14:paraId="2B5B7E6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地下水3#</w:t>
            </w:r>
          </w:p>
        </w:tc>
        <w:tc>
          <w:tcPr>
            <w:tcW w:w="1133" w:type="pct"/>
            <w:tcBorders>
              <w:tl2br w:val="nil"/>
              <w:tr2bl w:val="nil"/>
            </w:tcBorders>
            <w:vAlign w:val="center"/>
          </w:tcPr>
          <w:p w14:paraId="28B5BD2E">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14.14</w:t>
            </w:r>
            <w:r>
              <w:rPr>
                <w:rFonts w:hint="default" w:ascii="Times New Roman" w:hAnsi="Times New Roman" w:cs="Times New Roman"/>
                <w:color w:val="auto"/>
                <w:sz w:val="21"/>
                <w:szCs w:val="21"/>
              </w:rPr>
              <w:t>″</w:t>
            </w:r>
          </w:p>
          <w:p w14:paraId="4CA48609">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10.06</w:t>
            </w:r>
            <w:r>
              <w:rPr>
                <w:rFonts w:hint="default" w:ascii="Times New Roman" w:hAnsi="Times New Roman" w:cs="Times New Roman"/>
                <w:color w:val="auto"/>
                <w:sz w:val="21"/>
                <w:szCs w:val="21"/>
              </w:rPr>
              <w:t>″</w:t>
            </w:r>
          </w:p>
        </w:tc>
        <w:tc>
          <w:tcPr>
            <w:tcW w:w="466" w:type="pct"/>
            <w:tcBorders>
              <w:tl2br w:val="nil"/>
              <w:tr2bl w:val="nil"/>
            </w:tcBorders>
            <w:vAlign w:val="center"/>
          </w:tcPr>
          <w:p w14:paraId="7AED22B9">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eastAsia="en-US"/>
              </w:rPr>
            </w:pPr>
            <w:r>
              <w:rPr>
                <w:rFonts w:hint="default" w:ascii="Times New Roman" w:hAnsi="Times New Roman" w:eastAsia="宋体" w:cs="Times New Roman"/>
                <w:color w:val="auto"/>
                <w:sz w:val="21"/>
                <w:szCs w:val="21"/>
                <w:highlight w:val="none"/>
                <w:lang w:val="en-US" w:eastAsia="en-US"/>
              </w:rPr>
              <w:t>潜水</w:t>
            </w:r>
          </w:p>
        </w:tc>
        <w:tc>
          <w:tcPr>
            <w:tcW w:w="520" w:type="pct"/>
            <w:tcBorders>
              <w:tl2br w:val="nil"/>
              <w:tr2bl w:val="nil"/>
            </w:tcBorders>
            <w:vAlign w:val="center"/>
          </w:tcPr>
          <w:p w14:paraId="027A402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68</w:t>
            </w:r>
            <w:r>
              <w:rPr>
                <w:rFonts w:hint="default" w:ascii="Times New Roman" w:hAnsi="Times New Roman" w:cs="Times New Roman"/>
                <w:b w:val="0"/>
                <w:bCs w:val="0"/>
                <w:color w:val="auto"/>
                <w:sz w:val="21"/>
                <w:szCs w:val="21"/>
                <w:highlight w:val="none"/>
                <w:lang w:val="en-US" w:eastAsia="zh-CN"/>
              </w:rPr>
              <w:t>m</w:t>
            </w:r>
          </w:p>
        </w:tc>
        <w:tc>
          <w:tcPr>
            <w:tcW w:w="740" w:type="pct"/>
            <w:tcBorders>
              <w:tl2br w:val="nil"/>
              <w:tr2bl w:val="nil"/>
            </w:tcBorders>
            <w:vAlign w:val="center"/>
          </w:tcPr>
          <w:p w14:paraId="53940AD7">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采矿区内</w:t>
            </w:r>
          </w:p>
        </w:tc>
        <w:tc>
          <w:tcPr>
            <w:tcW w:w="630" w:type="pct"/>
            <w:tcBorders>
              <w:tl2br w:val="nil"/>
              <w:tr2bl w:val="nil"/>
            </w:tcBorders>
            <w:vAlign w:val="center"/>
          </w:tcPr>
          <w:p w14:paraId="62D8EA25">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监测井</w:t>
            </w:r>
          </w:p>
        </w:tc>
        <w:tc>
          <w:tcPr>
            <w:tcW w:w="552" w:type="pct"/>
            <w:tcBorders>
              <w:tl2br w:val="nil"/>
              <w:tr2bl w:val="nil"/>
            </w:tcBorders>
            <w:vAlign w:val="center"/>
          </w:tcPr>
          <w:p w14:paraId="7C93DB21">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PVC管</w:t>
            </w:r>
          </w:p>
        </w:tc>
      </w:tr>
      <w:tr w14:paraId="606C78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283" w:type="pct"/>
            <w:tcBorders>
              <w:tl2br w:val="nil"/>
              <w:tr2bl w:val="nil"/>
            </w:tcBorders>
            <w:vAlign w:val="center"/>
          </w:tcPr>
          <w:p w14:paraId="3B70910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w:t>
            </w:r>
          </w:p>
        </w:tc>
        <w:tc>
          <w:tcPr>
            <w:tcW w:w="672" w:type="pct"/>
            <w:tcBorders>
              <w:tl2br w:val="nil"/>
              <w:tr2bl w:val="nil"/>
            </w:tcBorders>
            <w:vAlign w:val="center"/>
          </w:tcPr>
          <w:p w14:paraId="768D148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地下水4#</w:t>
            </w:r>
          </w:p>
        </w:tc>
        <w:tc>
          <w:tcPr>
            <w:tcW w:w="1133" w:type="pct"/>
            <w:tcBorders>
              <w:tl2br w:val="nil"/>
              <w:tr2bl w:val="nil"/>
            </w:tcBorders>
            <w:vAlign w:val="center"/>
          </w:tcPr>
          <w:p w14:paraId="7A10FF43">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11.55</w:t>
            </w:r>
            <w:r>
              <w:rPr>
                <w:rFonts w:hint="default" w:ascii="Times New Roman" w:hAnsi="Times New Roman" w:cs="Times New Roman"/>
                <w:color w:val="auto"/>
                <w:sz w:val="21"/>
                <w:szCs w:val="21"/>
              </w:rPr>
              <w:t>″</w:t>
            </w:r>
          </w:p>
          <w:p w14:paraId="0E04B635">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26.76</w:t>
            </w:r>
            <w:r>
              <w:rPr>
                <w:rFonts w:hint="default" w:ascii="Times New Roman" w:hAnsi="Times New Roman" w:cs="Times New Roman"/>
                <w:color w:val="auto"/>
                <w:sz w:val="21"/>
                <w:szCs w:val="21"/>
              </w:rPr>
              <w:t>″</w:t>
            </w:r>
          </w:p>
        </w:tc>
        <w:tc>
          <w:tcPr>
            <w:tcW w:w="466" w:type="pct"/>
            <w:tcBorders>
              <w:tl2br w:val="nil"/>
              <w:tr2bl w:val="nil"/>
            </w:tcBorders>
            <w:vAlign w:val="center"/>
          </w:tcPr>
          <w:p w14:paraId="58A76DCE">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eastAsia="en-US"/>
              </w:rPr>
            </w:pPr>
            <w:r>
              <w:rPr>
                <w:rFonts w:hint="default" w:ascii="Times New Roman" w:hAnsi="Times New Roman" w:eastAsia="宋体" w:cs="Times New Roman"/>
                <w:color w:val="auto"/>
                <w:sz w:val="21"/>
                <w:szCs w:val="21"/>
                <w:highlight w:val="none"/>
                <w:lang w:val="en-US" w:eastAsia="en-US"/>
              </w:rPr>
              <w:t>潜水</w:t>
            </w:r>
          </w:p>
        </w:tc>
        <w:tc>
          <w:tcPr>
            <w:tcW w:w="520" w:type="pct"/>
            <w:tcBorders>
              <w:tl2br w:val="nil"/>
              <w:tr2bl w:val="nil"/>
            </w:tcBorders>
            <w:vAlign w:val="center"/>
          </w:tcPr>
          <w:p w14:paraId="28149EFC">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41</w:t>
            </w:r>
            <w:r>
              <w:rPr>
                <w:rFonts w:hint="default" w:ascii="Times New Roman" w:hAnsi="Times New Roman" w:cs="Times New Roman"/>
                <w:b w:val="0"/>
                <w:bCs w:val="0"/>
                <w:color w:val="auto"/>
                <w:sz w:val="21"/>
                <w:szCs w:val="21"/>
                <w:highlight w:val="none"/>
                <w:lang w:val="en-US" w:eastAsia="zh-CN"/>
              </w:rPr>
              <w:t>m</w:t>
            </w:r>
          </w:p>
        </w:tc>
        <w:tc>
          <w:tcPr>
            <w:tcW w:w="740" w:type="pct"/>
            <w:tcBorders>
              <w:tl2br w:val="nil"/>
              <w:tr2bl w:val="nil"/>
            </w:tcBorders>
            <w:vAlign w:val="center"/>
          </w:tcPr>
          <w:p w14:paraId="110C1D1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采矿区内</w:t>
            </w:r>
          </w:p>
        </w:tc>
        <w:tc>
          <w:tcPr>
            <w:tcW w:w="630" w:type="pct"/>
            <w:tcBorders>
              <w:tl2br w:val="nil"/>
              <w:tr2bl w:val="nil"/>
            </w:tcBorders>
            <w:vAlign w:val="center"/>
          </w:tcPr>
          <w:p w14:paraId="7B0D1CDD">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监测井</w:t>
            </w:r>
          </w:p>
        </w:tc>
        <w:tc>
          <w:tcPr>
            <w:tcW w:w="552" w:type="pct"/>
            <w:tcBorders>
              <w:tl2br w:val="nil"/>
              <w:tr2bl w:val="nil"/>
            </w:tcBorders>
            <w:vAlign w:val="center"/>
          </w:tcPr>
          <w:p w14:paraId="41036035">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PVC管</w:t>
            </w:r>
          </w:p>
        </w:tc>
      </w:tr>
    </w:tbl>
    <w:p w14:paraId="4A38F8B8">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lang w:val="en-US" w:eastAsia="zh-CN"/>
        </w:rPr>
        <w:t>4.2.3.2监测项目、监测时间及检测单位</w:t>
      </w:r>
    </w:p>
    <w:p w14:paraId="7F11820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监测项目</w:t>
      </w:r>
    </w:p>
    <w:p w14:paraId="7FC153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①地下水环境中的八大离子：K</w:t>
      </w:r>
      <w:r>
        <w:rPr>
          <w:rFonts w:hint="default" w:ascii="Times New Roman" w:hAnsi="Times New Roman" w:eastAsia="宋体" w:cs="Times New Roman"/>
          <w:color w:val="auto"/>
          <w:sz w:val="24"/>
          <w:szCs w:val="24"/>
          <w:highlight w:val="none"/>
          <w:vertAlign w:val="superscript"/>
        </w:rPr>
        <w:t>+</w:t>
      </w:r>
      <w:r>
        <w:rPr>
          <w:rFonts w:hint="default" w:ascii="Times New Roman" w:hAnsi="Times New Roman" w:eastAsia="宋体" w:cs="Times New Roman"/>
          <w:color w:val="auto"/>
          <w:sz w:val="24"/>
          <w:szCs w:val="24"/>
          <w:highlight w:val="none"/>
        </w:rPr>
        <w:t>、Na</w:t>
      </w:r>
      <w:r>
        <w:rPr>
          <w:rFonts w:hint="default" w:ascii="Times New Roman" w:hAnsi="Times New Roman" w:eastAsia="宋体" w:cs="Times New Roman"/>
          <w:color w:val="auto"/>
          <w:sz w:val="24"/>
          <w:szCs w:val="24"/>
          <w:highlight w:val="none"/>
          <w:vertAlign w:val="superscript"/>
        </w:rPr>
        <w:t>+</w:t>
      </w:r>
      <w:r>
        <w:rPr>
          <w:rFonts w:hint="default" w:ascii="Times New Roman" w:hAnsi="Times New Roman" w:eastAsia="宋体" w:cs="Times New Roman"/>
          <w:color w:val="auto"/>
          <w:sz w:val="24"/>
          <w:szCs w:val="24"/>
          <w:highlight w:val="none"/>
        </w:rPr>
        <w:t>、Ca</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、Mg</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、CO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、Cl</w:t>
      </w:r>
      <w:r>
        <w:rPr>
          <w:rFonts w:hint="default" w:ascii="Times New Roman" w:hAnsi="Times New Roman" w:eastAsia="宋体" w:cs="Times New Roman"/>
          <w:color w:val="auto"/>
          <w:sz w:val="24"/>
          <w:szCs w:val="24"/>
          <w:highlight w:val="none"/>
          <w:vertAlign w:val="superscript"/>
        </w:rPr>
        <w:t>-</w:t>
      </w:r>
      <w:r>
        <w:rPr>
          <w:rFonts w:hint="default" w:ascii="Times New Roman" w:hAnsi="Times New Roman" w:eastAsia="宋体" w:cs="Times New Roman"/>
          <w:color w:val="auto"/>
          <w:sz w:val="24"/>
          <w:szCs w:val="24"/>
          <w:highlight w:val="none"/>
        </w:rPr>
        <w:t>、HCO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vertAlign w:val="superscript"/>
        </w:rPr>
        <w:t>-</w:t>
      </w:r>
      <w:r>
        <w:rPr>
          <w:rFonts w:hint="default" w:ascii="Times New Roman" w:hAnsi="Times New Roman" w:eastAsia="宋体" w:cs="Times New Roman"/>
          <w:color w:val="auto"/>
          <w:sz w:val="24"/>
          <w:szCs w:val="24"/>
          <w:highlight w:val="none"/>
        </w:rPr>
        <w:t>；</w:t>
      </w:r>
    </w:p>
    <w:p w14:paraId="2897CA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②基本水质因子：pH、总硬度、溶解性总固体</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氨氮、挥发酚、氰化物、</w:t>
      </w:r>
      <w:r>
        <w:rPr>
          <w:rFonts w:hint="default" w:ascii="Times New Roman" w:hAnsi="Times New Roman" w:cs="Times New Roman"/>
          <w:color w:val="auto"/>
          <w:sz w:val="24"/>
          <w:szCs w:val="24"/>
          <w:highlight w:val="none"/>
          <w:lang w:val="en-US" w:eastAsia="zh-CN"/>
        </w:rPr>
        <w:t>石油类、</w:t>
      </w:r>
      <w:r>
        <w:rPr>
          <w:rFonts w:hint="default" w:ascii="Times New Roman" w:hAnsi="Times New Roman" w:eastAsia="宋体" w:cs="Times New Roman"/>
          <w:color w:val="auto"/>
          <w:sz w:val="24"/>
          <w:szCs w:val="24"/>
          <w:highlight w:val="none"/>
        </w:rPr>
        <w:t>氟化物、亚硝酸盐氮、硝酸盐氮、六价铬、</w:t>
      </w:r>
      <w:r>
        <w:rPr>
          <w:rFonts w:hint="default" w:ascii="Times New Roman" w:hAnsi="Times New Roman" w:cs="Times New Roman"/>
          <w:color w:val="auto"/>
          <w:sz w:val="24"/>
          <w:szCs w:val="24"/>
          <w:highlight w:val="none"/>
          <w:lang w:val="en-US" w:eastAsia="zh-CN"/>
        </w:rPr>
        <w:t>铝、</w:t>
      </w:r>
      <w:r>
        <w:rPr>
          <w:rFonts w:hint="default" w:ascii="Times New Roman" w:hAnsi="Times New Roman" w:eastAsia="宋体" w:cs="Times New Roman"/>
          <w:color w:val="auto"/>
          <w:sz w:val="24"/>
          <w:szCs w:val="24"/>
          <w:highlight w:val="none"/>
        </w:rPr>
        <w:t>铜、锌、镉、锰、铁、砷、汞、铅</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共2</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项</w:t>
      </w:r>
      <w:r>
        <w:rPr>
          <w:rFonts w:hint="default" w:ascii="Times New Roman" w:hAnsi="Times New Roman" w:eastAsia="宋体" w:cs="Times New Roman"/>
          <w:color w:val="auto"/>
          <w:sz w:val="24"/>
          <w:szCs w:val="24"/>
          <w:highlight w:val="none"/>
        </w:rPr>
        <w:t>。</w:t>
      </w:r>
    </w:p>
    <w:p w14:paraId="3F3B9C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监测时间及检测单位</w:t>
      </w:r>
    </w:p>
    <w:p w14:paraId="6DC6379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rPr>
        <w:t>采样日期为202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日，由新疆</w:t>
      </w:r>
      <w:r>
        <w:rPr>
          <w:rFonts w:hint="default" w:ascii="Times New Roman" w:hAnsi="Times New Roman" w:eastAsia="宋体" w:cs="Times New Roman"/>
          <w:color w:val="auto"/>
          <w:sz w:val="24"/>
          <w:szCs w:val="24"/>
          <w:highlight w:val="none"/>
          <w:lang w:val="en-US" w:eastAsia="zh-CN"/>
        </w:rPr>
        <w:t>齐新环境服务</w:t>
      </w:r>
      <w:r>
        <w:rPr>
          <w:rFonts w:hint="default" w:ascii="Times New Roman" w:hAnsi="Times New Roman" w:eastAsia="宋体" w:cs="Times New Roman"/>
          <w:color w:val="auto"/>
          <w:sz w:val="24"/>
          <w:szCs w:val="24"/>
          <w:highlight w:val="none"/>
        </w:rPr>
        <w:t>有限公司</w:t>
      </w:r>
      <w:r>
        <w:rPr>
          <w:rFonts w:hint="default" w:ascii="Times New Roman" w:hAnsi="Times New Roman" w:eastAsia="宋体" w:cs="Times New Roman"/>
          <w:color w:val="auto"/>
          <w:sz w:val="24"/>
          <w:szCs w:val="24"/>
          <w:highlight w:val="none"/>
          <w:lang w:val="en-US" w:eastAsia="zh-CN"/>
        </w:rPr>
        <w:t>监测</w:t>
      </w:r>
      <w:r>
        <w:rPr>
          <w:rFonts w:hint="default" w:ascii="Times New Roman" w:hAnsi="Times New Roman" w:eastAsia="宋体" w:cs="Times New Roman"/>
          <w:color w:val="auto"/>
          <w:sz w:val="24"/>
          <w:szCs w:val="24"/>
          <w:highlight w:val="none"/>
        </w:rPr>
        <w:t>。</w:t>
      </w:r>
    </w:p>
    <w:p w14:paraId="14AF0F77">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4.2.3.3</w:t>
      </w:r>
      <w:r>
        <w:rPr>
          <w:rFonts w:hint="default" w:ascii="Times New Roman" w:hAnsi="Times New Roman" w:eastAsia="宋体" w:cs="Times New Roman"/>
          <w:color w:val="auto"/>
          <w:highlight w:val="none"/>
        </w:rPr>
        <w:t>评价方法</w:t>
      </w:r>
    </w:p>
    <w:p w14:paraId="6A5B405D">
      <w:pPr>
        <w:pStyle w:val="44"/>
        <w:tabs>
          <w:tab w:val="clear" w:pos="0"/>
        </w:tabs>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采用单因子指数法作为评价方法。对于浓度越高，危害性越大的评价因子，其计算公式为：</w:t>
      </w:r>
    </w:p>
    <w:p w14:paraId="6FD3C450">
      <w:pPr>
        <w:pStyle w:val="44"/>
        <w:tabs>
          <w:tab w:val="clear" w:pos="0"/>
        </w:tabs>
        <w:spacing w:line="360" w:lineRule="auto"/>
        <w:ind w:firstLine="48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object>
          <v:shape id="_x0000_i1027" o:spt="75" type="#_x0000_t75" style="height:35.35pt;width:44.6pt;" o:ole="t" filled="f" o:preferrelative="t" stroked="f" coordsize="21600,21600">
            <v:path/>
            <v:fill on="f" focussize="0,0"/>
            <v:stroke on="f"/>
            <v:imagedata r:id="rId61" o:title=""/>
            <o:lock v:ext="edit" aspectratio="t"/>
            <w10:wrap type="none"/>
            <w10:anchorlock/>
          </v:shape>
          <o:OLEObject Type="Embed" ProgID="Equation.3" ShapeID="_x0000_i1027" DrawAspect="Content" ObjectID="_1468075727" r:id="rId60">
            <o:LockedField>false</o:LockedField>
          </o:OLEObject>
        </w:object>
      </w:r>
    </w:p>
    <w:p w14:paraId="7E0887CE">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式中：P</w:t>
      </w:r>
      <w:r>
        <w:rPr>
          <w:rFonts w:hint="default" w:ascii="Times New Roman" w:hAnsi="Times New Roman" w:eastAsia="宋体" w:cs="Times New Roman"/>
          <w:color w:val="auto"/>
          <w:highlight w:val="none"/>
          <w:vertAlign w:val="subscript"/>
        </w:rPr>
        <w:t xml:space="preserve">ij </w:t>
      </w:r>
      <w:r>
        <w:rPr>
          <w:rFonts w:hint="default" w:ascii="Times New Roman" w:hAnsi="Times New Roman" w:eastAsia="宋体" w:cs="Times New Roman"/>
          <w:color w:val="auto"/>
          <w:highlight w:val="none"/>
        </w:rPr>
        <w:t>─ 第i项评价因子在j点的单因子指数；</w:t>
      </w:r>
    </w:p>
    <w:p w14:paraId="0AF4FBDD">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bookmarkStart w:id="552" w:name="_Toc420601756"/>
      <w:bookmarkStart w:id="553" w:name="_Toc419451999"/>
      <w:r>
        <w:rPr>
          <w:rFonts w:hint="default" w:ascii="Times New Roman" w:hAnsi="Times New Roman" w:eastAsia="宋体" w:cs="Times New Roman"/>
          <w:color w:val="auto"/>
          <w:highlight w:val="none"/>
        </w:rPr>
        <w:t xml:space="preserve">      C</w:t>
      </w:r>
      <w:r>
        <w:rPr>
          <w:rFonts w:hint="default" w:ascii="Times New Roman" w:hAnsi="Times New Roman" w:eastAsia="宋体" w:cs="Times New Roman"/>
          <w:color w:val="auto"/>
          <w:highlight w:val="none"/>
          <w:vertAlign w:val="subscript"/>
        </w:rPr>
        <w:t>ij</w:t>
      </w:r>
      <w:r>
        <w:rPr>
          <w:rFonts w:hint="default" w:ascii="Times New Roman" w:hAnsi="Times New Roman" w:eastAsia="宋体" w:cs="Times New Roman"/>
          <w:color w:val="auto"/>
          <w:highlight w:val="none"/>
        </w:rPr>
        <w:t xml:space="preserve"> ─ 第i项评价因子在j点的实测浓度（mg/l）；</w:t>
      </w:r>
      <w:bookmarkEnd w:id="552"/>
      <w:bookmarkEnd w:id="553"/>
    </w:p>
    <w:p w14:paraId="0F3E0851">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bookmarkStart w:id="554" w:name="_Toc420601757"/>
      <w:bookmarkStart w:id="555" w:name="_Toc419452000"/>
      <w:r>
        <w:rPr>
          <w:rFonts w:hint="default" w:ascii="Times New Roman" w:hAnsi="Times New Roman" w:eastAsia="宋体" w:cs="Times New Roman"/>
          <w:color w:val="auto"/>
          <w:highlight w:val="none"/>
        </w:rPr>
        <w:t xml:space="preserve">      C</w:t>
      </w:r>
      <w:r>
        <w:rPr>
          <w:rFonts w:hint="default" w:ascii="Times New Roman" w:hAnsi="Times New Roman" w:eastAsia="宋体" w:cs="Times New Roman"/>
          <w:color w:val="auto"/>
          <w:highlight w:val="none"/>
          <w:vertAlign w:val="subscript"/>
        </w:rPr>
        <w:t>si</w:t>
      </w:r>
      <w:r>
        <w:rPr>
          <w:rFonts w:hint="default" w:ascii="Times New Roman" w:hAnsi="Times New Roman" w:eastAsia="宋体" w:cs="Times New Roman"/>
          <w:color w:val="auto"/>
          <w:highlight w:val="none"/>
        </w:rPr>
        <w:t xml:space="preserve"> ─第i项评价因子的评价标准值（mg/l）。</w:t>
      </w:r>
      <w:bookmarkEnd w:id="554"/>
      <w:bookmarkEnd w:id="555"/>
    </w:p>
    <w:p w14:paraId="178EEF72">
      <w:pPr>
        <w:pStyle w:val="44"/>
        <w:keepNext w:val="0"/>
        <w:keepLines w:val="0"/>
        <w:pageBreakBefore w:val="0"/>
        <w:widowControl w:val="0"/>
        <w:tabs>
          <w:tab w:val="clear" w:pos="0"/>
        </w:tabs>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如pH值等限于一定范围内的评价因子，其单因子指数按下式计算：</w:t>
      </w:r>
    </w:p>
    <w:p w14:paraId="4FAEEB2A">
      <w:pPr>
        <w:pStyle w:val="44"/>
        <w:keepNext w:val="0"/>
        <w:keepLines w:val="0"/>
        <w:pageBreakBefore w:val="0"/>
        <w:widowControl w:val="0"/>
        <w:tabs>
          <w:tab w:val="clear" w:pos="0"/>
        </w:tabs>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highlight w:val="none"/>
        </w:rPr>
        <w:pict>
          <v:shape id="Picture 34164" o:spid="_x0000_s1026" o:spt="75" type="#_x0000_t75" style="position:absolute;left:0pt;margin-left:201.85pt;margin-top:1.15pt;height:31.9pt;width:105.3pt;mso-position-horizontal-relative:page;z-index:251668480;mso-width-relative:page;mso-height-relative:page;" o:ole="t" filled="f" o:preferrelative="t" stroked="f" coordsize="21600,21600">
            <v:path/>
            <v:fill on="f" focussize="0,0"/>
            <v:stroke on="f" joinstyle="miter"/>
            <v:imagedata r:id="rId63" o:title=""/>
            <o:lock v:ext="edit" aspectratio="t"/>
          </v:shape>
          <o:OLEObject Type="Embed" ProgID="Equation.3" ShapeID="Picture 34164" DrawAspect="Content" ObjectID="_1468075728" r:id="rId62">
            <o:LockedField>false</o:LockedField>
          </o:OLEObject>
        </w:pict>
      </w:r>
    </w:p>
    <w:p w14:paraId="3397F549">
      <w:pPr>
        <w:pStyle w:val="44"/>
        <w:keepNext w:val="0"/>
        <w:keepLines w:val="0"/>
        <w:pageBreakBefore w:val="0"/>
        <w:widowControl w:val="0"/>
        <w:tabs>
          <w:tab w:val="clear" w:pos="0"/>
        </w:tabs>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p>
    <w:p w14:paraId="5566C6BD">
      <w:pPr>
        <w:pStyle w:val="44"/>
        <w:keepNext w:val="0"/>
        <w:keepLines w:val="0"/>
        <w:pageBreakBefore w:val="0"/>
        <w:widowControl w:val="0"/>
        <w:tabs>
          <w:tab w:val="clear" w:pos="0"/>
        </w:tabs>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position w:val="-8"/>
          <w:highlight w:val="none"/>
        </w:rPr>
        <w:object>
          <v:shape id="_x0000_i1028" o:spt="75" type="#_x0000_t75" style="height:15pt;width:50.25pt;" o:ole="t" filled="f" o:preferrelative="t" stroked="f" coordsize="21600,21600">
            <v:path/>
            <v:fill on="f" focussize="0,0"/>
            <v:stroke on="f" joinstyle="miter"/>
            <v:imagedata r:id="rId65" o:title=""/>
            <o:lock v:ext="edit" aspectratio="t"/>
            <w10:wrap type="none"/>
            <w10:anchorlock/>
          </v:shape>
          <o:OLEObject Type="Embed" ProgID="Equation.3" ShapeID="_x0000_i1028" DrawAspect="Content" ObjectID="_1468075729" r:id="rId64">
            <o:LockedField>false</o:LockedField>
          </o:OLEObject>
        </w:object>
      </w:r>
    </w:p>
    <w:p w14:paraId="32931169">
      <w:pPr>
        <w:pStyle w:val="44"/>
        <w:keepNext w:val="0"/>
        <w:keepLines w:val="0"/>
        <w:pageBreakBefore w:val="0"/>
        <w:widowControl w:val="0"/>
        <w:tabs>
          <w:tab w:val="clear" w:pos="0"/>
        </w:tabs>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r>
        <w:rPr>
          <w:rFonts w:hint="default" w:ascii="Times New Roman" w:hAnsi="Times New Roman" w:eastAsia="宋体" w:cs="Times New Roman"/>
          <w:color w:val="auto"/>
          <w:position w:val="-8"/>
          <w:highlight w:val="none"/>
        </w:rPr>
        <w:object>
          <v:shape id="_x0000_i1029" o:spt="75" type="#_x0000_t75" style="height:15pt;width:51pt;" o:ole="t" filled="f" o:preferrelative="t" stroked="f" coordsize="21600,21600">
            <v:path/>
            <v:fill on="f" focussize="0,0"/>
            <v:stroke on="f" joinstyle="miter"/>
            <v:imagedata r:id="rId67" o:title=""/>
            <o:lock v:ext="edit" aspectratio="t"/>
            <w10:wrap type="none"/>
            <w10:anchorlock/>
          </v:shape>
          <o:OLEObject Type="Embed" ProgID="Equation.3" ShapeID="_x0000_i1029" DrawAspect="Content" ObjectID="_1468075730" r:id="rId66">
            <o:LockedField>false</o:LockedField>
          </o:OLEObject>
        </w:object>
      </w:r>
    </w:p>
    <w:p w14:paraId="4C885F67">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pict>
          <v:shape id="Picture 34165" o:spid="_x0000_s1027" o:spt="75" type="#_x0000_t75" style="position:absolute;left:0pt;margin-left:201.85pt;margin-top:5.75pt;height:34.9pt;width:103.9pt;mso-position-horizontal-relative:page;z-index:251667456;mso-width-relative:page;mso-height-relative:page;" o:ole="t" filled="f" o:preferrelative="t" stroked="f" coordsize="21600,21600">
            <v:path/>
            <v:fill on="f" focussize="0,0"/>
            <v:stroke on="f" joinstyle="miter"/>
            <v:imagedata r:id="rId69" o:title=""/>
            <o:lock v:ext="edit" aspectratio="t"/>
          </v:shape>
          <o:OLEObject Type="Embed" ProgID="Equation.3" ShapeID="Picture 34165" DrawAspect="Content" ObjectID="_1468075731" r:id="rId68">
            <o:LockedField>false</o:LockedField>
          </o:OLEObject>
        </w:pict>
      </w:r>
    </w:p>
    <w:p w14:paraId="3E305AAE">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p>
    <w:p w14:paraId="26834A86">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式中：S</w:t>
      </w:r>
      <w:r>
        <w:rPr>
          <w:rFonts w:hint="default" w:ascii="Times New Roman" w:hAnsi="Times New Roman" w:eastAsia="宋体" w:cs="Times New Roman"/>
          <w:color w:val="auto"/>
          <w:highlight w:val="none"/>
          <w:vertAlign w:val="subscript"/>
        </w:rPr>
        <w:t>PHj</w:t>
      </w:r>
      <w:r>
        <w:rPr>
          <w:rFonts w:hint="default" w:ascii="Times New Roman" w:hAnsi="Times New Roman" w:eastAsia="宋体" w:cs="Times New Roman"/>
          <w:color w:val="auto"/>
          <w:highlight w:val="none"/>
        </w:rPr>
        <w:t xml:space="preserve"> ─ PH的单因子指数；</w:t>
      </w:r>
    </w:p>
    <w:p w14:paraId="338626C1">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960" w:firstLineChars="4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pH</w:t>
      </w:r>
      <w:r>
        <w:rPr>
          <w:rFonts w:hint="default" w:ascii="Times New Roman" w:hAnsi="Times New Roman" w:eastAsia="宋体" w:cs="Times New Roman"/>
          <w:color w:val="auto"/>
          <w:highlight w:val="none"/>
          <w:vertAlign w:val="subscript"/>
        </w:rPr>
        <w:t>j</w:t>
      </w:r>
      <w:r>
        <w:rPr>
          <w:rFonts w:hint="default" w:ascii="Times New Roman" w:hAnsi="Times New Roman" w:eastAsia="宋体" w:cs="Times New Roman"/>
          <w:color w:val="auto"/>
          <w:highlight w:val="none"/>
        </w:rPr>
        <w:t xml:space="preserve"> ─ 各点PH的实测值；</w:t>
      </w:r>
    </w:p>
    <w:p w14:paraId="0BA25EAD">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960" w:firstLineChars="40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 xml:space="preserve">  pHsd ─水质标准中规定的PH下限；</w:t>
      </w:r>
    </w:p>
    <w:p w14:paraId="1EB0AE03">
      <w:pPr>
        <w:pStyle w:val="44"/>
        <w:keepNext w:val="0"/>
        <w:keepLines w:val="0"/>
        <w:pageBreakBefore w:val="0"/>
        <w:widowControl w:val="0"/>
        <w:tabs>
          <w:tab w:val="clear" w:pos="0"/>
        </w:tabs>
        <w:kinsoku/>
        <w:wordWrap/>
        <w:overflowPunct/>
        <w:topLinePunct w:val="0"/>
        <w:autoSpaceDE/>
        <w:autoSpaceDN/>
        <w:bidi w:val="0"/>
        <w:snapToGrid/>
        <w:spacing w:line="480" w:lineRule="exact"/>
        <w:ind w:firstLine="960" w:firstLineChars="400"/>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 xml:space="preserve">  pHsu ─ 水质标准中规定的PH上限。</w:t>
      </w:r>
    </w:p>
    <w:p w14:paraId="702FC191">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lang w:val="en-US" w:eastAsia="zh-CN"/>
        </w:rPr>
        <w:t>4.2.3.</w:t>
      </w:r>
      <w:r>
        <w:rPr>
          <w:rFonts w:hint="default" w:ascii="Times New Roman" w:hAnsi="Times New Roman" w:cs="Times New Roman"/>
          <w:color w:val="auto"/>
          <w:highlight w:val="none"/>
          <w:lang w:val="en-US" w:eastAsia="zh-CN"/>
        </w:rPr>
        <w:t>4地下水</w:t>
      </w:r>
      <w:r>
        <w:rPr>
          <w:rFonts w:hint="default" w:ascii="Times New Roman" w:hAnsi="Times New Roman" w:eastAsia="宋体" w:cs="Times New Roman"/>
          <w:color w:val="auto"/>
          <w:highlight w:val="none"/>
          <w:lang w:val="en-US" w:eastAsia="zh-CN"/>
        </w:rPr>
        <w:t>监测</w:t>
      </w:r>
      <w:r>
        <w:rPr>
          <w:rFonts w:hint="default" w:ascii="Times New Roman" w:hAnsi="Times New Roman" w:cs="Times New Roman"/>
          <w:color w:val="auto"/>
          <w:highlight w:val="none"/>
          <w:lang w:val="en-US" w:eastAsia="zh-CN"/>
        </w:rPr>
        <w:t>结果</w:t>
      </w:r>
    </w:p>
    <w:p w14:paraId="6D6F189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地下水基本水质现状监测结果，见表4.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p>
    <w:p w14:paraId="17EA79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p>
    <w:p w14:paraId="0172388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Times New Roman" w:hAnsi="Times New Roman" w:eastAsia="宋体" w:cs="Times New Roman"/>
          <w:color w:val="auto"/>
          <w:szCs w:val="24"/>
          <w:highlight w:val="none"/>
        </w:rPr>
        <w:sectPr>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5142717D">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sz w:val="21"/>
          <w:szCs w:val="21"/>
          <w:highlight w:val="none"/>
          <w:lang w:val="zh-CN" w:bidi="ar"/>
        </w:rPr>
      </w:pPr>
      <w:r>
        <w:rPr>
          <w:rFonts w:hint="default" w:ascii="Times New Roman" w:hAnsi="Times New Roman" w:eastAsia="宋体" w:cs="Times New Roman"/>
          <w:b/>
          <w:color w:val="auto"/>
          <w:kern w:val="2"/>
          <w:sz w:val="21"/>
          <w:szCs w:val="21"/>
          <w:highlight w:val="none"/>
          <w:lang w:val="zh-CN" w:bidi="ar"/>
        </w:rPr>
        <w:t>表4.</w:t>
      </w:r>
      <w:r>
        <w:rPr>
          <w:rFonts w:hint="default" w:ascii="Times New Roman" w:hAnsi="Times New Roman" w:eastAsia="宋体" w:cs="Times New Roman"/>
          <w:b/>
          <w:color w:val="auto"/>
          <w:kern w:val="2"/>
          <w:sz w:val="21"/>
          <w:szCs w:val="21"/>
          <w:highlight w:val="none"/>
          <w:lang w:val="en-US" w:eastAsia="zh-CN" w:bidi="ar"/>
        </w:rPr>
        <w:t>2</w:t>
      </w:r>
      <w:r>
        <w:rPr>
          <w:rFonts w:hint="default" w:ascii="Times New Roman" w:hAnsi="Times New Roman" w:eastAsia="宋体" w:cs="Times New Roman"/>
          <w:b/>
          <w:color w:val="auto"/>
          <w:kern w:val="2"/>
          <w:sz w:val="21"/>
          <w:szCs w:val="21"/>
          <w:highlight w:val="none"/>
          <w:lang w:val="zh-CN" w:bidi="ar"/>
        </w:rPr>
        <w:t>-</w:t>
      </w:r>
      <w:r>
        <w:rPr>
          <w:rFonts w:hint="default" w:ascii="Times New Roman" w:hAnsi="Times New Roman" w:cs="Times New Roman"/>
          <w:b/>
          <w:color w:val="auto"/>
          <w:kern w:val="2"/>
          <w:sz w:val="21"/>
          <w:szCs w:val="21"/>
          <w:highlight w:val="none"/>
          <w:lang w:val="en-US" w:eastAsia="zh-CN" w:bidi="ar"/>
        </w:rPr>
        <w:t>5</w:t>
      </w:r>
      <w:r>
        <w:rPr>
          <w:rFonts w:hint="default" w:ascii="Times New Roman" w:hAnsi="Times New Roman" w:eastAsia="宋体" w:cs="Times New Roman"/>
          <w:b/>
          <w:color w:val="auto"/>
          <w:kern w:val="2"/>
          <w:sz w:val="21"/>
          <w:szCs w:val="21"/>
          <w:highlight w:val="none"/>
          <w:lang w:val="zh-CN" w:bidi="ar"/>
        </w:rPr>
        <w:t xml:space="preserve">    地下水环境现状监测结果一览表</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184"/>
        <w:gridCol w:w="1633"/>
        <w:gridCol w:w="1063"/>
        <w:gridCol w:w="2282"/>
        <w:gridCol w:w="1816"/>
        <w:gridCol w:w="2040"/>
        <w:gridCol w:w="1727"/>
        <w:gridCol w:w="1704"/>
      </w:tblGrid>
      <w:tr w14:paraId="0E1602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restart"/>
            <w:tcBorders>
              <w:tl2br w:val="nil"/>
              <w:tr2bl w:val="nil"/>
            </w:tcBorders>
            <w:noWrap w:val="0"/>
            <w:vAlign w:val="center"/>
          </w:tcPr>
          <w:p w14:paraId="339CCF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607" w:type="pct"/>
            <w:vMerge w:val="restart"/>
            <w:tcBorders>
              <w:tl2br w:val="nil"/>
              <w:tr2bl w:val="nil"/>
            </w:tcBorders>
            <w:noWrap w:val="0"/>
            <w:vAlign w:val="center"/>
          </w:tcPr>
          <w:p w14:paraId="49145A5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检测项目</w:t>
            </w:r>
          </w:p>
        </w:tc>
        <w:tc>
          <w:tcPr>
            <w:tcW w:w="395" w:type="pct"/>
            <w:vMerge w:val="restart"/>
            <w:tcBorders>
              <w:tl2br w:val="nil"/>
              <w:tr2bl w:val="nil"/>
            </w:tcBorders>
            <w:noWrap w:val="0"/>
            <w:vAlign w:val="center"/>
          </w:tcPr>
          <w:p w14:paraId="61214E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w:t>
            </w:r>
          </w:p>
        </w:tc>
        <w:tc>
          <w:tcPr>
            <w:tcW w:w="848" w:type="pct"/>
            <w:tcBorders>
              <w:tl2br w:val="nil"/>
              <w:tr2bl w:val="nil"/>
            </w:tcBorders>
            <w:noWrap w:val="0"/>
            <w:vAlign w:val="center"/>
          </w:tcPr>
          <w:p w14:paraId="2A883C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D1-1-1</w:t>
            </w:r>
          </w:p>
        </w:tc>
        <w:tc>
          <w:tcPr>
            <w:tcW w:w="675" w:type="pct"/>
            <w:tcBorders>
              <w:tl2br w:val="nil"/>
              <w:tr2bl w:val="nil"/>
            </w:tcBorders>
            <w:noWrap w:val="0"/>
            <w:vAlign w:val="center"/>
          </w:tcPr>
          <w:p w14:paraId="292383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highlight w:val="none"/>
                <w:lang w:val="en-US" w:eastAsia="zh-CN"/>
              </w:rPr>
              <w:t>D2-1-1</w:t>
            </w:r>
          </w:p>
        </w:tc>
        <w:tc>
          <w:tcPr>
            <w:tcW w:w="758" w:type="pct"/>
            <w:tcBorders>
              <w:tl2br w:val="nil"/>
              <w:tr2bl w:val="nil"/>
            </w:tcBorders>
            <w:noWrap w:val="0"/>
            <w:vAlign w:val="center"/>
          </w:tcPr>
          <w:p w14:paraId="165CC8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D3-1-1</w:t>
            </w:r>
          </w:p>
        </w:tc>
        <w:tc>
          <w:tcPr>
            <w:tcW w:w="642" w:type="pct"/>
            <w:tcBorders>
              <w:tl2br w:val="nil"/>
              <w:tr2bl w:val="nil"/>
            </w:tcBorders>
            <w:noWrap w:val="0"/>
            <w:vAlign w:val="center"/>
          </w:tcPr>
          <w:p w14:paraId="3176387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D4-1-1</w:t>
            </w:r>
          </w:p>
        </w:tc>
        <w:tc>
          <w:tcPr>
            <w:tcW w:w="633" w:type="pct"/>
            <w:vMerge w:val="restart"/>
            <w:tcBorders>
              <w:tl2br w:val="nil"/>
              <w:tr2bl w:val="nil"/>
            </w:tcBorders>
            <w:noWrap w:val="0"/>
            <w:vAlign w:val="center"/>
          </w:tcPr>
          <w:p w14:paraId="0D8ED1C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标准限值</w:t>
            </w:r>
          </w:p>
        </w:tc>
      </w:tr>
      <w:tr w14:paraId="390E7B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684859A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c>
          <w:tcPr>
            <w:tcW w:w="607" w:type="pct"/>
            <w:vMerge w:val="continue"/>
            <w:tcBorders>
              <w:tl2br w:val="nil"/>
              <w:tr2bl w:val="nil"/>
            </w:tcBorders>
            <w:noWrap w:val="0"/>
            <w:vAlign w:val="center"/>
          </w:tcPr>
          <w:p w14:paraId="53E3B9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71F33E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848" w:type="pct"/>
            <w:tcBorders>
              <w:tl2br w:val="nil"/>
              <w:tr2bl w:val="nil"/>
            </w:tcBorders>
            <w:noWrap w:val="0"/>
            <w:vAlign w:val="center"/>
          </w:tcPr>
          <w:p w14:paraId="32EBF25C">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35.17</w:t>
            </w:r>
            <w:r>
              <w:rPr>
                <w:rFonts w:hint="default" w:ascii="Times New Roman" w:hAnsi="Times New Roman" w:cs="Times New Roman"/>
                <w:color w:val="auto"/>
                <w:sz w:val="21"/>
                <w:szCs w:val="21"/>
              </w:rPr>
              <w:t>″</w:t>
            </w:r>
          </w:p>
          <w:p w14:paraId="6A535BD4">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14.82</w:t>
            </w:r>
            <w:r>
              <w:rPr>
                <w:rFonts w:hint="default" w:ascii="Times New Roman" w:hAnsi="Times New Roman" w:cs="Times New Roman"/>
                <w:color w:val="auto"/>
                <w:sz w:val="21"/>
                <w:szCs w:val="21"/>
              </w:rPr>
              <w:t>″</w:t>
            </w:r>
          </w:p>
        </w:tc>
        <w:tc>
          <w:tcPr>
            <w:tcW w:w="675" w:type="pct"/>
            <w:tcBorders>
              <w:tl2br w:val="nil"/>
              <w:tr2bl w:val="nil"/>
            </w:tcBorders>
            <w:shd w:val="clear" w:color="auto" w:fill="auto"/>
            <w:noWrap w:val="0"/>
            <w:vAlign w:val="center"/>
          </w:tcPr>
          <w:p w14:paraId="789887B8">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23.13</w:t>
            </w:r>
            <w:r>
              <w:rPr>
                <w:rFonts w:hint="default" w:ascii="Times New Roman" w:hAnsi="Times New Roman" w:cs="Times New Roman"/>
                <w:color w:val="auto"/>
                <w:sz w:val="21"/>
                <w:szCs w:val="21"/>
              </w:rPr>
              <w:t>″</w:t>
            </w:r>
          </w:p>
          <w:p w14:paraId="4CC14E65">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14.29</w:t>
            </w:r>
            <w:r>
              <w:rPr>
                <w:rFonts w:hint="default" w:ascii="Times New Roman" w:hAnsi="Times New Roman" w:cs="Times New Roman"/>
                <w:color w:val="auto"/>
                <w:sz w:val="21"/>
                <w:szCs w:val="21"/>
              </w:rPr>
              <w:t>″</w:t>
            </w:r>
          </w:p>
        </w:tc>
        <w:tc>
          <w:tcPr>
            <w:tcW w:w="758" w:type="pct"/>
            <w:tcBorders>
              <w:tl2br w:val="nil"/>
              <w:tr2bl w:val="nil"/>
            </w:tcBorders>
            <w:shd w:val="clear" w:color="auto" w:fill="auto"/>
            <w:noWrap w:val="0"/>
            <w:vAlign w:val="center"/>
          </w:tcPr>
          <w:p w14:paraId="51A8D878">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14.14</w:t>
            </w:r>
            <w:r>
              <w:rPr>
                <w:rFonts w:hint="default" w:ascii="Times New Roman" w:hAnsi="Times New Roman" w:cs="Times New Roman"/>
                <w:color w:val="auto"/>
                <w:sz w:val="21"/>
                <w:szCs w:val="21"/>
              </w:rPr>
              <w:t>″</w:t>
            </w:r>
          </w:p>
          <w:p w14:paraId="0E180368">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10.06</w:t>
            </w:r>
            <w:r>
              <w:rPr>
                <w:rFonts w:hint="default" w:ascii="Times New Roman" w:hAnsi="Times New Roman" w:cs="Times New Roman"/>
                <w:color w:val="auto"/>
                <w:sz w:val="21"/>
                <w:szCs w:val="21"/>
              </w:rPr>
              <w:t>″</w:t>
            </w:r>
          </w:p>
        </w:tc>
        <w:tc>
          <w:tcPr>
            <w:tcW w:w="642" w:type="pct"/>
            <w:tcBorders>
              <w:tl2br w:val="nil"/>
              <w:tr2bl w:val="nil"/>
            </w:tcBorders>
            <w:shd w:val="clear" w:color="auto" w:fill="auto"/>
            <w:noWrap w:val="0"/>
            <w:vAlign w:val="center"/>
          </w:tcPr>
          <w:p w14:paraId="627BCE46">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11.55</w:t>
            </w:r>
            <w:r>
              <w:rPr>
                <w:rFonts w:hint="default" w:ascii="Times New Roman" w:hAnsi="Times New Roman" w:cs="Times New Roman"/>
                <w:color w:val="auto"/>
                <w:sz w:val="21"/>
                <w:szCs w:val="21"/>
              </w:rPr>
              <w:t>″</w:t>
            </w:r>
          </w:p>
          <w:p w14:paraId="1DAE619C">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26.76</w:t>
            </w:r>
            <w:r>
              <w:rPr>
                <w:rFonts w:hint="default" w:ascii="Times New Roman" w:hAnsi="Times New Roman" w:cs="Times New Roman"/>
                <w:color w:val="auto"/>
                <w:sz w:val="21"/>
                <w:szCs w:val="21"/>
              </w:rPr>
              <w:t>″</w:t>
            </w:r>
          </w:p>
        </w:tc>
        <w:tc>
          <w:tcPr>
            <w:tcW w:w="633" w:type="pct"/>
            <w:vMerge w:val="continue"/>
            <w:tcBorders>
              <w:tl2br w:val="nil"/>
              <w:tr2bl w:val="nil"/>
            </w:tcBorders>
            <w:shd w:val="clear" w:color="auto" w:fill="auto"/>
            <w:noWrap w:val="0"/>
            <w:vAlign w:val="center"/>
          </w:tcPr>
          <w:p w14:paraId="7279F3BB">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p>
        </w:tc>
      </w:tr>
      <w:tr w14:paraId="51C694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2B4D62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607" w:type="pct"/>
            <w:vMerge w:val="continue"/>
            <w:tcBorders>
              <w:tl2br w:val="nil"/>
              <w:tr2bl w:val="nil"/>
            </w:tcBorders>
            <w:noWrap w:val="0"/>
            <w:vAlign w:val="center"/>
          </w:tcPr>
          <w:p w14:paraId="24E7D8B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3E427C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2923" w:type="pct"/>
            <w:gridSpan w:val="4"/>
            <w:tcBorders>
              <w:tl2br w:val="nil"/>
              <w:tr2bl w:val="nil"/>
            </w:tcBorders>
            <w:noWrap w:val="0"/>
            <w:vAlign w:val="center"/>
          </w:tcPr>
          <w:p w14:paraId="5D0FFF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无色、无异味、不浑浊、无沉淀物</w:t>
            </w:r>
          </w:p>
        </w:tc>
        <w:tc>
          <w:tcPr>
            <w:tcW w:w="633" w:type="pct"/>
            <w:vMerge w:val="continue"/>
            <w:tcBorders>
              <w:tl2br w:val="nil"/>
              <w:tr2bl w:val="nil"/>
            </w:tcBorders>
            <w:noWrap w:val="0"/>
            <w:vAlign w:val="center"/>
          </w:tcPr>
          <w:p w14:paraId="14C901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r>
      <w:tr w14:paraId="1A2D81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30A7B6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607" w:type="pct"/>
            <w:vMerge w:val="continue"/>
            <w:tcBorders>
              <w:tl2br w:val="nil"/>
              <w:tr2bl w:val="nil"/>
            </w:tcBorders>
            <w:noWrap w:val="0"/>
            <w:vAlign w:val="center"/>
          </w:tcPr>
          <w:p w14:paraId="58C4F6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38F8424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2923" w:type="pct"/>
            <w:gridSpan w:val="4"/>
            <w:tcBorders>
              <w:tl2br w:val="nil"/>
              <w:tr2bl w:val="nil"/>
            </w:tcBorders>
            <w:noWrap w:val="0"/>
            <w:vAlign w:val="center"/>
          </w:tcPr>
          <w:p w14:paraId="1D5583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检测结果</w:t>
            </w:r>
          </w:p>
        </w:tc>
        <w:tc>
          <w:tcPr>
            <w:tcW w:w="633" w:type="pct"/>
            <w:vMerge w:val="continue"/>
            <w:tcBorders>
              <w:tl2br w:val="nil"/>
              <w:tr2bl w:val="nil"/>
            </w:tcBorders>
            <w:noWrap w:val="0"/>
            <w:vAlign w:val="center"/>
          </w:tcPr>
          <w:p w14:paraId="67490E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r>
      <w:tr w14:paraId="567BDF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80" w:hRule="atLeast"/>
          <w:jc w:val="center"/>
        </w:trPr>
        <w:tc>
          <w:tcPr>
            <w:tcW w:w="440" w:type="pct"/>
            <w:tcBorders>
              <w:tl2br w:val="nil"/>
              <w:tr2bl w:val="nil"/>
            </w:tcBorders>
            <w:noWrap w:val="0"/>
            <w:vAlign w:val="center"/>
          </w:tcPr>
          <w:p w14:paraId="373531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607" w:type="pct"/>
            <w:tcBorders>
              <w:tl2br w:val="nil"/>
              <w:tr2bl w:val="nil"/>
            </w:tcBorders>
            <w:noWrap w:val="0"/>
            <w:vAlign w:val="center"/>
          </w:tcPr>
          <w:p w14:paraId="6963EA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pH值</w:t>
            </w:r>
          </w:p>
        </w:tc>
        <w:tc>
          <w:tcPr>
            <w:tcW w:w="395" w:type="pct"/>
            <w:tcBorders>
              <w:tl2br w:val="nil"/>
              <w:tr2bl w:val="nil"/>
            </w:tcBorders>
            <w:noWrap w:val="0"/>
            <w:vAlign w:val="center"/>
          </w:tcPr>
          <w:p w14:paraId="3861CD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48" w:type="pct"/>
            <w:tcBorders>
              <w:tl2br w:val="nil"/>
              <w:tr2bl w:val="nil"/>
            </w:tcBorders>
            <w:noWrap w:val="0"/>
            <w:vAlign w:val="center"/>
          </w:tcPr>
          <w:p w14:paraId="53107D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7.6</w:t>
            </w:r>
          </w:p>
        </w:tc>
        <w:tc>
          <w:tcPr>
            <w:tcW w:w="675" w:type="pct"/>
            <w:tcBorders>
              <w:tl2br w:val="nil"/>
              <w:tr2bl w:val="nil"/>
            </w:tcBorders>
            <w:noWrap w:val="0"/>
            <w:vAlign w:val="center"/>
          </w:tcPr>
          <w:p w14:paraId="066089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7.4</w:t>
            </w:r>
          </w:p>
        </w:tc>
        <w:tc>
          <w:tcPr>
            <w:tcW w:w="758" w:type="pct"/>
            <w:tcBorders>
              <w:tl2br w:val="nil"/>
              <w:tr2bl w:val="nil"/>
            </w:tcBorders>
            <w:noWrap w:val="0"/>
            <w:vAlign w:val="center"/>
          </w:tcPr>
          <w:p w14:paraId="43D7DE2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7.5</w:t>
            </w:r>
          </w:p>
        </w:tc>
        <w:tc>
          <w:tcPr>
            <w:tcW w:w="642" w:type="pct"/>
            <w:tcBorders>
              <w:tl2br w:val="nil"/>
              <w:tr2bl w:val="nil"/>
            </w:tcBorders>
            <w:noWrap w:val="0"/>
            <w:vAlign w:val="center"/>
          </w:tcPr>
          <w:p w14:paraId="770941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8.0</w:t>
            </w:r>
          </w:p>
        </w:tc>
        <w:tc>
          <w:tcPr>
            <w:tcW w:w="633" w:type="pct"/>
            <w:tcBorders>
              <w:tl2br w:val="nil"/>
              <w:tr2bl w:val="nil"/>
            </w:tcBorders>
            <w:noWrap w:val="0"/>
            <w:vAlign w:val="center"/>
          </w:tcPr>
          <w:p w14:paraId="47564B6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6.5-8.5</w:t>
            </w:r>
          </w:p>
        </w:tc>
      </w:tr>
      <w:tr w14:paraId="303DD2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122096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w:t>
            </w:r>
          </w:p>
        </w:tc>
        <w:tc>
          <w:tcPr>
            <w:tcW w:w="607" w:type="pct"/>
            <w:tcBorders>
              <w:tl2br w:val="nil"/>
              <w:tr2bl w:val="nil"/>
            </w:tcBorders>
            <w:noWrap w:val="0"/>
            <w:vAlign w:val="center"/>
          </w:tcPr>
          <w:p w14:paraId="10839A6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总硬度</w:t>
            </w:r>
          </w:p>
        </w:tc>
        <w:tc>
          <w:tcPr>
            <w:tcW w:w="395" w:type="pct"/>
            <w:tcBorders>
              <w:tl2br w:val="nil"/>
              <w:tr2bl w:val="nil"/>
            </w:tcBorders>
            <w:noWrap w:val="0"/>
            <w:vAlign w:val="center"/>
          </w:tcPr>
          <w:p w14:paraId="0CC518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4F60731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646</w:t>
            </w:r>
          </w:p>
        </w:tc>
        <w:tc>
          <w:tcPr>
            <w:tcW w:w="675" w:type="pct"/>
            <w:tcBorders>
              <w:tl2br w:val="nil"/>
              <w:tr2bl w:val="nil"/>
            </w:tcBorders>
            <w:noWrap w:val="0"/>
            <w:vAlign w:val="center"/>
          </w:tcPr>
          <w:p w14:paraId="1AA100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616</w:t>
            </w:r>
          </w:p>
        </w:tc>
        <w:tc>
          <w:tcPr>
            <w:tcW w:w="758" w:type="pct"/>
            <w:tcBorders>
              <w:tl2br w:val="nil"/>
              <w:tr2bl w:val="nil"/>
            </w:tcBorders>
            <w:noWrap w:val="0"/>
            <w:vAlign w:val="center"/>
          </w:tcPr>
          <w:p w14:paraId="616FCAA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421</w:t>
            </w:r>
          </w:p>
        </w:tc>
        <w:tc>
          <w:tcPr>
            <w:tcW w:w="642" w:type="pct"/>
            <w:tcBorders>
              <w:tl2br w:val="nil"/>
              <w:tr2bl w:val="nil"/>
            </w:tcBorders>
            <w:noWrap w:val="0"/>
            <w:vAlign w:val="center"/>
          </w:tcPr>
          <w:p w14:paraId="1351D2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504</w:t>
            </w:r>
          </w:p>
        </w:tc>
        <w:tc>
          <w:tcPr>
            <w:tcW w:w="633" w:type="pct"/>
            <w:tcBorders>
              <w:tl2br w:val="nil"/>
              <w:tr2bl w:val="nil"/>
            </w:tcBorders>
            <w:noWrap w:val="0"/>
            <w:vAlign w:val="center"/>
          </w:tcPr>
          <w:p w14:paraId="67A22C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≤450</w:t>
            </w:r>
          </w:p>
        </w:tc>
      </w:tr>
      <w:tr w14:paraId="343FF3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14566FE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3</w:t>
            </w:r>
          </w:p>
        </w:tc>
        <w:tc>
          <w:tcPr>
            <w:tcW w:w="607" w:type="pct"/>
            <w:tcBorders>
              <w:tl2br w:val="nil"/>
              <w:tr2bl w:val="nil"/>
            </w:tcBorders>
            <w:noWrap w:val="0"/>
            <w:vAlign w:val="center"/>
          </w:tcPr>
          <w:p w14:paraId="325A7D0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溶解性总固体</w:t>
            </w:r>
          </w:p>
        </w:tc>
        <w:tc>
          <w:tcPr>
            <w:tcW w:w="395" w:type="pct"/>
            <w:tcBorders>
              <w:tl2br w:val="nil"/>
              <w:tr2bl w:val="nil"/>
            </w:tcBorders>
            <w:noWrap w:val="0"/>
            <w:vAlign w:val="center"/>
          </w:tcPr>
          <w:p w14:paraId="12A5761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520518F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1.80</w:t>
            </w:r>
            <w:r>
              <w:rPr>
                <w:rFonts w:hint="default"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vertAlign w:val="superscript"/>
                <w:lang w:val="en-US" w:eastAsia="zh-CN"/>
              </w:rPr>
              <w:t>3</w:t>
            </w:r>
          </w:p>
        </w:tc>
        <w:tc>
          <w:tcPr>
            <w:tcW w:w="675" w:type="pct"/>
            <w:tcBorders>
              <w:tl2br w:val="nil"/>
              <w:tr2bl w:val="nil"/>
            </w:tcBorders>
            <w:noWrap w:val="0"/>
            <w:vAlign w:val="center"/>
          </w:tcPr>
          <w:p w14:paraId="57AFFA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1.93×10</w:t>
            </w:r>
            <w:r>
              <w:rPr>
                <w:rFonts w:hint="default" w:ascii="Times New Roman" w:hAnsi="Times New Roman" w:cs="Times New Roman"/>
                <w:color w:val="auto"/>
                <w:sz w:val="21"/>
                <w:szCs w:val="21"/>
                <w:vertAlign w:val="superscript"/>
                <w:lang w:val="en-US" w:eastAsia="zh-CN"/>
              </w:rPr>
              <w:t>3</w:t>
            </w:r>
          </w:p>
        </w:tc>
        <w:tc>
          <w:tcPr>
            <w:tcW w:w="758" w:type="pct"/>
            <w:tcBorders>
              <w:tl2br w:val="nil"/>
              <w:tr2bl w:val="nil"/>
            </w:tcBorders>
            <w:noWrap w:val="0"/>
            <w:vAlign w:val="center"/>
          </w:tcPr>
          <w:p w14:paraId="3C7A678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1.00×10</w:t>
            </w:r>
            <w:r>
              <w:rPr>
                <w:rFonts w:hint="default" w:ascii="Times New Roman" w:hAnsi="Times New Roman" w:cs="Times New Roman"/>
                <w:color w:val="auto"/>
                <w:sz w:val="21"/>
                <w:szCs w:val="21"/>
                <w:vertAlign w:val="superscript"/>
                <w:lang w:val="en-US" w:eastAsia="zh-CN"/>
              </w:rPr>
              <w:t>3</w:t>
            </w:r>
          </w:p>
        </w:tc>
        <w:tc>
          <w:tcPr>
            <w:tcW w:w="642" w:type="pct"/>
            <w:tcBorders>
              <w:tl2br w:val="nil"/>
              <w:tr2bl w:val="nil"/>
            </w:tcBorders>
            <w:noWrap w:val="0"/>
            <w:vAlign w:val="center"/>
          </w:tcPr>
          <w:p w14:paraId="4DFD8A2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1.71×10</w:t>
            </w:r>
            <w:r>
              <w:rPr>
                <w:rFonts w:hint="default" w:ascii="Times New Roman" w:hAnsi="Times New Roman" w:cs="Times New Roman"/>
                <w:color w:val="auto"/>
                <w:sz w:val="21"/>
                <w:szCs w:val="21"/>
                <w:vertAlign w:val="superscript"/>
                <w:lang w:val="en-US" w:eastAsia="zh-CN"/>
              </w:rPr>
              <w:t>3</w:t>
            </w:r>
          </w:p>
        </w:tc>
        <w:tc>
          <w:tcPr>
            <w:tcW w:w="633" w:type="pct"/>
            <w:tcBorders>
              <w:tl2br w:val="nil"/>
              <w:tr2bl w:val="nil"/>
            </w:tcBorders>
            <w:noWrap w:val="0"/>
            <w:vAlign w:val="center"/>
          </w:tcPr>
          <w:p w14:paraId="5E371F4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≤1000</w:t>
            </w:r>
          </w:p>
        </w:tc>
      </w:tr>
      <w:tr w14:paraId="3DCBE1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258FA59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w:t>
            </w:r>
          </w:p>
        </w:tc>
        <w:tc>
          <w:tcPr>
            <w:tcW w:w="607" w:type="pct"/>
            <w:tcBorders>
              <w:tl2br w:val="nil"/>
              <w:tr2bl w:val="nil"/>
            </w:tcBorders>
            <w:noWrap w:val="0"/>
            <w:vAlign w:val="center"/>
          </w:tcPr>
          <w:p w14:paraId="6567530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氨氮</w:t>
            </w:r>
          </w:p>
        </w:tc>
        <w:tc>
          <w:tcPr>
            <w:tcW w:w="395" w:type="pct"/>
            <w:tcBorders>
              <w:tl2br w:val="nil"/>
              <w:tr2bl w:val="nil"/>
            </w:tcBorders>
            <w:noWrap w:val="0"/>
            <w:vAlign w:val="center"/>
          </w:tcPr>
          <w:p w14:paraId="31E1A0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509EEA3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＜0.025</w:t>
            </w:r>
          </w:p>
        </w:tc>
        <w:tc>
          <w:tcPr>
            <w:tcW w:w="675" w:type="pct"/>
            <w:tcBorders>
              <w:tl2br w:val="nil"/>
              <w:tr2bl w:val="nil"/>
            </w:tcBorders>
            <w:noWrap w:val="0"/>
            <w:vAlign w:val="center"/>
          </w:tcPr>
          <w:p w14:paraId="7B4ED3F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＜0.025</w:t>
            </w:r>
          </w:p>
        </w:tc>
        <w:tc>
          <w:tcPr>
            <w:tcW w:w="758" w:type="pct"/>
            <w:tcBorders>
              <w:tl2br w:val="nil"/>
              <w:tr2bl w:val="nil"/>
            </w:tcBorders>
            <w:noWrap w:val="0"/>
            <w:vAlign w:val="center"/>
          </w:tcPr>
          <w:p w14:paraId="067DC94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＜0.025</w:t>
            </w:r>
          </w:p>
        </w:tc>
        <w:tc>
          <w:tcPr>
            <w:tcW w:w="642" w:type="pct"/>
            <w:tcBorders>
              <w:tl2br w:val="nil"/>
              <w:tr2bl w:val="nil"/>
            </w:tcBorders>
            <w:noWrap w:val="0"/>
            <w:vAlign w:val="center"/>
          </w:tcPr>
          <w:p w14:paraId="6CB4137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＜0.025</w:t>
            </w:r>
          </w:p>
        </w:tc>
        <w:tc>
          <w:tcPr>
            <w:tcW w:w="633" w:type="pct"/>
            <w:tcBorders>
              <w:tl2br w:val="nil"/>
              <w:tr2bl w:val="nil"/>
            </w:tcBorders>
            <w:noWrap w:val="0"/>
            <w:vAlign w:val="center"/>
          </w:tcPr>
          <w:p w14:paraId="6318C5D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0.5</w:t>
            </w:r>
          </w:p>
        </w:tc>
      </w:tr>
      <w:tr w14:paraId="2D2BAE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1881FC0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5</w:t>
            </w:r>
          </w:p>
        </w:tc>
        <w:tc>
          <w:tcPr>
            <w:tcW w:w="607" w:type="pct"/>
            <w:tcBorders>
              <w:tl2br w:val="nil"/>
              <w:tr2bl w:val="nil"/>
            </w:tcBorders>
            <w:noWrap w:val="0"/>
            <w:vAlign w:val="center"/>
          </w:tcPr>
          <w:p w14:paraId="02B7264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挥发酚</w:t>
            </w:r>
          </w:p>
        </w:tc>
        <w:tc>
          <w:tcPr>
            <w:tcW w:w="395" w:type="pct"/>
            <w:tcBorders>
              <w:tl2br w:val="nil"/>
              <w:tr2bl w:val="nil"/>
            </w:tcBorders>
            <w:noWrap w:val="0"/>
            <w:vAlign w:val="center"/>
          </w:tcPr>
          <w:p w14:paraId="0A3ED3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72ABBC6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＜0.0003</w:t>
            </w:r>
          </w:p>
        </w:tc>
        <w:tc>
          <w:tcPr>
            <w:tcW w:w="675" w:type="pct"/>
            <w:tcBorders>
              <w:tl2br w:val="nil"/>
              <w:tr2bl w:val="nil"/>
            </w:tcBorders>
            <w:noWrap w:val="0"/>
            <w:vAlign w:val="center"/>
          </w:tcPr>
          <w:p w14:paraId="335FD20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＜0.0003</w:t>
            </w:r>
          </w:p>
        </w:tc>
        <w:tc>
          <w:tcPr>
            <w:tcW w:w="758" w:type="pct"/>
            <w:tcBorders>
              <w:tl2br w:val="nil"/>
              <w:tr2bl w:val="nil"/>
            </w:tcBorders>
            <w:noWrap w:val="0"/>
            <w:vAlign w:val="center"/>
          </w:tcPr>
          <w:p w14:paraId="4941866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＜0.0003</w:t>
            </w:r>
          </w:p>
        </w:tc>
        <w:tc>
          <w:tcPr>
            <w:tcW w:w="642" w:type="pct"/>
            <w:tcBorders>
              <w:tl2br w:val="nil"/>
              <w:tr2bl w:val="nil"/>
            </w:tcBorders>
            <w:noWrap w:val="0"/>
            <w:vAlign w:val="center"/>
          </w:tcPr>
          <w:p w14:paraId="418597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＜0.0003</w:t>
            </w:r>
          </w:p>
        </w:tc>
        <w:tc>
          <w:tcPr>
            <w:tcW w:w="633" w:type="pct"/>
            <w:tcBorders>
              <w:tl2br w:val="nil"/>
              <w:tr2bl w:val="nil"/>
            </w:tcBorders>
            <w:noWrap w:val="0"/>
            <w:vAlign w:val="center"/>
          </w:tcPr>
          <w:p w14:paraId="1B7C70B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0.002</w:t>
            </w:r>
          </w:p>
        </w:tc>
      </w:tr>
      <w:tr w14:paraId="68C057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7668F49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w:t>
            </w:r>
          </w:p>
        </w:tc>
        <w:tc>
          <w:tcPr>
            <w:tcW w:w="607" w:type="pct"/>
            <w:tcBorders>
              <w:tl2br w:val="nil"/>
              <w:tr2bl w:val="nil"/>
            </w:tcBorders>
            <w:noWrap w:val="0"/>
            <w:vAlign w:val="center"/>
          </w:tcPr>
          <w:p w14:paraId="6AA0FCA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氰化物</w:t>
            </w:r>
          </w:p>
        </w:tc>
        <w:tc>
          <w:tcPr>
            <w:tcW w:w="395" w:type="pct"/>
            <w:tcBorders>
              <w:tl2br w:val="nil"/>
              <w:tr2bl w:val="nil"/>
            </w:tcBorders>
            <w:noWrap w:val="0"/>
            <w:vAlign w:val="center"/>
          </w:tcPr>
          <w:p w14:paraId="0629F9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58E298E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＜0.001</w:t>
            </w:r>
          </w:p>
        </w:tc>
        <w:tc>
          <w:tcPr>
            <w:tcW w:w="675" w:type="pct"/>
            <w:tcBorders>
              <w:tl2br w:val="nil"/>
              <w:tr2bl w:val="nil"/>
            </w:tcBorders>
            <w:noWrap w:val="0"/>
            <w:vAlign w:val="center"/>
          </w:tcPr>
          <w:p w14:paraId="410B1FA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＜0.001</w:t>
            </w:r>
          </w:p>
        </w:tc>
        <w:tc>
          <w:tcPr>
            <w:tcW w:w="758" w:type="pct"/>
            <w:tcBorders>
              <w:tl2br w:val="nil"/>
              <w:tr2bl w:val="nil"/>
            </w:tcBorders>
            <w:noWrap w:val="0"/>
            <w:vAlign w:val="center"/>
          </w:tcPr>
          <w:p w14:paraId="3F811A2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＜0.001</w:t>
            </w:r>
          </w:p>
        </w:tc>
        <w:tc>
          <w:tcPr>
            <w:tcW w:w="642" w:type="pct"/>
            <w:tcBorders>
              <w:tl2br w:val="nil"/>
              <w:tr2bl w:val="nil"/>
            </w:tcBorders>
            <w:noWrap w:val="0"/>
            <w:vAlign w:val="center"/>
          </w:tcPr>
          <w:p w14:paraId="1B0FC3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＜0.001</w:t>
            </w:r>
          </w:p>
        </w:tc>
        <w:tc>
          <w:tcPr>
            <w:tcW w:w="633" w:type="pct"/>
            <w:tcBorders>
              <w:tl2br w:val="nil"/>
              <w:tr2bl w:val="nil"/>
            </w:tcBorders>
            <w:noWrap w:val="0"/>
            <w:vAlign w:val="center"/>
          </w:tcPr>
          <w:p w14:paraId="28CA4AF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≤0.05</w:t>
            </w:r>
          </w:p>
        </w:tc>
      </w:tr>
      <w:tr w14:paraId="0A4FE6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A00D56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607" w:type="pct"/>
            <w:tcBorders>
              <w:tl2br w:val="nil"/>
              <w:tr2bl w:val="nil"/>
            </w:tcBorders>
            <w:noWrap w:val="0"/>
            <w:vAlign w:val="center"/>
          </w:tcPr>
          <w:p w14:paraId="1EC86AF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石油类</w:t>
            </w:r>
          </w:p>
        </w:tc>
        <w:tc>
          <w:tcPr>
            <w:tcW w:w="395" w:type="pct"/>
            <w:tcBorders>
              <w:tl2br w:val="nil"/>
              <w:tr2bl w:val="nil"/>
            </w:tcBorders>
            <w:noWrap w:val="0"/>
            <w:vAlign w:val="center"/>
          </w:tcPr>
          <w:p w14:paraId="618560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7D5562B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＜0.01</w:t>
            </w:r>
          </w:p>
        </w:tc>
        <w:tc>
          <w:tcPr>
            <w:tcW w:w="675" w:type="pct"/>
            <w:tcBorders>
              <w:tl2br w:val="nil"/>
              <w:tr2bl w:val="nil"/>
            </w:tcBorders>
            <w:noWrap w:val="0"/>
            <w:vAlign w:val="center"/>
          </w:tcPr>
          <w:p w14:paraId="3320774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＜0.01</w:t>
            </w:r>
          </w:p>
        </w:tc>
        <w:tc>
          <w:tcPr>
            <w:tcW w:w="758" w:type="pct"/>
            <w:tcBorders>
              <w:tl2br w:val="nil"/>
              <w:tr2bl w:val="nil"/>
            </w:tcBorders>
            <w:noWrap w:val="0"/>
            <w:vAlign w:val="center"/>
          </w:tcPr>
          <w:p w14:paraId="49CF0AD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＜0.01</w:t>
            </w:r>
          </w:p>
        </w:tc>
        <w:tc>
          <w:tcPr>
            <w:tcW w:w="642" w:type="pct"/>
            <w:tcBorders>
              <w:tl2br w:val="nil"/>
              <w:tr2bl w:val="nil"/>
            </w:tcBorders>
            <w:noWrap w:val="0"/>
            <w:vAlign w:val="center"/>
          </w:tcPr>
          <w:p w14:paraId="31E9C0C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＜0.01</w:t>
            </w:r>
          </w:p>
        </w:tc>
        <w:tc>
          <w:tcPr>
            <w:tcW w:w="633" w:type="pct"/>
            <w:tcBorders>
              <w:tl2br w:val="nil"/>
              <w:tr2bl w:val="nil"/>
            </w:tcBorders>
            <w:noWrap w:val="0"/>
            <w:vAlign w:val="center"/>
          </w:tcPr>
          <w:p w14:paraId="7F8AAC1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w:t>
            </w:r>
          </w:p>
        </w:tc>
      </w:tr>
      <w:tr w14:paraId="1F0539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8A02FA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w:t>
            </w:r>
          </w:p>
        </w:tc>
        <w:tc>
          <w:tcPr>
            <w:tcW w:w="607" w:type="pct"/>
            <w:tcBorders>
              <w:tl2br w:val="nil"/>
              <w:tr2bl w:val="nil"/>
            </w:tcBorders>
            <w:noWrap w:val="0"/>
            <w:vAlign w:val="center"/>
          </w:tcPr>
          <w:p w14:paraId="5E1FFDB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氟化物</w:t>
            </w:r>
          </w:p>
        </w:tc>
        <w:tc>
          <w:tcPr>
            <w:tcW w:w="395" w:type="pct"/>
            <w:tcBorders>
              <w:tl2br w:val="nil"/>
              <w:tr2bl w:val="nil"/>
            </w:tcBorders>
            <w:noWrap w:val="0"/>
            <w:vAlign w:val="center"/>
          </w:tcPr>
          <w:p w14:paraId="2FA2EAB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726A457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0.28</w:t>
            </w:r>
          </w:p>
        </w:tc>
        <w:tc>
          <w:tcPr>
            <w:tcW w:w="675" w:type="pct"/>
            <w:tcBorders>
              <w:tl2br w:val="nil"/>
              <w:tr2bl w:val="nil"/>
            </w:tcBorders>
            <w:noWrap w:val="0"/>
            <w:vAlign w:val="center"/>
          </w:tcPr>
          <w:p w14:paraId="4FB8C4E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0.26</w:t>
            </w:r>
          </w:p>
        </w:tc>
        <w:tc>
          <w:tcPr>
            <w:tcW w:w="758" w:type="pct"/>
            <w:tcBorders>
              <w:tl2br w:val="nil"/>
              <w:tr2bl w:val="nil"/>
            </w:tcBorders>
            <w:noWrap w:val="0"/>
            <w:vAlign w:val="center"/>
          </w:tcPr>
          <w:p w14:paraId="2C69C35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0.22</w:t>
            </w:r>
          </w:p>
        </w:tc>
        <w:tc>
          <w:tcPr>
            <w:tcW w:w="642" w:type="pct"/>
            <w:tcBorders>
              <w:tl2br w:val="nil"/>
              <w:tr2bl w:val="nil"/>
            </w:tcBorders>
            <w:noWrap w:val="0"/>
            <w:vAlign w:val="center"/>
          </w:tcPr>
          <w:p w14:paraId="718DE8A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0.19</w:t>
            </w:r>
          </w:p>
        </w:tc>
        <w:tc>
          <w:tcPr>
            <w:tcW w:w="633" w:type="pct"/>
            <w:tcBorders>
              <w:tl2br w:val="nil"/>
              <w:tr2bl w:val="nil"/>
            </w:tcBorders>
            <w:noWrap w:val="0"/>
            <w:vAlign w:val="center"/>
          </w:tcPr>
          <w:p w14:paraId="0B346DD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r>
      <w:tr w14:paraId="0096D3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4C41901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9</w:t>
            </w:r>
          </w:p>
        </w:tc>
        <w:tc>
          <w:tcPr>
            <w:tcW w:w="607" w:type="pct"/>
            <w:tcBorders>
              <w:tl2br w:val="nil"/>
              <w:tr2bl w:val="nil"/>
            </w:tcBorders>
            <w:noWrap w:val="0"/>
            <w:vAlign w:val="center"/>
          </w:tcPr>
          <w:p w14:paraId="33E6F19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亚硝酸盐氮</w:t>
            </w:r>
          </w:p>
        </w:tc>
        <w:tc>
          <w:tcPr>
            <w:tcW w:w="395" w:type="pct"/>
            <w:tcBorders>
              <w:tl2br w:val="nil"/>
              <w:tr2bl w:val="nil"/>
            </w:tcBorders>
            <w:noWrap w:val="0"/>
            <w:vAlign w:val="center"/>
          </w:tcPr>
          <w:p w14:paraId="651AE4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29B2FD7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0.018</w:t>
            </w:r>
          </w:p>
        </w:tc>
        <w:tc>
          <w:tcPr>
            <w:tcW w:w="675" w:type="pct"/>
            <w:tcBorders>
              <w:tl2br w:val="nil"/>
              <w:tr2bl w:val="nil"/>
            </w:tcBorders>
            <w:noWrap w:val="0"/>
            <w:vAlign w:val="center"/>
          </w:tcPr>
          <w:p w14:paraId="4825152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0.012</w:t>
            </w:r>
          </w:p>
        </w:tc>
        <w:tc>
          <w:tcPr>
            <w:tcW w:w="758" w:type="pct"/>
            <w:tcBorders>
              <w:tl2br w:val="nil"/>
              <w:tr2bl w:val="nil"/>
            </w:tcBorders>
            <w:noWrap w:val="0"/>
            <w:vAlign w:val="center"/>
          </w:tcPr>
          <w:p w14:paraId="715F1C0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＜0.003</w:t>
            </w:r>
          </w:p>
        </w:tc>
        <w:tc>
          <w:tcPr>
            <w:tcW w:w="642" w:type="pct"/>
            <w:tcBorders>
              <w:tl2br w:val="nil"/>
              <w:tr2bl w:val="nil"/>
            </w:tcBorders>
            <w:noWrap w:val="0"/>
            <w:vAlign w:val="center"/>
          </w:tcPr>
          <w:p w14:paraId="2B0F56F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0.009</w:t>
            </w:r>
          </w:p>
        </w:tc>
        <w:tc>
          <w:tcPr>
            <w:tcW w:w="633" w:type="pct"/>
            <w:tcBorders>
              <w:tl2br w:val="nil"/>
              <w:tr2bl w:val="nil"/>
            </w:tcBorders>
            <w:noWrap w:val="0"/>
            <w:vAlign w:val="center"/>
          </w:tcPr>
          <w:p w14:paraId="6374231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r>
      <w:tr w14:paraId="51D382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728ECE3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10</w:t>
            </w:r>
          </w:p>
        </w:tc>
        <w:tc>
          <w:tcPr>
            <w:tcW w:w="607" w:type="pct"/>
            <w:tcBorders>
              <w:tl2br w:val="nil"/>
              <w:tr2bl w:val="nil"/>
            </w:tcBorders>
            <w:noWrap w:val="0"/>
            <w:vAlign w:val="center"/>
          </w:tcPr>
          <w:p w14:paraId="54D0E55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硝酸盐氮</w:t>
            </w:r>
          </w:p>
        </w:tc>
        <w:tc>
          <w:tcPr>
            <w:tcW w:w="395" w:type="pct"/>
            <w:tcBorders>
              <w:tl2br w:val="nil"/>
              <w:tr2bl w:val="nil"/>
            </w:tcBorders>
            <w:noWrap w:val="0"/>
            <w:vAlign w:val="center"/>
          </w:tcPr>
          <w:p w14:paraId="720BD0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02E7588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＜0.08</w:t>
            </w:r>
          </w:p>
        </w:tc>
        <w:tc>
          <w:tcPr>
            <w:tcW w:w="675" w:type="pct"/>
            <w:tcBorders>
              <w:tl2br w:val="nil"/>
              <w:tr2bl w:val="nil"/>
            </w:tcBorders>
            <w:noWrap w:val="0"/>
            <w:vAlign w:val="center"/>
          </w:tcPr>
          <w:p w14:paraId="570B69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0.37</w:t>
            </w:r>
          </w:p>
        </w:tc>
        <w:tc>
          <w:tcPr>
            <w:tcW w:w="758" w:type="pct"/>
            <w:tcBorders>
              <w:tl2br w:val="nil"/>
              <w:tr2bl w:val="nil"/>
            </w:tcBorders>
            <w:noWrap w:val="0"/>
            <w:vAlign w:val="center"/>
          </w:tcPr>
          <w:p w14:paraId="7A4D727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＜0.08</w:t>
            </w:r>
          </w:p>
        </w:tc>
        <w:tc>
          <w:tcPr>
            <w:tcW w:w="642" w:type="pct"/>
            <w:tcBorders>
              <w:tl2br w:val="nil"/>
              <w:tr2bl w:val="nil"/>
            </w:tcBorders>
            <w:noWrap w:val="0"/>
            <w:vAlign w:val="center"/>
          </w:tcPr>
          <w:p w14:paraId="1FB5C6C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0.30</w:t>
            </w:r>
          </w:p>
        </w:tc>
        <w:tc>
          <w:tcPr>
            <w:tcW w:w="633" w:type="pct"/>
            <w:tcBorders>
              <w:tl2br w:val="nil"/>
              <w:tr2bl w:val="nil"/>
            </w:tcBorders>
            <w:noWrap w:val="0"/>
            <w:vAlign w:val="center"/>
          </w:tcPr>
          <w:p w14:paraId="1F2C12B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20.0</w:t>
            </w:r>
          </w:p>
        </w:tc>
      </w:tr>
      <w:tr w14:paraId="363885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B1BB92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11</w:t>
            </w:r>
          </w:p>
        </w:tc>
        <w:tc>
          <w:tcPr>
            <w:tcW w:w="607" w:type="pct"/>
            <w:tcBorders>
              <w:tl2br w:val="nil"/>
              <w:tr2bl w:val="nil"/>
            </w:tcBorders>
            <w:noWrap w:val="0"/>
            <w:vAlign w:val="center"/>
          </w:tcPr>
          <w:p w14:paraId="5A508CC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六价铬</w:t>
            </w:r>
          </w:p>
        </w:tc>
        <w:tc>
          <w:tcPr>
            <w:tcW w:w="395" w:type="pct"/>
            <w:tcBorders>
              <w:tl2br w:val="nil"/>
              <w:tr2bl w:val="nil"/>
            </w:tcBorders>
            <w:noWrap w:val="0"/>
            <w:vAlign w:val="center"/>
          </w:tcPr>
          <w:p w14:paraId="6A351C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189723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＜0.004</w:t>
            </w:r>
          </w:p>
        </w:tc>
        <w:tc>
          <w:tcPr>
            <w:tcW w:w="675" w:type="pct"/>
            <w:tcBorders>
              <w:tl2br w:val="nil"/>
              <w:tr2bl w:val="nil"/>
            </w:tcBorders>
            <w:noWrap w:val="0"/>
            <w:vAlign w:val="center"/>
          </w:tcPr>
          <w:p w14:paraId="6D5C694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758" w:type="pct"/>
            <w:tcBorders>
              <w:tl2br w:val="nil"/>
              <w:tr2bl w:val="nil"/>
            </w:tcBorders>
            <w:noWrap w:val="0"/>
            <w:vAlign w:val="center"/>
          </w:tcPr>
          <w:p w14:paraId="6E38262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642" w:type="pct"/>
            <w:tcBorders>
              <w:tl2br w:val="nil"/>
              <w:tr2bl w:val="nil"/>
            </w:tcBorders>
            <w:noWrap w:val="0"/>
            <w:vAlign w:val="center"/>
          </w:tcPr>
          <w:p w14:paraId="1AE50D4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633" w:type="pct"/>
            <w:tcBorders>
              <w:tl2br w:val="nil"/>
              <w:tr2bl w:val="nil"/>
            </w:tcBorders>
            <w:noWrap w:val="0"/>
            <w:vAlign w:val="center"/>
          </w:tcPr>
          <w:p w14:paraId="6192A57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0.05</w:t>
            </w:r>
          </w:p>
        </w:tc>
      </w:tr>
      <w:tr w14:paraId="095A28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1F539C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607" w:type="pct"/>
            <w:tcBorders>
              <w:tl2br w:val="nil"/>
              <w:tr2bl w:val="nil"/>
            </w:tcBorders>
            <w:noWrap w:val="0"/>
            <w:vAlign w:val="center"/>
          </w:tcPr>
          <w:p w14:paraId="48DF74B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铝</w:t>
            </w:r>
          </w:p>
        </w:tc>
        <w:tc>
          <w:tcPr>
            <w:tcW w:w="395" w:type="pct"/>
            <w:tcBorders>
              <w:tl2br w:val="nil"/>
              <w:tr2bl w:val="nil"/>
            </w:tcBorders>
            <w:noWrap w:val="0"/>
            <w:vAlign w:val="center"/>
          </w:tcPr>
          <w:p w14:paraId="6CAA17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2F6190E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0.050</w:t>
            </w:r>
          </w:p>
        </w:tc>
        <w:tc>
          <w:tcPr>
            <w:tcW w:w="675" w:type="pct"/>
            <w:tcBorders>
              <w:tl2br w:val="nil"/>
              <w:tr2bl w:val="nil"/>
            </w:tcBorders>
            <w:noWrap w:val="0"/>
            <w:vAlign w:val="center"/>
          </w:tcPr>
          <w:p w14:paraId="33A3E4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0.053</w:t>
            </w:r>
          </w:p>
        </w:tc>
        <w:tc>
          <w:tcPr>
            <w:tcW w:w="758" w:type="pct"/>
            <w:tcBorders>
              <w:tl2br w:val="nil"/>
              <w:tr2bl w:val="nil"/>
            </w:tcBorders>
            <w:noWrap w:val="0"/>
            <w:vAlign w:val="center"/>
          </w:tcPr>
          <w:p w14:paraId="5F337BE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0.028</w:t>
            </w:r>
          </w:p>
        </w:tc>
        <w:tc>
          <w:tcPr>
            <w:tcW w:w="642" w:type="pct"/>
            <w:tcBorders>
              <w:tl2br w:val="nil"/>
              <w:tr2bl w:val="nil"/>
            </w:tcBorders>
            <w:noWrap w:val="0"/>
            <w:vAlign w:val="center"/>
          </w:tcPr>
          <w:p w14:paraId="55CB1C9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0.079</w:t>
            </w:r>
          </w:p>
        </w:tc>
        <w:tc>
          <w:tcPr>
            <w:tcW w:w="633" w:type="pct"/>
            <w:tcBorders>
              <w:tl2br w:val="nil"/>
              <w:tr2bl w:val="nil"/>
            </w:tcBorders>
            <w:noWrap w:val="0"/>
            <w:vAlign w:val="center"/>
          </w:tcPr>
          <w:p w14:paraId="0547958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0.20</w:t>
            </w:r>
          </w:p>
        </w:tc>
      </w:tr>
      <w:tr w14:paraId="57DC73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27FF523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13</w:t>
            </w:r>
          </w:p>
        </w:tc>
        <w:tc>
          <w:tcPr>
            <w:tcW w:w="607" w:type="pct"/>
            <w:tcBorders>
              <w:tl2br w:val="nil"/>
              <w:tr2bl w:val="nil"/>
            </w:tcBorders>
            <w:noWrap w:val="0"/>
            <w:vAlign w:val="center"/>
          </w:tcPr>
          <w:p w14:paraId="2A39F88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铜</w:t>
            </w:r>
          </w:p>
        </w:tc>
        <w:tc>
          <w:tcPr>
            <w:tcW w:w="395" w:type="pct"/>
            <w:tcBorders>
              <w:tl2br w:val="nil"/>
              <w:tr2bl w:val="nil"/>
            </w:tcBorders>
            <w:noWrap w:val="0"/>
            <w:vAlign w:val="center"/>
          </w:tcPr>
          <w:p w14:paraId="15A3CB2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09B8D7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＜0.04</w:t>
            </w:r>
          </w:p>
        </w:tc>
        <w:tc>
          <w:tcPr>
            <w:tcW w:w="675" w:type="pct"/>
            <w:tcBorders>
              <w:tl2br w:val="nil"/>
              <w:tr2bl w:val="nil"/>
            </w:tcBorders>
            <w:noWrap w:val="0"/>
            <w:vAlign w:val="center"/>
          </w:tcPr>
          <w:p w14:paraId="26A7095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758" w:type="pct"/>
            <w:tcBorders>
              <w:tl2br w:val="nil"/>
              <w:tr2bl w:val="nil"/>
            </w:tcBorders>
            <w:noWrap w:val="0"/>
            <w:vAlign w:val="center"/>
          </w:tcPr>
          <w:p w14:paraId="160B2B2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642" w:type="pct"/>
            <w:tcBorders>
              <w:tl2br w:val="nil"/>
              <w:tr2bl w:val="nil"/>
            </w:tcBorders>
            <w:noWrap w:val="0"/>
            <w:vAlign w:val="center"/>
          </w:tcPr>
          <w:p w14:paraId="027B3B4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633" w:type="pct"/>
            <w:tcBorders>
              <w:tl2br w:val="nil"/>
              <w:tr2bl w:val="nil"/>
            </w:tcBorders>
            <w:noWrap w:val="0"/>
            <w:vAlign w:val="center"/>
          </w:tcPr>
          <w:p w14:paraId="54D7DE0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1.00</w:t>
            </w:r>
          </w:p>
        </w:tc>
      </w:tr>
      <w:tr w14:paraId="75C7C7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7D07691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14</w:t>
            </w:r>
          </w:p>
        </w:tc>
        <w:tc>
          <w:tcPr>
            <w:tcW w:w="607" w:type="pct"/>
            <w:tcBorders>
              <w:tl2br w:val="nil"/>
              <w:tr2bl w:val="nil"/>
            </w:tcBorders>
            <w:noWrap w:val="0"/>
            <w:vAlign w:val="center"/>
          </w:tcPr>
          <w:p w14:paraId="0BDDBE9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锌</w:t>
            </w:r>
          </w:p>
        </w:tc>
        <w:tc>
          <w:tcPr>
            <w:tcW w:w="395" w:type="pct"/>
            <w:tcBorders>
              <w:tl2br w:val="nil"/>
              <w:tr2bl w:val="nil"/>
            </w:tcBorders>
            <w:noWrap w:val="0"/>
            <w:vAlign w:val="center"/>
          </w:tcPr>
          <w:p w14:paraId="7E3079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4BF3979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0.066</w:t>
            </w:r>
          </w:p>
        </w:tc>
        <w:tc>
          <w:tcPr>
            <w:tcW w:w="675" w:type="pct"/>
            <w:tcBorders>
              <w:tl2br w:val="nil"/>
              <w:tr2bl w:val="nil"/>
            </w:tcBorders>
            <w:noWrap w:val="0"/>
            <w:vAlign w:val="center"/>
          </w:tcPr>
          <w:p w14:paraId="5B9CEBA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0.015</w:t>
            </w:r>
          </w:p>
        </w:tc>
        <w:tc>
          <w:tcPr>
            <w:tcW w:w="758" w:type="pct"/>
            <w:tcBorders>
              <w:tl2br w:val="nil"/>
              <w:tr2bl w:val="nil"/>
            </w:tcBorders>
            <w:noWrap w:val="0"/>
            <w:vAlign w:val="center"/>
          </w:tcPr>
          <w:p w14:paraId="5B600FB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0.084</w:t>
            </w:r>
          </w:p>
        </w:tc>
        <w:tc>
          <w:tcPr>
            <w:tcW w:w="642" w:type="pct"/>
            <w:tcBorders>
              <w:tl2br w:val="nil"/>
              <w:tr2bl w:val="nil"/>
            </w:tcBorders>
            <w:noWrap w:val="0"/>
            <w:vAlign w:val="center"/>
          </w:tcPr>
          <w:p w14:paraId="236721D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0.052</w:t>
            </w:r>
          </w:p>
        </w:tc>
        <w:tc>
          <w:tcPr>
            <w:tcW w:w="633" w:type="pct"/>
            <w:tcBorders>
              <w:tl2br w:val="nil"/>
              <w:tr2bl w:val="nil"/>
            </w:tcBorders>
            <w:noWrap w:val="0"/>
            <w:vAlign w:val="center"/>
          </w:tcPr>
          <w:p w14:paraId="213EF1B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1.00</w:t>
            </w:r>
          </w:p>
        </w:tc>
      </w:tr>
      <w:tr w14:paraId="5AB194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4426016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w:t>
            </w:r>
          </w:p>
        </w:tc>
        <w:tc>
          <w:tcPr>
            <w:tcW w:w="607" w:type="pct"/>
            <w:tcBorders>
              <w:tl2br w:val="nil"/>
              <w:tr2bl w:val="nil"/>
            </w:tcBorders>
            <w:noWrap w:val="0"/>
            <w:vAlign w:val="center"/>
          </w:tcPr>
          <w:p w14:paraId="2BC62C7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镉</w:t>
            </w:r>
          </w:p>
        </w:tc>
        <w:tc>
          <w:tcPr>
            <w:tcW w:w="395" w:type="pct"/>
            <w:tcBorders>
              <w:tl2br w:val="nil"/>
              <w:tr2bl w:val="nil"/>
            </w:tcBorders>
            <w:noWrap w:val="0"/>
            <w:vAlign w:val="center"/>
          </w:tcPr>
          <w:p w14:paraId="785CFB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0454C35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＜0.004</w:t>
            </w:r>
          </w:p>
        </w:tc>
        <w:tc>
          <w:tcPr>
            <w:tcW w:w="675" w:type="pct"/>
            <w:tcBorders>
              <w:tl2br w:val="nil"/>
              <w:tr2bl w:val="nil"/>
            </w:tcBorders>
            <w:noWrap w:val="0"/>
            <w:vAlign w:val="center"/>
          </w:tcPr>
          <w:p w14:paraId="2485A7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758" w:type="pct"/>
            <w:tcBorders>
              <w:tl2br w:val="nil"/>
              <w:tr2bl w:val="nil"/>
            </w:tcBorders>
            <w:noWrap w:val="0"/>
            <w:vAlign w:val="center"/>
          </w:tcPr>
          <w:p w14:paraId="79B905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642" w:type="pct"/>
            <w:tcBorders>
              <w:tl2br w:val="nil"/>
              <w:tr2bl w:val="nil"/>
            </w:tcBorders>
            <w:noWrap w:val="0"/>
            <w:vAlign w:val="center"/>
          </w:tcPr>
          <w:p w14:paraId="76A376D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＜0.004</w:t>
            </w:r>
          </w:p>
        </w:tc>
        <w:tc>
          <w:tcPr>
            <w:tcW w:w="633" w:type="pct"/>
            <w:tcBorders>
              <w:tl2br w:val="nil"/>
              <w:tr2bl w:val="nil"/>
            </w:tcBorders>
            <w:noWrap w:val="0"/>
            <w:vAlign w:val="center"/>
          </w:tcPr>
          <w:p w14:paraId="5EFFE38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0.005</w:t>
            </w:r>
          </w:p>
        </w:tc>
      </w:tr>
      <w:tr w14:paraId="4695DB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71" w:hRule="atLeast"/>
          <w:jc w:val="center"/>
        </w:trPr>
        <w:tc>
          <w:tcPr>
            <w:tcW w:w="440" w:type="pct"/>
            <w:tcBorders>
              <w:tl2br w:val="nil"/>
              <w:tr2bl w:val="nil"/>
            </w:tcBorders>
            <w:noWrap w:val="0"/>
            <w:vAlign w:val="center"/>
          </w:tcPr>
          <w:p w14:paraId="49C67BA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p>
        </w:tc>
        <w:tc>
          <w:tcPr>
            <w:tcW w:w="607" w:type="pct"/>
            <w:tcBorders>
              <w:tl2br w:val="nil"/>
              <w:tr2bl w:val="nil"/>
            </w:tcBorders>
            <w:noWrap w:val="0"/>
            <w:vAlign w:val="center"/>
          </w:tcPr>
          <w:p w14:paraId="46CF42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锰</w:t>
            </w:r>
          </w:p>
        </w:tc>
        <w:tc>
          <w:tcPr>
            <w:tcW w:w="395" w:type="pct"/>
            <w:tcBorders>
              <w:tl2br w:val="nil"/>
              <w:tr2bl w:val="nil"/>
            </w:tcBorders>
            <w:noWrap w:val="0"/>
            <w:vAlign w:val="center"/>
          </w:tcPr>
          <w:p w14:paraId="76FA7F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6D2788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0.08</w:t>
            </w:r>
          </w:p>
        </w:tc>
        <w:tc>
          <w:tcPr>
            <w:tcW w:w="675" w:type="pct"/>
            <w:tcBorders>
              <w:tl2br w:val="nil"/>
              <w:tr2bl w:val="nil"/>
            </w:tcBorders>
            <w:noWrap w:val="0"/>
            <w:vAlign w:val="center"/>
          </w:tcPr>
          <w:p w14:paraId="71CC20D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0.08</w:t>
            </w:r>
          </w:p>
        </w:tc>
        <w:tc>
          <w:tcPr>
            <w:tcW w:w="758" w:type="pct"/>
            <w:tcBorders>
              <w:tl2br w:val="nil"/>
              <w:tr2bl w:val="nil"/>
            </w:tcBorders>
            <w:noWrap w:val="0"/>
            <w:vAlign w:val="center"/>
          </w:tcPr>
          <w:p w14:paraId="7D680F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0.07</w:t>
            </w:r>
          </w:p>
        </w:tc>
        <w:tc>
          <w:tcPr>
            <w:tcW w:w="642" w:type="pct"/>
            <w:tcBorders>
              <w:tl2br w:val="nil"/>
              <w:tr2bl w:val="nil"/>
            </w:tcBorders>
            <w:noWrap w:val="0"/>
            <w:vAlign w:val="center"/>
          </w:tcPr>
          <w:p w14:paraId="40BDC4E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0.09</w:t>
            </w:r>
          </w:p>
        </w:tc>
        <w:tc>
          <w:tcPr>
            <w:tcW w:w="633" w:type="pct"/>
            <w:tcBorders>
              <w:tl2br w:val="nil"/>
              <w:tr2bl w:val="nil"/>
            </w:tcBorders>
            <w:noWrap w:val="0"/>
            <w:vAlign w:val="center"/>
          </w:tcPr>
          <w:p w14:paraId="6C00B5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0.10</w:t>
            </w:r>
          </w:p>
        </w:tc>
      </w:tr>
      <w:tr w14:paraId="4FBD5D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0B8F997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w:t>
            </w:r>
          </w:p>
        </w:tc>
        <w:tc>
          <w:tcPr>
            <w:tcW w:w="607" w:type="pct"/>
            <w:tcBorders>
              <w:tl2br w:val="nil"/>
              <w:tr2bl w:val="nil"/>
            </w:tcBorders>
            <w:noWrap w:val="0"/>
            <w:vAlign w:val="center"/>
          </w:tcPr>
          <w:p w14:paraId="571AAE3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铁</w:t>
            </w:r>
          </w:p>
        </w:tc>
        <w:tc>
          <w:tcPr>
            <w:tcW w:w="395" w:type="pct"/>
            <w:tcBorders>
              <w:tl2br w:val="nil"/>
              <w:tr2bl w:val="nil"/>
            </w:tcBorders>
            <w:noWrap w:val="0"/>
            <w:vAlign w:val="center"/>
          </w:tcPr>
          <w:p w14:paraId="04C061E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noWrap w:val="0"/>
            <w:vAlign w:val="center"/>
          </w:tcPr>
          <w:p w14:paraId="4785292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0.06</w:t>
            </w:r>
          </w:p>
        </w:tc>
        <w:tc>
          <w:tcPr>
            <w:tcW w:w="675" w:type="pct"/>
            <w:tcBorders>
              <w:tl2br w:val="nil"/>
              <w:tr2bl w:val="nil"/>
            </w:tcBorders>
            <w:noWrap w:val="0"/>
            <w:vAlign w:val="center"/>
          </w:tcPr>
          <w:p w14:paraId="013DF9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0.07</w:t>
            </w:r>
          </w:p>
        </w:tc>
        <w:tc>
          <w:tcPr>
            <w:tcW w:w="758" w:type="pct"/>
            <w:tcBorders>
              <w:tl2br w:val="nil"/>
              <w:tr2bl w:val="nil"/>
            </w:tcBorders>
            <w:noWrap w:val="0"/>
            <w:vAlign w:val="center"/>
          </w:tcPr>
          <w:p w14:paraId="75A1F2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0.04</w:t>
            </w:r>
          </w:p>
        </w:tc>
        <w:tc>
          <w:tcPr>
            <w:tcW w:w="642" w:type="pct"/>
            <w:tcBorders>
              <w:tl2br w:val="nil"/>
              <w:tr2bl w:val="nil"/>
            </w:tcBorders>
            <w:noWrap w:val="0"/>
            <w:vAlign w:val="center"/>
          </w:tcPr>
          <w:p w14:paraId="7B09196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0.29</w:t>
            </w:r>
          </w:p>
        </w:tc>
        <w:tc>
          <w:tcPr>
            <w:tcW w:w="633" w:type="pct"/>
            <w:tcBorders>
              <w:tl2br w:val="nil"/>
              <w:tr2bl w:val="nil"/>
            </w:tcBorders>
            <w:noWrap w:val="0"/>
            <w:vAlign w:val="center"/>
          </w:tcPr>
          <w:p w14:paraId="57D8D8B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0.3</w:t>
            </w:r>
          </w:p>
        </w:tc>
      </w:tr>
      <w:tr w14:paraId="398B74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214B3E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c>
          <w:tcPr>
            <w:tcW w:w="607" w:type="pct"/>
            <w:tcBorders>
              <w:tl2br w:val="nil"/>
              <w:tr2bl w:val="nil"/>
            </w:tcBorders>
            <w:noWrap w:val="0"/>
            <w:vAlign w:val="center"/>
          </w:tcPr>
          <w:p w14:paraId="2637AB7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砷</w:t>
            </w:r>
          </w:p>
        </w:tc>
        <w:tc>
          <w:tcPr>
            <w:tcW w:w="395" w:type="pct"/>
            <w:tcBorders>
              <w:tl2br w:val="nil"/>
              <w:tr2bl w:val="nil"/>
            </w:tcBorders>
            <w:noWrap w:val="0"/>
            <w:vAlign w:val="center"/>
          </w:tcPr>
          <w:p w14:paraId="30B8BD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noWrap w:val="0"/>
            <w:vAlign w:val="center"/>
          </w:tcPr>
          <w:p w14:paraId="4FA6112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2"/>
                <w:sz w:val="21"/>
                <w:szCs w:val="21"/>
                <w:u w:val="none"/>
                <w:lang w:val="en-US" w:eastAsia="zh-CN" w:bidi="ar-SA"/>
              </w:rPr>
              <w:t>2.5</w:t>
            </w:r>
          </w:p>
        </w:tc>
        <w:tc>
          <w:tcPr>
            <w:tcW w:w="675" w:type="pct"/>
            <w:tcBorders>
              <w:tl2br w:val="nil"/>
              <w:tr2bl w:val="nil"/>
            </w:tcBorders>
            <w:noWrap w:val="0"/>
            <w:vAlign w:val="center"/>
          </w:tcPr>
          <w:p w14:paraId="2001A38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＜0.3</w:t>
            </w:r>
          </w:p>
        </w:tc>
        <w:tc>
          <w:tcPr>
            <w:tcW w:w="758" w:type="pct"/>
            <w:tcBorders>
              <w:tl2br w:val="nil"/>
              <w:tr2bl w:val="nil"/>
            </w:tcBorders>
            <w:noWrap w:val="0"/>
            <w:vAlign w:val="center"/>
          </w:tcPr>
          <w:p w14:paraId="2175575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w:t>
            </w:r>
          </w:p>
        </w:tc>
        <w:tc>
          <w:tcPr>
            <w:tcW w:w="642" w:type="pct"/>
            <w:tcBorders>
              <w:tl2br w:val="nil"/>
              <w:tr2bl w:val="nil"/>
            </w:tcBorders>
            <w:noWrap w:val="0"/>
            <w:vAlign w:val="center"/>
          </w:tcPr>
          <w:p w14:paraId="462466E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1.3</w:t>
            </w:r>
          </w:p>
        </w:tc>
        <w:tc>
          <w:tcPr>
            <w:tcW w:w="633" w:type="pct"/>
            <w:tcBorders>
              <w:tl2br w:val="nil"/>
              <w:tr2bl w:val="nil"/>
            </w:tcBorders>
            <w:noWrap w:val="0"/>
            <w:vAlign w:val="center"/>
          </w:tcPr>
          <w:p w14:paraId="33ACC2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lang w:val="en-US" w:eastAsia="zh-CN"/>
              </w:rPr>
              <w:t>10</w:t>
            </w:r>
          </w:p>
        </w:tc>
      </w:tr>
      <w:tr w14:paraId="19F8CA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2B79A7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19</w:t>
            </w:r>
          </w:p>
        </w:tc>
        <w:tc>
          <w:tcPr>
            <w:tcW w:w="607" w:type="pct"/>
            <w:tcBorders>
              <w:tl2br w:val="nil"/>
              <w:tr2bl w:val="nil"/>
            </w:tcBorders>
            <w:noWrap w:val="0"/>
            <w:vAlign w:val="center"/>
          </w:tcPr>
          <w:p w14:paraId="2BAD785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汞</w:t>
            </w:r>
          </w:p>
        </w:tc>
        <w:tc>
          <w:tcPr>
            <w:tcW w:w="395" w:type="pct"/>
            <w:tcBorders>
              <w:tl2br w:val="nil"/>
              <w:tr2bl w:val="nil"/>
            </w:tcBorders>
            <w:noWrap w:val="0"/>
            <w:vAlign w:val="center"/>
          </w:tcPr>
          <w:p w14:paraId="7F2C86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noWrap w:val="0"/>
            <w:vAlign w:val="center"/>
          </w:tcPr>
          <w:p w14:paraId="0E97868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＜0.04</w:t>
            </w:r>
          </w:p>
        </w:tc>
        <w:tc>
          <w:tcPr>
            <w:tcW w:w="675" w:type="pct"/>
            <w:tcBorders>
              <w:tl2br w:val="nil"/>
              <w:tr2bl w:val="nil"/>
            </w:tcBorders>
            <w:noWrap w:val="0"/>
            <w:vAlign w:val="center"/>
          </w:tcPr>
          <w:p w14:paraId="00B2FD3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758" w:type="pct"/>
            <w:tcBorders>
              <w:tl2br w:val="nil"/>
              <w:tr2bl w:val="nil"/>
            </w:tcBorders>
            <w:noWrap w:val="0"/>
            <w:vAlign w:val="center"/>
          </w:tcPr>
          <w:p w14:paraId="5677C74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642" w:type="pct"/>
            <w:tcBorders>
              <w:tl2br w:val="nil"/>
              <w:tr2bl w:val="nil"/>
            </w:tcBorders>
            <w:noWrap w:val="0"/>
            <w:vAlign w:val="center"/>
          </w:tcPr>
          <w:p w14:paraId="1C518B9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＜0.04</w:t>
            </w:r>
          </w:p>
        </w:tc>
        <w:tc>
          <w:tcPr>
            <w:tcW w:w="633" w:type="pct"/>
            <w:tcBorders>
              <w:tl2br w:val="nil"/>
              <w:tr2bl w:val="nil"/>
            </w:tcBorders>
            <w:noWrap w:val="0"/>
            <w:vAlign w:val="center"/>
          </w:tcPr>
          <w:p w14:paraId="108FB60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w:t>
            </w:r>
          </w:p>
        </w:tc>
      </w:tr>
      <w:tr w14:paraId="12B3A0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3C5D2A7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c>
          <w:tcPr>
            <w:tcW w:w="607" w:type="pct"/>
            <w:tcBorders>
              <w:tl2br w:val="nil"/>
              <w:tr2bl w:val="nil"/>
            </w:tcBorders>
            <w:noWrap w:val="0"/>
            <w:vAlign w:val="center"/>
          </w:tcPr>
          <w:p w14:paraId="7C84FAF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铅</w:t>
            </w:r>
          </w:p>
        </w:tc>
        <w:tc>
          <w:tcPr>
            <w:tcW w:w="395" w:type="pct"/>
            <w:tcBorders>
              <w:tl2br w:val="nil"/>
              <w:tr2bl w:val="nil"/>
            </w:tcBorders>
            <w:noWrap w:val="0"/>
            <w:vAlign w:val="center"/>
          </w:tcPr>
          <w:p w14:paraId="3D16A1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noWrap w:val="0"/>
            <w:vAlign w:val="center"/>
          </w:tcPr>
          <w:p w14:paraId="1B2E359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＜2.5</w:t>
            </w:r>
          </w:p>
        </w:tc>
        <w:tc>
          <w:tcPr>
            <w:tcW w:w="675" w:type="pct"/>
            <w:tcBorders>
              <w:tl2br w:val="nil"/>
              <w:tr2bl w:val="nil"/>
            </w:tcBorders>
            <w:noWrap w:val="0"/>
            <w:vAlign w:val="center"/>
          </w:tcPr>
          <w:p w14:paraId="7433955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＜2.5</w:t>
            </w:r>
          </w:p>
        </w:tc>
        <w:tc>
          <w:tcPr>
            <w:tcW w:w="758" w:type="pct"/>
            <w:tcBorders>
              <w:tl2br w:val="nil"/>
              <w:tr2bl w:val="nil"/>
            </w:tcBorders>
            <w:noWrap w:val="0"/>
            <w:vAlign w:val="center"/>
          </w:tcPr>
          <w:p w14:paraId="32FF5ED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＜2.5</w:t>
            </w:r>
          </w:p>
        </w:tc>
        <w:tc>
          <w:tcPr>
            <w:tcW w:w="642" w:type="pct"/>
            <w:tcBorders>
              <w:tl2br w:val="nil"/>
              <w:tr2bl w:val="nil"/>
            </w:tcBorders>
            <w:noWrap w:val="0"/>
            <w:vAlign w:val="center"/>
          </w:tcPr>
          <w:p w14:paraId="1E5A4BA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i w:val="0"/>
                <w:iCs w:val="0"/>
                <w:color w:val="auto"/>
                <w:kern w:val="2"/>
                <w:sz w:val="21"/>
                <w:szCs w:val="21"/>
                <w:u w:val="none"/>
                <w:lang w:val="en-US" w:eastAsia="zh-CN" w:bidi="ar-SA"/>
              </w:rPr>
              <w:t>＜2.5</w:t>
            </w:r>
          </w:p>
        </w:tc>
        <w:tc>
          <w:tcPr>
            <w:tcW w:w="633" w:type="pct"/>
            <w:tcBorders>
              <w:tl2br w:val="nil"/>
              <w:tr2bl w:val="nil"/>
            </w:tcBorders>
            <w:noWrap w:val="0"/>
            <w:vAlign w:val="center"/>
          </w:tcPr>
          <w:p w14:paraId="5729548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eastAsia="宋体" w:cs="Times New Roman"/>
                <w:color w:val="auto"/>
                <w:sz w:val="21"/>
                <w:szCs w:val="21"/>
                <w:highlight w:val="none"/>
              </w:rPr>
              <w:t>≤</w:t>
            </w:r>
            <w:r>
              <w:rPr>
                <w:rFonts w:hint="default" w:ascii="Times New Roman" w:hAnsi="Times New Roman" w:cs="Times New Roman"/>
                <w:i w:val="0"/>
                <w:iCs w:val="0"/>
                <w:color w:val="auto"/>
                <w:kern w:val="2"/>
                <w:sz w:val="21"/>
                <w:szCs w:val="21"/>
                <w:u w:val="none"/>
                <w:lang w:val="en-US" w:eastAsia="zh-CN" w:bidi="ar-SA"/>
              </w:rPr>
              <w:t>10</w:t>
            </w:r>
          </w:p>
        </w:tc>
      </w:tr>
      <w:tr w14:paraId="066136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5F1F34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w:t>
            </w:r>
          </w:p>
        </w:tc>
        <w:tc>
          <w:tcPr>
            <w:tcW w:w="607" w:type="pct"/>
            <w:tcBorders>
              <w:tl2br w:val="nil"/>
              <w:tr2bl w:val="nil"/>
            </w:tcBorders>
            <w:shd w:val="clear" w:color="auto" w:fill="auto"/>
            <w:noWrap w:val="0"/>
            <w:vAlign w:val="center"/>
          </w:tcPr>
          <w:p w14:paraId="62DD510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钾</w:t>
            </w:r>
          </w:p>
        </w:tc>
        <w:tc>
          <w:tcPr>
            <w:tcW w:w="395" w:type="pct"/>
            <w:tcBorders>
              <w:tl2br w:val="nil"/>
              <w:tr2bl w:val="nil"/>
            </w:tcBorders>
            <w:shd w:val="clear" w:color="auto" w:fill="auto"/>
            <w:noWrap w:val="0"/>
            <w:vAlign w:val="center"/>
          </w:tcPr>
          <w:p w14:paraId="7505A1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0EBDA8E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5.26</w:t>
            </w:r>
          </w:p>
        </w:tc>
        <w:tc>
          <w:tcPr>
            <w:tcW w:w="675" w:type="pct"/>
            <w:tcBorders>
              <w:tl2br w:val="nil"/>
              <w:tr2bl w:val="nil"/>
            </w:tcBorders>
            <w:shd w:val="clear" w:color="auto" w:fill="auto"/>
            <w:noWrap w:val="0"/>
            <w:vAlign w:val="center"/>
          </w:tcPr>
          <w:p w14:paraId="215D545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10.6</w:t>
            </w:r>
          </w:p>
        </w:tc>
        <w:tc>
          <w:tcPr>
            <w:tcW w:w="758" w:type="pct"/>
            <w:tcBorders>
              <w:tl2br w:val="nil"/>
              <w:tr2bl w:val="nil"/>
            </w:tcBorders>
            <w:shd w:val="clear" w:color="auto" w:fill="auto"/>
            <w:noWrap w:val="0"/>
            <w:vAlign w:val="center"/>
          </w:tcPr>
          <w:p w14:paraId="54F91D6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6.91</w:t>
            </w:r>
          </w:p>
        </w:tc>
        <w:tc>
          <w:tcPr>
            <w:tcW w:w="642" w:type="pct"/>
            <w:tcBorders>
              <w:tl2br w:val="nil"/>
              <w:tr2bl w:val="nil"/>
            </w:tcBorders>
            <w:shd w:val="clear" w:color="auto" w:fill="auto"/>
            <w:noWrap w:val="0"/>
            <w:vAlign w:val="center"/>
          </w:tcPr>
          <w:p w14:paraId="5273AA4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4.57</w:t>
            </w:r>
          </w:p>
        </w:tc>
        <w:tc>
          <w:tcPr>
            <w:tcW w:w="633" w:type="pct"/>
            <w:tcBorders>
              <w:tl2br w:val="nil"/>
              <w:tr2bl w:val="nil"/>
            </w:tcBorders>
            <w:shd w:val="clear" w:color="auto" w:fill="auto"/>
            <w:noWrap w:val="0"/>
            <w:vAlign w:val="center"/>
          </w:tcPr>
          <w:p w14:paraId="01ABBC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327239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27E7CE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w:t>
            </w:r>
          </w:p>
        </w:tc>
        <w:tc>
          <w:tcPr>
            <w:tcW w:w="607" w:type="pct"/>
            <w:tcBorders>
              <w:tl2br w:val="nil"/>
              <w:tr2bl w:val="nil"/>
            </w:tcBorders>
            <w:shd w:val="clear" w:color="auto" w:fill="auto"/>
            <w:noWrap w:val="0"/>
            <w:vAlign w:val="center"/>
          </w:tcPr>
          <w:p w14:paraId="5F2EEC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钠</w:t>
            </w:r>
          </w:p>
        </w:tc>
        <w:tc>
          <w:tcPr>
            <w:tcW w:w="395" w:type="pct"/>
            <w:tcBorders>
              <w:tl2br w:val="nil"/>
              <w:tr2bl w:val="nil"/>
            </w:tcBorders>
            <w:shd w:val="clear" w:color="auto" w:fill="auto"/>
            <w:noWrap w:val="0"/>
            <w:vAlign w:val="center"/>
          </w:tcPr>
          <w:p w14:paraId="0CD839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098B5A4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298</w:t>
            </w:r>
          </w:p>
        </w:tc>
        <w:tc>
          <w:tcPr>
            <w:tcW w:w="675" w:type="pct"/>
            <w:tcBorders>
              <w:tl2br w:val="nil"/>
              <w:tr2bl w:val="nil"/>
            </w:tcBorders>
            <w:shd w:val="clear" w:color="auto" w:fill="auto"/>
            <w:noWrap w:val="0"/>
            <w:vAlign w:val="center"/>
          </w:tcPr>
          <w:p w14:paraId="0A041F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329</w:t>
            </w:r>
          </w:p>
        </w:tc>
        <w:tc>
          <w:tcPr>
            <w:tcW w:w="758" w:type="pct"/>
            <w:tcBorders>
              <w:tl2br w:val="nil"/>
              <w:tr2bl w:val="nil"/>
            </w:tcBorders>
            <w:shd w:val="clear" w:color="auto" w:fill="auto"/>
            <w:noWrap w:val="0"/>
            <w:vAlign w:val="center"/>
          </w:tcPr>
          <w:p w14:paraId="5C19005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147</w:t>
            </w:r>
          </w:p>
        </w:tc>
        <w:tc>
          <w:tcPr>
            <w:tcW w:w="642" w:type="pct"/>
            <w:tcBorders>
              <w:tl2br w:val="nil"/>
              <w:tr2bl w:val="nil"/>
            </w:tcBorders>
            <w:shd w:val="clear" w:color="auto" w:fill="auto"/>
            <w:noWrap w:val="0"/>
            <w:vAlign w:val="center"/>
          </w:tcPr>
          <w:p w14:paraId="4A35036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313</w:t>
            </w:r>
          </w:p>
        </w:tc>
        <w:tc>
          <w:tcPr>
            <w:tcW w:w="633" w:type="pct"/>
            <w:tcBorders>
              <w:tl2br w:val="nil"/>
              <w:tr2bl w:val="nil"/>
            </w:tcBorders>
            <w:shd w:val="clear" w:color="auto" w:fill="auto"/>
            <w:noWrap w:val="0"/>
            <w:vAlign w:val="center"/>
          </w:tcPr>
          <w:p w14:paraId="20185B2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≤200</w:t>
            </w:r>
          </w:p>
        </w:tc>
      </w:tr>
      <w:tr w14:paraId="24E675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3D1A2E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607" w:type="pct"/>
            <w:tcBorders>
              <w:tl2br w:val="nil"/>
              <w:tr2bl w:val="nil"/>
            </w:tcBorders>
            <w:shd w:val="clear" w:color="auto" w:fill="auto"/>
            <w:noWrap w:val="0"/>
            <w:vAlign w:val="center"/>
          </w:tcPr>
          <w:p w14:paraId="012636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钙</w:t>
            </w:r>
          </w:p>
        </w:tc>
        <w:tc>
          <w:tcPr>
            <w:tcW w:w="395" w:type="pct"/>
            <w:tcBorders>
              <w:tl2br w:val="nil"/>
              <w:tr2bl w:val="nil"/>
            </w:tcBorders>
            <w:shd w:val="clear" w:color="auto" w:fill="auto"/>
            <w:noWrap w:val="0"/>
            <w:vAlign w:val="center"/>
          </w:tcPr>
          <w:p w14:paraId="67593E6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17A86EB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180</w:t>
            </w:r>
          </w:p>
        </w:tc>
        <w:tc>
          <w:tcPr>
            <w:tcW w:w="675" w:type="pct"/>
            <w:tcBorders>
              <w:tl2br w:val="nil"/>
              <w:tr2bl w:val="nil"/>
            </w:tcBorders>
            <w:shd w:val="clear" w:color="auto" w:fill="auto"/>
            <w:noWrap w:val="0"/>
            <w:vAlign w:val="center"/>
          </w:tcPr>
          <w:p w14:paraId="4F5B73D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169</w:t>
            </w:r>
          </w:p>
        </w:tc>
        <w:tc>
          <w:tcPr>
            <w:tcW w:w="758" w:type="pct"/>
            <w:tcBorders>
              <w:tl2br w:val="nil"/>
              <w:tr2bl w:val="nil"/>
            </w:tcBorders>
            <w:shd w:val="clear" w:color="auto" w:fill="auto"/>
            <w:noWrap w:val="0"/>
            <w:vAlign w:val="center"/>
          </w:tcPr>
          <w:p w14:paraId="75DFEAC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97.6</w:t>
            </w:r>
          </w:p>
        </w:tc>
        <w:tc>
          <w:tcPr>
            <w:tcW w:w="642" w:type="pct"/>
            <w:tcBorders>
              <w:tl2br w:val="nil"/>
              <w:tr2bl w:val="nil"/>
            </w:tcBorders>
            <w:shd w:val="clear" w:color="auto" w:fill="auto"/>
            <w:noWrap w:val="0"/>
            <w:vAlign w:val="center"/>
          </w:tcPr>
          <w:p w14:paraId="24E896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161</w:t>
            </w:r>
          </w:p>
        </w:tc>
        <w:tc>
          <w:tcPr>
            <w:tcW w:w="633" w:type="pct"/>
            <w:tcBorders>
              <w:tl2br w:val="nil"/>
              <w:tr2bl w:val="nil"/>
            </w:tcBorders>
            <w:shd w:val="clear" w:color="auto" w:fill="auto"/>
            <w:noWrap w:val="0"/>
            <w:vAlign w:val="center"/>
          </w:tcPr>
          <w:p w14:paraId="38914CB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5DF00F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0AA3B3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607" w:type="pct"/>
            <w:tcBorders>
              <w:tl2br w:val="nil"/>
              <w:tr2bl w:val="nil"/>
            </w:tcBorders>
            <w:shd w:val="clear" w:color="auto" w:fill="auto"/>
            <w:noWrap w:val="0"/>
            <w:vAlign w:val="center"/>
          </w:tcPr>
          <w:p w14:paraId="667617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镁</w:t>
            </w:r>
          </w:p>
        </w:tc>
        <w:tc>
          <w:tcPr>
            <w:tcW w:w="395" w:type="pct"/>
            <w:tcBorders>
              <w:tl2br w:val="nil"/>
              <w:tr2bl w:val="nil"/>
            </w:tcBorders>
            <w:shd w:val="clear" w:color="auto" w:fill="auto"/>
            <w:noWrap w:val="0"/>
            <w:vAlign w:val="center"/>
          </w:tcPr>
          <w:p w14:paraId="4B8C06C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687EE7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48.0</w:t>
            </w:r>
          </w:p>
        </w:tc>
        <w:tc>
          <w:tcPr>
            <w:tcW w:w="675" w:type="pct"/>
            <w:tcBorders>
              <w:tl2br w:val="nil"/>
              <w:tr2bl w:val="nil"/>
            </w:tcBorders>
            <w:shd w:val="clear" w:color="auto" w:fill="auto"/>
            <w:noWrap w:val="0"/>
            <w:vAlign w:val="center"/>
          </w:tcPr>
          <w:p w14:paraId="26CE423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42.3</w:t>
            </w:r>
          </w:p>
        </w:tc>
        <w:tc>
          <w:tcPr>
            <w:tcW w:w="758" w:type="pct"/>
            <w:tcBorders>
              <w:tl2br w:val="nil"/>
              <w:tr2bl w:val="nil"/>
            </w:tcBorders>
            <w:shd w:val="clear" w:color="auto" w:fill="auto"/>
            <w:noWrap w:val="0"/>
            <w:vAlign w:val="center"/>
          </w:tcPr>
          <w:p w14:paraId="4254643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48.2</w:t>
            </w:r>
          </w:p>
        </w:tc>
        <w:tc>
          <w:tcPr>
            <w:tcW w:w="642" w:type="pct"/>
            <w:tcBorders>
              <w:tl2br w:val="nil"/>
              <w:tr2bl w:val="nil"/>
            </w:tcBorders>
            <w:shd w:val="clear" w:color="auto" w:fill="auto"/>
            <w:noWrap w:val="0"/>
            <w:vAlign w:val="center"/>
          </w:tcPr>
          <w:p w14:paraId="11E4AE7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32.8</w:t>
            </w:r>
          </w:p>
        </w:tc>
        <w:tc>
          <w:tcPr>
            <w:tcW w:w="633" w:type="pct"/>
            <w:tcBorders>
              <w:tl2br w:val="nil"/>
              <w:tr2bl w:val="nil"/>
            </w:tcBorders>
            <w:shd w:val="clear" w:color="auto" w:fill="auto"/>
            <w:noWrap w:val="0"/>
            <w:vAlign w:val="center"/>
          </w:tcPr>
          <w:p w14:paraId="6F529E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6092D2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578AB3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607" w:type="pct"/>
            <w:tcBorders>
              <w:tl2br w:val="nil"/>
              <w:tr2bl w:val="nil"/>
            </w:tcBorders>
            <w:shd w:val="clear" w:color="auto" w:fill="auto"/>
            <w:vAlign w:val="center"/>
          </w:tcPr>
          <w:p w14:paraId="30A3D5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氯化物</w:t>
            </w:r>
          </w:p>
        </w:tc>
        <w:tc>
          <w:tcPr>
            <w:tcW w:w="395" w:type="pct"/>
            <w:tcBorders>
              <w:tl2br w:val="nil"/>
              <w:tr2bl w:val="nil"/>
            </w:tcBorders>
            <w:shd w:val="clear" w:color="auto" w:fill="auto"/>
            <w:vAlign w:val="center"/>
          </w:tcPr>
          <w:p w14:paraId="130A5E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60FCA76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405</w:t>
            </w:r>
          </w:p>
        </w:tc>
        <w:tc>
          <w:tcPr>
            <w:tcW w:w="675" w:type="pct"/>
            <w:tcBorders>
              <w:tl2br w:val="nil"/>
              <w:tr2bl w:val="nil"/>
            </w:tcBorders>
            <w:shd w:val="clear" w:color="auto" w:fill="auto"/>
            <w:vAlign w:val="center"/>
          </w:tcPr>
          <w:p w14:paraId="0374C7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470</w:t>
            </w:r>
          </w:p>
        </w:tc>
        <w:tc>
          <w:tcPr>
            <w:tcW w:w="758" w:type="pct"/>
            <w:tcBorders>
              <w:tl2br w:val="nil"/>
              <w:tr2bl w:val="nil"/>
            </w:tcBorders>
            <w:shd w:val="clear" w:color="auto" w:fill="auto"/>
            <w:vAlign w:val="center"/>
          </w:tcPr>
          <w:p w14:paraId="07FDA62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210</w:t>
            </w:r>
          </w:p>
        </w:tc>
        <w:tc>
          <w:tcPr>
            <w:tcW w:w="642" w:type="pct"/>
            <w:tcBorders>
              <w:tl2br w:val="nil"/>
              <w:tr2bl w:val="nil"/>
            </w:tcBorders>
            <w:shd w:val="clear" w:color="auto" w:fill="auto"/>
            <w:vAlign w:val="center"/>
          </w:tcPr>
          <w:p w14:paraId="4C44918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385</w:t>
            </w:r>
          </w:p>
        </w:tc>
        <w:tc>
          <w:tcPr>
            <w:tcW w:w="633" w:type="pct"/>
            <w:tcBorders>
              <w:tl2br w:val="nil"/>
              <w:tr2bl w:val="nil"/>
            </w:tcBorders>
            <w:shd w:val="clear" w:color="auto" w:fill="auto"/>
            <w:vAlign w:val="center"/>
          </w:tcPr>
          <w:p w14:paraId="36AD07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r>
      <w:tr w14:paraId="62225B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23765F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607" w:type="pct"/>
            <w:tcBorders>
              <w:tl2br w:val="nil"/>
              <w:tr2bl w:val="nil"/>
            </w:tcBorders>
            <w:shd w:val="clear" w:color="auto" w:fill="auto"/>
            <w:vAlign w:val="center"/>
          </w:tcPr>
          <w:p w14:paraId="51647B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硫酸盐</w:t>
            </w:r>
          </w:p>
        </w:tc>
        <w:tc>
          <w:tcPr>
            <w:tcW w:w="395" w:type="pct"/>
            <w:tcBorders>
              <w:tl2br w:val="nil"/>
              <w:tr2bl w:val="nil"/>
            </w:tcBorders>
            <w:shd w:val="clear" w:color="auto" w:fill="auto"/>
            <w:vAlign w:val="center"/>
          </w:tcPr>
          <w:p w14:paraId="0F441A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53CF674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683</w:t>
            </w:r>
          </w:p>
        </w:tc>
        <w:tc>
          <w:tcPr>
            <w:tcW w:w="675" w:type="pct"/>
            <w:tcBorders>
              <w:tl2br w:val="nil"/>
              <w:tr2bl w:val="nil"/>
            </w:tcBorders>
            <w:shd w:val="clear" w:color="auto" w:fill="auto"/>
            <w:vAlign w:val="center"/>
          </w:tcPr>
          <w:p w14:paraId="356502E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693</w:t>
            </w:r>
          </w:p>
        </w:tc>
        <w:tc>
          <w:tcPr>
            <w:tcW w:w="758" w:type="pct"/>
            <w:tcBorders>
              <w:tl2br w:val="nil"/>
              <w:tr2bl w:val="nil"/>
            </w:tcBorders>
            <w:shd w:val="clear" w:color="auto" w:fill="auto"/>
            <w:vAlign w:val="center"/>
          </w:tcPr>
          <w:p w14:paraId="27DF2C5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401</w:t>
            </w:r>
          </w:p>
        </w:tc>
        <w:tc>
          <w:tcPr>
            <w:tcW w:w="642" w:type="pct"/>
            <w:tcBorders>
              <w:tl2br w:val="nil"/>
              <w:tr2bl w:val="nil"/>
            </w:tcBorders>
            <w:shd w:val="clear" w:color="auto" w:fill="auto"/>
            <w:vAlign w:val="center"/>
          </w:tcPr>
          <w:p w14:paraId="5312672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607</w:t>
            </w:r>
          </w:p>
        </w:tc>
        <w:tc>
          <w:tcPr>
            <w:tcW w:w="633" w:type="pct"/>
            <w:tcBorders>
              <w:tl2br w:val="nil"/>
              <w:tr2bl w:val="nil"/>
            </w:tcBorders>
            <w:shd w:val="clear" w:color="auto" w:fill="auto"/>
            <w:vAlign w:val="center"/>
          </w:tcPr>
          <w:p w14:paraId="712281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r>
      <w:tr w14:paraId="5A1EC6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37E56CB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607" w:type="pct"/>
            <w:tcBorders>
              <w:tl2br w:val="nil"/>
              <w:tr2bl w:val="nil"/>
            </w:tcBorders>
            <w:shd w:val="clear" w:color="auto" w:fill="auto"/>
            <w:vAlign w:val="center"/>
          </w:tcPr>
          <w:p w14:paraId="266452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碳酸根</w:t>
            </w:r>
          </w:p>
        </w:tc>
        <w:tc>
          <w:tcPr>
            <w:tcW w:w="395" w:type="pct"/>
            <w:tcBorders>
              <w:tl2br w:val="nil"/>
              <w:tr2bl w:val="nil"/>
            </w:tcBorders>
            <w:shd w:val="clear" w:color="auto" w:fill="auto"/>
            <w:vAlign w:val="center"/>
          </w:tcPr>
          <w:p w14:paraId="210E761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4E340DF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＜5</w:t>
            </w:r>
          </w:p>
        </w:tc>
        <w:tc>
          <w:tcPr>
            <w:tcW w:w="675" w:type="pct"/>
            <w:tcBorders>
              <w:tl2br w:val="nil"/>
              <w:tr2bl w:val="nil"/>
            </w:tcBorders>
            <w:shd w:val="clear" w:color="auto" w:fill="auto"/>
            <w:vAlign w:val="center"/>
          </w:tcPr>
          <w:p w14:paraId="049E022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i w:val="0"/>
                <w:iCs w:val="0"/>
                <w:color w:val="auto"/>
                <w:kern w:val="2"/>
                <w:sz w:val="21"/>
                <w:szCs w:val="21"/>
                <w:u w:val="none"/>
                <w:lang w:val="en-US" w:eastAsia="zh-CN" w:bidi="ar-SA"/>
              </w:rPr>
              <w:t>＜5</w:t>
            </w:r>
          </w:p>
        </w:tc>
        <w:tc>
          <w:tcPr>
            <w:tcW w:w="758" w:type="pct"/>
            <w:tcBorders>
              <w:tl2br w:val="nil"/>
              <w:tr2bl w:val="nil"/>
            </w:tcBorders>
            <w:shd w:val="clear" w:color="auto" w:fill="auto"/>
            <w:vAlign w:val="center"/>
          </w:tcPr>
          <w:p w14:paraId="282951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i w:val="0"/>
                <w:iCs w:val="0"/>
                <w:color w:val="auto"/>
                <w:kern w:val="2"/>
                <w:sz w:val="21"/>
                <w:szCs w:val="21"/>
                <w:u w:val="none"/>
                <w:lang w:val="en-US" w:eastAsia="zh-CN" w:bidi="ar-SA"/>
              </w:rPr>
              <w:t>＜5</w:t>
            </w:r>
          </w:p>
        </w:tc>
        <w:tc>
          <w:tcPr>
            <w:tcW w:w="642" w:type="pct"/>
            <w:tcBorders>
              <w:tl2br w:val="nil"/>
              <w:tr2bl w:val="nil"/>
            </w:tcBorders>
            <w:shd w:val="clear" w:color="auto" w:fill="auto"/>
            <w:vAlign w:val="center"/>
          </w:tcPr>
          <w:p w14:paraId="308ED23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i w:val="0"/>
                <w:iCs w:val="0"/>
                <w:color w:val="auto"/>
                <w:kern w:val="2"/>
                <w:sz w:val="21"/>
                <w:szCs w:val="21"/>
                <w:u w:val="none"/>
                <w:lang w:val="en-US" w:eastAsia="zh-CN" w:bidi="ar-SA"/>
              </w:rPr>
              <w:t>＜5</w:t>
            </w:r>
          </w:p>
        </w:tc>
        <w:tc>
          <w:tcPr>
            <w:tcW w:w="633" w:type="pct"/>
            <w:tcBorders>
              <w:tl2br w:val="nil"/>
              <w:tr2bl w:val="nil"/>
            </w:tcBorders>
            <w:shd w:val="clear" w:color="auto" w:fill="auto"/>
            <w:vAlign w:val="center"/>
          </w:tcPr>
          <w:p w14:paraId="7117A3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099FCE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006104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607" w:type="pct"/>
            <w:tcBorders>
              <w:tl2br w:val="nil"/>
              <w:tr2bl w:val="nil"/>
            </w:tcBorders>
            <w:shd w:val="clear" w:color="auto" w:fill="auto"/>
            <w:vAlign w:val="center"/>
          </w:tcPr>
          <w:p w14:paraId="2E18034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碳酸氢根</w:t>
            </w:r>
          </w:p>
        </w:tc>
        <w:tc>
          <w:tcPr>
            <w:tcW w:w="395" w:type="pct"/>
            <w:tcBorders>
              <w:tl2br w:val="nil"/>
              <w:tr2bl w:val="nil"/>
            </w:tcBorders>
            <w:shd w:val="clear" w:color="auto" w:fill="auto"/>
            <w:vAlign w:val="center"/>
          </w:tcPr>
          <w:p w14:paraId="39F53B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273470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120</w:t>
            </w:r>
          </w:p>
        </w:tc>
        <w:tc>
          <w:tcPr>
            <w:tcW w:w="675" w:type="pct"/>
            <w:tcBorders>
              <w:tl2br w:val="nil"/>
              <w:tr2bl w:val="nil"/>
            </w:tcBorders>
            <w:shd w:val="clear" w:color="auto" w:fill="auto"/>
            <w:vAlign w:val="center"/>
          </w:tcPr>
          <w:p w14:paraId="051C16C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122</w:t>
            </w:r>
          </w:p>
        </w:tc>
        <w:tc>
          <w:tcPr>
            <w:tcW w:w="758" w:type="pct"/>
            <w:tcBorders>
              <w:tl2br w:val="nil"/>
              <w:tr2bl w:val="nil"/>
            </w:tcBorders>
            <w:shd w:val="clear" w:color="auto" w:fill="auto"/>
            <w:vAlign w:val="center"/>
          </w:tcPr>
          <w:p w14:paraId="2348F8A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117</w:t>
            </w:r>
          </w:p>
        </w:tc>
        <w:tc>
          <w:tcPr>
            <w:tcW w:w="642" w:type="pct"/>
            <w:tcBorders>
              <w:tl2br w:val="nil"/>
              <w:tr2bl w:val="nil"/>
            </w:tcBorders>
            <w:shd w:val="clear" w:color="auto" w:fill="auto"/>
            <w:vAlign w:val="center"/>
          </w:tcPr>
          <w:p w14:paraId="17EE3CA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114</w:t>
            </w:r>
          </w:p>
        </w:tc>
        <w:tc>
          <w:tcPr>
            <w:tcW w:w="633" w:type="pct"/>
            <w:tcBorders>
              <w:tl2br w:val="nil"/>
              <w:tr2bl w:val="nil"/>
            </w:tcBorders>
            <w:shd w:val="clear" w:color="auto" w:fill="auto"/>
            <w:vAlign w:val="center"/>
          </w:tcPr>
          <w:p w14:paraId="56164D4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bl>
    <w:p w14:paraId="629F87FF">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sz w:val="21"/>
          <w:szCs w:val="21"/>
          <w:highlight w:val="none"/>
          <w:lang w:val="zh-CN" w:bidi="ar"/>
        </w:rPr>
        <w:sectPr>
          <w:headerReference r:id="rId29" w:type="default"/>
          <w:footerReference r:id="rId30" w:type="default"/>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0" w:num="1"/>
          <w:rtlGutter w:val="0"/>
          <w:docGrid w:linePitch="312" w:charSpace="0"/>
        </w:sectPr>
      </w:pPr>
    </w:p>
    <w:p w14:paraId="0ADD327B">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sz w:val="21"/>
          <w:szCs w:val="21"/>
          <w:highlight w:val="none"/>
          <w:lang w:val="zh-CN" w:bidi="ar"/>
        </w:rPr>
      </w:pPr>
      <w:r>
        <w:rPr>
          <w:rFonts w:hint="default" w:ascii="Times New Roman" w:hAnsi="Times New Roman" w:eastAsia="宋体" w:cs="Times New Roman"/>
          <w:b/>
          <w:color w:val="auto"/>
          <w:kern w:val="2"/>
          <w:sz w:val="21"/>
          <w:szCs w:val="21"/>
          <w:highlight w:val="none"/>
          <w:lang w:val="zh-CN" w:bidi="ar"/>
        </w:rPr>
        <w:t>表4.</w:t>
      </w:r>
      <w:r>
        <w:rPr>
          <w:rFonts w:hint="default" w:ascii="Times New Roman" w:hAnsi="Times New Roman" w:eastAsia="宋体" w:cs="Times New Roman"/>
          <w:b/>
          <w:color w:val="auto"/>
          <w:kern w:val="2"/>
          <w:sz w:val="21"/>
          <w:szCs w:val="21"/>
          <w:highlight w:val="none"/>
          <w:lang w:val="en-US" w:eastAsia="zh-CN" w:bidi="ar"/>
        </w:rPr>
        <w:t>2</w:t>
      </w:r>
      <w:r>
        <w:rPr>
          <w:rFonts w:hint="default" w:ascii="Times New Roman" w:hAnsi="Times New Roman" w:eastAsia="宋体" w:cs="Times New Roman"/>
          <w:b/>
          <w:color w:val="auto"/>
          <w:kern w:val="2"/>
          <w:sz w:val="21"/>
          <w:szCs w:val="21"/>
          <w:highlight w:val="none"/>
          <w:lang w:val="zh-CN" w:bidi="ar"/>
        </w:rPr>
        <w:t>-</w:t>
      </w:r>
      <w:r>
        <w:rPr>
          <w:rFonts w:hint="default" w:ascii="Times New Roman" w:hAnsi="Times New Roman" w:eastAsia="宋体" w:cs="Times New Roman"/>
          <w:b/>
          <w:color w:val="auto"/>
          <w:kern w:val="2"/>
          <w:sz w:val="21"/>
          <w:szCs w:val="21"/>
          <w:highlight w:val="none"/>
          <w:lang w:val="en-US" w:eastAsia="zh-CN" w:bidi="ar"/>
        </w:rPr>
        <w:t>6</w:t>
      </w:r>
      <w:r>
        <w:rPr>
          <w:rFonts w:hint="default" w:ascii="Times New Roman" w:hAnsi="Times New Roman" w:eastAsia="宋体" w:cs="Times New Roman"/>
          <w:b/>
          <w:color w:val="auto"/>
          <w:kern w:val="2"/>
          <w:sz w:val="21"/>
          <w:szCs w:val="21"/>
          <w:highlight w:val="none"/>
          <w:lang w:val="zh-CN" w:bidi="ar"/>
        </w:rPr>
        <w:t xml:space="preserve">    地下水</w:t>
      </w:r>
      <w:r>
        <w:rPr>
          <w:rFonts w:hint="default" w:ascii="Times New Roman" w:hAnsi="Times New Roman" w:eastAsia="宋体" w:cs="Times New Roman"/>
          <w:b/>
          <w:color w:val="auto"/>
          <w:kern w:val="2"/>
          <w:sz w:val="21"/>
          <w:szCs w:val="21"/>
          <w:highlight w:val="none"/>
          <w:lang w:val="en-US" w:eastAsia="zh-CN" w:bidi="ar"/>
        </w:rPr>
        <w:t>现状监测结果评价</w:t>
      </w:r>
      <w:r>
        <w:rPr>
          <w:rFonts w:hint="default" w:ascii="Times New Roman" w:hAnsi="Times New Roman" w:eastAsia="宋体" w:cs="Times New Roman"/>
          <w:b/>
          <w:color w:val="auto"/>
          <w:kern w:val="2"/>
          <w:sz w:val="21"/>
          <w:szCs w:val="21"/>
          <w:highlight w:val="none"/>
          <w:lang w:val="zh-CN" w:bidi="ar"/>
        </w:rPr>
        <w:t>一览表</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184"/>
        <w:gridCol w:w="1633"/>
        <w:gridCol w:w="1063"/>
        <w:gridCol w:w="2281"/>
        <w:gridCol w:w="1816"/>
        <w:gridCol w:w="2039"/>
        <w:gridCol w:w="1730"/>
        <w:gridCol w:w="1703"/>
      </w:tblGrid>
      <w:tr w14:paraId="08EC81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restart"/>
            <w:tcBorders>
              <w:tl2br w:val="nil"/>
              <w:tr2bl w:val="nil"/>
            </w:tcBorders>
            <w:noWrap w:val="0"/>
            <w:vAlign w:val="center"/>
          </w:tcPr>
          <w:p w14:paraId="7657CD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607" w:type="pct"/>
            <w:vMerge w:val="restart"/>
            <w:tcBorders>
              <w:tl2br w:val="nil"/>
              <w:tr2bl w:val="nil"/>
            </w:tcBorders>
            <w:noWrap w:val="0"/>
            <w:vAlign w:val="center"/>
          </w:tcPr>
          <w:p w14:paraId="673B9B5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检测项目</w:t>
            </w:r>
          </w:p>
        </w:tc>
        <w:tc>
          <w:tcPr>
            <w:tcW w:w="395" w:type="pct"/>
            <w:vMerge w:val="restart"/>
            <w:tcBorders>
              <w:tl2br w:val="nil"/>
              <w:tr2bl w:val="nil"/>
            </w:tcBorders>
            <w:noWrap w:val="0"/>
            <w:vAlign w:val="center"/>
          </w:tcPr>
          <w:p w14:paraId="094032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w:t>
            </w:r>
          </w:p>
        </w:tc>
        <w:tc>
          <w:tcPr>
            <w:tcW w:w="848" w:type="pct"/>
            <w:tcBorders>
              <w:tl2br w:val="nil"/>
              <w:tr2bl w:val="nil"/>
            </w:tcBorders>
            <w:noWrap w:val="0"/>
            <w:vAlign w:val="center"/>
          </w:tcPr>
          <w:p w14:paraId="2F5973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D1-1-1</w:t>
            </w:r>
          </w:p>
        </w:tc>
        <w:tc>
          <w:tcPr>
            <w:tcW w:w="675" w:type="pct"/>
            <w:tcBorders>
              <w:tl2br w:val="nil"/>
              <w:tr2bl w:val="nil"/>
            </w:tcBorders>
            <w:noWrap w:val="0"/>
            <w:vAlign w:val="center"/>
          </w:tcPr>
          <w:p w14:paraId="7E88C9A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highlight w:val="none"/>
                <w:lang w:val="en-US" w:eastAsia="zh-CN"/>
              </w:rPr>
              <w:t>D2-1-1</w:t>
            </w:r>
          </w:p>
        </w:tc>
        <w:tc>
          <w:tcPr>
            <w:tcW w:w="758" w:type="pct"/>
            <w:tcBorders>
              <w:tl2br w:val="nil"/>
              <w:tr2bl w:val="nil"/>
            </w:tcBorders>
            <w:noWrap w:val="0"/>
            <w:vAlign w:val="center"/>
          </w:tcPr>
          <w:p w14:paraId="41987F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D3-1-1</w:t>
            </w:r>
          </w:p>
        </w:tc>
        <w:tc>
          <w:tcPr>
            <w:tcW w:w="643" w:type="pct"/>
            <w:tcBorders>
              <w:tl2br w:val="nil"/>
              <w:tr2bl w:val="nil"/>
            </w:tcBorders>
            <w:noWrap w:val="0"/>
            <w:vAlign w:val="center"/>
          </w:tcPr>
          <w:p w14:paraId="42D9881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D4-1-1</w:t>
            </w:r>
          </w:p>
        </w:tc>
        <w:tc>
          <w:tcPr>
            <w:tcW w:w="633" w:type="pct"/>
            <w:vMerge w:val="restart"/>
            <w:tcBorders>
              <w:tl2br w:val="nil"/>
              <w:tr2bl w:val="nil"/>
            </w:tcBorders>
            <w:noWrap w:val="0"/>
            <w:vAlign w:val="center"/>
          </w:tcPr>
          <w:p w14:paraId="18B9AD5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标准限值</w:t>
            </w:r>
          </w:p>
        </w:tc>
      </w:tr>
      <w:tr w14:paraId="50BB91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37D45AA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c>
          <w:tcPr>
            <w:tcW w:w="607" w:type="pct"/>
            <w:vMerge w:val="continue"/>
            <w:tcBorders>
              <w:tl2br w:val="nil"/>
              <w:tr2bl w:val="nil"/>
            </w:tcBorders>
            <w:noWrap w:val="0"/>
            <w:vAlign w:val="center"/>
          </w:tcPr>
          <w:p w14:paraId="608799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2B1CC93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848" w:type="pct"/>
            <w:tcBorders>
              <w:tl2br w:val="nil"/>
              <w:tr2bl w:val="nil"/>
            </w:tcBorders>
            <w:noWrap w:val="0"/>
            <w:vAlign w:val="center"/>
          </w:tcPr>
          <w:p w14:paraId="1E5CEFB3">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35.17</w:t>
            </w:r>
            <w:r>
              <w:rPr>
                <w:rFonts w:hint="default" w:ascii="Times New Roman" w:hAnsi="Times New Roman" w:cs="Times New Roman"/>
                <w:color w:val="auto"/>
                <w:sz w:val="21"/>
                <w:szCs w:val="21"/>
              </w:rPr>
              <w:t>″</w:t>
            </w:r>
          </w:p>
          <w:p w14:paraId="2735EB2C">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14.82</w:t>
            </w:r>
            <w:r>
              <w:rPr>
                <w:rFonts w:hint="default" w:ascii="Times New Roman" w:hAnsi="Times New Roman" w:cs="Times New Roman"/>
                <w:color w:val="auto"/>
                <w:sz w:val="21"/>
                <w:szCs w:val="21"/>
              </w:rPr>
              <w:t>″</w:t>
            </w:r>
          </w:p>
        </w:tc>
        <w:tc>
          <w:tcPr>
            <w:tcW w:w="675" w:type="pct"/>
            <w:tcBorders>
              <w:tl2br w:val="nil"/>
              <w:tr2bl w:val="nil"/>
            </w:tcBorders>
            <w:shd w:val="clear" w:color="auto" w:fill="auto"/>
            <w:noWrap w:val="0"/>
            <w:vAlign w:val="center"/>
          </w:tcPr>
          <w:p w14:paraId="00C5E6A9">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23.13</w:t>
            </w:r>
            <w:r>
              <w:rPr>
                <w:rFonts w:hint="default" w:ascii="Times New Roman" w:hAnsi="Times New Roman" w:cs="Times New Roman"/>
                <w:color w:val="auto"/>
                <w:sz w:val="21"/>
                <w:szCs w:val="21"/>
              </w:rPr>
              <w:t>″</w:t>
            </w:r>
          </w:p>
          <w:p w14:paraId="1EF87C4C">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14.29</w:t>
            </w:r>
            <w:r>
              <w:rPr>
                <w:rFonts w:hint="default" w:ascii="Times New Roman" w:hAnsi="Times New Roman" w:cs="Times New Roman"/>
                <w:color w:val="auto"/>
                <w:sz w:val="21"/>
                <w:szCs w:val="21"/>
              </w:rPr>
              <w:t>″</w:t>
            </w:r>
          </w:p>
        </w:tc>
        <w:tc>
          <w:tcPr>
            <w:tcW w:w="758" w:type="pct"/>
            <w:tcBorders>
              <w:tl2br w:val="nil"/>
              <w:tr2bl w:val="nil"/>
            </w:tcBorders>
            <w:shd w:val="clear" w:color="auto" w:fill="auto"/>
            <w:noWrap w:val="0"/>
            <w:vAlign w:val="center"/>
          </w:tcPr>
          <w:p w14:paraId="13B117BF">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14.14</w:t>
            </w:r>
            <w:r>
              <w:rPr>
                <w:rFonts w:hint="default" w:ascii="Times New Roman" w:hAnsi="Times New Roman" w:cs="Times New Roman"/>
                <w:color w:val="auto"/>
                <w:sz w:val="21"/>
                <w:szCs w:val="21"/>
              </w:rPr>
              <w:t>″</w:t>
            </w:r>
          </w:p>
          <w:p w14:paraId="6EA2F0C2">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10.06</w:t>
            </w:r>
            <w:r>
              <w:rPr>
                <w:rFonts w:hint="default" w:ascii="Times New Roman" w:hAnsi="Times New Roman" w:cs="Times New Roman"/>
                <w:color w:val="auto"/>
                <w:sz w:val="21"/>
                <w:szCs w:val="21"/>
              </w:rPr>
              <w:t>″</w:t>
            </w:r>
          </w:p>
        </w:tc>
        <w:tc>
          <w:tcPr>
            <w:tcW w:w="643" w:type="pct"/>
            <w:tcBorders>
              <w:tl2br w:val="nil"/>
              <w:tr2bl w:val="nil"/>
            </w:tcBorders>
            <w:shd w:val="clear" w:color="auto" w:fill="auto"/>
            <w:noWrap w:val="0"/>
            <w:vAlign w:val="center"/>
          </w:tcPr>
          <w:p w14:paraId="47718416">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w:t>
            </w:r>
            <w:r>
              <w:rPr>
                <w:rFonts w:hint="default" w:ascii="Times New Roman" w:hAnsi="Times New Roman" w:cs="Times New Roman"/>
                <w:color w:val="auto"/>
                <w:sz w:val="21"/>
                <w:szCs w:val="21"/>
                <w:lang w:val="en-US" w:eastAsia="zh-CN"/>
              </w:rPr>
              <w:t>41</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52</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11.55</w:t>
            </w:r>
            <w:r>
              <w:rPr>
                <w:rFonts w:hint="default" w:ascii="Times New Roman" w:hAnsi="Times New Roman" w:cs="Times New Roman"/>
                <w:color w:val="auto"/>
                <w:sz w:val="21"/>
                <w:szCs w:val="21"/>
              </w:rPr>
              <w:t>″</w:t>
            </w:r>
          </w:p>
          <w:p w14:paraId="2AD41265">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sz w:val="21"/>
                <w:szCs w:val="21"/>
                <w:lang w:val="en-US" w:eastAsia="zh-CN" w:bidi="ar-SA"/>
              </w:rPr>
            </w:pPr>
            <w:r>
              <w:rPr>
                <w:rFonts w:hint="default" w:ascii="Times New Roman" w:hAnsi="Times New Roman" w:cs="Times New Roman"/>
                <w:color w:val="auto"/>
                <w:sz w:val="21"/>
                <w:szCs w:val="21"/>
              </w:rPr>
              <w:t>E:</w:t>
            </w:r>
            <w:r>
              <w:rPr>
                <w:rFonts w:hint="default" w:ascii="Times New Roman" w:hAnsi="Times New Roman" w:cs="Times New Roman"/>
                <w:color w:val="auto"/>
                <w:sz w:val="21"/>
                <w:szCs w:val="21"/>
                <w:lang w:val="en-US" w:eastAsia="zh-CN"/>
              </w:rPr>
              <w:t>95</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18</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26.76</w:t>
            </w:r>
            <w:r>
              <w:rPr>
                <w:rFonts w:hint="default" w:ascii="Times New Roman" w:hAnsi="Times New Roman" w:cs="Times New Roman"/>
                <w:color w:val="auto"/>
                <w:sz w:val="21"/>
                <w:szCs w:val="21"/>
              </w:rPr>
              <w:t>″</w:t>
            </w:r>
          </w:p>
        </w:tc>
        <w:tc>
          <w:tcPr>
            <w:tcW w:w="633" w:type="pct"/>
            <w:vMerge w:val="continue"/>
            <w:tcBorders>
              <w:tl2br w:val="nil"/>
              <w:tr2bl w:val="nil"/>
            </w:tcBorders>
            <w:shd w:val="clear" w:color="auto" w:fill="auto"/>
            <w:noWrap w:val="0"/>
            <w:vAlign w:val="center"/>
          </w:tcPr>
          <w:p w14:paraId="7EB7AD60">
            <w:pPr>
              <w:pStyle w:val="56"/>
              <w:keepNext w:val="0"/>
              <w:keepLines w:val="0"/>
              <w:widowControl/>
              <w:suppressLineNumbers w:val="0"/>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sz w:val="21"/>
                <w:szCs w:val="21"/>
              </w:rPr>
            </w:pPr>
          </w:p>
        </w:tc>
      </w:tr>
      <w:tr w14:paraId="163198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5D076C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607" w:type="pct"/>
            <w:vMerge w:val="continue"/>
            <w:tcBorders>
              <w:tl2br w:val="nil"/>
              <w:tr2bl w:val="nil"/>
            </w:tcBorders>
            <w:noWrap w:val="0"/>
            <w:vAlign w:val="center"/>
          </w:tcPr>
          <w:p w14:paraId="370D57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3EFFDBA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2924" w:type="pct"/>
            <w:gridSpan w:val="4"/>
            <w:tcBorders>
              <w:tl2br w:val="nil"/>
              <w:tr2bl w:val="nil"/>
            </w:tcBorders>
            <w:noWrap w:val="0"/>
            <w:vAlign w:val="center"/>
          </w:tcPr>
          <w:p w14:paraId="5AF861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无色、无异味、不浑浊、无沉淀物</w:t>
            </w:r>
          </w:p>
        </w:tc>
        <w:tc>
          <w:tcPr>
            <w:tcW w:w="633" w:type="pct"/>
            <w:vMerge w:val="continue"/>
            <w:tcBorders>
              <w:tl2br w:val="nil"/>
              <w:tr2bl w:val="nil"/>
            </w:tcBorders>
            <w:noWrap w:val="0"/>
            <w:vAlign w:val="center"/>
          </w:tcPr>
          <w:p w14:paraId="26471A6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r>
      <w:tr w14:paraId="498FF9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tblHeader/>
          <w:jc w:val="center"/>
        </w:trPr>
        <w:tc>
          <w:tcPr>
            <w:tcW w:w="440" w:type="pct"/>
            <w:vMerge w:val="continue"/>
            <w:tcBorders>
              <w:tl2br w:val="nil"/>
              <w:tr2bl w:val="nil"/>
            </w:tcBorders>
            <w:noWrap w:val="0"/>
            <w:vAlign w:val="center"/>
          </w:tcPr>
          <w:p w14:paraId="2C13DF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607" w:type="pct"/>
            <w:vMerge w:val="continue"/>
            <w:tcBorders>
              <w:tl2br w:val="nil"/>
              <w:tr2bl w:val="nil"/>
            </w:tcBorders>
            <w:noWrap w:val="0"/>
            <w:vAlign w:val="center"/>
          </w:tcPr>
          <w:p w14:paraId="0B9BC96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395" w:type="pct"/>
            <w:vMerge w:val="continue"/>
            <w:tcBorders>
              <w:tl2br w:val="nil"/>
              <w:tr2bl w:val="nil"/>
            </w:tcBorders>
            <w:noWrap w:val="0"/>
            <w:vAlign w:val="center"/>
          </w:tcPr>
          <w:p w14:paraId="443B02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rPr>
            </w:pPr>
          </w:p>
        </w:tc>
        <w:tc>
          <w:tcPr>
            <w:tcW w:w="2924" w:type="pct"/>
            <w:gridSpan w:val="4"/>
            <w:tcBorders>
              <w:tl2br w:val="nil"/>
              <w:tr2bl w:val="nil"/>
            </w:tcBorders>
            <w:noWrap w:val="0"/>
            <w:vAlign w:val="center"/>
          </w:tcPr>
          <w:p w14:paraId="5F982D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标注指数</w:t>
            </w:r>
          </w:p>
        </w:tc>
        <w:tc>
          <w:tcPr>
            <w:tcW w:w="633" w:type="pct"/>
            <w:vMerge w:val="continue"/>
            <w:tcBorders>
              <w:tl2br w:val="nil"/>
              <w:tr2bl w:val="nil"/>
            </w:tcBorders>
            <w:noWrap w:val="0"/>
            <w:vAlign w:val="center"/>
          </w:tcPr>
          <w:p w14:paraId="003AC4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p>
        </w:tc>
      </w:tr>
      <w:tr w14:paraId="0DA6A4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80" w:hRule="atLeast"/>
          <w:jc w:val="center"/>
        </w:trPr>
        <w:tc>
          <w:tcPr>
            <w:tcW w:w="440" w:type="pct"/>
            <w:tcBorders>
              <w:tl2br w:val="nil"/>
              <w:tr2bl w:val="nil"/>
            </w:tcBorders>
            <w:noWrap w:val="0"/>
            <w:vAlign w:val="center"/>
          </w:tcPr>
          <w:p w14:paraId="3326B5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607" w:type="pct"/>
            <w:tcBorders>
              <w:tl2br w:val="nil"/>
              <w:tr2bl w:val="nil"/>
            </w:tcBorders>
            <w:noWrap w:val="0"/>
            <w:vAlign w:val="center"/>
          </w:tcPr>
          <w:p w14:paraId="3351F8E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pH值</w:t>
            </w:r>
          </w:p>
        </w:tc>
        <w:tc>
          <w:tcPr>
            <w:tcW w:w="395" w:type="pct"/>
            <w:tcBorders>
              <w:tl2br w:val="nil"/>
              <w:tr2bl w:val="nil"/>
            </w:tcBorders>
            <w:noWrap w:val="0"/>
            <w:vAlign w:val="center"/>
          </w:tcPr>
          <w:p w14:paraId="75C215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无量纲</w:t>
            </w:r>
          </w:p>
        </w:tc>
        <w:tc>
          <w:tcPr>
            <w:tcW w:w="848" w:type="pct"/>
            <w:tcBorders>
              <w:tl2br w:val="nil"/>
              <w:tr2bl w:val="nil"/>
            </w:tcBorders>
            <w:shd w:val="clear" w:color="auto" w:fill="auto"/>
            <w:noWrap w:val="0"/>
            <w:vAlign w:val="center"/>
          </w:tcPr>
          <w:p w14:paraId="0D22740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0.4</w:t>
            </w:r>
          </w:p>
        </w:tc>
        <w:tc>
          <w:tcPr>
            <w:tcW w:w="675" w:type="pct"/>
            <w:tcBorders>
              <w:tl2br w:val="nil"/>
              <w:tr2bl w:val="nil"/>
            </w:tcBorders>
            <w:shd w:val="clear" w:color="auto" w:fill="auto"/>
            <w:noWrap w:val="0"/>
            <w:vAlign w:val="center"/>
          </w:tcPr>
          <w:p w14:paraId="146800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0.27</w:t>
            </w:r>
          </w:p>
        </w:tc>
        <w:tc>
          <w:tcPr>
            <w:tcW w:w="758" w:type="pct"/>
            <w:tcBorders>
              <w:tl2br w:val="nil"/>
              <w:tr2bl w:val="nil"/>
            </w:tcBorders>
            <w:shd w:val="clear" w:color="auto" w:fill="auto"/>
            <w:noWrap w:val="0"/>
            <w:vAlign w:val="center"/>
          </w:tcPr>
          <w:p w14:paraId="3444D3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0.33</w:t>
            </w:r>
          </w:p>
        </w:tc>
        <w:tc>
          <w:tcPr>
            <w:tcW w:w="643" w:type="pct"/>
            <w:tcBorders>
              <w:tl2br w:val="nil"/>
              <w:tr2bl w:val="nil"/>
            </w:tcBorders>
            <w:shd w:val="clear" w:color="auto" w:fill="auto"/>
            <w:noWrap w:val="0"/>
            <w:vAlign w:val="center"/>
          </w:tcPr>
          <w:p w14:paraId="7688CB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0.67</w:t>
            </w:r>
          </w:p>
        </w:tc>
        <w:tc>
          <w:tcPr>
            <w:tcW w:w="633" w:type="pct"/>
            <w:tcBorders>
              <w:tl2br w:val="nil"/>
              <w:tr2bl w:val="nil"/>
            </w:tcBorders>
            <w:noWrap w:val="0"/>
            <w:vAlign w:val="center"/>
          </w:tcPr>
          <w:p w14:paraId="4A82577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6.5-8.5</w:t>
            </w:r>
          </w:p>
        </w:tc>
      </w:tr>
      <w:tr w14:paraId="05BF1C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3815696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2</w:t>
            </w:r>
          </w:p>
        </w:tc>
        <w:tc>
          <w:tcPr>
            <w:tcW w:w="607" w:type="pct"/>
            <w:tcBorders>
              <w:tl2br w:val="nil"/>
              <w:tr2bl w:val="nil"/>
            </w:tcBorders>
            <w:noWrap w:val="0"/>
            <w:vAlign w:val="center"/>
          </w:tcPr>
          <w:p w14:paraId="63A2B8F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总硬度</w:t>
            </w:r>
          </w:p>
        </w:tc>
        <w:tc>
          <w:tcPr>
            <w:tcW w:w="395" w:type="pct"/>
            <w:tcBorders>
              <w:tl2br w:val="nil"/>
              <w:tr2bl w:val="nil"/>
            </w:tcBorders>
            <w:noWrap w:val="0"/>
            <w:vAlign w:val="center"/>
          </w:tcPr>
          <w:p w14:paraId="4E94DF3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45B745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1.436</w:t>
            </w:r>
          </w:p>
        </w:tc>
        <w:tc>
          <w:tcPr>
            <w:tcW w:w="675" w:type="pct"/>
            <w:tcBorders>
              <w:tl2br w:val="nil"/>
              <w:tr2bl w:val="nil"/>
            </w:tcBorders>
            <w:shd w:val="clear" w:color="auto" w:fill="auto"/>
            <w:noWrap w:val="0"/>
            <w:vAlign w:val="center"/>
          </w:tcPr>
          <w:p w14:paraId="3F6C65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1.369</w:t>
            </w:r>
          </w:p>
        </w:tc>
        <w:tc>
          <w:tcPr>
            <w:tcW w:w="758" w:type="pct"/>
            <w:tcBorders>
              <w:tl2br w:val="nil"/>
              <w:tr2bl w:val="nil"/>
            </w:tcBorders>
            <w:shd w:val="clear" w:color="auto" w:fill="auto"/>
            <w:noWrap w:val="0"/>
            <w:vAlign w:val="center"/>
          </w:tcPr>
          <w:p w14:paraId="20BBCD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0.936</w:t>
            </w:r>
          </w:p>
        </w:tc>
        <w:tc>
          <w:tcPr>
            <w:tcW w:w="643" w:type="pct"/>
            <w:tcBorders>
              <w:tl2br w:val="nil"/>
              <w:tr2bl w:val="nil"/>
            </w:tcBorders>
            <w:shd w:val="clear" w:color="auto" w:fill="auto"/>
            <w:noWrap w:val="0"/>
            <w:vAlign w:val="center"/>
          </w:tcPr>
          <w:p w14:paraId="3CF615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1.12</w:t>
            </w:r>
          </w:p>
        </w:tc>
        <w:tc>
          <w:tcPr>
            <w:tcW w:w="633" w:type="pct"/>
            <w:tcBorders>
              <w:tl2br w:val="nil"/>
              <w:tr2bl w:val="nil"/>
            </w:tcBorders>
            <w:noWrap w:val="0"/>
            <w:vAlign w:val="center"/>
          </w:tcPr>
          <w:p w14:paraId="2B28992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≤450</w:t>
            </w:r>
          </w:p>
        </w:tc>
      </w:tr>
      <w:tr w14:paraId="770300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40229CC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3</w:t>
            </w:r>
          </w:p>
        </w:tc>
        <w:tc>
          <w:tcPr>
            <w:tcW w:w="607" w:type="pct"/>
            <w:tcBorders>
              <w:tl2br w:val="nil"/>
              <w:tr2bl w:val="nil"/>
            </w:tcBorders>
            <w:noWrap w:val="0"/>
            <w:vAlign w:val="center"/>
          </w:tcPr>
          <w:p w14:paraId="2AA01C9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Cs w:val="21"/>
                <w:lang w:val="en-US" w:eastAsia="zh-CN"/>
              </w:rPr>
              <w:t>溶解性总固体</w:t>
            </w:r>
          </w:p>
        </w:tc>
        <w:tc>
          <w:tcPr>
            <w:tcW w:w="395" w:type="pct"/>
            <w:tcBorders>
              <w:tl2br w:val="nil"/>
              <w:tr2bl w:val="nil"/>
            </w:tcBorders>
            <w:noWrap w:val="0"/>
            <w:vAlign w:val="center"/>
          </w:tcPr>
          <w:p w14:paraId="56D297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12A334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1.8</w:t>
            </w:r>
          </w:p>
        </w:tc>
        <w:tc>
          <w:tcPr>
            <w:tcW w:w="675" w:type="pct"/>
            <w:tcBorders>
              <w:tl2br w:val="nil"/>
              <w:tr2bl w:val="nil"/>
            </w:tcBorders>
            <w:shd w:val="clear" w:color="auto" w:fill="auto"/>
            <w:noWrap w:val="0"/>
            <w:vAlign w:val="center"/>
          </w:tcPr>
          <w:p w14:paraId="24CC24D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1.93</w:t>
            </w:r>
          </w:p>
        </w:tc>
        <w:tc>
          <w:tcPr>
            <w:tcW w:w="758" w:type="pct"/>
            <w:tcBorders>
              <w:tl2br w:val="nil"/>
              <w:tr2bl w:val="nil"/>
            </w:tcBorders>
            <w:shd w:val="clear" w:color="auto" w:fill="auto"/>
            <w:noWrap w:val="0"/>
            <w:vAlign w:val="center"/>
          </w:tcPr>
          <w:p w14:paraId="588911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643" w:type="pct"/>
            <w:tcBorders>
              <w:tl2br w:val="nil"/>
              <w:tr2bl w:val="nil"/>
            </w:tcBorders>
            <w:shd w:val="clear" w:color="auto" w:fill="auto"/>
            <w:noWrap w:val="0"/>
            <w:vAlign w:val="center"/>
          </w:tcPr>
          <w:p w14:paraId="3B1A52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1.71</w:t>
            </w:r>
          </w:p>
        </w:tc>
        <w:tc>
          <w:tcPr>
            <w:tcW w:w="633" w:type="pct"/>
            <w:tcBorders>
              <w:tl2br w:val="nil"/>
              <w:tr2bl w:val="nil"/>
            </w:tcBorders>
            <w:noWrap w:val="0"/>
            <w:vAlign w:val="center"/>
          </w:tcPr>
          <w:p w14:paraId="20DBEC4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≤1000</w:t>
            </w:r>
          </w:p>
        </w:tc>
      </w:tr>
      <w:tr w14:paraId="4FF93E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3DF9F1C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4</w:t>
            </w:r>
          </w:p>
        </w:tc>
        <w:tc>
          <w:tcPr>
            <w:tcW w:w="607" w:type="pct"/>
            <w:tcBorders>
              <w:tl2br w:val="nil"/>
              <w:tr2bl w:val="nil"/>
            </w:tcBorders>
            <w:noWrap w:val="0"/>
            <w:vAlign w:val="center"/>
          </w:tcPr>
          <w:p w14:paraId="5EF3B3B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氨氮</w:t>
            </w:r>
          </w:p>
        </w:tc>
        <w:tc>
          <w:tcPr>
            <w:tcW w:w="395" w:type="pct"/>
            <w:tcBorders>
              <w:tl2br w:val="nil"/>
              <w:tr2bl w:val="nil"/>
            </w:tcBorders>
            <w:noWrap w:val="0"/>
            <w:vAlign w:val="center"/>
          </w:tcPr>
          <w:p w14:paraId="5BB0657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052FA8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w:t>
            </w:r>
          </w:p>
        </w:tc>
        <w:tc>
          <w:tcPr>
            <w:tcW w:w="675" w:type="pct"/>
            <w:tcBorders>
              <w:tl2br w:val="nil"/>
              <w:tr2bl w:val="nil"/>
            </w:tcBorders>
            <w:shd w:val="clear" w:color="auto" w:fill="auto"/>
            <w:noWrap w:val="0"/>
            <w:vAlign w:val="center"/>
          </w:tcPr>
          <w:p w14:paraId="7C8FD6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w:t>
            </w:r>
          </w:p>
        </w:tc>
        <w:tc>
          <w:tcPr>
            <w:tcW w:w="758" w:type="pct"/>
            <w:tcBorders>
              <w:tl2br w:val="nil"/>
              <w:tr2bl w:val="nil"/>
            </w:tcBorders>
            <w:shd w:val="clear" w:color="auto" w:fill="auto"/>
            <w:noWrap w:val="0"/>
            <w:vAlign w:val="center"/>
          </w:tcPr>
          <w:p w14:paraId="081179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w:t>
            </w:r>
          </w:p>
        </w:tc>
        <w:tc>
          <w:tcPr>
            <w:tcW w:w="643" w:type="pct"/>
            <w:tcBorders>
              <w:tl2br w:val="nil"/>
              <w:tr2bl w:val="nil"/>
            </w:tcBorders>
            <w:shd w:val="clear" w:color="auto" w:fill="auto"/>
            <w:noWrap w:val="0"/>
            <w:vAlign w:val="center"/>
          </w:tcPr>
          <w:p w14:paraId="593765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0.05</w:t>
            </w:r>
          </w:p>
        </w:tc>
        <w:tc>
          <w:tcPr>
            <w:tcW w:w="633" w:type="pct"/>
            <w:tcBorders>
              <w:tl2br w:val="nil"/>
              <w:tr2bl w:val="nil"/>
            </w:tcBorders>
            <w:noWrap w:val="0"/>
            <w:vAlign w:val="center"/>
          </w:tcPr>
          <w:p w14:paraId="323F8DB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0.5</w:t>
            </w:r>
          </w:p>
        </w:tc>
      </w:tr>
      <w:tr w14:paraId="7F1CD7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7E5865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5</w:t>
            </w:r>
          </w:p>
        </w:tc>
        <w:tc>
          <w:tcPr>
            <w:tcW w:w="607" w:type="pct"/>
            <w:tcBorders>
              <w:tl2br w:val="nil"/>
              <w:tr2bl w:val="nil"/>
            </w:tcBorders>
            <w:noWrap w:val="0"/>
            <w:vAlign w:val="center"/>
          </w:tcPr>
          <w:p w14:paraId="61D4765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挥发酚</w:t>
            </w:r>
          </w:p>
        </w:tc>
        <w:tc>
          <w:tcPr>
            <w:tcW w:w="395" w:type="pct"/>
            <w:tcBorders>
              <w:tl2br w:val="nil"/>
              <w:tr2bl w:val="nil"/>
            </w:tcBorders>
            <w:noWrap w:val="0"/>
            <w:vAlign w:val="center"/>
          </w:tcPr>
          <w:p w14:paraId="2EEE968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A7266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w:t>
            </w:r>
          </w:p>
        </w:tc>
        <w:tc>
          <w:tcPr>
            <w:tcW w:w="675" w:type="pct"/>
            <w:tcBorders>
              <w:tl2br w:val="nil"/>
              <w:tr2bl w:val="nil"/>
            </w:tcBorders>
            <w:shd w:val="clear" w:color="auto" w:fill="auto"/>
            <w:noWrap w:val="0"/>
            <w:vAlign w:val="center"/>
          </w:tcPr>
          <w:p w14:paraId="174291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w:t>
            </w:r>
          </w:p>
        </w:tc>
        <w:tc>
          <w:tcPr>
            <w:tcW w:w="758" w:type="pct"/>
            <w:tcBorders>
              <w:tl2br w:val="nil"/>
              <w:tr2bl w:val="nil"/>
            </w:tcBorders>
            <w:shd w:val="clear" w:color="auto" w:fill="auto"/>
            <w:noWrap w:val="0"/>
            <w:vAlign w:val="center"/>
          </w:tcPr>
          <w:p w14:paraId="447246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w:t>
            </w:r>
          </w:p>
        </w:tc>
        <w:tc>
          <w:tcPr>
            <w:tcW w:w="643" w:type="pct"/>
            <w:tcBorders>
              <w:tl2br w:val="nil"/>
              <w:tr2bl w:val="nil"/>
            </w:tcBorders>
            <w:shd w:val="clear" w:color="auto" w:fill="auto"/>
            <w:noWrap w:val="0"/>
            <w:vAlign w:val="center"/>
          </w:tcPr>
          <w:p w14:paraId="24E63F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0.15</w:t>
            </w:r>
          </w:p>
        </w:tc>
        <w:tc>
          <w:tcPr>
            <w:tcW w:w="633" w:type="pct"/>
            <w:tcBorders>
              <w:tl2br w:val="nil"/>
              <w:tr2bl w:val="nil"/>
            </w:tcBorders>
            <w:noWrap w:val="0"/>
            <w:vAlign w:val="center"/>
          </w:tcPr>
          <w:p w14:paraId="453CACC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w:t>
            </w:r>
            <w:r>
              <w:rPr>
                <w:rFonts w:hint="default" w:ascii="Times New Roman" w:hAnsi="Times New Roman" w:cs="Times New Roman"/>
                <w:i w:val="0"/>
                <w:iCs w:val="0"/>
                <w:color w:val="auto"/>
                <w:kern w:val="2"/>
                <w:sz w:val="21"/>
                <w:szCs w:val="21"/>
                <w:u w:val="none"/>
                <w:lang w:val="en-US" w:eastAsia="zh-CN" w:bidi="ar-SA"/>
              </w:rPr>
              <w:t>0.002</w:t>
            </w:r>
          </w:p>
        </w:tc>
      </w:tr>
      <w:tr w14:paraId="582EA5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0E82F9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6</w:t>
            </w:r>
          </w:p>
        </w:tc>
        <w:tc>
          <w:tcPr>
            <w:tcW w:w="607" w:type="pct"/>
            <w:tcBorders>
              <w:tl2br w:val="nil"/>
              <w:tr2bl w:val="nil"/>
            </w:tcBorders>
            <w:noWrap w:val="0"/>
            <w:vAlign w:val="center"/>
          </w:tcPr>
          <w:p w14:paraId="5B4E3D1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氰化物</w:t>
            </w:r>
          </w:p>
        </w:tc>
        <w:tc>
          <w:tcPr>
            <w:tcW w:w="395" w:type="pct"/>
            <w:tcBorders>
              <w:tl2br w:val="nil"/>
              <w:tr2bl w:val="nil"/>
            </w:tcBorders>
            <w:noWrap w:val="0"/>
            <w:vAlign w:val="center"/>
          </w:tcPr>
          <w:p w14:paraId="743ADE1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0E409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675" w:type="pct"/>
            <w:tcBorders>
              <w:tl2br w:val="nil"/>
              <w:tr2bl w:val="nil"/>
            </w:tcBorders>
            <w:shd w:val="clear" w:color="auto" w:fill="auto"/>
            <w:noWrap w:val="0"/>
            <w:vAlign w:val="center"/>
          </w:tcPr>
          <w:p w14:paraId="2ACD28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758" w:type="pct"/>
            <w:tcBorders>
              <w:tl2br w:val="nil"/>
              <w:tr2bl w:val="nil"/>
            </w:tcBorders>
            <w:shd w:val="clear" w:color="auto" w:fill="auto"/>
            <w:noWrap w:val="0"/>
            <w:vAlign w:val="center"/>
          </w:tcPr>
          <w:p w14:paraId="73E5857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643" w:type="pct"/>
            <w:tcBorders>
              <w:tl2br w:val="nil"/>
              <w:tr2bl w:val="nil"/>
            </w:tcBorders>
            <w:shd w:val="clear" w:color="auto" w:fill="auto"/>
            <w:noWrap w:val="0"/>
            <w:vAlign w:val="center"/>
          </w:tcPr>
          <w:p w14:paraId="72901C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p>
        </w:tc>
        <w:tc>
          <w:tcPr>
            <w:tcW w:w="633" w:type="pct"/>
            <w:tcBorders>
              <w:tl2br w:val="nil"/>
              <w:tr2bl w:val="nil"/>
            </w:tcBorders>
            <w:noWrap w:val="0"/>
            <w:vAlign w:val="center"/>
          </w:tcPr>
          <w:p w14:paraId="0D06FCB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color w:val="auto"/>
                <w:sz w:val="21"/>
                <w:szCs w:val="21"/>
                <w:lang w:val="en-US" w:eastAsia="zh-CN"/>
              </w:rPr>
              <w:t>≤0.05</w:t>
            </w:r>
          </w:p>
        </w:tc>
      </w:tr>
      <w:tr w14:paraId="3CD8B2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66F877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607" w:type="pct"/>
            <w:tcBorders>
              <w:tl2br w:val="nil"/>
              <w:tr2bl w:val="nil"/>
            </w:tcBorders>
            <w:noWrap w:val="0"/>
            <w:vAlign w:val="center"/>
          </w:tcPr>
          <w:p w14:paraId="2ACBD78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石油类</w:t>
            </w:r>
          </w:p>
        </w:tc>
        <w:tc>
          <w:tcPr>
            <w:tcW w:w="395" w:type="pct"/>
            <w:tcBorders>
              <w:tl2br w:val="nil"/>
              <w:tr2bl w:val="nil"/>
            </w:tcBorders>
            <w:noWrap w:val="0"/>
            <w:vAlign w:val="center"/>
          </w:tcPr>
          <w:p w14:paraId="3DC717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79A3E9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noWrap w:val="0"/>
            <w:vAlign w:val="center"/>
          </w:tcPr>
          <w:p w14:paraId="185B298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noWrap w:val="0"/>
            <w:vAlign w:val="center"/>
          </w:tcPr>
          <w:p w14:paraId="3FD5339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noWrap w:val="0"/>
            <w:vAlign w:val="center"/>
          </w:tcPr>
          <w:p w14:paraId="76C99DC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noWrap w:val="0"/>
            <w:vAlign w:val="center"/>
          </w:tcPr>
          <w:p w14:paraId="68308E2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w:t>
            </w:r>
          </w:p>
        </w:tc>
      </w:tr>
      <w:tr w14:paraId="0C32FE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688421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w:t>
            </w:r>
          </w:p>
        </w:tc>
        <w:tc>
          <w:tcPr>
            <w:tcW w:w="607" w:type="pct"/>
            <w:tcBorders>
              <w:tl2br w:val="nil"/>
              <w:tr2bl w:val="nil"/>
            </w:tcBorders>
            <w:noWrap w:val="0"/>
            <w:vAlign w:val="center"/>
          </w:tcPr>
          <w:p w14:paraId="4CAA634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氟化物</w:t>
            </w:r>
          </w:p>
        </w:tc>
        <w:tc>
          <w:tcPr>
            <w:tcW w:w="395" w:type="pct"/>
            <w:tcBorders>
              <w:tl2br w:val="nil"/>
              <w:tr2bl w:val="nil"/>
            </w:tcBorders>
            <w:noWrap w:val="0"/>
            <w:vAlign w:val="center"/>
          </w:tcPr>
          <w:p w14:paraId="412412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181A80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0.28</w:t>
            </w:r>
          </w:p>
        </w:tc>
        <w:tc>
          <w:tcPr>
            <w:tcW w:w="675" w:type="pct"/>
            <w:tcBorders>
              <w:tl2br w:val="nil"/>
              <w:tr2bl w:val="nil"/>
            </w:tcBorders>
            <w:shd w:val="clear" w:color="auto" w:fill="auto"/>
            <w:noWrap w:val="0"/>
            <w:vAlign w:val="center"/>
          </w:tcPr>
          <w:p w14:paraId="40F44F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0.26</w:t>
            </w:r>
          </w:p>
        </w:tc>
        <w:tc>
          <w:tcPr>
            <w:tcW w:w="758" w:type="pct"/>
            <w:tcBorders>
              <w:tl2br w:val="nil"/>
              <w:tr2bl w:val="nil"/>
            </w:tcBorders>
            <w:shd w:val="clear" w:color="auto" w:fill="auto"/>
            <w:noWrap w:val="0"/>
            <w:vAlign w:val="center"/>
          </w:tcPr>
          <w:p w14:paraId="0AA1C5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0.22</w:t>
            </w:r>
          </w:p>
        </w:tc>
        <w:tc>
          <w:tcPr>
            <w:tcW w:w="643" w:type="pct"/>
            <w:tcBorders>
              <w:tl2br w:val="nil"/>
              <w:tr2bl w:val="nil"/>
            </w:tcBorders>
            <w:shd w:val="clear" w:color="auto" w:fill="auto"/>
            <w:noWrap w:val="0"/>
            <w:vAlign w:val="center"/>
          </w:tcPr>
          <w:p w14:paraId="6C3A73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0.19</w:t>
            </w:r>
          </w:p>
        </w:tc>
        <w:tc>
          <w:tcPr>
            <w:tcW w:w="633" w:type="pct"/>
            <w:tcBorders>
              <w:tl2br w:val="nil"/>
              <w:tr2bl w:val="nil"/>
            </w:tcBorders>
            <w:noWrap w:val="0"/>
            <w:vAlign w:val="center"/>
          </w:tcPr>
          <w:p w14:paraId="134E601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w:t>
            </w:r>
          </w:p>
        </w:tc>
      </w:tr>
      <w:tr w14:paraId="59F273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2AD485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9</w:t>
            </w:r>
          </w:p>
        </w:tc>
        <w:tc>
          <w:tcPr>
            <w:tcW w:w="607" w:type="pct"/>
            <w:tcBorders>
              <w:tl2br w:val="nil"/>
              <w:tr2bl w:val="nil"/>
            </w:tcBorders>
            <w:noWrap w:val="0"/>
            <w:vAlign w:val="center"/>
          </w:tcPr>
          <w:p w14:paraId="1EDD2AC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亚硝酸盐氮</w:t>
            </w:r>
          </w:p>
        </w:tc>
        <w:tc>
          <w:tcPr>
            <w:tcW w:w="395" w:type="pct"/>
            <w:tcBorders>
              <w:tl2br w:val="nil"/>
              <w:tr2bl w:val="nil"/>
            </w:tcBorders>
            <w:noWrap w:val="0"/>
            <w:vAlign w:val="center"/>
          </w:tcPr>
          <w:p w14:paraId="65DA07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0BC8E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0.018</w:t>
            </w:r>
          </w:p>
        </w:tc>
        <w:tc>
          <w:tcPr>
            <w:tcW w:w="675" w:type="pct"/>
            <w:tcBorders>
              <w:tl2br w:val="nil"/>
              <w:tr2bl w:val="nil"/>
            </w:tcBorders>
            <w:shd w:val="clear" w:color="auto" w:fill="auto"/>
            <w:noWrap w:val="0"/>
            <w:vAlign w:val="center"/>
          </w:tcPr>
          <w:p w14:paraId="78A32B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0.012</w:t>
            </w:r>
          </w:p>
        </w:tc>
        <w:tc>
          <w:tcPr>
            <w:tcW w:w="758" w:type="pct"/>
            <w:tcBorders>
              <w:tl2br w:val="nil"/>
              <w:tr2bl w:val="nil"/>
            </w:tcBorders>
            <w:shd w:val="clear" w:color="auto" w:fill="auto"/>
            <w:noWrap w:val="0"/>
            <w:vAlign w:val="center"/>
          </w:tcPr>
          <w:p w14:paraId="0911B3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0.003</w:t>
            </w:r>
          </w:p>
        </w:tc>
        <w:tc>
          <w:tcPr>
            <w:tcW w:w="643" w:type="pct"/>
            <w:tcBorders>
              <w:tl2br w:val="nil"/>
              <w:tr2bl w:val="nil"/>
            </w:tcBorders>
            <w:shd w:val="clear" w:color="auto" w:fill="auto"/>
            <w:noWrap w:val="0"/>
            <w:vAlign w:val="center"/>
          </w:tcPr>
          <w:p w14:paraId="0312BD5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0.009</w:t>
            </w:r>
          </w:p>
        </w:tc>
        <w:tc>
          <w:tcPr>
            <w:tcW w:w="633" w:type="pct"/>
            <w:tcBorders>
              <w:tl2br w:val="nil"/>
              <w:tr2bl w:val="nil"/>
            </w:tcBorders>
            <w:noWrap w:val="0"/>
            <w:vAlign w:val="center"/>
          </w:tcPr>
          <w:p w14:paraId="6E3393E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w:t>
            </w:r>
          </w:p>
        </w:tc>
      </w:tr>
      <w:tr w14:paraId="495065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49136FF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10</w:t>
            </w:r>
          </w:p>
        </w:tc>
        <w:tc>
          <w:tcPr>
            <w:tcW w:w="607" w:type="pct"/>
            <w:tcBorders>
              <w:tl2br w:val="nil"/>
              <w:tr2bl w:val="nil"/>
            </w:tcBorders>
            <w:noWrap w:val="0"/>
            <w:vAlign w:val="center"/>
          </w:tcPr>
          <w:p w14:paraId="63F95B8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硝酸盐氮</w:t>
            </w:r>
          </w:p>
        </w:tc>
        <w:tc>
          <w:tcPr>
            <w:tcW w:w="395" w:type="pct"/>
            <w:tcBorders>
              <w:tl2br w:val="nil"/>
              <w:tr2bl w:val="nil"/>
            </w:tcBorders>
            <w:noWrap w:val="0"/>
            <w:vAlign w:val="center"/>
          </w:tcPr>
          <w:p w14:paraId="07DFA8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41CE5D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0.004</w:t>
            </w:r>
          </w:p>
        </w:tc>
        <w:tc>
          <w:tcPr>
            <w:tcW w:w="675" w:type="pct"/>
            <w:tcBorders>
              <w:tl2br w:val="nil"/>
              <w:tr2bl w:val="nil"/>
            </w:tcBorders>
            <w:shd w:val="clear" w:color="auto" w:fill="auto"/>
            <w:noWrap w:val="0"/>
            <w:vAlign w:val="center"/>
          </w:tcPr>
          <w:p w14:paraId="1783643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0.019</w:t>
            </w:r>
          </w:p>
        </w:tc>
        <w:tc>
          <w:tcPr>
            <w:tcW w:w="758" w:type="pct"/>
            <w:tcBorders>
              <w:tl2br w:val="nil"/>
              <w:tr2bl w:val="nil"/>
            </w:tcBorders>
            <w:shd w:val="clear" w:color="auto" w:fill="auto"/>
            <w:noWrap w:val="0"/>
            <w:vAlign w:val="center"/>
          </w:tcPr>
          <w:p w14:paraId="7B2EDF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0.004</w:t>
            </w:r>
          </w:p>
        </w:tc>
        <w:tc>
          <w:tcPr>
            <w:tcW w:w="643" w:type="pct"/>
            <w:tcBorders>
              <w:tl2br w:val="nil"/>
              <w:tr2bl w:val="nil"/>
            </w:tcBorders>
            <w:shd w:val="clear" w:color="auto" w:fill="auto"/>
            <w:noWrap w:val="0"/>
            <w:vAlign w:val="center"/>
          </w:tcPr>
          <w:p w14:paraId="63FDE0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0.015</w:t>
            </w:r>
          </w:p>
        </w:tc>
        <w:tc>
          <w:tcPr>
            <w:tcW w:w="633" w:type="pct"/>
            <w:tcBorders>
              <w:tl2br w:val="nil"/>
              <w:tr2bl w:val="nil"/>
            </w:tcBorders>
            <w:noWrap w:val="0"/>
            <w:vAlign w:val="center"/>
          </w:tcPr>
          <w:p w14:paraId="4318808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20.0</w:t>
            </w:r>
          </w:p>
        </w:tc>
      </w:tr>
      <w:tr w14:paraId="686594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2C4953B1">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11</w:t>
            </w:r>
          </w:p>
        </w:tc>
        <w:tc>
          <w:tcPr>
            <w:tcW w:w="607" w:type="pct"/>
            <w:tcBorders>
              <w:tl2br w:val="nil"/>
              <w:tr2bl w:val="nil"/>
            </w:tcBorders>
            <w:noWrap w:val="0"/>
            <w:vAlign w:val="center"/>
          </w:tcPr>
          <w:p w14:paraId="4FAFCDB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1"/>
                <w:lang w:val="en-US" w:eastAsia="zh-CN"/>
              </w:rPr>
              <w:t>六价铬</w:t>
            </w:r>
          </w:p>
        </w:tc>
        <w:tc>
          <w:tcPr>
            <w:tcW w:w="395" w:type="pct"/>
            <w:tcBorders>
              <w:tl2br w:val="nil"/>
              <w:tr2bl w:val="nil"/>
            </w:tcBorders>
            <w:noWrap w:val="0"/>
            <w:vAlign w:val="center"/>
          </w:tcPr>
          <w:p w14:paraId="72C62E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4F8B41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w:t>
            </w:r>
          </w:p>
        </w:tc>
        <w:tc>
          <w:tcPr>
            <w:tcW w:w="675" w:type="pct"/>
            <w:tcBorders>
              <w:tl2br w:val="nil"/>
              <w:tr2bl w:val="nil"/>
            </w:tcBorders>
            <w:shd w:val="clear" w:color="auto" w:fill="auto"/>
            <w:noWrap w:val="0"/>
            <w:vAlign w:val="center"/>
          </w:tcPr>
          <w:p w14:paraId="0D08A3C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w:t>
            </w:r>
          </w:p>
        </w:tc>
        <w:tc>
          <w:tcPr>
            <w:tcW w:w="758" w:type="pct"/>
            <w:tcBorders>
              <w:tl2br w:val="nil"/>
              <w:tr2bl w:val="nil"/>
            </w:tcBorders>
            <w:shd w:val="clear" w:color="auto" w:fill="auto"/>
            <w:noWrap w:val="0"/>
            <w:vAlign w:val="center"/>
          </w:tcPr>
          <w:p w14:paraId="73D70F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w:t>
            </w:r>
          </w:p>
        </w:tc>
        <w:tc>
          <w:tcPr>
            <w:tcW w:w="643" w:type="pct"/>
            <w:tcBorders>
              <w:tl2br w:val="nil"/>
              <w:tr2bl w:val="nil"/>
            </w:tcBorders>
            <w:shd w:val="clear" w:color="auto" w:fill="auto"/>
            <w:noWrap w:val="0"/>
            <w:vAlign w:val="center"/>
          </w:tcPr>
          <w:p w14:paraId="09178D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w:t>
            </w:r>
          </w:p>
        </w:tc>
        <w:tc>
          <w:tcPr>
            <w:tcW w:w="633" w:type="pct"/>
            <w:tcBorders>
              <w:tl2br w:val="nil"/>
              <w:tr2bl w:val="nil"/>
            </w:tcBorders>
            <w:noWrap w:val="0"/>
            <w:vAlign w:val="center"/>
          </w:tcPr>
          <w:p w14:paraId="71B4C5D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0.05</w:t>
            </w:r>
          </w:p>
        </w:tc>
      </w:tr>
      <w:tr w14:paraId="6B483F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5C071059">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w:t>
            </w:r>
          </w:p>
        </w:tc>
        <w:tc>
          <w:tcPr>
            <w:tcW w:w="607" w:type="pct"/>
            <w:tcBorders>
              <w:tl2br w:val="nil"/>
              <w:tr2bl w:val="nil"/>
            </w:tcBorders>
            <w:noWrap w:val="0"/>
            <w:vAlign w:val="center"/>
          </w:tcPr>
          <w:p w14:paraId="7C54C7B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铝</w:t>
            </w:r>
          </w:p>
        </w:tc>
        <w:tc>
          <w:tcPr>
            <w:tcW w:w="395" w:type="pct"/>
            <w:tcBorders>
              <w:tl2br w:val="nil"/>
              <w:tr2bl w:val="nil"/>
            </w:tcBorders>
            <w:noWrap w:val="0"/>
            <w:vAlign w:val="center"/>
          </w:tcPr>
          <w:p w14:paraId="2BD0F8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1501F94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675" w:type="pct"/>
            <w:tcBorders>
              <w:tl2br w:val="nil"/>
              <w:tr2bl w:val="nil"/>
            </w:tcBorders>
            <w:shd w:val="clear" w:color="auto" w:fill="auto"/>
            <w:noWrap w:val="0"/>
            <w:vAlign w:val="center"/>
          </w:tcPr>
          <w:p w14:paraId="3179FB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0.265</w:t>
            </w:r>
          </w:p>
        </w:tc>
        <w:tc>
          <w:tcPr>
            <w:tcW w:w="758" w:type="pct"/>
            <w:tcBorders>
              <w:tl2br w:val="nil"/>
              <w:tr2bl w:val="nil"/>
            </w:tcBorders>
            <w:shd w:val="clear" w:color="auto" w:fill="auto"/>
            <w:noWrap w:val="0"/>
            <w:vAlign w:val="center"/>
          </w:tcPr>
          <w:p w14:paraId="338B83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0.14</w:t>
            </w:r>
          </w:p>
        </w:tc>
        <w:tc>
          <w:tcPr>
            <w:tcW w:w="643" w:type="pct"/>
            <w:tcBorders>
              <w:tl2br w:val="nil"/>
              <w:tr2bl w:val="nil"/>
            </w:tcBorders>
            <w:shd w:val="clear" w:color="auto" w:fill="auto"/>
            <w:noWrap w:val="0"/>
            <w:vAlign w:val="center"/>
          </w:tcPr>
          <w:p w14:paraId="54DE0A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0.395</w:t>
            </w:r>
          </w:p>
        </w:tc>
        <w:tc>
          <w:tcPr>
            <w:tcW w:w="633" w:type="pct"/>
            <w:tcBorders>
              <w:tl2br w:val="nil"/>
              <w:tr2bl w:val="nil"/>
            </w:tcBorders>
            <w:noWrap w:val="0"/>
            <w:vAlign w:val="center"/>
          </w:tcPr>
          <w:p w14:paraId="53B1F0C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0.20</w:t>
            </w:r>
          </w:p>
        </w:tc>
      </w:tr>
      <w:tr w14:paraId="260E6E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4AC16C8C">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13</w:t>
            </w:r>
          </w:p>
        </w:tc>
        <w:tc>
          <w:tcPr>
            <w:tcW w:w="607" w:type="pct"/>
            <w:tcBorders>
              <w:tl2br w:val="nil"/>
              <w:tr2bl w:val="nil"/>
            </w:tcBorders>
            <w:noWrap w:val="0"/>
            <w:vAlign w:val="center"/>
          </w:tcPr>
          <w:p w14:paraId="51BDF6FD">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铜</w:t>
            </w:r>
          </w:p>
        </w:tc>
        <w:tc>
          <w:tcPr>
            <w:tcW w:w="395" w:type="pct"/>
            <w:tcBorders>
              <w:tl2br w:val="nil"/>
              <w:tr2bl w:val="nil"/>
            </w:tcBorders>
            <w:noWrap w:val="0"/>
            <w:vAlign w:val="center"/>
          </w:tcPr>
          <w:p w14:paraId="3E01497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6222E3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75" w:type="pct"/>
            <w:tcBorders>
              <w:tl2br w:val="nil"/>
              <w:tr2bl w:val="nil"/>
            </w:tcBorders>
            <w:shd w:val="clear" w:color="auto" w:fill="auto"/>
            <w:noWrap w:val="0"/>
            <w:vAlign w:val="center"/>
          </w:tcPr>
          <w:p w14:paraId="2CE95D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758" w:type="pct"/>
            <w:tcBorders>
              <w:tl2br w:val="nil"/>
              <w:tr2bl w:val="nil"/>
            </w:tcBorders>
            <w:shd w:val="clear" w:color="auto" w:fill="auto"/>
            <w:noWrap w:val="0"/>
            <w:vAlign w:val="center"/>
          </w:tcPr>
          <w:p w14:paraId="4A8AC1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43" w:type="pct"/>
            <w:tcBorders>
              <w:tl2br w:val="nil"/>
              <w:tr2bl w:val="nil"/>
            </w:tcBorders>
            <w:shd w:val="clear" w:color="auto" w:fill="auto"/>
            <w:noWrap w:val="0"/>
            <w:vAlign w:val="center"/>
          </w:tcPr>
          <w:p w14:paraId="3B46FA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33" w:type="pct"/>
            <w:tcBorders>
              <w:tl2br w:val="nil"/>
              <w:tr2bl w:val="nil"/>
            </w:tcBorders>
            <w:noWrap w:val="0"/>
            <w:vAlign w:val="center"/>
          </w:tcPr>
          <w:p w14:paraId="144B7E1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1.00</w:t>
            </w:r>
          </w:p>
        </w:tc>
      </w:tr>
      <w:tr w14:paraId="5041DE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74CD310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14</w:t>
            </w:r>
          </w:p>
        </w:tc>
        <w:tc>
          <w:tcPr>
            <w:tcW w:w="607" w:type="pct"/>
            <w:tcBorders>
              <w:tl2br w:val="nil"/>
              <w:tr2bl w:val="nil"/>
            </w:tcBorders>
            <w:noWrap w:val="0"/>
            <w:vAlign w:val="center"/>
          </w:tcPr>
          <w:p w14:paraId="04698B5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锌</w:t>
            </w:r>
          </w:p>
        </w:tc>
        <w:tc>
          <w:tcPr>
            <w:tcW w:w="395" w:type="pct"/>
            <w:tcBorders>
              <w:tl2br w:val="nil"/>
              <w:tr2bl w:val="nil"/>
            </w:tcBorders>
            <w:noWrap w:val="0"/>
            <w:vAlign w:val="center"/>
          </w:tcPr>
          <w:p w14:paraId="159C2C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2826A6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0.066</w:t>
            </w:r>
          </w:p>
        </w:tc>
        <w:tc>
          <w:tcPr>
            <w:tcW w:w="675" w:type="pct"/>
            <w:tcBorders>
              <w:tl2br w:val="nil"/>
              <w:tr2bl w:val="nil"/>
            </w:tcBorders>
            <w:shd w:val="clear" w:color="auto" w:fill="auto"/>
            <w:noWrap w:val="0"/>
            <w:vAlign w:val="center"/>
          </w:tcPr>
          <w:p w14:paraId="576453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0.015</w:t>
            </w:r>
          </w:p>
        </w:tc>
        <w:tc>
          <w:tcPr>
            <w:tcW w:w="758" w:type="pct"/>
            <w:tcBorders>
              <w:tl2br w:val="nil"/>
              <w:tr2bl w:val="nil"/>
            </w:tcBorders>
            <w:shd w:val="clear" w:color="auto" w:fill="auto"/>
            <w:noWrap w:val="0"/>
            <w:vAlign w:val="center"/>
          </w:tcPr>
          <w:p w14:paraId="04F9C1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0.084</w:t>
            </w:r>
          </w:p>
        </w:tc>
        <w:tc>
          <w:tcPr>
            <w:tcW w:w="643" w:type="pct"/>
            <w:tcBorders>
              <w:tl2br w:val="nil"/>
              <w:tr2bl w:val="nil"/>
            </w:tcBorders>
            <w:shd w:val="clear" w:color="auto" w:fill="auto"/>
            <w:noWrap w:val="0"/>
            <w:vAlign w:val="center"/>
          </w:tcPr>
          <w:p w14:paraId="0E0C37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0.052</w:t>
            </w:r>
          </w:p>
        </w:tc>
        <w:tc>
          <w:tcPr>
            <w:tcW w:w="633" w:type="pct"/>
            <w:tcBorders>
              <w:tl2br w:val="nil"/>
              <w:tr2bl w:val="nil"/>
            </w:tcBorders>
            <w:noWrap w:val="0"/>
            <w:vAlign w:val="center"/>
          </w:tcPr>
          <w:p w14:paraId="4038A06E">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1.00</w:t>
            </w:r>
          </w:p>
        </w:tc>
      </w:tr>
      <w:tr w14:paraId="746864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715020B5">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w:t>
            </w:r>
          </w:p>
        </w:tc>
        <w:tc>
          <w:tcPr>
            <w:tcW w:w="607" w:type="pct"/>
            <w:tcBorders>
              <w:tl2br w:val="nil"/>
              <w:tr2bl w:val="nil"/>
            </w:tcBorders>
            <w:noWrap w:val="0"/>
            <w:vAlign w:val="center"/>
          </w:tcPr>
          <w:p w14:paraId="440A3FD4">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镉</w:t>
            </w:r>
          </w:p>
        </w:tc>
        <w:tc>
          <w:tcPr>
            <w:tcW w:w="395" w:type="pct"/>
            <w:tcBorders>
              <w:tl2br w:val="nil"/>
              <w:tr2bl w:val="nil"/>
            </w:tcBorders>
            <w:noWrap w:val="0"/>
            <w:vAlign w:val="center"/>
          </w:tcPr>
          <w:p w14:paraId="382299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6459F3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675" w:type="pct"/>
            <w:tcBorders>
              <w:tl2br w:val="nil"/>
              <w:tr2bl w:val="nil"/>
            </w:tcBorders>
            <w:shd w:val="clear" w:color="auto" w:fill="auto"/>
            <w:noWrap w:val="0"/>
            <w:vAlign w:val="center"/>
          </w:tcPr>
          <w:p w14:paraId="6A594F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758" w:type="pct"/>
            <w:tcBorders>
              <w:tl2br w:val="nil"/>
              <w:tr2bl w:val="nil"/>
            </w:tcBorders>
            <w:shd w:val="clear" w:color="auto" w:fill="auto"/>
            <w:noWrap w:val="0"/>
            <w:vAlign w:val="center"/>
          </w:tcPr>
          <w:p w14:paraId="1ADFEE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643" w:type="pct"/>
            <w:tcBorders>
              <w:tl2br w:val="nil"/>
              <w:tr2bl w:val="nil"/>
            </w:tcBorders>
            <w:shd w:val="clear" w:color="auto" w:fill="auto"/>
            <w:noWrap w:val="0"/>
            <w:vAlign w:val="center"/>
          </w:tcPr>
          <w:p w14:paraId="138429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633" w:type="pct"/>
            <w:tcBorders>
              <w:tl2br w:val="nil"/>
              <w:tr2bl w:val="nil"/>
            </w:tcBorders>
            <w:noWrap w:val="0"/>
            <w:vAlign w:val="center"/>
          </w:tcPr>
          <w:p w14:paraId="384E95A6">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0.005</w:t>
            </w:r>
          </w:p>
        </w:tc>
      </w:tr>
      <w:tr w14:paraId="700A81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71" w:hRule="atLeast"/>
          <w:jc w:val="center"/>
        </w:trPr>
        <w:tc>
          <w:tcPr>
            <w:tcW w:w="440" w:type="pct"/>
            <w:tcBorders>
              <w:tl2br w:val="nil"/>
              <w:tr2bl w:val="nil"/>
            </w:tcBorders>
            <w:noWrap w:val="0"/>
            <w:vAlign w:val="center"/>
          </w:tcPr>
          <w:p w14:paraId="595DC35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w:t>
            </w:r>
          </w:p>
        </w:tc>
        <w:tc>
          <w:tcPr>
            <w:tcW w:w="607" w:type="pct"/>
            <w:tcBorders>
              <w:tl2br w:val="nil"/>
              <w:tr2bl w:val="nil"/>
            </w:tcBorders>
            <w:noWrap w:val="0"/>
            <w:vAlign w:val="center"/>
          </w:tcPr>
          <w:p w14:paraId="6375C68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锰</w:t>
            </w:r>
          </w:p>
        </w:tc>
        <w:tc>
          <w:tcPr>
            <w:tcW w:w="395" w:type="pct"/>
            <w:tcBorders>
              <w:tl2br w:val="nil"/>
              <w:tr2bl w:val="nil"/>
            </w:tcBorders>
            <w:noWrap w:val="0"/>
            <w:vAlign w:val="center"/>
          </w:tcPr>
          <w:p w14:paraId="31615F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6954FE6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675" w:type="pct"/>
            <w:tcBorders>
              <w:tl2br w:val="nil"/>
              <w:tr2bl w:val="nil"/>
            </w:tcBorders>
            <w:shd w:val="clear" w:color="auto" w:fill="auto"/>
            <w:noWrap w:val="0"/>
            <w:vAlign w:val="center"/>
          </w:tcPr>
          <w:p w14:paraId="070452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w:t>
            </w:r>
          </w:p>
        </w:tc>
        <w:tc>
          <w:tcPr>
            <w:tcW w:w="758" w:type="pct"/>
            <w:tcBorders>
              <w:tl2br w:val="nil"/>
              <w:tr2bl w:val="nil"/>
            </w:tcBorders>
            <w:shd w:val="clear" w:color="auto" w:fill="auto"/>
            <w:noWrap w:val="0"/>
            <w:vAlign w:val="center"/>
          </w:tcPr>
          <w:p w14:paraId="419079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0.7</w:t>
            </w:r>
          </w:p>
        </w:tc>
        <w:tc>
          <w:tcPr>
            <w:tcW w:w="643" w:type="pct"/>
            <w:tcBorders>
              <w:tl2br w:val="nil"/>
              <w:tr2bl w:val="nil"/>
            </w:tcBorders>
            <w:shd w:val="clear" w:color="auto" w:fill="auto"/>
            <w:noWrap w:val="0"/>
            <w:vAlign w:val="center"/>
          </w:tcPr>
          <w:p w14:paraId="530A070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0.9</w:t>
            </w:r>
          </w:p>
        </w:tc>
        <w:tc>
          <w:tcPr>
            <w:tcW w:w="633" w:type="pct"/>
            <w:tcBorders>
              <w:tl2br w:val="nil"/>
              <w:tr2bl w:val="nil"/>
            </w:tcBorders>
            <w:noWrap w:val="0"/>
            <w:vAlign w:val="center"/>
          </w:tcPr>
          <w:p w14:paraId="65C1FA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0.10</w:t>
            </w:r>
          </w:p>
        </w:tc>
      </w:tr>
      <w:tr w14:paraId="49884F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07215192">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w:t>
            </w:r>
          </w:p>
        </w:tc>
        <w:tc>
          <w:tcPr>
            <w:tcW w:w="607" w:type="pct"/>
            <w:tcBorders>
              <w:tl2br w:val="nil"/>
              <w:tr2bl w:val="nil"/>
            </w:tcBorders>
            <w:noWrap w:val="0"/>
            <w:vAlign w:val="center"/>
          </w:tcPr>
          <w:p w14:paraId="0C16BD0F">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铁</w:t>
            </w:r>
          </w:p>
        </w:tc>
        <w:tc>
          <w:tcPr>
            <w:tcW w:w="395" w:type="pct"/>
            <w:tcBorders>
              <w:tl2br w:val="nil"/>
              <w:tr2bl w:val="nil"/>
            </w:tcBorders>
            <w:noWrap w:val="0"/>
            <w:vAlign w:val="center"/>
          </w:tcPr>
          <w:p w14:paraId="06760C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CF836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w:t>
            </w:r>
          </w:p>
        </w:tc>
        <w:tc>
          <w:tcPr>
            <w:tcW w:w="675" w:type="pct"/>
            <w:tcBorders>
              <w:tl2br w:val="nil"/>
              <w:tr2bl w:val="nil"/>
            </w:tcBorders>
            <w:shd w:val="clear" w:color="auto" w:fill="auto"/>
            <w:noWrap w:val="0"/>
            <w:vAlign w:val="center"/>
          </w:tcPr>
          <w:p w14:paraId="040FCC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0.233</w:t>
            </w:r>
          </w:p>
        </w:tc>
        <w:tc>
          <w:tcPr>
            <w:tcW w:w="758" w:type="pct"/>
            <w:tcBorders>
              <w:tl2br w:val="nil"/>
              <w:tr2bl w:val="nil"/>
            </w:tcBorders>
            <w:shd w:val="clear" w:color="auto" w:fill="auto"/>
            <w:noWrap w:val="0"/>
            <w:vAlign w:val="center"/>
          </w:tcPr>
          <w:p w14:paraId="5B8A5F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0.133</w:t>
            </w:r>
          </w:p>
        </w:tc>
        <w:tc>
          <w:tcPr>
            <w:tcW w:w="643" w:type="pct"/>
            <w:tcBorders>
              <w:tl2br w:val="nil"/>
              <w:tr2bl w:val="nil"/>
            </w:tcBorders>
            <w:shd w:val="clear" w:color="auto" w:fill="auto"/>
            <w:noWrap w:val="0"/>
            <w:vAlign w:val="center"/>
          </w:tcPr>
          <w:p w14:paraId="44B810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0.967</w:t>
            </w:r>
          </w:p>
        </w:tc>
        <w:tc>
          <w:tcPr>
            <w:tcW w:w="633" w:type="pct"/>
            <w:tcBorders>
              <w:tl2br w:val="nil"/>
              <w:tr2bl w:val="nil"/>
            </w:tcBorders>
            <w:noWrap w:val="0"/>
            <w:vAlign w:val="center"/>
          </w:tcPr>
          <w:p w14:paraId="270EBD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0.3</w:t>
            </w:r>
          </w:p>
        </w:tc>
      </w:tr>
      <w:tr w14:paraId="6409D9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2DF6D847">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w:t>
            </w:r>
          </w:p>
        </w:tc>
        <w:tc>
          <w:tcPr>
            <w:tcW w:w="607" w:type="pct"/>
            <w:tcBorders>
              <w:tl2br w:val="nil"/>
              <w:tr2bl w:val="nil"/>
            </w:tcBorders>
            <w:noWrap w:val="0"/>
            <w:vAlign w:val="center"/>
          </w:tcPr>
          <w:p w14:paraId="3DC41DE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砷</w:t>
            </w:r>
          </w:p>
        </w:tc>
        <w:tc>
          <w:tcPr>
            <w:tcW w:w="395" w:type="pct"/>
            <w:tcBorders>
              <w:tl2br w:val="nil"/>
              <w:tr2bl w:val="nil"/>
            </w:tcBorders>
            <w:noWrap w:val="0"/>
            <w:vAlign w:val="center"/>
          </w:tcPr>
          <w:p w14:paraId="2B6C786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shd w:val="clear" w:color="auto" w:fill="auto"/>
            <w:noWrap w:val="0"/>
            <w:vAlign w:val="center"/>
          </w:tcPr>
          <w:p w14:paraId="17557FD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675" w:type="pct"/>
            <w:tcBorders>
              <w:tl2br w:val="nil"/>
              <w:tr2bl w:val="nil"/>
            </w:tcBorders>
            <w:shd w:val="clear" w:color="auto" w:fill="auto"/>
            <w:noWrap w:val="0"/>
            <w:vAlign w:val="center"/>
          </w:tcPr>
          <w:p w14:paraId="7A39812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0.03</w:t>
            </w:r>
          </w:p>
        </w:tc>
        <w:tc>
          <w:tcPr>
            <w:tcW w:w="758" w:type="pct"/>
            <w:tcBorders>
              <w:tl2br w:val="nil"/>
              <w:tr2bl w:val="nil"/>
            </w:tcBorders>
            <w:shd w:val="clear" w:color="auto" w:fill="auto"/>
            <w:noWrap w:val="0"/>
            <w:vAlign w:val="center"/>
          </w:tcPr>
          <w:p w14:paraId="07D8A5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0.15</w:t>
            </w:r>
          </w:p>
        </w:tc>
        <w:tc>
          <w:tcPr>
            <w:tcW w:w="643" w:type="pct"/>
            <w:tcBorders>
              <w:tl2br w:val="nil"/>
              <w:tr2bl w:val="nil"/>
            </w:tcBorders>
            <w:shd w:val="clear" w:color="auto" w:fill="auto"/>
            <w:noWrap w:val="0"/>
            <w:vAlign w:val="center"/>
          </w:tcPr>
          <w:p w14:paraId="18BBEC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0.13</w:t>
            </w:r>
          </w:p>
        </w:tc>
        <w:tc>
          <w:tcPr>
            <w:tcW w:w="633" w:type="pct"/>
            <w:tcBorders>
              <w:tl2br w:val="nil"/>
              <w:tr2bl w:val="nil"/>
            </w:tcBorders>
            <w:noWrap w:val="0"/>
            <w:vAlign w:val="center"/>
          </w:tcPr>
          <w:p w14:paraId="03BD2EE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w:t>
            </w:r>
          </w:p>
        </w:tc>
      </w:tr>
      <w:tr w14:paraId="39D36D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658C7F5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19</w:t>
            </w:r>
          </w:p>
        </w:tc>
        <w:tc>
          <w:tcPr>
            <w:tcW w:w="607" w:type="pct"/>
            <w:tcBorders>
              <w:tl2br w:val="nil"/>
              <w:tr2bl w:val="nil"/>
            </w:tcBorders>
            <w:noWrap w:val="0"/>
            <w:vAlign w:val="center"/>
          </w:tcPr>
          <w:p w14:paraId="1B832D3B">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汞</w:t>
            </w:r>
          </w:p>
        </w:tc>
        <w:tc>
          <w:tcPr>
            <w:tcW w:w="395" w:type="pct"/>
            <w:tcBorders>
              <w:tl2br w:val="nil"/>
              <w:tr2bl w:val="nil"/>
            </w:tcBorders>
            <w:noWrap w:val="0"/>
            <w:vAlign w:val="center"/>
          </w:tcPr>
          <w:p w14:paraId="492B8E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shd w:val="clear" w:color="auto" w:fill="auto"/>
            <w:noWrap w:val="0"/>
            <w:vAlign w:val="center"/>
          </w:tcPr>
          <w:p w14:paraId="239D33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75" w:type="pct"/>
            <w:tcBorders>
              <w:tl2br w:val="nil"/>
              <w:tr2bl w:val="nil"/>
            </w:tcBorders>
            <w:shd w:val="clear" w:color="auto" w:fill="auto"/>
            <w:noWrap w:val="0"/>
            <w:vAlign w:val="center"/>
          </w:tcPr>
          <w:p w14:paraId="0639DCA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758" w:type="pct"/>
            <w:tcBorders>
              <w:tl2br w:val="nil"/>
              <w:tr2bl w:val="nil"/>
            </w:tcBorders>
            <w:shd w:val="clear" w:color="auto" w:fill="auto"/>
            <w:noWrap w:val="0"/>
            <w:vAlign w:val="center"/>
          </w:tcPr>
          <w:p w14:paraId="674075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43" w:type="pct"/>
            <w:tcBorders>
              <w:tl2br w:val="nil"/>
              <w:tr2bl w:val="nil"/>
            </w:tcBorders>
            <w:shd w:val="clear" w:color="auto" w:fill="auto"/>
            <w:noWrap w:val="0"/>
            <w:vAlign w:val="center"/>
          </w:tcPr>
          <w:p w14:paraId="2A4B93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0.04</w:t>
            </w:r>
          </w:p>
        </w:tc>
        <w:tc>
          <w:tcPr>
            <w:tcW w:w="633" w:type="pct"/>
            <w:tcBorders>
              <w:tl2br w:val="nil"/>
              <w:tr2bl w:val="nil"/>
            </w:tcBorders>
            <w:noWrap w:val="0"/>
            <w:vAlign w:val="center"/>
          </w:tcPr>
          <w:p w14:paraId="6EAD9EF0">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1.0</w:t>
            </w:r>
          </w:p>
        </w:tc>
      </w:tr>
      <w:tr w14:paraId="07A82D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noWrap w:val="0"/>
            <w:vAlign w:val="center"/>
          </w:tcPr>
          <w:p w14:paraId="0FC3C1EA">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20</w:t>
            </w:r>
          </w:p>
        </w:tc>
        <w:tc>
          <w:tcPr>
            <w:tcW w:w="607" w:type="pct"/>
            <w:tcBorders>
              <w:tl2br w:val="nil"/>
              <w:tr2bl w:val="nil"/>
            </w:tcBorders>
            <w:noWrap w:val="0"/>
            <w:vAlign w:val="center"/>
          </w:tcPr>
          <w:p w14:paraId="5F9DDB83">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铅</w:t>
            </w:r>
          </w:p>
        </w:tc>
        <w:tc>
          <w:tcPr>
            <w:tcW w:w="395" w:type="pct"/>
            <w:tcBorders>
              <w:tl2br w:val="nil"/>
              <w:tr2bl w:val="nil"/>
            </w:tcBorders>
            <w:noWrap w:val="0"/>
            <w:vAlign w:val="center"/>
          </w:tcPr>
          <w:p w14:paraId="545BE63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µ</w:t>
            </w:r>
            <w:r>
              <w:rPr>
                <w:rFonts w:hint="default" w:ascii="Times New Roman" w:hAnsi="Times New Roman" w:eastAsia="宋体" w:cs="Times New Roman"/>
                <w:color w:val="auto"/>
                <w:kern w:val="2"/>
                <w:sz w:val="21"/>
                <w:szCs w:val="21"/>
                <w:lang w:val="en-US" w:eastAsia="zh-CN" w:bidi="ar-SA"/>
              </w:rPr>
              <w:t>g</w:t>
            </w:r>
            <w:r>
              <w:rPr>
                <w:rFonts w:hint="default" w:ascii="Times New Roman" w:hAnsi="Times New Roman" w:cs="Times New Roman"/>
                <w:color w:val="auto"/>
                <w:kern w:val="2"/>
                <w:sz w:val="21"/>
                <w:szCs w:val="21"/>
                <w:lang w:val="en-US" w:eastAsia="zh-CN" w:bidi="ar-SA"/>
              </w:rPr>
              <w:t>/L</w:t>
            </w:r>
          </w:p>
        </w:tc>
        <w:tc>
          <w:tcPr>
            <w:tcW w:w="848" w:type="pct"/>
            <w:tcBorders>
              <w:tl2br w:val="nil"/>
              <w:tr2bl w:val="nil"/>
            </w:tcBorders>
            <w:shd w:val="clear" w:color="auto" w:fill="auto"/>
            <w:noWrap w:val="0"/>
            <w:vAlign w:val="center"/>
          </w:tcPr>
          <w:p w14:paraId="2619CD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675" w:type="pct"/>
            <w:tcBorders>
              <w:tl2br w:val="nil"/>
              <w:tr2bl w:val="nil"/>
            </w:tcBorders>
            <w:shd w:val="clear" w:color="auto" w:fill="auto"/>
            <w:noWrap w:val="0"/>
            <w:vAlign w:val="center"/>
          </w:tcPr>
          <w:p w14:paraId="129EF6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758" w:type="pct"/>
            <w:tcBorders>
              <w:tl2br w:val="nil"/>
              <w:tr2bl w:val="nil"/>
            </w:tcBorders>
            <w:shd w:val="clear" w:color="auto" w:fill="auto"/>
            <w:noWrap w:val="0"/>
            <w:vAlign w:val="center"/>
          </w:tcPr>
          <w:p w14:paraId="7110850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643" w:type="pct"/>
            <w:tcBorders>
              <w:tl2br w:val="nil"/>
              <w:tr2bl w:val="nil"/>
            </w:tcBorders>
            <w:shd w:val="clear" w:color="auto" w:fill="auto"/>
            <w:noWrap w:val="0"/>
            <w:vAlign w:val="center"/>
          </w:tcPr>
          <w:p w14:paraId="27A6F3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0.25</w:t>
            </w:r>
          </w:p>
        </w:tc>
        <w:tc>
          <w:tcPr>
            <w:tcW w:w="633" w:type="pct"/>
            <w:tcBorders>
              <w:tl2br w:val="nil"/>
              <w:tr2bl w:val="nil"/>
            </w:tcBorders>
            <w:noWrap w:val="0"/>
            <w:vAlign w:val="center"/>
          </w:tcPr>
          <w:p w14:paraId="4240F688">
            <w:pPr>
              <w:keepNext w:val="0"/>
              <w:keepLines w:val="0"/>
              <w:widowControl/>
              <w:suppressLineNumbers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10</w:t>
            </w:r>
          </w:p>
        </w:tc>
      </w:tr>
      <w:tr w14:paraId="7BFA74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380018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21</w:t>
            </w:r>
          </w:p>
        </w:tc>
        <w:tc>
          <w:tcPr>
            <w:tcW w:w="607" w:type="pct"/>
            <w:tcBorders>
              <w:tl2br w:val="nil"/>
              <w:tr2bl w:val="nil"/>
            </w:tcBorders>
            <w:shd w:val="clear" w:color="auto" w:fill="auto"/>
            <w:noWrap w:val="0"/>
            <w:vAlign w:val="center"/>
          </w:tcPr>
          <w:p w14:paraId="6F15E1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钾</w:t>
            </w:r>
          </w:p>
        </w:tc>
        <w:tc>
          <w:tcPr>
            <w:tcW w:w="395" w:type="pct"/>
            <w:tcBorders>
              <w:tl2br w:val="nil"/>
              <w:tr2bl w:val="nil"/>
            </w:tcBorders>
            <w:shd w:val="clear" w:color="auto" w:fill="auto"/>
            <w:noWrap w:val="0"/>
            <w:vAlign w:val="center"/>
          </w:tcPr>
          <w:p w14:paraId="03BE6F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3173F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noWrap w:val="0"/>
            <w:vAlign w:val="center"/>
          </w:tcPr>
          <w:p w14:paraId="4395F2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noWrap w:val="0"/>
            <w:vAlign w:val="center"/>
          </w:tcPr>
          <w:p w14:paraId="1443D7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noWrap w:val="0"/>
            <w:vAlign w:val="center"/>
          </w:tcPr>
          <w:p w14:paraId="29DC2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shd w:val="clear" w:color="auto" w:fill="auto"/>
            <w:noWrap w:val="0"/>
            <w:vAlign w:val="center"/>
          </w:tcPr>
          <w:p w14:paraId="1A943A2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27F99F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7DD15A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22</w:t>
            </w:r>
          </w:p>
        </w:tc>
        <w:tc>
          <w:tcPr>
            <w:tcW w:w="607" w:type="pct"/>
            <w:tcBorders>
              <w:tl2br w:val="nil"/>
              <w:tr2bl w:val="nil"/>
            </w:tcBorders>
            <w:shd w:val="clear" w:color="auto" w:fill="auto"/>
            <w:noWrap w:val="0"/>
            <w:vAlign w:val="center"/>
          </w:tcPr>
          <w:p w14:paraId="12D44F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钠</w:t>
            </w:r>
          </w:p>
        </w:tc>
        <w:tc>
          <w:tcPr>
            <w:tcW w:w="395" w:type="pct"/>
            <w:tcBorders>
              <w:tl2br w:val="nil"/>
              <w:tr2bl w:val="nil"/>
            </w:tcBorders>
            <w:shd w:val="clear" w:color="auto" w:fill="auto"/>
            <w:noWrap w:val="0"/>
            <w:vAlign w:val="center"/>
          </w:tcPr>
          <w:p w14:paraId="7A1FA1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2DA73A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1.49</w:t>
            </w:r>
          </w:p>
        </w:tc>
        <w:tc>
          <w:tcPr>
            <w:tcW w:w="675" w:type="pct"/>
            <w:tcBorders>
              <w:tl2br w:val="nil"/>
              <w:tr2bl w:val="nil"/>
            </w:tcBorders>
            <w:shd w:val="clear" w:color="auto" w:fill="auto"/>
            <w:noWrap w:val="0"/>
            <w:vAlign w:val="center"/>
          </w:tcPr>
          <w:p w14:paraId="2C3BA2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1.645</w:t>
            </w:r>
          </w:p>
        </w:tc>
        <w:tc>
          <w:tcPr>
            <w:tcW w:w="758" w:type="pct"/>
            <w:tcBorders>
              <w:tl2br w:val="nil"/>
              <w:tr2bl w:val="nil"/>
            </w:tcBorders>
            <w:shd w:val="clear" w:color="auto" w:fill="auto"/>
            <w:noWrap w:val="0"/>
            <w:vAlign w:val="center"/>
          </w:tcPr>
          <w:p w14:paraId="01CA50D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0.735</w:t>
            </w:r>
          </w:p>
        </w:tc>
        <w:tc>
          <w:tcPr>
            <w:tcW w:w="643" w:type="pct"/>
            <w:tcBorders>
              <w:tl2br w:val="nil"/>
              <w:tr2bl w:val="nil"/>
            </w:tcBorders>
            <w:shd w:val="clear" w:color="auto" w:fill="auto"/>
            <w:noWrap w:val="0"/>
            <w:vAlign w:val="center"/>
          </w:tcPr>
          <w:p w14:paraId="626A57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1.565</w:t>
            </w:r>
          </w:p>
        </w:tc>
        <w:tc>
          <w:tcPr>
            <w:tcW w:w="633" w:type="pct"/>
            <w:tcBorders>
              <w:tl2br w:val="nil"/>
              <w:tr2bl w:val="nil"/>
            </w:tcBorders>
            <w:shd w:val="clear" w:color="auto" w:fill="auto"/>
            <w:noWrap w:val="0"/>
            <w:vAlign w:val="center"/>
          </w:tcPr>
          <w:p w14:paraId="0F4862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≤200</w:t>
            </w:r>
          </w:p>
        </w:tc>
      </w:tr>
      <w:tr w14:paraId="2D7462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4D3EA4B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23</w:t>
            </w:r>
          </w:p>
        </w:tc>
        <w:tc>
          <w:tcPr>
            <w:tcW w:w="607" w:type="pct"/>
            <w:tcBorders>
              <w:tl2br w:val="nil"/>
              <w:tr2bl w:val="nil"/>
            </w:tcBorders>
            <w:shd w:val="clear" w:color="auto" w:fill="auto"/>
            <w:noWrap w:val="0"/>
            <w:vAlign w:val="center"/>
          </w:tcPr>
          <w:p w14:paraId="0D5CE7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钙</w:t>
            </w:r>
          </w:p>
        </w:tc>
        <w:tc>
          <w:tcPr>
            <w:tcW w:w="395" w:type="pct"/>
            <w:tcBorders>
              <w:tl2br w:val="nil"/>
              <w:tr2bl w:val="nil"/>
            </w:tcBorders>
            <w:shd w:val="clear" w:color="auto" w:fill="auto"/>
            <w:noWrap w:val="0"/>
            <w:vAlign w:val="center"/>
          </w:tcPr>
          <w:p w14:paraId="520C5F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1309A3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noWrap w:val="0"/>
            <w:vAlign w:val="center"/>
          </w:tcPr>
          <w:p w14:paraId="523CAC7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noWrap w:val="0"/>
            <w:vAlign w:val="center"/>
          </w:tcPr>
          <w:p w14:paraId="79BB2EC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noWrap w:val="0"/>
            <w:vAlign w:val="center"/>
          </w:tcPr>
          <w:p w14:paraId="304B74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shd w:val="clear" w:color="auto" w:fill="auto"/>
            <w:noWrap w:val="0"/>
            <w:vAlign w:val="center"/>
          </w:tcPr>
          <w:p w14:paraId="36259E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160617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noWrap w:val="0"/>
            <w:vAlign w:val="center"/>
          </w:tcPr>
          <w:p w14:paraId="06EDEE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24</w:t>
            </w:r>
          </w:p>
        </w:tc>
        <w:tc>
          <w:tcPr>
            <w:tcW w:w="607" w:type="pct"/>
            <w:tcBorders>
              <w:tl2br w:val="nil"/>
              <w:tr2bl w:val="nil"/>
            </w:tcBorders>
            <w:shd w:val="clear" w:color="auto" w:fill="auto"/>
            <w:noWrap w:val="0"/>
            <w:vAlign w:val="center"/>
          </w:tcPr>
          <w:p w14:paraId="284F07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镁</w:t>
            </w:r>
          </w:p>
        </w:tc>
        <w:tc>
          <w:tcPr>
            <w:tcW w:w="395" w:type="pct"/>
            <w:tcBorders>
              <w:tl2br w:val="nil"/>
              <w:tr2bl w:val="nil"/>
            </w:tcBorders>
            <w:shd w:val="clear" w:color="auto" w:fill="auto"/>
            <w:noWrap w:val="0"/>
            <w:vAlign w:val="center"/>
          </w:tcPr>
          <w:p w14:paraId="05AC1A5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noWrap w:val="0"/>
            <w:vAlign w:val="center"/>
          </w:tcPr>
          <w:p w14:paraId="2E27262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noWrap w:val="0"/>
            <w:vAlign w:val="center"/>
          </w:tcPr>
          <w:p w14:paraId="42FC67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noWrap w:val="0"/>
            <w:vAlign w:val="center"/>
          </w:tcPr>
          <w:p w14:paraId="582A28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noWrap w:val="0"/>
            <w:vAlign w:val="center"/>
          </w:tcPr>
          <w:p w14:paraId="0875F6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shd w:val="clear" w:color="auto" w:fill="auto"/>
            <w:noWrap w:val="0"/>
            <w:vAlign w:val="center"/>
          </w:tcPr>
          <w:p w14:paraId="0A83ED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594C13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7EF1F5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25</w:t>
            </w:r>
          </w:p>
        </w:tc>
        <w:tc>
          <w:tcPr>
            <w:tcW w:w="607" w:type="pct"/>
            <w:tcBorders>
              <w:tl2br w:val="nil"/>
              <w:tr2bl w:val="nil"/>
            </w:tcBorders>
            <w:shd w:val="clear" w:color="auto" w:fill="auto"/>
            <w:vAlign w:val="center"/>
          </w:tcPr>
          <w:p w14:paraId="461910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氯化物</w:t>
            </w:r>
          </w:p>
        </w:tc>
        <w:tc>
          <w:tcPr>
            <w:tcW w:w="395" w:type="pct"/>
            <w:tcBorders>
              <w:tl2br w:val="nil"/>
              <w:tr2bl w:val="nil"/>
            </w:tcBorders>
            <w:shd w:val="clear" w:color="auto" w:fill="auto"/>
            <w:vAlign w:val="center"/>
          </w:tcPr>
          <w:p w14:paraId="2EC012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135F4D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1.62</w:t>
            </w:r>
          </w:p>
        </w:tc>
        <w:tc>
          <w:tcPr>
            <w:tcW w:w="675" w:type="pct"/>
            <w:tcBorders>
              <w:tl2br w:val="nil"/>
              <w:tr2bl w:val="nil"/>
            </w:tcBorders>
            <w:shd w:val="clear" w:color="auto" w:fill="auto"/>
            <w:vAlign w:val="center"/>
          </w:tcPr>
          <w:p w14:paraId="548C661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1.88</w:t>
            </w:r>
          </w:p>
        </w:tc>
        <w:tc>
          <w:tcPr>
            <w:tcW w:w="758" w:type="pct"/>
            <w:tcBorders>
              <w:tl2br w:val="nil"/>
              <w:tr2bl w:val="nil"/>
            </w:tcBorders>
            <w:shd w:val="clear" w:color="auto" w:fill="auto"/>
            <w:vAlign w:val="center"/>
          </w:tcPr>
          <w:p w14:paraId="594BAD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0.84</w:t>
            </w:r>
          </w:p>
        </w:tc>
        <w:tc>
          <w:tcPr>
            <w:tcW w:w="643" w:type="pct"/>
            <w:tcBorders>
              <w:tl2br w:val="nil"/>
              <w:tr2bl w:val="nil"/>
            </w:tcBorders>
            <w:shd w:val="clear" w:color="auto" w:fill="auto"/>
            <w:vAlign w:val="center"/>
          </w:tcPr>
          <w:p w14:paraId="366CF0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1.54</w:t>
            </w:r>
          </w:p>
        </w:tc>
        <w:tc>
          <w:tcPr>
            <w:tcW w:w="633" w:type="pct"/>
            <w:tcBorders>
              <w:tl2br w:val="nil"/>
              <w:tr2bl w:val="nil"/>
            </w:tcBorders>
            <w:shd w:val="clear" w:color="auto" w:fill="auto"/>
            <w:vAlign w:val="center"/>
          </w:tcPr>
          <w:p w14:paraId="73447DC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r>
      <w:tr w14:paraId="2A7A43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64ED21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26</w:t>
            </w:r>
          </w:p>
        </w:tc>
        <w:tc>
          <w:tcPr>
            <w:tcW w:w="607" w:type="pct"/>
            <w:tcBorders>
              <w:tl2br w:val="nil"/>
              <w:tr2bl w:val="nil"/>
            </w:tcBorders>
            <w:shd w:val="clear" w:color="auto" w:fill="auto"/>
            <w:vAlign w:val="center"/>
          </w:tcPr>
          <w:p w14:paraId="7D145D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硫酸盐</w:t>
            </w:r>
          </w:p>
        </w:tc>
        <w:tc>
          <w:tcPr>
            <w:tcW w:w="395" w:type="pct"/>
            <w:tcBorders>
              <w:tl2br w:val="nil"/>
              <w:tr2bl w:val="nil"/>
            </w:tcBorders>
            <w:shd w:val="clear" w:color="auto" w:fill="auto"/>
            <w:vAlign w:val="center"/>
          </w:tcPr>
          <w:p w14:paraId="3B84D6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3CB7E2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2.732</w:t>
            </w:r>
          </w:p>
        </w:tc>
        <w:tc>
          <w:tcPr>
            <w:tcW w:w="675" w:type="pct"/>
            <w:tcBorders>
              <w:tl2br w:val="nil"/>
              <w:tr2bl w:val="nil"/>
            </w:tcBorders>
            <w:shd w:val="clear" w:color="auto" w:fill="auto"/>
            <w:vAlign w:val="center"/>
          </w:tcPr>
          <w:p w14:paraId="1DDEFB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2.772</w:t>
            </w:r>
          </w:p>
        </w:tc>
        <w:tc>
          <w:tcPr>
            <w:tcW w:w="758" w:type="pct"/>
            <w:tcBorders>
              <w:tl2br w:val="nil"/>
              <w:tr2bl w:val="nil"/>
            </w:tcBorders>
            <w:shd w:val="clear" w:color="auto" w:fill="auto"/>
            <w:vAlign w:val="center"/>
          </w:tcPr>
          <w:p w14:paraId="6767CB2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1.604</w:t>
            </w:r>
          </w:p>
        </w:tc>
        <w:tc>
          <w:tcPr>
            <w:tcW w:w="643" w:type="pct"/>
            <w:tcBorders>
              <w:tl2br w:val="nil"/>
              <w:tr2bl w:val="nil"/>
            </w:tcBorders>
            <w:shd w:val="clear" w:color="auto" w:fill="auto"/>
            <w:vAlign w:val="center"/>
          </w:tcPr>
          <w:p w14:paraId="00AD727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2.428</w:t>
            </w:r>
          </w:p>
        </w:tc>
        <w:tc>
          <w:tcPr>
            <w:tcW w:w="633" w:type="pct"/>
            <w:tcBorders>
              <w:tl2br w:val="nil"/>
              <w:tr2bl w:val="nil"/>
            </w:tcBorders>
            <w:shd w:val="clear" w:color="auto" w:fill="auto"/>
            <w:vAlign w:val="center"/>
          </w:tcPr>
          <w:p w14:paraId="3C85F6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≤250</w:t>
            </w:r>
          </w:p>
        </w:tc>
      </w:tr>
      <w:tr w14:paraId="7FCA8B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6D1B9C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27</w:t>
            </w:r>
          </w:p>
        </w:tc>
        <w:tc>
          <w:tcPr>
            <w:tcW w:w="607" w:type="pct"/>
            <w:tcBorders>
              <w:tl2br w:val="nil"/>
              <w:tr2bl w:val="nil"/>
            </w:tcBorders>
            <w:shd w:val="clear" w:color="auto" w:fill="auto"/>
            <w:vAlign w:val="center"/>
          </w:tcPr>
          <w:p w14:paraId="71F34F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碳酸根</w:t>
            </w:r>
          </w:p>
        </w:tc>
        <w:tc>
          <w:tcPr>
            <w:tcW w:w="395" w:type="pct"/>
            <w:tcBorders>
              <w:tl2br w:val="nil"/>
              <w:tr2bl w:val="nil"/>
            </w:tcBorders>
            <w:shd w:val="clear" w:color="auto" w:fill="auto"/>
            <w:vAlign w:val="center"/>
          </w:tcPr>
          <w:p w14:paraId="1C2944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79B350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vAlign w:val="center"/>
          </w:tcPr>
          <w:p w14:paraId="03D883E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vAlign w:val="center"/>
          </w:tcPr>
          <w:p w14:paraId="504DEC7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vAlign w:val="center"/>
          </w:tcPr>
          <w:p w14:paraId="187367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shd w:val="clear" w:color="auto" w:fill="auto"/>
            <w:vAlign w:val="center"/>
          </w:tcPr>
          <w:p w14:paraId="73FDB2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r w14:paraId="4F43EE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40" w:type="pct"/>
            <w:tcBorders>
              <w:tl2br w:val="nil"/>
              <w:tr2bl w:val="nil"/>
            </w:tcBorders>
            <w:shd w:val="clear" w:color="auto" w:fill="auto"/>
            <w:vAlign w:val="center"/>
          </w:tcPr>
          <w:p w14:paraId="6E1987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28</w:t>
            </w:r>
          </w:p>
        </w:tc>
        <w:tc>
          <w:tcPr>
            <w:tcW w:w="607" w:type="pct"/>
            <w:tcBorders>
              <w:tl2br w:val="nil"/>
              <w:tr2bl w:val="nil"/>
            </w:tcBorders>
            <w:shd w:val="clear" w:color="auto" w:fill="auto"/>
            <w:vAlign w:val="center"/>
          </w:tcPr>
          <w:p w14:paraId="3E27FE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碳酸氢根</w:t>
            </w:r>
          </w:p>
        </w:tc>
        <w:tc>
          <w:tcPr>
            <w:tcW w:w="395" w:type="pct"/>
            <w:tcBorders>
              <w:tl2br w:val="nil"/>
              <w:tr2bl w:val="nil"/>
            </w:tcBorders>
            <w:shd w:val="clear" w:color="auto" w:fill="auto"/>
            <w:vAlign w:val="center"/>
          </w:tcPr>
          <w:p w14:paraId="3A85AF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mg/L</w:t>
            </w:r>
          </w:p>
        </w:tc>
        <w:tc>
          <w:tcPr>
            <w:tcW w:w="848" w:type="pct"/>
            <w:tcBorders>
              <w:tl2br w:val="nil"/>
              <w:tr2bl w:val="nil"/>
            </w:tcBorders>
            <w:shd w:val="clear" w:color="auto" w:fill="auto"/>
            <w:vAlign w:val="center"/>
          </w:tcPr>
          <w:p w14:paraId="1F9CE9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75" w:type="pct"/>
            <w:tcBorders>
              <w:tl2br w:val="nil"/>
              <w:tr2bl w:val="nil"/>
            </w:tcBorders>
            <w:shd w:val="clear" w:color="auto" w:fill="auto"/>
            <w:vAlign w:val="center"/>
          </w:tcPr>
          <w:p w14:paraId="19EAFD6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758" w:type="pct"/>
            <w:tcBorders>
              <w:tl2br w:val="nil"/>
              <w:tr2bl w:val="nil"/>
            </w:tcBorders>
            <w:shd w:val="clear" w:color="auto" w:fill="auto"/>
            <w:vAlign w:val="center"/>
          </w:tcPr>
          <w:p w14:paraId="387581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43" w:type="pct"/>
            <w:tcBorders>
              <w:tl2br w:val="nil"/>
              <w:tr2bl w:val="nil"/>
            </w:tcBorders>
            <w:shd w:val="clear" w:color="auto" w:fill="auto"/>
            <w:vAlign w:val="center"/>
          </w:tcPr>
          <w:p w14:paraId="7EC1E3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c>
          <w:tcPr>
            <w:tcW w:w="633" w:type="pct"/>
            <w:tcBorders>
              <w:tl2br w:val="nil"/>
              <w:tr2bl w:val="nil"/>
            </w:tcBorders>
            <w:shd w:val="clear" w:color="auto" w:fill="auto"/>
            <w:vAlign w:val="center"/>
          </w:tcPr>
          <w:p w14:paraId="2DDFEA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w:t>
            </w:r>
          </w:p>
        </w:tc>
      </w:tr>
    </w:tbl>
    <w:p w14:paraId="4AC359B2">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highlight w:val="none"/>
          <w:lang w:val="zh-CN" w:bidi="ar"/>
        </w:rPr>
      </w:pPr>
    </w:p>
    <w:p w14:paraId="3D604786">
      <w:pPr>
        <w:keepNext w:val="0"/>
        <w:keepLines w:val="0"/>
        <w:snapToGrid w:val="0"/>
        <w:ind w:firstLine="480"/>
        <w:rPr>
          <w:rFonts w:hint="default" w:ascii="Times New Roman" w:hAnsi="Times New Roman" w:eastAsia="宋体" w:cs="Times New Roman"/>
          <w:color w:val="auto"/>
          <w:sz w:val="24"/>
          <w:szCs w:val="24"/>
          <w:highlight w:val="none"/>
          <w:lang w:val="en-US" w:eastAsia="zh-CN"/>
        </w:rPr>
        <w:sectPr>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0" w:num="1"/>
          <w:rtlGutter w:val="0"/>
          <w:docGrid w:linePitch="312" w:charSpace="0"/>
        </w:sectPr>
      </w:pPr>
    </w:p>
    <w:p w14:paraId="4C9D6D6B">
      <w:pPr>
        <w:keepNext w:val="0"/>
        <w:keepLines w:val="0"/>
        <w:pageBreakBefore w:val="0"/>
        <w:widowControl w:val="0"/>
        <w:kinsoku/>
        <w:wordWrap/>
        <w:overflowPunct/>
        <w:topLinePunct w:val="0"/>
        <w:autoSpaceDE/>
        <w:autoSpaceDN/>
        <w:bidi w:val="0"/>
        <w:adjustRightInd/>
        <w:snapToGrid w:val="0"/>
        <w:ind w:firstLine="48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根据地下水现状监测结果，评价区地下水</w:t>
      </w:r>
      <w:r>
        <w:rPr>
          <w:rFonts w:hint="default" w:ascii="Times New Roman" w:hAnsi="Times New Roman" w:eastAsia="宋体" w:cs="Times New Roman"/>
          <w:color w:val="auto"/>
          <w:sz w:val="24"/>
          <w:szCs w:val="24"/>
          <w:highlight w:val="none"/>
          <w:lang w:val="en-US" w:eastAsia="zh-CN"/>
        </w:rPr>
        <w:t>除</w:t>
      </w:r>
      <w:r>
        <w:rPr>
          <w:rFonts w:hint="default" w:ascii="Times New Roman" w:hAnsi="Times New Roman" w:eastAsia="宋体" w:cs="Times New Roman"/>
          <w:color w:val="auto"/>
          <w:sz w:val="24"/>
          <w:szCs w:val="24"/>
          <w:highlight w:val="none"/>
          <w:lang w:eastAsia="zh-CN"/>
        </w:rPr>
        <w:t>总硬度、溶解性总固体、钠、氯化物、硫酸盐</w:t>
      </w:r>
      <w:r>
        <w:rPr>
          <w:rFonts w:hint="default" w:ascii="Times New Roman" w:hAnsi="Times New Roman" w:eastAsia="宋体" w:cs="Times New Roman"/>
          <w:color w:val="auto"/>
          <w:sz w:val="24"/>
          <w:szCs w:val="24"/>
          <w:highlight w:val="none"/>
          <w:lang w:val="en-US" w:eastAsia="zh-CN"/>
        </w:rPr>
        <w:t>超标外，其他因子</w:t>
      </w:r>
      <w:r>
        <w:rPr>
          <w:rFonts w:hint="default" w:ascii="Times New Roman" w:hAnsi="Times New Roman" w:eastAsia="宋体" w:cs="Times New Roman"/>
          <w:color w:val="auto"/>
          <w:sz w:val="24"/>
          <w:szCs w:val="24"/>
          <w:highlight w:val="none"/>
          <w:lang w:eastAsia="zh-CN"/>
        </w:rPr>
        <w:t>满足Ⅲ类地下水质量标准；总硬度、溶解性总固体、钠、氯化物、硫酸盐存在不同程度超标现象，主要为区域原生地质背景（碳酸盐岩、侵入岩风化溶滤）导致的本底值偏高，属于原生型超标。</w:t>
      </w:r>
    </w:p>
    <w:p w14:paraId="4BFBF6B0">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4.2.4声环境质量现状与评价</w:t>
      </w:r>
    </w:p>
    <w:p w14:paraId="5EC7A9C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（1）监测布点</w:t>
      </w:r>
    </w:p>
    <w:p w14:paraId="2AA4C16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本项目声环境现状监测，分别在本项目</w:t>
      </w:r>
      <w:r>
        <w:rPr>
          <w:rFonts w:hint="default" w:ascii="Times New Roman" w:hAnsi="Times New Roman" w:cs="Times New Roman"/>
          <w:color w:val="auto"/>
          <w:sz w:val="24"/>
          <w:szCs w:val="24"/>
          <w:highlight w:val="none"/>
          <w:lang w:val="en-US" w:eastAsia="zh-CN"/>
        </w:rPr>
        <w:t>区</w:t>
      </w:r>
      <w:r>
        <w:rPr>
          <w:rFonts w:hint="default" w:ascii="Times New Roman" w:hAnsi="Times New Roman" w:eastAsia="宋体" w:cs="Times New Roman"/>
          <w:color w:val="auto"/>
          <w:sz w:val="24"/>
          <w:szCs w:val="24"/>
          <w:highlight w:val="none"/>
        </w:rPr>
        <w:t>东、南、西、北四个方向的</w:t>
      </w:r>
      <w:r>
        <w:rPr>
          <w:rFonts w:hint="default" w:ascii="Times New Roman" w:hAnsi="Times New Roman" w:cs="Times New Roman"/>
          <w:color w:val="auto"/>
          <w:sz w:val="24"/>
          <w:szCs w:val="24"/>
          <w:highlight w:val="none"/>
          <w:lang w:val="en-US" w:eastAsia="zh-CN"/>
        </w:rPr>
        <w:t>边</w:t>
      </w:r>
      <w:r>
        <w:rPr>
          <w:rFonts w:hint="default" w:ascii="Times New Roman" w:hAnsi="Times New Roman" w:eastAsia="宋体" w:cs="Times New Roman"/>
          <w:color w:val="auto"/>
          <w:sz w:val="24"/>
          <w:szCs w:val="24"/>
          <w:highlight w:val="none"/>
        </w:rPr>
        <w:t>界外1m处各设置1个监测点，共4个监测点，由新疆</w:t>
      </w:r>
      <w:r>
        <w:rPr>
          <w:rFonts w:hint="default" w:ascii="Times New Roman" w:hAnsi="Times New Roman" w:eastAsia="宋体" w:cs="Times New Roman"/>
          <w:color w:val="auto"/>
          <w:sz w:val="24"/>
          <w:szCs w:val="24"/>
          <w:highlight w:val="none"/>
          <w:lang w:val="en-US" w:eastAsia="zh-CN"/>
        </w:rPr>
        <w:t>齐新环境服务</w:t>
      </w:r>
      <w:r>
        <w:rPr>
          <w:rFonts w:hint="default" w:ascii="Times New Roman" w:hAnsi="Times New Roman" w:eastAsia="宋体" w:cs="Times New Roman"/>
          <w:color w:val="auto"/>
          <w:sz w:val="24"/>
          <w:szCs w:val="24"/>
          <w:highlight w:val="none"/>
        </w:rPr>
        <w:t>有限公司进行监测。具体监测点位见图4.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w:t>
      </w:r>
    </w:p>
    <w:p w14:paraId="7F6CCE5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（2）监测因子</w:t>
      </w:r>
    </w:p>
    <w:p w14:paraId="3B8A0A3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监测因子为等效A声级。</w:t>
      </w:r>
    </w:p>
    <w:p w14:paraId="11764E0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（3）测时间及频率</w:t>
      </w:r>
    </w:p>
    <w:p w14:paraId="120381A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w:t>
      </w:r>
      <w:r>
        <w:rPr>
          <w:rFonts w:hint="default" w:ascii="Times New Roman" w:hAnsi="Times New Roman" w:eastAsia="宋体" w:cs="Times New Roman"/>
          <w:color w:val="auto"/>
          <w:sz w:val="24"/>
          <w:szCs w:val="24"/>
          <w:highlight w:val="none"/>
          <w:lang w:val="en-US" w:eastAsia="zh-CN"/>
        </w:rPr>
        <w:t>至</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月</w:t>
      </w:r>
      <w:r>
        <w:rPr>
          <w:rFonts w:hint="default" w:ascii="Times New Roman" w:hAnsi="Times New Roman" w:cs="Times New Roman"/>
          <w:color w:val="auto"/>
          <w:sz w:val="24"/>
          <w:szCs w:val="24"/>
          <w:highlight w:val="none"/>
          <w:lang w:val="en-US" w:eastAsia="zh-CN"/>
        </w:rPr>
        <w:t>31</w:t>
      </w:r>
      <w:r>
        <w:rPr>
          <w:rFonts w:hint="default" w:ascii="Times New Roman" w:hAnsi="Times New Roman" w:eastAsia="宋体" w:cs="Times New Roman"/>
          <w:color w:val="auto"/>
          <w:sz w:val="24"/>
          <w:szCs w:val="24"/>
          <w:highlight w:val="none"/>
          <w:lang w:val="en-US" w:eastAsia="zh-CN"/>
        </w:rPr>
        <w:t>日</w:t>
      </w:r>
      <w:r>
        <w:rPr>
          <w:rFonts w:hint="default" w:ascii="Times New Roman" w:hAnsi="Times New Roman" w:eastAsia="宋体" w:cs="Times New Roman"/>
          <w:color w:val="auto"/>
          <w:sz w:val="24"/>
          <w:szCs w:val="24"/>
          <w:highlight w:val="none"/>
        </w:rPr>
        <w:t>，分昼间和夜间两个时段，各进行一次监测。</w:t>
      </w:r>
    </w:p>
    <w:p w14:paraId="22E659C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（4）评价标准与方法</w:t>
      </w:r>
    </w:p>
    <w:p w14:paraId="200676D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评价标准采用《声环境质量标准》（GB3096-2008）中的</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类声环境功能区标准，评价方法采用监测值与标准值直接比较的方法。</w:t>
      </w:r>
    </w:p>
    <w:p w14:paraId="776DFCE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（5）监测及评价结果</w:t>
      </w:r>
    </w:p>
    <w:p w14:paraId="14D3430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噪声监测及评价结果，见表4.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p>
    <w:p w14:paraId="7B49A883">
      <w:pPr>
        <w:pStyle w:val="19"/>
        <w:widowControl w:val="0"/>
        <w:spacing w:before="0" w:beforeAutospacing="0" w:after="0" w:afterAutospacing="0" w:line="480" w:lineRule="exact"/>
        <w:jc w:val="center"/>
        <w:rPr>
          <w:rFonts w:hint="default" w:ascii="Times New Roman" w:hAnsi="Times New Roman" w:eastAsia="宋体" w:cs="Times New Roman"/>
          <w:b/>
          <w:color w:val="auto"/>
          <w:kern w:val="2"/>
          <w:sz w:val="21"/>
          <w:szCs w:val="21"/>
          <w:highlight w:val="none"/>
          <w:lang w:val="zh-CN" w:bidi="ar"/>
        </w:rPr>
      </w:pPr>
      <w:r>
        <w:rPr>
          <w:rFonts w:hint="default" w:ascii="Times New Roman" w:hAnsi="Times New Roman" w:eastAsia="宋体" w:cs="Times New Roman"/>
          <w:b/>
          <w:color w:val="auto"/>
          <w:kern w:val="2"/>
          <w:sz w:val="21"/>
          <w:szCs w:val="21"/>
          <w:highlight w:val="none"/>
          <w:lang w:val="zh-CN" w:bidi="ar"/>
        </w:rPr>
        <w:t>表4.</w:t>
      </w:r>
      <w:r>
        <w:rPr>
          <w:rFonts w:hint="default" w:ascii="Times New Roman" w:hAnsi="Times New Roman" w:eastAsia="宋体" w:cs="Times New Roman"/>
          <w:b/>
          <w:color w:val="auto"/>
          <w:kern w:val="2"/>
          <w:sz w:val="21"/>
          <w:szCs w:val="21"/>
          <w:highlight w:val="none"/>
          <w:lang w:val="en-US" w:eastAsia="zh-CN" w:bidi="ar"/>
        </w:rPr>
        <w:t>2</w:t>
      </w:r>
      <w:r>
        <w:rPr>
          <w:rFonts w:hint="default" w:ascii="Times New Roman" w:hAnsi="Times New Roman" w:eastAsia="宋体" w:cs="Times New Roman"/>
          <w:b/>
          <w:color w:val="auto"/>
          <w:kern w:val="2"/>
          <w:sz w:val="21"/>
          <w:szCs w:val="21"/>
          <w:highlight w:val="none"/>
          <w:lang w:val="zh-CN" w:bidi="ar"/>
        </w:rPr>
        <w:t>-</w:t>
      </w:r>
      <w:r>
        <w:rPr>
          <w:rFonts w:hint="default" w:ascii="Times New Roman" w:hAnsi="Times New Roman" w:eastAsia="宋体" w:cs="Times New Roman"/>
          <w:b/>
          <w:color w:val="auto"/>
          <w:kern w:val="2"/>
          <w:sz w:val="21"/>
          <w:szCs w:val="21"/>
          <w:highlight w:val="none"/>
          <w:lang w:val="en-US" w:eastAsia="zh-CN" w:bidi="ar"/>
        </w:rPr>
        <w:t>7</w:t>
      </w:r>
      <w:r>
        <w:rPr>
          <w:rFonts w:hint="default" w:ascii="Times New Roman" w:hAnsi="Times New Roman" w:eastAsia="宋体" w:cs="Times New Roman"/>
          <w:b/>
          <w:color w:val="auto"/>
          <w:kern w:val="2"/>
          <w:sz w:val="21"/>
          <w:szCs w:val="21"/>
          <w:highlight w:val="none"/>
          <w:lang w:val="zh-CN" w:bidi="ar"/>
        </w:rPr>
        <w:t xml:space="preserve">    声环境监测及评价结果 单位：dB（A）</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1944"/>
        <w:gridCol w:w="932"/>
        <w:gridCol w:w="941"/>
        <w:gridCol w:w="952"/>
        <w:gridCol w:w="941"/>
        <w:gridCol w:w="941"/>
        <w:gridCol w:w="944"/>
      </w:tblGrid>
      <w:tr w14:paraId="4EDC1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94" w:type="pct"/>
            <w:vMerge w:val="restart"/>
            <w:tcBorders>
              <w:tl2br w:val="nil"/>
              <w:tr2bl w:val="nil"/>
            </w:tcBorders>
            <w:tcMar>
              <w:left w:w="0" w:type="dxa"/>
              <w:right w:w="0" w:type="dxa"/>
            </w:tcMar>
            <w:vAlign w:val="center"/>
          </w:tcPr>
          <w:p w14:paraId="32B0D8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序号</w:t>
            </w:r>
          </w:p>
        </w:tc>
        <w:tc>
          <w:tcPr>
            <w:tcW w:w="1153" w:type="pct"/>
            <w:vMerge w:val="restart"/>
            <w:tcBorders>
              <w:tl2br w:val="nil"/>
              <w:tr2bl w:val="nil"/>
            </w:tcBorders>
            <w:vAlign w:val="center"/>
          </w:tcPr>
          <w:p w14:paraId="157291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监测点</w:t>
            </w:r>
          </w:p>
        </w:tc>
        <w:tc>
          <w:tcPr>
            <w:tcW w:w="1676" w:type="pct"/>
            <w:gridSpan w:val="3"/>
            <w:tcBorders>
              <w:tl2br w:val="nil"/>
              <w:tr2bl w:val="nil"/>
            </w:tcBorders>
            <w:vAlign w:val="center"/>
          </w:tcPr>
          <w:p w14:paraId="18B329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昼间</w:t>
            </w:r>
          </w:p>
        </w:tc>
        <w:tc>
          <w:tcPr>
            <w:tcW w:w="1676" w:type="pct"/>
            <w:gridSpan w:val="3"/>
            <w:tcBorders>
              <w:tl2br w:val="nil"/>
              <w:tr2bl w:val="nil"/>
            </w:tcBorders>
            <w:vAlign w:val="center"/>
          </w:tcPr>
          <w:p w14:paraId="39D6BB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夜间</w:t>
            </w:r>
          </w:p>
        </w:tc>
      </w:tr>
      <w:tr w14:paraId="3C15FE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94" w:type="pct"/>
            <w:vMerge w:val="continue"/>
            <w:tcBorders>
              <w:tl2br w:val="nil"/>
              <w:tr2bl w:val="nil"/>
            </w:tcBorders>
            <w:tcMar>
              <w:left w:w="0" w:type="dxa"/>
              <w:right w:w="0" w:type="dxa"/>
            </w:tcMar>
            <w:vAlign w:val="center"/>
          </w:tcPr>
          <w:p w14:paraId="6C3AF5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53" w:type="pct"/>
            <w:vMerge w:val="continue"/>
            <w:tcBorders>
              <w:tl2br w:val="nil"/>
              <w:tr2bl w:val="nil"/>
            </w:tcBorders>
            <w:vAlign w:val="center"/>
          </w:tcPr>
          <w:p w14:paraId="79B6B6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553" w:type="pct"/>
            <w:tcBorders>
              <w:tl2br w:val="nil"/>
              <w:tr2bl w:val="nil"/>
            </w:tcBorders>
            <w:vAlign w:val="center"/>
          </w:tcPr>
          <w:p w14:paraId="3DF11E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监测值</w:t>
            </w:r>
          </w:p>
        </w:tc>
        <w:tc>
          <w:tcPr>
            <w:tcW w:w="558" w:type="pct"/>
            <w:tcBorders>
              <w:tl2br w:val="nil"/>
              <w:tr2bl w:val="nil"/>
            </w:tcBorders>
            <w:vAlign w:val="center"/>
          </w:tcPr>
          <w:p w14:paraId="3C0740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标准值</w:t>
            </w:r>
          </w:p>
        </w:tc>
        <w:tc>
          <w:tcPr>
            <w:tcW w:w="564" w:type="pct"/>
            <w:tcBorders>
              <w:tl2br w:val="nil"/>
              <w:tr2bl w:val="nil"/>
            </w:tcBorders>
            <w:vAlign w:val="center"/>
          </w:tcPr>
          <w:p w14:paraId="587C77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判定</w:t>
            </w:r>
          </w:p>
        </w:tc>
        <w:tc>
          <w:tcPr>
            <w:tcW w:w="558" w:type="pct"/>
            <w:tcBorders>
              <w:tl2br w:val="nil"/>
              <w:tr2bl w:val="nil"/>
            </w:tcBorders>
            <w:vAlign w:val="center"/>
          </w:tcPr>
          <w:p w14:paraId="15F00A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监测值</w:t>
            </w:r>
          </w:p>
        </w:tc>
        <w:tc>
          <w:tcPr>
            <w:tcW w:w="558" w:type="pct"/>
            <w:tcBorders>
              <w:tl2br w:val="nil"/>
              <w:tr2bl w:val="nil"/>
            </w:tcBorders>
            <w:vAlign w:val="center"/>
          </w:tcPr>
          <w:p w14:paraId="1245CC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标准值</w:t>
            </w:r>
          </w:p>
        </w:tc>
        <w:tc>
          <w:tcPr>
            <w:tcW w:w="559" w:type="pct"/>
            <w:tcBorders>
              <w:tl2br w:val="nil"/>
              <w:tr2bl w:val="nil"/>
            </w:tcBorders>
            <w:vAlign w:val="center"/>
          </w:tcPr>
          <w:p w14:paraId="68CC0B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判定</w:t>
            </w:r>
          </w:p>
        </w:tc>
      </w:tr>
      <w:tr w14:paraId="636C4C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tl2br w:val="nil"/>
              <w:tr2bl w:val="nil"/>
            </w:tcBorders>
            <w:tcMar>
              <w:left w:w="0" w:type="dxa"/>
              <w:right w:w="0" w:type="dxa"/>
            </w:tcMar>
            <w:vAlign w:val="center"/>
          </w:tcPr>
          <w:p w14:paraId="5A90CC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53" w:type="pct"/>
            <w:tcBorders>
              <w:tl2br w:val="nil"/>
              <w:tr2bl w:val="nil"/>
            </w:tcBorders>
            <w:shd w:val="clear" w:color="auto" w:fill="auto"/>
            <w:vAlign w:val="center"/>
          </w:tcPr>
          <w:p w14:paraId="2AE183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厂界南侧外1m处</w:t>
            </w:r>
          </w:p>
        </w:tc>
        <w:tc>
          <w:tcPr>
            <w:tcW w:w="553" w:type="pct"/>
            <w:tcBorders>
              <w:tl2br w:val="nil"/>
              <w:tr2bl w:val="nil"/>
            </w:tcBorders>
            <w:vAlign w:val="center"/>
          </w:tcPr>
          <w:p w14:paraId="32CCF1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51</w:t>
            </w:r>
          </w:p>
        </w:tc>
        <w:tc>
          <w:tcPr>
            <w:tcW w:w="558" w:type="pct"/>
            <w:tcBorders>
              <w:tl2br w:val="nil"/>
              <w:tr2bl w:val="nil"/>
            </w:tcBorders>
            <w:vAlign w:val="center"/>
          </w:tcPr>
          <w:p w14:paraId="7A399F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6</w:t>
            </w:r>
            <w:r>
              <w:rPr>
                <w:rFonts w:hint="default" w:ascii="Times New Roman" w:hAnsi="Times New Roman" w:eastAsia="宋体" w:cs="Times New Roman"/>
                <w:color w:val="auto"/>
                <w:sz w:val="21"/>
                <w:szCs w:val="21"/>
                <w:highlight w:val="none"/>
                <w:lang w:val="en-US" w:eastAsia="zh-CN"/>
              </w:rPr>
              <w:t>0</w:t>
            </w:r>
          </w:p>
        </w:tc>
        <w:tc>
          <w:tcPr>
            <w:tcW w:w="564" w:type="pct"/>
            <w:tcBorders>
              <w:tl2br w:val="nil"/>
              <w:tr2bl w:val="nil"/>
            </w:tcBorders>
            <w:vAlign w:val="center"/>
          </w:tcPr>
          <w:p w14:paraId="27F45F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558" w:type="pct"/>
            <w:tcBorders>
              <w:tl2br w:val="nil"/>
              <w:tr2bl w:val="nil"/>
            </w:tcBorders>
            <w:vAlign w:val="center"/>
          </w:tcPr>
          <w:p w14:paraId="29074C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48</w:t>
            </w:r>
          </w:p>
        </w:tc>
        <w:tc>
          <w:tcPr>
            <w:tcW w:w="558" w:type="pct"/>
            <w:tcBorders>
              <w:tl2br w:val="nil"/>
              <w:tr2bl w:val="nil"/>
            </w:tcBorders>
            <w:vAlign w:val="center"/>
          </w:tcPr>
          <w:p w14:paraId="26223D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val="en-US" w:eastAsia="zh-CN"/>
              </w:rPr>
              <w:t>0</w:t>
            </w:r>
          </w:p>
        </w:tc>
        <w:tc>
          <w:tcPr>
            <w:tcW w:w="559" w:type="pct"/>
            <w:tcBorders>
              <w:tl2br w:val="nil"/>
              <w:tr2bl w:val="nil"/>
            </w:tcBorders>
            <w:vAlign w:val="center"/>
          </w:tcPr>
          <w:p w14:paraId="5057BE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2FCB6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tl2br w:val="nil"/>
              <w:tr2bl w:val="nil"/>
            </w:tcBorders>
            <w:tcMar>
              <w:left w:w="0" w:type="dxa"/>
              <w:right w:w="0" w:type="dxa"/>
            </w:tcMar>
            <w:vAlign w:val="center"/>
          </w:tcPr>
          <w:p w14:paraId="338603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53" w:type="pct"/>
            <w:tcBorders>
              <w:tl2br w:val="nil"/>
              <w:tr2bl w:val="nil"/>
            </w:tcBorders>
            <w:shd w:val="clear" w:color="auto" w:fill="auto"/>
            <w:vAlign w:val="center"/>
          </w:tcPr>
          <w:p w14:paraId="3E56DF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厂界东侧外1m处</w:t>
            </w:r>
          </w:p>
        </w:tc>
        <w:tc>
          <w:tcPr>
            <w:tcW w:w="553" w:type="pct"/>
            <w:tcBorders>
              <w:tl2br w:val="nil"/>
              <w:tr2bl w:val="nil"/>
            </w:tcBorders>
            <w:vAlign w:val="center"/>
          </w:tcPr>
          <w:p w14:paraId="77C847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54</w:t>
            </w:r>
          </w:p>
        </w:tc>
        <w:tc>
          <w:tcPr>
            <w:tcW w:w="558" w:type="pct"/>
            <w:tcBorders>
              <w:tl2br w:val="nil"/>
              <w:tr2bl w:val="nil"/>
            </w:tcBorders>
            <w:vAlign w:val="center"/>
          </w:tcPr>
          <w:p w14:paraId="478301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6</w:t>
            </w:r>
            <w:r>
              <w:rPr>
                <w:rFonts w:hint="default" w:ascii="Times New Roman" w:hAnsi="Times New Roman" w:eastAsia="宋体" w:cs="Times New Roman"/>
                <w:color w:val="auto"/>
                <w:sz w:val="21"/>
                <w:szCs w:val="21"/>
                <w:highlight w:val="none"/>
                <w:lang w:val="en-US" w:eastAsia="zh-CN"/>
              </w:rPr>
              <w:t>0</w:t>
            </w:r>
          </w:p>
        </w:tc>
        <w:tc>
          <w:tcPr>
            <w:tcW w:w="564" w:type="pct"/>
            <w:tcBorders>
              <w:tl2br w:val="nil"/>
              <w:tr2bl w:val="nil"/>
            </w:tcBorders>
            <w:vAlign w:val="center"/>
          </w:tcPr>
          <w:p w14:paraId="26FCED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558" w:type="pct"/>
            <w:tcBorders>
              <w:tl2br w:val="nil"/>
              <w:tr2bl w:val="nil"/>
            </w:tcBorders>
            <w:vAlign w:val="center"/>
          </w:tcPr>
          <w:p w14:paraId="1ED496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48</w:t>
            </w:r>
          </w:p>
        </w:tc>
        <w:tc>
          <w:tcPr>
            <w:tcW w:w="558" w:type="pct"/>
            <w:tcBorders>
              <w:tl2br w:val="nil"/>
              <w:tr2bl w:val="nil"/>
            </w:tcBorders>
            <w:vAlign w:val="center"/>
          </w:tcPr>
          <w:p w14:paraId="341BAC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val="en-US" w:eastAsia="zh-CN"/>
              </w:rPr>
              <w:t>0</w:t>
            </w:r>
          </w:p>
        </w:tc>
        <w:tc>
          <w:tcPr>
            <w:tcW w:w="559" w:type="pct"/>
            <w:tcBorders>
              <w:tl2br w:val="nil"/>
              <w:tr2bl w:val="nil"/>
            </w:tcBorders>
            <w:vAlign w:val="center"/>
          </w:tcPr>
          <w:p w14:paraId="32240B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B4B3A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tl2br w:val="nil"/>
              <w:tr2bl w:val="nil"/>
            </w:tcBorders>
            <w:tcMar>
              <w:left w:w="0" w:type="dxa"/>
              <w:right w:w="0" w:type="dxa"/>
            </w:tcMar>
            <w:vAlign w:val="center"/>
          </w:tcPr>
          <w:p w14:paraId="28C328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53" w:type="pct"/>
            <w:tcBorders>
              <w:tl2br w:val="nil"/>
              <w:tr2bl w:val="nil"/>
            </w:tcBorders>
            <w:shd w:val="clear" w:color="auto" w:fill="auto"/>
            <w:vAlign w:val="center"/>
          </w:tcPr>
          <w:p w14:paraId="58B260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厂界北侧外1m处</w:t>
            </w:r>
          </w:p>
        </w:tc>
        <w:tc>
          <w:tcPr>
            <w:tcW w:w="553" w:type="pct"/>
            <w:tcBorders>
              <w:tl2br w:val="nil"/>
              <w:tr2bl w:val="nil"/>
            </w:tcBorders>
            <w:vAlign w:val="center"/>
          </w:tcPr>
          <w:p w14:paraId="5C6493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52</w:t>
            </w:r>
          </w:p>
        </w:tc>
        <w:tc>
          <w:tcPr>
            <w:tcW w:w="558" w:type="pct"/>
            <w:tcBorders>
              <w:tl2br w:val="nil"/>
              <w:tr2bl w:val="nil"/>
            </w:tcBorders>
            <w:vAlign w:val="center"/>
          </w:tcPr>
          <w:p w14:paraId="3EC949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6</w:t>
            </w:r>
            <w:r>
              <w:rPr>
                <w:rFonts w:hint="default" w:ascii="Times New Roman" w:hAnsi="Times New Roman" w:eastAsia="宋体" w:cs="Times New Roman"/>
                <w:color w:val="auto"/>
                <w:sz w:val="21"/>
                <w:szCs w:val="21"/>
                <w:highlight w:val="none"/>
                <w:lang w:val="en-US" w:eastAsia="zh-CN"/>
              </w:rPr>
              <w:t>0</w:t>
            </w:r>
          </w:p>
        </w:tc>
        <w:tc>
          <w:tcPr>
            <w:tcW w:w="564" w:type="pct"/>
            <w:tcBorders>
              <w:tl2br w:val="nil"/>
              <w:tr2bl w:val="nil"/>
            </w:tcBorders>
            <w:vAlign w:val="center"/>
          </w:tcPr>
          <w:p w14:paraId="2F1552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558" w:type="pct"/>
            <w:tcBorders>
              <w:tl2br w:val="nil"/>
              <w:tr2bl w:val="nil"/>
            </w:tcBorders>
            <w:vAlign w:val="center"/>
          </w:tcPr>
          <w:p w14:paraId="499543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48</w:t>
            </w:r>
          </w:p>
        </w:tc>
        <w:tc>
          <w:tcPr>
            <w:tcW w:w="558" w:type="pct"/>
            <w:tcBorders>
              <w:tl2br w:val="nil"/>
              <w:tr2bl w:val="nil"/>
            </w:tcBorders>
            <w:vAlign w:val="center"/>
          </w:tcPr>
          <w:p w14:paraId="122F97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val="en-US" w:eastAsia="zh-CN"/>
              </w:rPr>
              <w:t>0</w:t>
            </w:r>
          </w:p>
        </w:tc>
        <w:tc>
          <w:tcPr>
            <w:tcW w:w="559" w:type="pct"/>
            <w:tcBorders>
              <w:tl2br w:val="nil"/>
              <w:tr2bl w:val="nil"/>
            </w:tcBorders>
            <w:vAlign w:val="center"/>
          </w:tcPr>
          <w:p w14:paraId="4604F4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3E459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94" w:type="pct"/>
            <w:tcBorders>
              <w:tl2br w:val="nil"/>
              <w:tr2bl w:val="nil"/>
            </w:tcBorders>
            <w:tcMar>
              <w:left w:w="0" w:type="dxa"/>
              <w:right w:w="0" w:type="dxa"/>
            </w:tcMar>
            <w:vAlign w:val="center"/>
          </w:tcPr>
          <w:p w14:paraId="4A91F3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53" w:type="pct"/>
            <w:tcBorders>
              <w:tl2br w:val="nil"/>
              <w:tr2bl w:val="nil"/>
            </w:tcBorders>
            <w:shd w:val="clear" w:color="auto" w:fill="auto"/>
            <w:vAlign w:val="center"/>
          </w:tcPr>
          <w:p w14:paraId="369282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厂界西侧外1m处</w:t>
            </w:r>
          </w:p>
        </w:tc>
        <w:tc>
          <w:tcPr>
            <w:tcW w:w="553" w:type="pct"/>
            <w:tcBorders>
              <w:tl2br w:val="nil"/>
              <w:tr2bl w:val="nil"/>
            </w:tcBorders>
            <w:vAlign w:val="center"/>
          </w:tcPr>
          <w:p w14:paraId="017093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51</w:t>
            </w:r>
          </w:p>
        </w:tc>
        <w:tc>
          <w:tcPr>
            <w:tcW w:w="558" w:type="pct"/>
            <w:tcBorders>
              <w:tl2br w:val="nil"/>
              <w:tr2bl w:val="nil"/>
            </w:tcBorders>
            <w:vAlign w:val="center"/>
          </w:tcPr>
          <w:p w14:paraId="028704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6</w:t>
            </w:r>
            <w:r>
              <w:rPr>
                <w:rFonts w:hint="default" w:ascii="Times New Roman" w:hAnsi="Times New Roman" w:eastAsia="宋体" w:cs="Times New Roman"/>
                <w:color w:val="auto"/>
                <w:sz w:val="21"/>
                <w:szCs w:val="21"/>
                <w:highlight w:val="none"/>
                <w:lang w:val="en-US" w:eastAsia="zh-CN"/>
              </w:rPr>
              <w:t>0</w:t>
            </w:r>
          </w:p>
        </w:tc>
        <w:tc>
          <w:tcPr>
            <w:tcW w:w="564" w:type="pct"/>
            <w:tcBorders>
              <w:tl2br w:val="nil"/>
              <w:tr2bl w:val="nil"/>
            </w:tcBorders>
            <w:vAlign w:val="center"/>
          </w:tcPr>
          <w:p w14:paraId="480D4C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c>
          <w:tcPr>
            <w:tcW w:w="558" w:type="pct"/>
            <w:tcBorders>
              <w:tl2br w:val="nil"/>
              <w:tr2bl w:val="nil"/>
            </w:tcBorders>
            <w:vAlign w:val="center"/>
          </w:tcPr>
          <w:p w14:paraId="4DB50B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47</w:t>
            </w:r>
          </w:p>
        </w:tc>
        <w:tc>
          <w:tcPr>
            <w:tcW w:w="558" w:type="pct"/>
            <w:tcBorders>
              <w:tl2br w:val="nil"/>
              <w:tr2bl w:val="nil"/>
            </w:tcBorders>
            <w:vAlign w:val="center"/>
          </w:tcPr>
          <w:p w14:paraId="0C8E2B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5</w:t>
            </w:r>
            <w:r>
              <w:rPr>
                <w:rFonts w:hint="default" w:ascii="Times New Roman" w:hAnsi="Times New Roman" w:eastAsia="宋体" w:cs="Times New Roman"/>
                <w:color w:val="auto"/>
                <w:sz w:val="21"/>
                <w:szCs w:val="21"/>
                <w:highlight w:val="none"/>
                <w:lang w:val="en-US" w:eastAsia="zh-CN"/>
              </w:rPr>
              <w:t>0</w:t>
            </w:r>
          </w:p>
        </w:tc>
        <w:tc>
          <w:tcPr>
            <w:tcW w:w="559" w:type="pct"/>
            <w:tcBorders>
              <w:tl2br w:val="nil"/>
              <w:tr2bl w:val="nil"/>
            </w:tcBorders>
            <w:vAlign w:val="center"/>
          </w:tcPr>
          <w:p w14:paraId="48037B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14:paraId="191BA4A9">
      <w:pPr>
        <w:pStyle w:val="9"/>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szCs w:val="28"/>
          <w:highlight w:val="none"/>
        </w:rPr>
      </w:pPr>
      <w:r>
        <w:rPr>
          <w:rFonts w:hint="default" w:ascii="Times New Roman" w:hAnsi="Times New Roman" w:eastAsia="宋体" w:cs="Times New Roman"/>
          <w:color w:val="auto"/>
          <w:szCs w:val="28"/>
          <w:highlight w:val="none"/>
        </w:rPr>
        <w:t>评价可知</w:t>
      </w:r>
      <w:r>
        <w:rPr>
          <w:rFonts w:hint="default" w:ascii="Times New Roman" w:hAnsi="Times New Roman" w:cs="Times New Roman"/>
          <w:color w:val="auto"/>
          <w:szCs w:val="28"/>
          <w:highlight w:val="none"/>
          <w:lang w:eastAsia="zh-CN"/>
        </w:rPr>
        <w:t>，</w:t>
      </w:r>
      <w:r>
        <w:rPr>
          <w:rFonts w:hint="default" w:ascii="Times New Roman" w:hAnsi="Times New Roman" w:cs="Times New Roman"/>
          <w:color w:val="auto"/>
          <w:szCs w:val="28"/>
          <w:highlight w:val="none"/>
          <w:lang w:val="en-US" w:eastAsia="zh-CN"/>
        </w:rPr>
        <w:t>项目区边界</w:t>
      </w:r>
      <w:r>
        <w:rPr>
          <w:rFonts w:hint="default" w:ascii="Times New Roman" w:hAnsi="Times New Roman" w:eastAsia="宋体" w:cs="Times New Roman"/>
          <w:color w:val="auto"/>
          <w:szCs w:val="28"/>
          <w:highlight w:val="none"/>
        </w:rPr>
        <w:t>各监测点位噪声监测值均符合《声环境质量标准》（GB3096-2008）中</w:t>
      </w:r>
      <w:r>
        <w:rPr>
          <w:rFonts w:hint="default" w:ascii="Times New Roman" w:hAnsi="Times New Roman" w:eastAsia="宋体" w:cs="Times New Roman"/>
          <w:color w:val="auto"/>
          <w:szCs w:val="28"/>
          <w:highlight w:val="none"/>
          <w:lang w:val="en-US" w:eastAsia="zh-CN"/>
        </w:rPr>
        <w:t>2</w:t>
      </w:r>
      <w:r>
        <w:rPr>
          <w:rFonts w:hint="default" w:ascii="Times New Roman" w:hAnsi="Times New Roman" w:eastAsia="宋体" w:cs="Times New Roman"/>
          <w:color w:val="auto"/>
          <w:szCs w:val="28"/>
          <w:highlight w:val="none"/>
        </w:rPr>
        <w:t>类功能区标准限值要求。</w:t>
      </w:r>
    </w:p>
    <w:p w14:paraId="00DA858B">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highlight w:val="none"/>
          <w:lang w:val="zh-CN" w:bidi="ar"/>
        </w:rPr>
      </w:pPr>
    </w:p>
    <w:p w14:paraId="34F6B47E">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highlight w:val="none"/>
          <w:lang w:val="zh-CN" w:bidi="ar"/>
        </w:rPr>
      </w:pPr>
    </w:p>
    <w:p w14:paraId="0005E9DD">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sectPr>
          <w:headerReference r:id="rId31" w:type="default"/>
          <w:footerReference r:id="rId33" w:type="default"/>
          <w:headerReference r:id="rId32" w:type="even"/>
          <w:footerReference r:id="rId34" w:type="even"/>
          <w:pgSz w:w="11907" w:h="16840"/>
          <w:pgMar w:top="1440" w:right="1800" w:bottom="1440" w:left="1800" w:header="680" w:footer="850" w:gutter="0"/>
          <w:pgBorders>
            <w:top w:val="none" w:sz="0" w:space="0"/>
            <w:left w:val="none" w:sz="0" w:space="0"/>
            <w:bottom w:val="none" w:sz="0" w:space="0"/>
            <w:right w:val="none" w:sz="0" w:space="0"/>
          </w:pgBorders>
          <w:pgNumType w:fmt="decimal"/>
          <w:cols w:space="720" w:num="1"/>
          <w:docGrid w:linePitch="326" w:charSpace="0"/>
        </w:sectPr>
      </w:pPr>
    </w:p>
    <w:p w14:paraId="093029B1">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4.2.5土壤环境质量现状与评价</w:t>
      </w:r>
    </w:p>
    <w:p w14:paraId="21623011">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4.2.5.1</w:t>
      </w:r>
      <w:r>
        <w:rPr>
          <w:rFonts w:hint="default" w:ascii="Times New Roman" w:hAnsi="Times New Roman" w:eastAsia="宋体" w:cs="Times New Roman"/>
          <w:color w:val="auto"/>
          <w:highlight w:val="none"/>
        </w:rPr>
        <w:t>土壤现状调查</w:t>
      </w:r>
    </w:p>
    <w:p w14:paraId="49A71CA5">
      <w:pPr>
        <w:adjustRightInd w:val="0"/>
        <w:snapToGrid w:val="0"/>
        <w:spacing w:line="48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根据“中国土壤数据库”，按照《中国土壤分类与代码》（GB/T17296-2009），评价范围内主要分布</w:t>
      </w:r>
      <w:r>
        <w:rPr>
          <w:rFonts w:hint="default" w:ascii="Times New Roman" w:hAnsi="Times New Roman" w:cs="Times New Roman"/>
          <w:color w:val="auto"/>
          <w:sz w:val="24"/>
          <w:szCs w:val="24"/>
          <w:highlight w:val="none"/>
          <w:lang w:val="en-US" w:eastAsia="zh-CN"/>
        </w:rPr>
        <w:t>石膏灰棕漠土、石质土+</w:t>
      </w:r>
      <w:r>
        <w:rPr>
          <w:rFonts w:hint="default" w:ascii="Times New Roman" w:hAnsi="Times New Roman" w:eastAsia="宋体" w:cs="Times New Roman"/>
          <w:color w:val="auto"/>
          <w:sz w:val="24"/>
          <w:szCs w:val="24"/>
          <w:highlight w:val="none"/>
        </w:rPr>
        <w:t>石膏盐盘棕漠土。</w:t>
      </w:r>
      <w:r>
        <w:rPr>
          <w:rFonts w:hint="default" w:ascii="Times New Roman" w:hAnsi="Times New Roman" w:cs="Times New Roman"/>
          <w:color w:val="auto"/>
          <w:sz w:val="24"/>
          <w:szCs w:val="24"/>
          <w:highlight w:val="none"/>
          <w:lang w:val="en-US" w:eastAsia="zh-CN"/>
        </w:rPr>
        <w:t>本项目分别在两种土壤类型区域设置了两个土壤监测点，并监测了基本因子及特征因子。本项目在矿区内设置了6个表层土壤监测点、5个柱状土壤监测点，矿区范围外设置6个表层土壤监测点，监测布点类型与数量满足《环境影响评价技术导则</w:t>
      </w:r>
      <w:r>
        <w:rPr>
          <w:rFonts w:hint="eastAsia" w:ascii="Times New Roman" w:hAnsi="Times New Roman" w:cs="Times New Roman"/>
          <w:color w:val="auto"/>
          <w:lang w:val="en-US" w:eastAsia="zh-CN"/>
        </w:rPr>
        <w:t xml:space="preserve"> </w:t>
      </w:r>
      <w:r>
        <w:rPr>
          <w:rFonts w:hint="default" w:ascii="Times New Roman" w:hAnsi="Times New Roman" w:cs="Times New Roman"/>
          <w:color w:val="auto"/>
          <w:sz w:val="24"/>
          <w:szCs w:val="24"/>
          <w:highlight w:val="none"/>
          <w:lang w:val="en-US" w:eastAsia="zh-CN"/>
        </w:rPr>
        <w:t>土壤环境（试行）》（HJ964-2018）</w:t>
      </w:r>
      <w:r>
        <w:rPr>
          <w:rFonts w:hint="eastAsia" w:ascii="Times New Roman" w:hAnsi="Times New Roman" w:cs="Times New Roman"/>
          <w:color w:val="auto"/>
          <w:sz w:val="24"/>
          <w:szCs w:val="24"/>
          <w:highlight w:val="none"/>
          <w:lang w:val="en-US" w:eastAsia="zh-CN"/>
        </w:rPr>
        <w:t>污染型</w:t>
      </w:r>
      <w:r>
        <w:rPr>
          <w:rFonts w:hint="default" w:ascii="Times New Roman" w:hAnsi="Times New Roman" w:cs="Times New Roman"/>
          <w:color w:val="auto"/>
          <w:sz w:val="24"/>
          <w:szCs w:val="24"/>
          <w:highlight w:val="none"/>
          <w:lang w:val="en-US" w:eastAsia="zh-CN"/>
        </w:rPr>
        <w:t>一级</w:t>
      </w:r>
      <w:r>
        <w:rPr>
          <w:rFonts w:hint="eastAsia" w:ascii="Times New Roman" w:hAnsi="Times New Roman" w:cs="Times New Roman"/>
          <w:color w:val="auto"/>
          <w:sz w:val="24"/>
          <w:szCs w:val="24"/>
          <w:highlight w:val="none"/>
          <w:lang w:val="en-US" w:eastAsia="zh-CN"/>
        </w:rPr>
        <w:t>，生态型二级的</w:t>
      </w:r>
      <w:r>
        <w:rPr>
          <w:rFonts w:hint="default" w:ascii="Times New Roman" w:hAnsi="Times New Roman" w:cs="Times New Roman"/>
          <w:color w:val="auto"/>
          <w:sz w:val="24"/>
          <w:szCs w:val="24"/>
          <w:highlight w:val="none"/>
          <w:lang w:val="en-US" w:eastAsia="zh-CN"/>
        </w:rPr>
        <w:t>评价布点要求。</w:t>
      </w:r>
    </w:p>
    <w:p w14:paraId="2C58648A">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4.2.5.2</w:t>
      </w:r>
      <w:r>
        <w:rPr>
          <w:rFonts w:hint="default" w:ascii="Times New Roman" w:hAnsi="Times New Roman" w:eastAsia="宋体" w:cs="Times New Roman"/>
          <w:color w:val="auto"/>
          <w:highlight w:val="none"/>
        </w:rPr>
        <w:t>土壤环境质量</w:t>
      </w:r>
    </w:p>
    <w:p w14:paraId="3AF02AF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（1）监测点位与监测项目</w:t>
      </w:r>
    </w:p>
    <w:p w14:paraId="3C3AA21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土壤现状监测由新疆齐新环境服务有限公司监测，监测时间为202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日。具体监测点位见图4.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及</w:t>
      </w:r>
      <w:r>
        <w:rPr>
          <w:rFonts w:hint="default" w:ascii="Times New Roman" w:hAnsi="Times New Roman" w:eastAsia="宋体" w:cs="Times New Roman"/>
          <w:color w:val="auto"/>
          <w:sz w:val="24"/>
          <w:szCs w:val="24"/>
          <w:highlight w:val="none"/>
        </w:rPr>
        <w:t>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w:t>
      </w:r>
    </w:p>
    <w:p w14:paraId="2EFC79D5">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jc w:val="center"/>
        <w:textAlignment w:val="auto"/>
        <w:rPr>
          <w:rFonts w:hint="default" w:ascii="Times New Roman" w:hAnsi="Times New Roman" w:eastAsia="宋体" w:cs="Times New Roman"/>
          <w:b/>
          <w:color w:val="auto"/>
          <w:kern w:val="2"/>
          <w:sz w:val="21"/>
          <w:szCs w:val="21"/>
          <w:highlight w:val="none"/>
          <w:lang w:bidi="ar"/>
        </w:rPr>
      </w:pPr>
      <w:r>
        <w:rPr>
          <w:rFonts w:hint="default" w:ascii="Times New Roman" w:hAnsi="Times New Roman" w:eastAsia="宋体" w:cs="Times New Roman"/>
          <w:b/>
          <w:color w:val="auto"/>
          <w:kern w:val="2"/>
          <w:sz w:val="21"/>
          <w:szCs w:val="21"/>
          <w:highlight w:val="none"/>
          <w:lang w:bidi="ar"/>
        </w:rPr>
        <w:t>表4.</w:t>
      </w:r>
      <w:r>
        <w:rPr>
          <w:rFonts w:hint="default" w:ascii="Times New Roman" w:hAnsi="Times New Roman" w:eastAsia="宋体" w:cs="Times New Roman"/>
          <w:b/>
          <w:color w:val="auto"/>
          <w:kern w:val="2"/>
          <w:sz w:val="21"/>
          <w:szCs w:val="21"/>
          <w:highlight w:val="none"/>
          <w:lang w:val="en-US" w:eastAsia="zh-CN" w:bidi="ar"/>
        </w:rPr>
        <w:t>2</w:t>
      </w:r>
      <w:r>
        <w:rPr>
          <w:rFonts w:hint="default" w:ascii="Times New Roman" w:hAnsi="Times New Roman" w:eastAsia="宋体" w:cs="Times New Roman"/>
          <w:b/>
          <w:color w:val="auto"/>
          <w:kern w:val="2"/>
          <w:sz w:val="21"/>
          <w:szCs w:val="21"/>
          <w:highlight w:val="none"/>
          <w:lang w:bidi="ar"/>
        </w:rPr>
        <w:t>-</w:t>
      </w:r>
      <w:r>
        <w:rPr>
          <w:rFonts w:hint="default" w:ascii="Times New Roman" w:hAnsi="Times New Roman" w:eastAsia="宋体" w:cs="Times New Roman"/>
          <w:b/>
          <w:color w:val="auto"/>
          <w:kern w:val="2"/>
          <w:sz w:val="21"/>
          <w:szCs w:val="21"/>
          <w:highlight w:val="none"/>
          <w:lang w:val="en-US" w:eastAsia="zh-CN" w:bidi="ar"/>
        </w:rPr>
        <w:t>8</w:t>
      </w:r>
      <w:r>
        <w:rPr>
          <w:rFonts w:hint="default" w:ascii="Times New Roman" w:hAnsi="Times New Roman" w:eastAsia="宋体" w:cs="Times New Roman"/>
          <w:b/>
          <w:color w:val="auto"/>
          <w:kern w:val="2"/>
          <w:sz w:val="21"/>
          <w:szCs w:val="21"/>
          <w:highlight w:val="none"/>
          <w:lang w:bidi="ar"/>
        </w:rPr>
        <w:t xml:space="preserve">    土壤质量现状监测布点一览表</w:t>
      </w:r>
    </w:p>
    <w:tbl>
      <w:tblPr>
        <w:tblStyle w:val="2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499"/>
        <w:gridCol w:w="1987"/>
        <w:gridCol w:w="1349"/>
        <w:gridCol w:w="2924"/>
      </w:tblGrid>
      <w:tr w14:paraId="74D12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448" w:type="pct"/>
            <w:tcBorders>
              <w:tl2br w:val="nil"/>
              <w:tr2bl w:val="nil"/>
            </w:tcBorders>
            <w:vAlign w:val="center"/>
          </w:tcPr>
          <w:p w14:paraId="331DC0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编号</w:t>
            </w:r>
          </w:p>
        </w:tc>
        <w:tc>
          <w:tcPr>
            <w:tcW w:w="879" w:type="pct"/>
            <w:tcBorders>
              <w:tl2br w:val="nil"/>
              <w:tr2bl w:val="nil"/>
            </w:tcBorders>
            <w:vAlign w:val="center"/>
          </w:tcPr>
          <w:p w14:paraId="516C07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监测点名称</w:t>
            </w:r>
          </w:p>
        </w:tc>
        <w:tc>
          <w:tcPr>
            <w:tcW w:w="1165" w:type="pct"/>
            <w:tcBorders>
              <w:tl2br w:val="nil"/>
              <w:tr2bl w:val="nil"/>
            </w:tcBorders>
            <w:vAlign w:val="center"/>
          </w:tcPr>
          <w:p w14:paraId="54B15A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点位</w:t>
            </w:r>
          </w:p>
        </w:tc>
        <w:tc>
          <w:tcPr>
            <w:tcW w:w="791" w:type="pct"/>
            <w:tcBorders>
              <w:tl2br w:val="nil"/>
              <w:tr2bl w:val="nil"/>
            </w:tcBorders>
            <w:vAlign w:val="center"/>
          </w:tcPr>
          <w:p w14:paraId="14941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深度</w:t>
            </w:r>
          </w:p>
        </w:tc>
        <w:tc>
          <w:tcPr>
            <w:tcW w:w="1714" w:type="pct"/>
            <w:tcBorders>
              <w:tl2br w:val="nil"/>
              <w:tr2bl w:val="nil"/>
            </w:tcBorders>
            <w:vAlign w:val="center"/>
          </w:tcPr>
          <w:p w14:paraId="29CF48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监测因子</w:t>
            </w:r>
          </w:p>
        </w:tc>
      </w:tr>
      <w:tr w14:paraId="427AE5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restart"/>
            <w:tcBorders>
              <w:tl2br w:val="nil"/>
              <w:tr2bl w:val="nil"/>
            </w:tcBorders>
            <w:vAlign w:val="center"/>
          </w:tcPr>
          <w:p w14:paraId="4B8843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cs="Times New Roman"/>
                <w:color w:val="auto"/>
                <w:sz w:val="21"/>
                <w:szCs w:val="21"/>
                <w:highlight w:val="none"/>
                <w:lang w:val="en-US" w:eastAsia="zh-CN"/>
              </w:rPr>
              <w:t>1</w:t>
            </w:r>
          </w:p>
        </w:tc>
        <w:tc>
          <w:tcPr>
            <w:tcW w:w="879" w:type="pct"/>
            <w:vMerge w:val="restart"/>
            <w:tcBorders>
              <w:tl2br w:val="nil"/>
              <w:tr2bl w:val="nil"/>
            </w:tcBorders>
            <w:vAlign w:val="center"/>
          </w:tcPr>
          <w:p w14:paraId="3BEC10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1#矿区内柱状样点</w:t>
            </w:r>
          </w:p>
        </w:tc>
        <w:tc>
          <w:tcPr>
            <w:tcW w:w="1165" w:type="pct"/>
            <w:vMerge w:val="restart"/>
            <w:tcBorders>
              <w:tl2br w:val="nil"/>
              <w:tr2bl w:val="nil"/>
            </w:tcBorders>
            <w:vAlign w:val="center"/>
          </w:tcPr>
          <w:p w14:paraId="281169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25.70</w:t>
            </w:r>
            <w:r>
              <w:rPr>
                <w:rFonts w:hint="default" w:ascii="Times New Roman" w:hAnsi="Times New Roman" w:eastAsia="宋体" w:cs="Times New Roman"/>
                <w:b w:val="0"/>
                <w:bCs w:val="0"/>
                <w:color w:val="auto"/>
                <w:sz w:val="21"/>
                <w:szCs w:val="21"/>
                <w:highlight w:val="none"/>
              </w:rPr>
              <w:t xml:space="preserve">″ </w:t>
            </w:r>
          </w:p>
          <w:p w14:paraId="67C65D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29.37</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vAlign w:val="center"/>
          </w:tcPr>
          <w:p w14:paraId="7F9829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0~0.5m</w:t>
            </w:r>
          </w:p>
        </w:tc>
        <w:tc>
          <w:tcPr>
            <w:tcW w:w="1714" w:type="pct"/>
            <w:vMerge w:val="restart"/>
            <w:tcBorders>
              <w:tl2br w:val="nil"/>
              <w:tr2bl w:val="nil"/>
            </w:tcBorders>
            <w:vAlign w:val="center"/>
          </w:tcPr>
          <w:p w14:paraId="32A339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镉、镍、铜、汞、砷、铅、六价铬</w:t>
            </w:r>
          </w:p>
        </w:tc>
      </w:tr>
      <w:tr w14:paraId="0C643C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1332F1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7C7B89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3EB8E4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91" w:type="pct"/>
            <w:tcBorders>
              <w:tl2br w:val="nil"/>
              <w:tr2bl w:val="nil"/>
            </w:tcBorders>
            <w:vAlign w:val="center"/>
          </w:tcPr>
          <w:p w14:paraId="1DF85A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0.5～1.5m</w:t>
            </w:r>
          </w:p>
        </w:tc>
        <w:tc>
          <w:tcPr>
            <w:tcW w:w="1714" w:type="pct"/>
            <w:vMerge w:val="continue"/>
            <w:tcBorders>
              <w:tl2br w:val="nil"/>
              <w:tr2bl w:val="nil"/>
            </w:tcBorders>
            <w:vAlign w:val="center"/>
          </w:tcPr>
          <w:p w14:paraId="39EC12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663D6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shd w:val="clear" w:color="auto" w:fill="auto"/>
            <w:vAlign w:val="center"/>
          </w:tcPr>
          <w:p w14:paraId="66BE9B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879" w:type="pct"/>
            <w:vMerge w:val="continue"/>
            <w:tcBorders>
              <w:tl2br w:val="nil"/>
              <w:tr2bl w:val="nil"/>
            </w:tcBorders>
            <w:vAlign w:val="center"/>
          </w:tcPr>
          <w:p w14:paraId="4AA4D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2168AC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p>
        </w:tc>
        <w:tc>
          <w:tcPr>
            <w:tcW w:w="791" w:type="pct"/>
            <w:tcBorders>
              <w:tl2br w:val="nil"/>
              <w:tr2bl w:val="nil"/>
            </w:tcBorders>
            <w:vAlign w:val="center"/>
          </w:tcPr>
          <w:p w14:paraId="7B5447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1.5～3.0m</w:t>
            </w:r>
          </w:p>
        </w:tc>
        <w:tc>
          <w:tcPr>
            <w:tcW w:w="1714" w:type="pct"/>
            <w:vMerge w:val="continue"/>
            <w:tcBorders>
              <w:tl2br w:val="nil"/>
              <w:tr2bl w:val="nil"/>
            </w:tcBorders>
            <w:vAlign w:val="center"/>
          </w:tcPr>
          <w:p w14:paraId="6DF75B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0C6BA9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restart"/>
            <w:tcBorders>
              <w:tl2br w:val="nil"/>
              <w:tr2bl w:val="nil"/>
            </w:tcBorders>
            <w:vAlign w:val="center"/>
          </w:tcPr>
          <w:p w14:paraId="60796E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cs="Times New Roman"/>
                <w:color w:val="auto"/>
                <w:sz w:val="21"/>
                <w:szCs w:val="21"/>
                <w:highlight w:val="none"/>
                <w:lang w:val="en-US" w:eastAsia="zh-CN"/>
              </w:rPr>
              <w:t>2</w:t>
            </w:r>
          </w:p>
        </w:tc>
        <w:tc>
          <w:tcPr>
            <w:tcW w:w="879" w:type="pct"/>
            <w:vMerge w:val="restart"/>
            <w:tcBorders>
              <w:tl2br w:val="nil"/>
              <w:tr2bl w:val="nil"/>
            </w:tcBorders>
            <w:vAlign w:val="center"/>
          </w:tcPr>
          <w:p w14:paraId="15CDFF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2#矿区内柱状样点</w:t>
            </w:r>
          </w:p>
        </w:tc>
        <w:tc>
          <w:tcPr>
            <w:tcW w:w="1165" w:type="pct"/>
            <w:vMerge w:val="restart"/>
            <w:tcBorders>
              <w:tl2br w:val="nil"/>
              <w:tr2bl w:val="nil"/>
            </w:tcBorders>
            <w:vAlign w:val="center"/>
          </w:tcPr>
          <w:p w14:paraId="0E12BF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23.18</w:t>
            </w:r>
            <w:r>
              <w:rPr>
                <w:rFonts w:hint="default" w:ascii="Times New Roman" w:hAnsi="Times New Roman" w:eastAsia="宋体" w:cs="Times New Roman"/>
                <w:b w:val="0"/>
                <w:bCs w:val="0"/>
                <w:color w:val="auto"/>
                <w:sz w:val="21"/>
                <w:szCs w:val="21"/>
                <w:highlight w:val="none"/>
              </w:rPr>
              <w:t xml:space="preserve">″ </w:t>
            </w:r>
          </w:p>
          <w:p w14:paraId="6C2F6C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11.44</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vAlign w:val="center"/>
          </w:tcPr>
          <w:p w14:paraId="21572F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0~0.5m</w:t>
            </w:r>
          </w:p>
        </w:tc>
        <w:tc>
          <w:tcPr>
            <w:tcW w:w="1714" w:type="pct"/>
            <w:vMerge w:val="restart"/>
            <w:tcBorders>
              <w:tl2br w:val="nil"/>
              <w:tr2bl w:val="nil"/>
            </w:tcBorders>
            <w:vAlign w:val="center"/>
          </w:tcPr>
          <w:p w14:paraId="5BA89A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镉、镍、铜、汞、砷、铅、六价铬</w:t>
            </w:r>
          </w:p>
        </w:tc>
      </w:tr>
      <w:tr w14:paraId="597876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00810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6FB028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5EBC4C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91" w:type="pct"/>
            <w:tcBorders>
              <w:tl2br w:val="nil"/>
              <w:tr2bl w:val="nil"/>
            </w:tcBorders>
            <w:vAlign w:val="center"/>
          </w:tcPr>
          <w:p w14:paraId="6DB7E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0.5～1.5m</w:t>
            </w:r>
          </w:p>
        </w:tc>
        <w:tc>
          <w:tcPr>
            <w:tcW w:w="1714" w:type="pct"/>
            <w:vMerge w:val="continue"/>
            <w:tcBorders>
              <w:tl2br w:val="nil"/>
              <w:tr2bl w:val="nil"/>
            </w:tcBorders>
            <w:vAlign w:val="center"/>
          </w:tcPr>
          <w:p w14:paraId="3C6BB3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49011C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shd w:val="clear" w:color="auto" w:fill="auto"/>
            <w:vAlign w:val="center"/>
          </w:tcPr>
          <w:p w14:paraId="7DDFC5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879" w:type="pct"/>
            <w:vMerge w:val="continue"/>
            <w:tcBorders>
              <w:tl2br w:val="nil"/>
              <w:tr2bl w:val="nil"/>
            </w:tcBorders>
            <w:vAlign w:val="center"/>
          </w:tcPr>
          <w:p w14:paraId="15D830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166605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p>
        </w:tc>
        <w:tc>
          <w:tcPr>
            <w:tcW w:w="791" w:type="pct"/>
            <w:tcBorders>
              <w:tl2br w:val="nil"/>
              <w:tr2bl w:val="nil"/>
            </w:tcBorders>
            <w:vAlign w:val="center"/>
          </w:tcPr>
          <w:p w14:paraId="77F6F0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1.5～3.0m</w:t>
            </w:r>
          </w:p>
        </w:tc>
        <w:tc>
          <w:tcPr>
            <w:tcW w:w="1714" w:type="pct"/>
            <w:vMerge w:val="continue"/>
            <w:tcBorders>
              <w:tl2br w:val="nil"/>
              <w:tr2bl w:val="nil"/>
            </w:tcBorders>
            <w:vAlign w:val="center"/>
          </w:tcPr>
          <w:p w14:paraId="132D16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79902F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restart"/>
            <w:tcBorders>
              <w:tl2br w:val="nil"/>
              <w:tr2bl w:val="nil"/>
            </w:tcBorders>
            <w:vAlign w:val="center"/>
          </w:tcPr>
          <w:p w14:paraId="343D5D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cs="Times New Roman"/>
                <w:color w:val="auto"/>
                <w:sz w:val="21"/>
                <w:szCs w:val="21"/>
                <w:highlight w:val="none"/>
                <w:lang w:val="en-US" w:eastAsia="zh-CN"/>
              </w:rPr>
              <w:t>3</w:t>
            </w:r>
          </w:p>
        </w:tc>
        <w:tc>
          <w:tcPr>
            <w:tcW w:w="879" w:type="pct"/>
            <w:vMerge w:val="restart"/>
            <w:tcBorders>
              <w:tl2br w:val="nil"/>
              <w:tr2bl w:val="nil"/>
            </w:tcBorders>
            <w:vAlign w:val="center"/>
          </w:tcPr>
          <w:p w14:paraId="61F360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3#矿区内柱状样点</w:t>
            </w:r>
          </w:p>
        </w:tc>
        <w:tc>
          <w:tcPr>
            <w:tcW w:w="1165" w:type="pct"/>
            <w:vMerge w:val="restart"/>
            <w:tcBorders>
              <w:tl2br w:val="nil"/>
              <w:tr2bl w:val="nil"/>
            </w:tcBorders>
            <w:vAlign w:val="center"/>
          </w:tcPr>
          <w:p w14:paraId="12AFB6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26.26</w:t>
            </w:r>
            <w:r>
              <w:rPr>
                <w:rFonts w:hint="default" w:ascii="Times New Roman" w:hAnsi="Times New Roman" w:eastAsia="宋体" w:cs="Times New Roman"/>
                <w:b w:val="0"/>
                <w:bCs w:val="0"/>
                <w:color w:val="auto"/>
                <w:sz w:val="21"/>
                <w:szCs w:val="21"/>
                <w:highlight w:val="none"/>
              </w:rPr>
              <w:t xml:space="preserve">″ </w:t>
            </w:r>
          </w:p>
          <w:p w14:paraId="251518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17</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58.31</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vAlign w:val="center"/>
          </w:tcPr>
          <w:p w14:paraId="45509F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0~0.5m</w:t>
            </w:r>
          </w:p>
        </w:tc>
        <w:tc>
          <w:tcPr>
            <w:tcW w:w="1714" w:type="pct"/>
            <w:vMerge w:val="restart"/>
            <w:tcBorders>
              <w:tl2br w:val="nil"/>
              <w:tr2bl w:val="nil"/>
            </w:tcBorders>
            <w:vAlign w:val="center"/>
          </w:tcPr>
          <w:p w14:paraId="3D75E3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镉、镍、铜、汞、砷、铅、六价铬</w:t>
            </w:r>
          </w:p>
        </w:tc>
      </w:tr>
      <w:tr w14:paraId="156F8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558748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1ACC88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6C82FB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91" w:type="pct"/>
            <w:tcBorders>
              <w:tl2br w:val="nil"/>
              <w:tr2bl w:val="nil"/>
            </w:tcBorders>
            <w:vAlign w:val="center"/>
          </w:tcPr>
          <w:p w14:paraId="739256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0.5～1.5m</w:t>
            </w:r>
          </w:p>
        </w:tc>
        <w:tc>
          <w:tcPr>
            <w:tcW w:w="1714" w:type="pct"/>
            <w:vMerge w:val="continue"/>
            <w:tcBorders>
              <w:tl2br w:val="nil"/>
              <w:tr2bl w:val="nil"/>
            </w:tcBorders>
            <w:vAlign w:val="center"/>
          </w:tcPr>
          <w:p w14:paraId="1D800C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6D2B03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shd w:val="clear" w:color="auto" w:fill="auto"/>
            <w:vAlign w:val="center"/>
          </w:tcPr>
          <w:p w14:paraId="39414D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879" w:type="pct"/>
            <w:vMerge w:val="continue"/>
            <w:tcBorders>
              <w:tl2br w:val="nil"/>
              <w:tr2bl w:val="nil"/>
            </w:tcBorders>
            <w:vAlign w:val="center"/>
          </w:tcPr>
          <w:p w14:paraId="06AEA0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783911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p>
        </w:tc>
        <w:tc>
          <w:tcPr>
            <w:tcW w:w="791" w:type="pct"/>
            <w:tcBorders>
              <w:tl2br w:val="nil"/>
              <w:tr2bl w:val="nil"/>
            </w:tcBorders>
            <w:vAlign w:val="center"/>
          </w:tcPr>
          <w:p w14:paraId="0D4D4F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1.5～3.0m</w:t>
            </w:r>
          </w:p>
        </w:tc>
        <w:tc>
          <w:tcPr>
            <w:tcW w:w="1714" w:type="pct"/>
            <w:vMerge w:val="continue"/>
            <w:tcBorders>
              <w:tl2br w:val="nil"/>
              <w:tr2bl w:val="nil"/>
            </w:tcBorders>
            <w:vAlign w:val="center"/>
          </w:tcPr>
          <w:p w14:paraId="33F461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2A3C2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restart"/>
            <w:tcBorders>
              <w:tl2br w:val="nil"/>
              <w:tr2bl w:val="nil"/>
            </w:tcBorders>
            <w:vAlign w:val="center"/>
          </w:tcPr>
          <w:p w14:paraId="223AA2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cs="Times New Roman"/>
                <w:color w:val="auto"/>
                <w:sz w:val="21"/>
                <w:szCs w:val="21"/>
                <w:highlight w:val="none"/>
                <w:lang w:val="en-US" w:eastAsia="zh-CN"/>
              </w:rPr>
              <w:t>4</w:t>
            </w:r>
          </w:p>
        </w:tc>
        <w:tc>
          <w:tcPr>
            <w:tcW w:w="879" w:type="pct"/>
            <w:vMerge w:val="restart"/>
            <w:tcBorders>
              <w:tl2br w:val="nil"/>
              <w:tr2bl w:val="nil"/>
            </w:tcBorders>
            <w:vAlign w:val="center"/>
          </w:tcPr>
          <w:p w14:paraId="52F6A3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4#矿区内柱状样点</w:t>
            </w:r>
          </w:p>
        </w:tc>
        <w:tc>
          <w:tcPr>
            <w:tcW w:w="1165" w:type="pct"/>
            <w:vMerge w:val="restart"/>
            <w:tcBorders>
              <w:tl2br w:val="nil"/>
              <w:tr2bl w:val="nil"/>
            </w:tcBorders>
            <w:vAlign w:val="center"/>
          </w:tcPr>
          <w:p w14:paraId="07A6D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33.10</w:t>
            </w:r>
            <w:r>
              <w:rPr>
                <w:rFonts w:hint="default" w:ascii="Times New Roman" w:hAnsi="Times New Roman" w:eastAsia="宋体" w:cs="Times New Roman"/>
                <w:b w:val="0"/>
                <w:bCs w:val="0"/>
                <w:color w:val="auto"/>
                <w:sz w:val="21"/>
                <w:szCs w:val="21"/>
                <w:highlight w:val="none"/>
              </w:rPr>
              <w:t xml:space="preserve">″ </w:t>
            </w:r>
          </w:p>
          <w:p w14:paraId="3C8456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05.94</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vAlign w:val="center"/>
          </w:tcPr>
          <w:p w14:paraId="66733A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0~0.5m</w:t>
            </w:r>
          </w:p>
        </w:tc>
        <w:tc>
          <w:tcPr>
            <w:tcW w:w="1714" w:type="pct"/>
            <w:vMerge w:val="restart"/>
            <w:tcBorders>
              <w:tl2br w:val="nil"/>
              <w:tr2bl w:val="nil"/>
            </w:tcBorders>
            <w:vAlign w:val="center"/>
          </w:tcPr>
          <w:p w14:paraId="291CE3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镉、镍、铜、汞、砷、铅、六价铬</w:t>
            </w:r>
          </w:p>
        </w:tc>
      </w:tr>
      <w:tr w14:paraId="10F2E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485A70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7498B7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50B9E8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91" w:type="pct"/>
            <w:tcBorders>
              <w:tl2br w:val="nil"/>
              <w:tr2bl w:val="nil"/>
            </w:tcBorders>
            <w:vAlign w:val="center"/>
          </w:tcPr>
          <w:p w14:paraId="13405A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0.5～1.5m</w:t>
            </w:r>
          </w:p>
        </w:tc>
        <w:tc>
          <w:tcPr>
            <w:tcW w:w="1714" w:type="pct"/>
            <w:vMerge w:val="continue"/>
            <w:tcBorders>
              <w:tl2br w:val="nil"/>
              <w:tr2bl w:val="nil"/>
            </w:tcBorders>
            <w:vAlign w:val="center"/>
          </w:tcPr>
          <w:p w14:paraId="35D245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32CA9C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shd w:val="clear" w:color="auto" w:fill="auto"/>
            <w:vAlign w:val="center"/>
          </w:tcPr>
          <w:p w14:paraId="032F81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879" w:type="pct"/>
            <w:vMerge w:val="continue"/>
            <w:tcBorders>
              <w:tl2br w:val="nil"/>
              <w:tr2bl w:val="nil"/>
            </w:tcBorders>
            <w:vAlign w:val="center"/>
          </w:tcPr>
          <w:p w14:paraId="546892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342E08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p>
        </w:tc>
        <w:tc>
          <w:tcPr>
            <w:tcW w:w="791" w:type="pct"/>
            <w:tcBorders>
              <w:tl2br w:val="nil"/>
              <w:tr2bl w:val="nil"/>
            </w:tcBorders>
            <w:vAlign w:val="center"/>
          </w:tcPr>
          <w:p w14:paraId="3AF75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1.5～3.0m</w:t>
            </w:r>
          </w:p>
        </w:tc>
        <w:tc>
          <w:tcPr>
            <w:tcW w:w="1714" w:type="pct"/>
            <w:vMerge w:val="continue"/>
            <w:tcBorders>
              <w:tl2br w:val="nil"/>
              <w:tr2bl w:val="nil"/>
            </w:tcBorders>
            <w:vAlign w:val="center"/>
          </w:tcPr>
          <w:p w14:paraId="7603D4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7FDEC6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restart"/>
            <w:tcBorders>
              <w:tl2br w:val="nil"/>
              <w:tr2bl w:val="nil"/>
            </w:tcBorders>
            <w:vAlign w:val="center"/>
          </w:tcPr>
          <w:p w14:paraId="53A0C4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cs="Times New Roman"/>
                <w:color w:val="auto"/>
                <w:sz w:val="21"/>
                <w:szCs w:val="21"/>
                <w:highlight w:val="none"/>
                <w:lang w:val="en-US" w:eastAsia="zh-CN"/>
              </w:rPr>
              <w:t>5</w:t>
            </w:r>
          </w:p>
        </w:tc>
        <w:tc>
          <w:tcPr>
            <w:tcW w:w="879" w:type="pct"/>
            <w:vMerge w:val="restart"/>
            <w:tcBorders>
              <w:tl2br w:val="nil"/>
              <w:tr2bl w:val="nil"/>
            </w:tcBorders>
            <w:vAlign w:val="center"/>
          </w:tcPr>
          <w:p w14:paraId="12EB00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5#矿区内柱状样点</w:t>
            </w:r>
          </w:p>
        </w:tc>
        <w:tc>
          <w:tcPr>
            <w:tcW w:w="1165" w:type="pct"/>
            <w:vMerge w:val="restart"/>
            <w:tcBorders>
              <w:tl2br w:val="nil"/>
              <w:tr2bl w:val="nil"/>
            </w:tcBorders>
            <w:vAlign w:val="center"/>
          </w:tcPr>
          <w:p w14:paraId="13117B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42.23</w:t>
            </w:r>
            <w:r>
              <w:rPr>
                <w:rFonts w:hint="default" w:ascii="Times New Roman" w:hAnsi="Times New Roman" w:eastAsia="宋体" w:cs="Times New Roman"/>
                <w:b w:val="0"/>
                <w:bCs w:val="0"/>
                <w:color w:val="auto"/>
                <w:sz w:val="21"/>
                <w:szCs w:val="21"/>
                <w:highlight w:val="none"/>
              </w:rPr>
              <w:t xml:space="preserve">″ </w:t>
            </w:r>
          </w:p>
          <w:p w14:paraId="33A8A2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30.55</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vAlign w:val="center"/>
          </w:tcPr>
          <w:p w14:paraId="49C79A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0~0.5m</w:t>
            </w:r>
          </w:p>
        </w:tc>
        <w:tc>
          <w:tcPr>
            <w:tcW w:w="1714" w:type="pct"/>
            <w:vMerge w:val="restart"/>
            <w:tcBorders>
              <w:tl2br w:val="nil"/>
              <w:tr2bl w:val="nil"/>
            </w:tcBorders>
            <w:vAlign w:val="center"/>
          </w:tcPr>
          <w:p w14:paraId="149604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镉、镍、铜、汞、砷、铅、六价铬</w:t>
            </w:r>
          </w:p>
        </w:tc>
      </w:tr>
      <w:tr w14:paraId="15EB29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3D21E9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3F2E3B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1142F2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791" w:type="pct"/>
            <w:tcBorders>
              <w:tl2br w:val="nil"/>
              <w:tr2bl w:val="nil"/>
            </w:tcBorders>
            <w:vAlign w:val="center"/>
          </w:tcPr>
          <w:p w14:paraId="66CA59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0.5～1.5m</w:t>
            </w:r>
          </w:p>
        </w:tc>
        <w:tc>
          <w:tcPr>
            <w:tcW w:w="1714" w:type="pct"/>
            <w:vMerge w:val="continue"/>
            <w:tcBorders>
              <w:tl2br w:val="nil"/>
              <w:tr2bl w:val="nil"/>
            </w:tcBorders>
            <w:vAlign w:val="center"/>
          </w:tcPr>
          <w:p w14:paraId="29EA1F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39E25F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vMerge w:val="continue"/>
            <w:tcBorders>
              <w:tl2br w:val="nil"/>
              <w:tr2bl w:val="nil"/>
            </w:tcBorders>
            <w:vAlign w:val="center"/>
          </w:tcPr>
          <w:p w14:paraId="3D3FC8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9" w:type="pct"/>
            <w:vMerge w:val="continue"/>
            <w:tcBorders>
              <w:tl2br w:val="nil"/>
              <w:tr2bl w:val="nil"/>
            </w:tcBorders>
            <w:vAlign w:val="center"/>
          </w:tcPr>
          <w:p w14:paraId="1FC886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p>
        </w:tc>
        <w:tc>
          <w:tcPr>
            <w:tcW w:w="1165" w:type="pct"/>
            <w:vMerge w:val="continue"/>
            <w:tcBorders>
              <w:tl2br w:val="nil"/>
              <w:tr2bl w:val="nil"/>
            </w:tcBorders>
            <w:vAlign w:val="center"/>
          </w:tcPr>
          <w:p w14:paraId="0D6DD6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p>
        </w:tc>
        <w:tc>
          <w:tcPr>
            <w:tcW w:w="791" w:type="pct"/>
            <w:tcBorders>
              <w:tl2br w:val="nil"/>
              <w:tr2bl w:val="nil"/>
            </w:tcBorders>
            <w:vAlign w:val="center"/>
          </w:tcPr>
          <w:p w14:paraId="50810A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eastAsia="en-US"/>
              </w:rPr>
            </w:pPr>
            <w:r>
              <w:rPr>
                <w:rFonts w:hint="default" w:ascii="Times New Roman" w:hAnsi="Times New Roman" w:eastAsia="宋体" w:cs="Times New Roman"/>
                <w:b w:val="0"/>
                <w:bCs w:val="0"/>
                <w:color w:val="auto"/>
                <w:sz w:val="21"/>
                <w:szCs w:val="21"/>
                <w:highlight w:val="none"/>
              </w:rPr>
              <w:t>1.5～3.0m</w:t>
            </w:r>
          </w:p>
        </w:tc>
        <w:tc>
          <w:tcPr>
            <w:tcW w:w="1714" w:type="pct"/>
            <w:vMerge w:val="continue"/>
            <w:tcBorders>
              <w:tl2br w:val="nil"/>
              <w:tr2bl w:val="nil"/>
            </w:tcBorders>
            <w:vAlign w:val="center"/>
          </w:tcPr>
          <w:p w14:paraId="085497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r>
      <w:tr w14:paraId="4C90B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16DB36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6</w:t>
            </w:r>
          </w:p>
        </w:tc>
        <w:tc>
          <w:tcPr>
            <w:tcW w:w="879" w:type="pct"/>
            <w:tcBorders>
              <w:tl2br w:val="nil"/>
              <w:tr2bl w:val="nil"/>
            </w:tcBorders>
            <w:shd w:val="clear" w:color="auto" w:fill="auto"/>
            <w:vAlign w:val="center"/>
          </w:tcPr>
          <w:p w14:paraId="52D590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6#矿区内表层样点</w:t>
            </w:r>
          </w:p>
        </w:tc>
        <w:tc>
          <w:tcPr>
            <w:tcW w:w="1165" w:type="pct"/>
            <w:tcBorders>
              <w:tl2br w:val="nil"/>
              <w:tr2bl w:val="nil"/>
            </w:tcBorders>
            <w:shd w:val="clear" w:color="auto" w:fill="auto"/>
            <w:vAlign w:val="center"/>
          </w:tcPr>
          <w:p w14:paraId="095B80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54.73</w:t>
            </w:r>
            <w:r>
              <w:rPr>
                <w:rFonts w:hint="default" w:ascii="Times New Roman" w:hAnsi="Times New Roman" w:eastAsia="宋体" w:cs="Times New Roman"/>
                <w:b w:val="0"/>
                <w:bCs w:val="0"/>
                <w:color w:val="auto"/>
                <w:sz w:val="21"/>
                <w:szCs w:val="21"/>
                <w:highlight w:val="none"/>
              </w:rPr>
              <w:t xml:space="preserve">″ </w:t>
            </w:r>
          </w:p>
          <w:p w14:paraId="2EE256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en-US"/>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02.11</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2841F9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233F96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pH、含盐量+45项基本因子</w:t>
            </w:r>
          </w:p>
        </w:tc>
      </w:tr>
      <w:tr w14:paraId="65C9F4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010C2A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7</w:t>
            </w:r>
          </w:p>
        </w:tc>
        <w:tc>
          <w:tcPr>
            <w:tcW w:w="879" w:type="pct"/>
            <w:tcBorders>
              <w:tl2br w:val="nil"/>
              <w:tr2bl w:val="nil"/>
            </w:tcBorders>
            <w:shd w:val="clear" w:color="auto" w:fill="auto"/>
            <w:vAlign w:val="center"/>
          </w:tcPr>
          <w:p w14:paraId="5B79D7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7#矿区内表层样点</w:t>
            </w:r>
          </w:p>
        </w:tc>
        <w:tc>
          <w:tcPr>
            <w:tcW w:w="1165" w:type="pct"/>
            <w:tcBorders>
              <w:tl2br w:val="nil"/>
              <w:tr2bl w:val="nil"/>
            </w:tcBorders>
            <w:shd w:val="clear" w:color="auto" w:fill="auto"/>
            <w:vAlign w:val="center"/>
          </w:tcPr>
          <w:p w14:paraId="61C4E8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01.68</w:t>
            </w:r>
            <w:r>
              <w:rPr>
                <w:rFonts w:hint="default" w:ascii="Times New Roman" w:hAnsi="Times New Roman" w:eastAsia="宋体" w:cs="Times New Roman"/>
                <w:b w:val="0"/>
                <w:bCs w:val="0"/>
                <w:color w:val="auto"/>
                <w:sz w:val="21"/>
                <w:szCs w:val="21"/>
                <w:highlight w:val="none"/>
              </w:rPr>
              <w:t xml:space="preserve">″ </w:t>
            </w:r>
          </w:p>
          <w:p w14:paraId="604A1F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31.23</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219681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74FAFD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镉、镍、铜、汞、砷、铅、六价铬</w:t>
            </w:r>
          </w:p>
        </w:tc>
      </w:tr>
      <w:tr w14:paraId="2BDDEA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2D2161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8</w:t>
            </w:r>
          </w:p>
        </w:tc>
        <w:tc>
          <w:tcPr>
            <w:tcW w:w="879" w:type="pct"/>
            <w:tcBorders>
              <w:tl2br w:val="nil"/>
              <w:tr2bl w:val="nil"/>
            </w:tcBorders>
            <w:shd w:val="clear" w:color="auto" w:fill="auto"/>
            <w:vAlign w:val="center"/>
          </w:tcPr>
          <w:p w14:paraId="2A0928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8#矿区内表层样点</w:t>
            </w:r>
          </w:p>
        </w:tc>
        <w:tc>
          <w:tcPr>
            <w:tcW w:w="1165" w:type="pct"/>
            <w:tcBorders>
              <w:tl2br w:val="nil"/>
              <w:tr2bl w:val="nil"/>
            </w:tcBorders>
            <w:shd w:val="clear" w:color="auto" w:fill="auto"/>
            <w:vAlign w:val="center"/>
          </w:tcPr>
          <w:p w14:paraId="10B291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03.37</w:t>
            </w:r>
            <w:r>
              <w:rPr>
                <w:rFonts w:hint="default" w:ascii="Times New Roman" w:hAnsi="Times New Roman" w:eastAsia="宋体" w:cs="Times New Roman"/>
                <w:b w:val="0"/>
                <w:bCs w:val="0"/>
                <w:color w:val="auto"/>
                <w:sz w:val="21"/>
                <w:szCs w:val="21"/>
                <w:highlight w:val="none"/>
              </w:rPr>
              <w:t xml:space="preserve">″ </w:t>
            </w:r>
          </w:p>
          <w:p w14:paraId="00B1FE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11.94</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2B671D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4C51EC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镉、镍、铜、汞、砷、铅、六价铬</w:t>
            </w:r>
          </w:p>
        </w:tc>
      </w:tr>
      <w:tr w14:paraId="2E935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076893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9</w:t>
            </w:r>
          </w:p>
        </w:tc>
        <w:tc>
          <w:tcPr>
            <w:tcW w:w="879" w:type="pct"/>
            <w:tcBorders>
              <w:tl2br w:val="nil"/>
              <w:tr2bl w:val="nil"/>
            </w:tcBorders>
            <w:shd w:val="clear" w:color="auto" w:fill="auto"/>
            <w:vAlign w:val="center"/>
          </w:tcPr>
          <w:p w14:paraId="6AC1C0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9#矿区内表层样点</w:t>
            </w:r>
          </w:p>
        </w:tc>
        <w:tc>
          <w:tcPr>
            <w:tcW w:w="1165" w:type="pct"/>
            <w:tcBorders>
              <w:tl2br w:val="nil"/>
              <w:tr2bl w:val="nil"/>
            </w:tcBorders>
            <w:shd w:val="clear" w:color="auto" w:fill="auto"/>
            <w:vAlign w:val="center"/>
          </w:tcPr>
          <w:p w14:paraId="792713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10.37</w:t>
            </w:r>
            <w:r>
              <w:rPr>
                <w:rFonts w:hint="default" w:ascii="Times New Roman" w:hAnsi="Times New Roman" w:eastAsia="宋体" w:cs="Times New Roman"/>
                <w:b w:val="0"/>
                <w:bCs w:val="0"/>
                <w:color w:val="auto"/>
                <w:sz w:val="21"/>
                <w:szCs w:val="21"/>
                <w:highlight w:val="none"/>
              </w:rPr>
              <w:t xml:space="preserve">″ </w:t>
            </w:r>
          </w:p>
          <w:p w14:paraId="088B81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16.51</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72EE6D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5F00E8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镉、镍、铜、汞、砷、铅、六价铬</w:t>
            </w:r>
          </w:p>
        </w:tc>
      </w:tr>
      <w:tr w14:paraId="1E69BE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23637A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10</w:t>
            </w:r>
          </w:p>
        </w:tc>
        <w:tc>
          <w:tcPr>
            <w:tcW w:w="879" w:type="pct"/>
            <w:tcBorders>
              <w:tl2br w:val="nil"/>
              <w:tr2bl w:val="nil"/>
            </w:tcBorders>
            <w:shd w:val="clear" w:color="auto" w:fill="auto"/>
            <w:vAlign w:val="center"/>
          </w:tcPr>
          <w:p w14:paraId="17F201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10#矿区内表层样点</w:t>
            </w:r>
          </w:p>
        </w:tc>
        <w:tc>
          <w:tcPr>
            <w:tcW w:w="1165" w:type="pct"/>
            <w:tcBorders>
              <w:tl2br w:val="nil"/>
              <w:tr2bl w:val="nil"/>
            </w:tcBorders>
            <w:shd w:val="clear" w:color="auto" w:fill="auto"/>
            <w:vAlign w:val="center"/>
          </w:tcPr>
          <w:p w14:paraId="6EE12D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21.74</w:t>
            </w:r>
            <w:r>
              <w:rPr>
                <w:rFonts w:hint="default" w:ascii="Times New Roman" w:hAnsi="Times New Roman" w:eastAsia="宋体" w:cs="Times New Roman"/>
                <w:b w:val="0"/>
                <w:bCs w:val="0"/>
                <w:color w:val="auto"/>
                <w:sz w:val="21"/>
                <w:szCs w:val="21"/>
                <w:highlight w:val="none"/>
              </w:rPr>
              <w:t xml:space="preserve">″ </w:t>
            </w:r>
          </w:p>
          <w:p w14:paraId="59BF57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06.09</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0E1F59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4B5347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镉、镍、铜、汞、砷、铅、六价铬</w:t>
            </w:r>
          </w:p>
        </w:tc>
      </w:tr>
      <w:tr w14:paraId="4DEE9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776A4F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11</w:t>
            </w:r>
          </w:p>
        </w:tc>
        <w:tc>
          <w:tcPr>
            <w:tcW w:w="879" w:type="pct"/>
            <w:tcBorders>
              <w:tl2br w:val="nil"/>
              <w:tr2bl w:val="nil"/>
            </w:tcBorders>
            <w:shd w:val="clear" w:color="auto" w:fill="auto"/>
            <w:vAlign w:val="center"/>
          </w:tcPr>
          <w:p w14:paraId="551851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11#矿区外表层样点</w:t>
            </w:r>
          </w:p>
        </w:tc>
        <w:tc>
          <w:tcPr>
            <w:tcW w:w="1165" w:type="pct"/>
            <w:tcBorders>
              <w:tl2br w:val="nil"/>
              <w:tr2bl w:val="nil"/>
            </w:tcBorders>
            <w:shd w:val="clear" w:color="auto" w:fill="auto"/>
            <w:vAlign w:val="center"/>
          </w:tcPr>
          <w:p w14:paraId="24C355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35.65</w:t>
            </w:r>
            <w:r>
              <w:rPr>
                <w:rFonts w:hint="default" w:ascii="Times New Roman" w:hAnsi="Times New Roman" w:eastAsia="宋体" w:cs="Times New Roman"/>
                <w:b w:val="0"/>
                <w:bCs w:val="0"/>
                <w:color w:val="auto"/>
                <w:sz w:val="21"/>
                <w:szCs w:val="21"/>
                <w:highlight w:val="none"/>
              </w:rPr>
              <w:t xml:space="preserve">″ </w:t>
            </w:r>
          </w:p>
          <w:p w14:paraId="28BB99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17</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31.57</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0D765C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0DB680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r w14:paraId="610304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7E0AF4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12</w:t>
            </w:r>
          </w:p>
        </w:tc>
        <w:tc>
          <w:tcPr>
            <w:tcW w:w="879" w:type="pct"/>
            <w:tcBorders>
              <w:tl2br w:val="nil"/>
              <w:tr2bl w:val="nil"/>
            </w:tcBorders>
            <w:shd w:val="clear" w:color="auto" w:fill="auto"/>
            <w:vAlign w:val="center"/>
          </w:tcPr>
          <w:p w14:paraId="40CB16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12#矿区外表层样点</w:t>
            </w:r>
          </w:p>
        </w:tc>
        <w:tc>
          <w:tcPr>
            <w:tcW w:w="1165" w:type="pct"/>
            <w:tcBorders>
              <w:tl2br w:val="nil"/>
              <w:tr2bl w:val="nil"/>
            </w:tcBorders>
            <w:shd w:val="clear" w:color="auto" w:fill="auto"/>
            <w:vAlign w:val="center"/>
          </w:tcPr>
          <w:p w14:paraId="20333E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02.65</w:t>
            </w:r>
            <w:r>
              <w:rPr>
                <w:rFonts w:hint="default" w:ascii="Times New Roman" w:hAnsi="Times New Roman" w:eastAsia="宋体" w:cs="Times New Roman"/>
                <w:b w:val="0"/>
                <w:bCs w:val="0"/>
                <w:color w:val="auto"/>
                <w:sz w:val="21"/>
                <w:szCs w:val="21"/>
                <w:highlight w:val="none"/>
              </w:rPr>
              <w:t xml:space="preserve">″ </w:t>
            </w:r>
          </w:p>
          <w:p w14:paraId="25C19E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17</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33.83</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7262DB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3D44B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r w14:paraId="77B7C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315206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13</w:t>
            </w:r>
          </w:p>
        </w:tc>
        <w:tc>
          <w:tcPr>
            <w:tcW w:w="879" w:type="pct"/>
            <w:tcBorders>
              <w:tl2br w:val="nil"/>
              <w:tr2bl w:val="nil"/>
            </w:tcBorders>
            <w:shd w:val="clear" w:color="auto" w:fill="auto"/>
            <w:vAlign w:val="center"/>
          </w:tcPr>
          <w:p w14:paraId="5B8117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13#矿区外表层样点</w:t>
            </w:r>
          </w:p>
        </w:tc>
        <w:tc>
          <w:tcPr>
            <w:tcW w:w="1165" w:type="pct"/>
            <w:tcBorders>
              <w:tl2br w:val="nil"/>
              <w:tr2bl w:val="nil"/>
            </w:tcBorders>
            <w:shd w:val="clear" w:color="auto" w:fill="auto"/>
            <w:vAlign w:val="center"/>
          </w:tcPr>
          <w:p w14:paraId="3BEC42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39.01</w:t>
            </w:r>
            <w:r>
              <w:rPr>
                <w:rFonts w:hint="default" w:ascii="Times New Roman" w:hAnsi="Times New Roman" w:eastAsia="宋体" w:cs="Times New Roman"/>
                <w:b w:val="0"/>
                <w:bCs w:val="0"/>
                <w:color w:val="auto"/>
                <w:sz w:val="21"/>
                <w:szCs w:val="21"/>
                <w:highlight w:val="none"/>
              </w:rPr>
              <w:t xml:space="preserve">″ </w:t>
            </w:r>
          </w:p>
          <w:p w14:paraId="631845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18</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03.94</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05E296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717C1A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r w14:paraId="6B0DE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5C7D25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14</w:t>
            </w:r>
          </w:p>
        </w:tc>
        <w:tc>
          <w:tcPr>
            <w:tcW w:w="879" w:type="pct"/>
            <w:tcBorders>
              <w:tl2br w:val="nil"/>
              <w:tr2bl w:val="nil"/>
            </w:tcBorders>
            <w:shd w:val="clear" w:color="auto" w:fill="auto"/>
            <w:vAlign w:val="center"/>
          </w:tcPr>
          <w:p w14:paraId="7C3958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14#矿区外表层样点</w:t>
            </w:r>
          </w:p>
        </w:tc>
        <w:tc>
          <w:tcPr>
            <w:tcW w:w="1165" w:type="pct"/>
            <w:tcBorders>
              <w:tl2br w:val="nil"/>
              <w:tr2bl w:val="nil"/>
            </w:tcBorders>
            <w:shd w:val="clear" w:color="auto" w:fill="auto"/>
            <w:vAlign w:val="center"/>
          </w:tcPr>
          <w:p w14:paraId="45C045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41°52'36.33"</w:t>
            </w:r>
          </w:p>
          <w:p w14:paraId="42088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95°18'36.99"</w:t>
            </w:r>
          </w:p>
        </w:tc>
        <w:tc>
          <w:tcPr>
            <w:tcW w:w="791" w:type="pct"/>
            <w:tcBorders>
              <w:tl2br w:val="nil"/>
              <w:tr2bl w:val="nil"/>
            </w:tcBorders>
            <w:shd w:val="clear" w:color="auto" w:fill="auto"/>
            <w:vAlign w:val="center"/>
          </w:tcPr>
          <w:p w14:paraId="4E2269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092BFD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r w14:paraId="511862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38FAFA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15</w:t>
            </w:r>
          </w:p>
        </w:tc>
        <w:tc>
          <w:tcPr>
            <w:tcW w:w="879" w:type="pct"/>
            <w:tcBorders>
              <w:tl2br w:val="nil"/>
              <w:tr2bl w:val="nil"/>
            </w:tcBorders>
            <w:shd w:val="clear" w:color="auto" w:fill="auto"/>
            <w:vAlign w:val="center"/>
          </w:tcPr>
          <w:p w14:paraId="3DA8D9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15#矿区外表层样点</w:t>
            </w:r>
          </w:p>
        </w:tc>
        <w:tc>
          <w:tcPr>
            <w:tcW w:w="1165" w:type="pct"/>
            <w:tcBorders>
              <w:tl2br w:val="nil"/>
              <w:tr2bl w:val="nil"/>
            </w:tcBorders>
            <w:shd w:val="clear" w:color="auto" w:fill="auto"/>
            <w:vAlign w:val="center"/>
          </w:tcPr>
          <w:p w14:paraId="76C7FE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58.77</w:t>
            </w:r>
            <w:r>
              <w:rPr>
                <w:rFonts w:hint="default" w:ascii="Times New Roman" w:hAnsi="Times New Roman" w:eastAsia="宋体" w:cs="Times New Roman"/>
                <w:b w:val="0"/>
                <w:bCs w:val="0"/>
                <w:color w:val="auto"/>
                <w:sz w:val="21"/>
                <w:szCs w:val="21"/>
                <w:highlight w:val="none"/>
              </w:rPr>
              <w:t xml:space="preserve">″ </w:t>
            </w:r>
          </w:p>
          <w:p w14:paraId="11F2AA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19</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00.30</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40A56A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6D6CE4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r w14:paraId="19DDC8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448" w:type="pct"/>
            <w:tcBorders>
              <w:tl2br w:val="nil"/>
              <w:tr2bl w:val="nil"/>
            </w:tcBorders>
            <w:shd w:val="clear" w:color="auto" w:fill="auto"/>
            <w:vAlign w:val="center"/>
          </w:tcPr>
          <w:p w14:paraId="63B4D2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16</w:t>
            </w:r>
          </w:p>
        </w:tc>
        <w:tc>
          <w:tcPr>
            <w:tcW w:w="879" w:type="pct"/>
            <w:tcBorders>
              <w:tl2br w:val="nil"/>
              <w:tr2bl w:val="nil"/>
            </w:tcBorders>
            <w:shd w:val="clear" w:color="auto" w:fill="auto"/>
            <w:vAlign w:val="center"/>
          </w:tcPr>
          <w:p w14:paraId="62A37E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16#矿区外表层样点</w:t>
            </w:r>
          </w:p>
        </w:tc>
        <w:tc>
          <w:tcPr>
            <w:tcW w:w="1165" w:type="pct"/>
            <w:tcBorders>
              <w:tl2br w:val="nil"/>
              <w:tr2bl w:val="nil"/>
            </w:tcBorders>
            <w:shd w:val="clear" w:color="auto" w:fill="auto"/>
            <w:vAlign w:val="center"/>
          </w:tcPr>
          <w:p w14:paraId="16FFE8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N:</w:t>
            </w:r>
            <w:r>
              <w:rPr>
                <w:rFonts w:hint="default" w:ascii="Times New Roman" w:hAnsi="Times New Roman" w:eastAsia="宋体" w:cs="Times New Roman"/>
                <w:b w:val="0"/>
                <w:bCs w:val="0"/>
                <w:color w:val="auto"/>
                <w:sz w:val="21"/>
                <w:szCs w:val="21"/>
                <w:highlight w:val="none"/>
                <w:lang w:val="en-US" w:eastAsia="zh-CN"/>
              </w:rPr>
              <w:t>41</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52</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10.46</w:t>
            </w:r>
            <w:r>
              <w:rPr>
                <w:rFonts w:hint="default" w:ascii="Times New Roman" w:hAnsi="Times New Roman" w:eastAsia="宋体" w:cs="Times New Roman"/>
                <w:b w:val="0"/>
                <w:bCs w:val="0"/>
                <w:color w:val="auto"/>
                <w:sz w:val="21"/>
                <w:szCs w:val="21"/>
                <w:highlight w:val="none"/>
              </w:rPr>
              <w:t xml:space="preserve">″ </w:t>
            </w:r>
          </w:p>
          <w:p w14:paraId="66D4D5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E:</w:t>
            </w:r>
            <w:r>
              <w:rPr>
                <w:rFonts w:hint="default" w:ascii="Times New Roman" w:hAnsi="Times New Roman" w:eastAsia="宋体" w:cs="Times New Roman"/>
                <w:b w:val="0"/>
                <w:bCs w:val="0"/>
                <w:color w:val="auto"/>
                <w:sz w:val="21"/>
                <w:szCs w:val="21"/>
                <w:highlight w:val="none"/>
                <w:lang w:val="en-US" w:eastAsia="zh-CN"/>
              </w:rPr>
              <w:t>95</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17</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55.15</w:t>
            </w:r>
            <w:r>
              <w:rPr>
                <w:rFonts w:hint="default" w:ascii="Times New Roman" w:hAnsi="Times New Roman" w:eastAsia="宋体" w:cs="Times New Roman"/>
                <w:b w:val="0"/>
                <w:bCs w:val="0"/>
                <w:color w:val="auto"/>
                <w:sz w:val="21"/>
                <w:szCs w:val="21"/>
                <w:highlight w:val="none"/>
              </w:rPr>
              <w:t>″</w:t>
            </w:r>
          </w:p>
        </w:tc>
        <w:tc>
          <w:tcPr>
            <w:tcW w:w="791" w:type="pct"/>
            <w:tcBorders>
              <w:tl2br w:val="nil"/>
              <w:tr2bl w:val="nil"/>
            </w:tcBorders>
            <w:shd w:val="clear" w:color="auto" w:fill="auto"/>
            <w:vAlign w:val="center"/>
          </w:tcPr>
          <w:p w14:paraId="56D24F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表层土0~0.2m取样</w:t>
            </w:r>
          </w:p>
        </w:tc>
        <w:tc>
          <w:tcPr>
            <w:tcW w:w="1714" w:type="pct"/>
            <w:tcBorders>
              <w:tl2br w:val="nil"/>
              <w:tr2bl w:val="nil"/>
            </w:tcBorders>
            <w:shd w:val="clear" w:color="auto" w:fill="auto"/>
            <w:vAlign w:val="center"/>
          </w:tcPr>
          <w:p w14:paraId="35B6FD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镉、镍、铜、汞、砷、铅、六价铬</w:t>
            </w:r>
          </w:p>
        </w:tc>
      </w:tr>
    </w:tbl>
    <w:p w14:paraId="6BC12954">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（2）监测时间及检测单位</w:t>
      </w:r>
    </w:p>
    <w:p w14:paraId="7603A757">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bookmarkStart w:id="556" w:name="OLE_LINK887"/>
      <w:bookmarkStart w:id="557" w:name="OLE_LINK888"/>
      <w:r>
        <w:rPr>
          <w:rFonts w:hint="default" w:ascii="Times New Roman" w:hAnsi="Times New Roman" w:eastAsia="宋体" w:cs="Times New Roman"/>
          <w:color w:val="auto"/>
          <w:sz w:val="24"/>
          <w:szCs w:val="24"/>
          <w:highlight w:val="none"/>
        </w:rPr>
        <w:t>本项目土壤检测由新疆齐新环境服务有限公司承担。监测时间为202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月</w:t>
      </w:r>
      <w:r>
        <w:rPr>
          <w:rFonts w:hint="default" w:ascii="Times New Roman" w:hAnsi="Times New Roman"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rPr>
        <w:t>日。</w:t>
      </w:r>
    </w:p>
    <w:p w14:paraId="26C0ADA9">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（3）采样和分析方法</w:t>
      </w:r>
    </w:p>
    <w:p w14:paraId="587D0105">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按要求采集表层土样及柱状土样。其中表层样在0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0.2m取样，柱状样在0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0.5m、0.5</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1.5m、1.5</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3.0m分别取样。采样和分析方法按照《土壤环境监测技术规范》（HJ/T166-2004）的有关规范执行。</w:t>
      </w:r>
    </w:p>
    <w:bookmarkEnd w:id="556"/>
    <w:bookmarkEnd w:id="557"/>
    <w:p w14:paraId="12F1F303">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（4）评价方法与标准</w:t>
      </w:r>
    </w:p>
    <w:p w14:paraId="186EB7A2">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土壤环境质量现状采用标准指数法评价，计算公式如下：</w:t>
      </w:r>
    </w:p>
    <w:p w14:paraId="64EF350B">
      <w:pPr>
        <w:snapToGrid w:val="0"/>
        <w:spacing w:line="480" w:lineRule="exact"/>
        <w:ind w:firstLine="480" w:firstLineChars="20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Pi=Ci/Si</w:t>
      </w:r>
    </w:p>
    <w:p w14:paraId="54624029">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式中，Pi—土壤中污染物i的污染指数；</w:t>
      </w:r>
    </w:p>
    <w:p w14:paraId="4A0E27AC">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Ci—土壤中污染物i的实测含量（mg/kg）；</w:t>
      </w:r>
    </w:p>
    <w:p w14:paraId="790993D3">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Si—土壤污染物的评价标准（mg/kg）。</w:t>
      </w:r>
    </w:p>
    <w:p w14:paraId="7479E2FB">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土壤各元素评价标准采用《土壤环境质量 建设用地土壤污染风险管控标准（试行）》（GB36600-2018）中第二类用地筛选值为评价标准。</w:t>
      </w:r>
    </w:p>
    <w:p w14:paraId="5967159A">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土壤酸化与碱化分级执行《环境影响评价技术导则 土壤环境（试行）》（HJ964-2018）附录D的表D.2。评价方法采用监测值与标准值直接比较的方法。</w:t>
      </w:r>
    </w:p>
    <w:p w14:paraId="62E89F9E">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（5）现状调查结果</w:t>
      </w:r>
    </w:p>
    <w:p w14:paraId="68BE27AB">
      <w:pPr>
        <w:snapToGrid w:val="0"/>
        <w:spacing w:line="4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项目土壤现状调查结果见表4.</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w:t>
      </w:r>
    </w:p>
    <w:p w14:paraId="2FC66F0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lang w:val="zh-CN"/>
        </w:rPr>
        <w:t>表</w:t>
      </w:r>
      <w:r>
        <w:rPr>
          <w:rFonts w:hint="default" w:ascii="Times New Roman" w:hAnsi="Times New Roman" w:eastAsia="宋体" w:cs="Times New Roman"/>
          <w:b/>
          <w:color w:val="auto"/>
          <w:kern w:val="0"/>
          <w:sz w:val="21"/>
          <w:szCs w:val="21"/>
          <w:highlight w:val="none"/>
        </w:rPr>
        <w:t>4.</w:t>
      </w:r>
      <w:r>
        <w:rPr>
          <w:rFonts w:hint="default" w:ascii="Times New Roman" w:hAnsi="Times New Roman" w:eastAsia="宋体" w:cs="Times New Roman"/>
          <w:b/>
          <w:color w:val="auto"/>
          <w:kern w:val="0"/>
          <w:sz w:val="21"/>
          <w:szCs w:val="21"/>
          <w:highlight w:val="none"/>
          <w:lang w:val="en-US" w:eastAsia="zh-CN"/>
        </w:rPr>
        <w:t>2</w:t>
      </w:r>
      <w:r>
        <w:rPr>
          <w:rFonts w:hint="default" w:ascii="Times New Roman" w:hAnsi="Times New Roman" w:eastAsia="宋体" w:cs="Times New Roman"/>
          <w:b/>
          <w:color w:val="auto"/>
          <w:kern w:val="0"/>
          <w:sz w:val="21"/>
          <w:szCs w:val="21"/>
          <w:highlight w:val="none"/>
        </w:rPr>
        <w:t>-</w:t>
      </w:r>
      <w:r>
        <w:rPr>
          <w:rFonts w:hint="default" w:ascii="Times New Roman" w:hAnsi="Times New Roman" w:eastAsia="宋体" w:cs="Times New Roman"/>
          <w:b/>
          <w:color w:val="auto"/>
          <w:kern w:val="0"/>
          <w:sz w:val="21"/>
          <w:szCs w:val="21"/>
          <w:highlight w:val="none"/>
          <w:lang w:val="en-US" w:eastAsia="zh-CN"/>
        </w:rPr>
        <w:t>9</w:t>
      </w:r>
      <w:r>
        <w:rPr>
          <w:rFonts w:hint="default" w:ascii="Times New Roman" w:hAnsi="Times New Roman" w:eastAsia="宋体" w:cs="Times New Roman"/>
          <w:b/>
          <w:color w:val="auto"/>
          <w:kern w:val="0"/>
          <w:sz w:val="21"/>
          <w:szCs w:val="21"/>
          <w:highlight w:val="none"/>
          <w:lang w:val="zh-CN"/>
        </w:rPr>
        <w:t xml:space="preserve">    监测结果统计一览表</w:t>
      </w:r>
      <w:r>
        <w:rPr>
          <w:rFonts w:hint="default" w:ascii="Times New Roman" w:hAnsi="Times New Roman" w:eastAsia="宋体" w:cs="Times New Roman"/>
          <w:b/>
          <w:color w:val="auto"/>
          <w:kern w:val="0"/>
          <w:sz w:val="21"/>
          <w:szCs w:val="21"/>
          <w:highlight w:val="none"/>
        </w:rPr>
        <w:t xml:space="preserve">    </w:t>
      </w:r>
      <w:r>
        <w:rPr>
          <w:rFonts w:hint="default" w:ascii="Times New Roman" w:hAnsi="Times New Roman" w:eastAsia="宋体" w:cs="Times New Roman"/>
          <w:b/>
          <w:color w:val="auto"/>
          <w:kern w:val="0"/>
          <w:sz w:val="21"/>
          <w:szCs w:val="21"/>
          <w:highlight w:val="none"/>
          <w:lang w:val="zh-CN"/>
        </w:rPr>
        <w:t>单位：</w:t>
      </w:r>
      <w:r>
        <w:rPr>
          <w:rFonts w:hint="default" w:ascii="Times New Roman" w:hAnsi="Times New Roman" w:eastAsia="宋体" w:cs="Times New Roman"/>
          <w:b/>
          <w:color w:val="auto"/>
          <w:kern w:val="0"/>
          <w:sz w:val="21"/>
          <w:szCs w:val="21"/>
          <w:highlight w:val="none"/>
        </w:rPr>
        <w:t>m</w:t>
      </w:r>
      <w:r>
        <w:rPr>
          <w:rFonts w:hint="default" w:ascii="Times New Roman" w:hAnsi="Times New Roman" w:eastAsia="宋体" w:cs="Times New Roman"/>
          <w:b/>
          <w:color w:val="auto"/>
          <w:kern w:val="0"/>
          <w:sz w:val="21"/>
          <w:szCs w:val="21"/>
          <w:highlight w:val="none"/>
          <w:lang w:val="zh-CN"/>
        </w:rPr>
        <w:t>g/</w:t>
      </w:r>
      <w:r>
        <w:rPr>
          <w:rFonts w:hint="default" w:ascii="Times New Roman" w:hAnsi="Times New Roman" w:eastAsia="宋体" w:cs="Times New Roman"/>
          <w:b/>
          <w:color w:val="auto"/>
          <w:kern w:val="0"/>
          <w:sz w:val="21"/>
          <w:szCs w:val="21"/>
          <w:highlight w:val="none"/>
        </w:rPr>
        <w:t>kg，pH除外</w:t>
      </w:r>
    </w:p>
    <w:tbl>
      <w:tblPr>
        <w:tblStyle w:val="21"/>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94"/>
        <w:gridCol w:w="1256"/>
        <w:gridCol w:w="559"/>
        <w:gridCol w:w="692"/>
        <w:gridCol w:w="694"/>
        <w:gridCol w:w="692"/>
        <w:gridCol w:w="697"/>
        <w:gridCol w:w="759"/>
        <w:gridCol w:w="690"/>
        <w:gridCol w:w="775"/>
        <w:gridCol w:w="1127"/>
      </w:tblGrid>
      <w:tr w14:paraId="596E34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237" w:type="pct"/>
            <w:vMerge w:val="restart"/>
            <w:tcBorders>
              <w:tl2br w:val="nil"/>
              <w:tr2bl w:val="nil"/>
            </w:tcBorders>
            <w:vAlign w:val="center"/>
          </w:tcPr>
          <w:p w14:paraId="31F4F5CF">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序号</w:t>
            </w:r>
          </w:p>
        </w:tc>
        <w:tc>
          <w:tcPr>
            <w:tcW w:w="753" w:type="pct"/>
            <w:vMerge w:val="restart"/>
            <w:tcBorders>
              <w:tl2br w:val="nil"/>
              <w:tr2bl w:val="nil"/>
            </w:tcBorders>
            <w:vAlign w:val="center"/>
          </w:tcPr>
          <w:p w14:paraId="3950175B">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项目</w:t>
            </w:r>
          </w:p>
        </w:tc>
        <w:tc>
          <w:tcPr>
            <w:tcW w:w="335" w:type="pct"/>
            <w:vMerge w:val="restart"/>
            <w:tcBorders>
              <w:tl2br w:val="nil"/>
              <w:tr2bl w:val="nil"/>
            </w:tcBorders>
            <w:vAlign w:val="center"/>
          </w:tcPr>
          <w:p w14:paraId="29461BD3">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筛选值</w:t>
            </w:r>
          </w:p>
        </w:tc>
        <w:tc>
          <w:tcPr>
            <w:tcW w:w="3673" w:type="pct"/>
            <w:gridSpan w:val="8"/>
            <w:tcBorders>
              <w:tl2br w:val="nil"/>
              <w:tr2bl w:val="nil"/>
            </w:tcBorders>
            <w:vAlign w:val="center"/>
          </w:tcPr>
          <w:p w14:paraId="32A72014">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监测结果</w:t>
            </w:r>
          </w:p>
        </w:tc>
      </w:tr>
      <w:tr w14:paraId="366781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5" w:hRule="atLeast"/>
          <w:tblHeader/>
          <w:jc w:val="center"/>
        </w:trPr>
        <w:tc>
          <w:tcPr>
            <w:tcW w:w="237" w:type="pct"/>
            <w:vMerge w:val="continue"/>
            <w:tcBorders>
              <w:tl2br w:val="nil"/>
              <w:tr2bl w:val="nil"/>
            </w:tcBorders>
            <w:vAlign w:val="center"/>
          </w:tcPr>
          <w:p w14:paraId="5BDCF511">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753" w:type="pct"/>
            <w:vMerge w:val="continue"/>
            <w:tcBorders>
              <w:tl2br w:val="nil"/>
              <w:tr2bl w:val="nil"/>
            </w:tcBorders>
            <w:vAlign w:val="center"/>
          </w:tcPr>
          <w:p w14:paraId="27B02EB7">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335" w:type="pct"/>
            <w:vMerge w:val="continue"/>
            <w:tcBorders>
              <w:tl2br w:val="nil"/>
              <w:tr2bl w:val="nil"/>
            </w:tcBorders>
            <w:vAlign w:val="center"/>
          </w:tcPr>
          <w:p w14:paraId="42FE2BAA">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831" w:type="pct"/>
            <w:gridSpan w:val="2"/>
            <w:vMerge w:val="restart"/>
            <w:tcBorders>
              <w:tl2br w:val="nil"/>
              <w:tr2bl w:val="nil"/>
            </w:tcBorders>
            <w:vAlign w:val="center"/>
          </w:tcPr>
          <w:p w14:paraId="546277EF">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cs="Times New Roman"/>
                <w:b w:val="0"/>
                <w:bCs w:val="0"/>
                <w:color w:val="auto"/>
                <w:kern w:val="0"/>
                <w:sz w:val="21"/>
                <w:szCs w:val="21"/>
                <w:highlight w:val="none"/>
                <w:lang w:val="en-US" w:eastAsia="zh-CN"/>
              </w:rPr>
              <w:t>6</w:t>
            </w:r>
            <w:r>
              <w:rPr>
                <w:rFonts w:hint="default" w:ascii="Times New Roman" w:hAnsi="Times New Roman" w:eastAsia="宋体" w:cs="Times New Roman"/>
                <w:b w:val="0"/>
                <w:bCs w:val="0"/>
                <w:color w:val="auto"/>
                <w:kern w:val="0"/>
                <w:sz w:val="21"/>
                <w:szCs w:val="21"/>
                <w:highlight w:val="none"/>
                <w:lang w:val="en-US" w:eastAsia="zh-CN"/>
              </w:rPr>
              <w:t>#矿区内空地表层样点</w:t>
            </w:r>
            <w:r>
              <w:rPr>
                <w:rFonts w:hint="default" w:ascii="Times New Roman" w:hAnsi="Times New Roman" w:eastAsia="宋体" w:cs="Times New Roman"/>
                <w:b w:val="0"/>
                <w:bCs w:val="0"/>
                <w:color w:val="auto"/>
                <w:kern w:val="0"/>
                <w:sz w:val="21"/>
                <w:szCs w:val="21"/>
                <w:highlight w:val="none"/>
              </w:rPr>
              <w:t>（</w:t>
            </w:r>
            <w:r>
              <w:rPr>
                <w:rFonts w:hint="default" w:ascii="Times New Roman" w:hAnsi="Times New Roman" w:eastAsia="宋体" w:cs="Times New Roman"/>
                <w:b w:val="0"/>
                <w:bCs w:val="0"/>
                <w:color w:val="auto"/>
                <w:sz w:val="21"/>
                <w:szCs w:val="21"/>
                <w:highlight w:val="none"/>
              </w:rPr>
              <w:t>0~0.</w:t>
            </w:r>
            <w:r>
              <w:rPr>
                <w:rFonts w:hint="default"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rPr>
              <w:t>m）</w:t>
            </w:r>
          </w:p>
        </w:tc>
        <w:tc>
          <w:tcPr>
            <w:tcW w:w="2841" w:type="pct"/>
            <w:gridSpan w:val="6"/>
            <w:tcBorders>
              <w:tl2br w:val="nil"/>
              <w:tr2bl w:val="nil"/>
            </w:tcBorders>
            <w:vAlign w:val="center"/>
          </w:tcPr>
          <w:p w14:paraId="5CC0B767">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1#矿区内空地表层样点</w:t>
            </w:r>
          </w:p>
        </w:tc>
      </w:tr>
      <w:tr w14:paraId="0DFC7A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5" w:hRule="atLeast"/>
          <w:tblHeader/>
          <w:jc w:val="center"/>
        </w:trPr>
        <w:tc>
          <w:tcPr>
            <w:tcW w:w="237" w:type="pct"/>
            <w:vMerge w:val="continue"/>
            <w:tcBorders>
              <w:tl2br w:val="nil"/>
              <w:tr2bl w:val="nil"/>
            </w:tcBorders>
            <w:vAlign w:val="center"/>
          </w:tcPr>
          <w:p w14:paraId="531EC9D3">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753" w:type="pct"/>
            <w:vMerge w:val="continue"/>
            <w:tcBorders>
              <w:tl2br w:val="nil"/>
              <w:tr2bl w:val="nil"/>
            </w:tcBorders>
            <w:vAlign w:val="center"/>
          </w:tcPr>
          <w:p w14:paraId="5E2CCFC6">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35" w:type="pct"/>
            <w:vMerge w:val="continue"/>
            <w:tcBorders>
              <w:tl2br w:val="nil"/>
              <w:tr2bl w:val="nil"/>
            </w:tcBorders>
            <w:vAlign w:val="center"/>
          </w:tcPr>
          <w:p w14:paraId="1ED475AF">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831" w:type="pct"/>
            <w:gridSpan w:val="2"/>
            <w:vMerge w:val="continue"/>
            <w:tcBorders>
              <w:tl2br w:val="nil"/>
              <w:tr2bl w:val="nil"/>
            </w:tcBorders>
            <w:vAlign w:val="center"/>
          </w:tcPr>
          <w:p w14:paraId="37434D60">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833" w:type="pct"/>
            <w:gridSpan w:val="2"/>
            <w:tcBorders>
              <w:tl2br w:val="nil"/>
              <w:tr2bl w:val="nil"/>
            </w:tcBorders>
            <w:vAlign w:val="center"/>
          </w:tcPr>
          <w:p w14:paraId="71786A24">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w:t>
            </w:r>
            <w:r>
              <w:rPr>
                <w:rFonts w:hint="default" w:ascii="Times New Roman" w:hAnsi="Times New Roman" w:eastAsia="宋体" w:cs="Times New Roman"/>
                <w:b w:val="0"/>
                <w:bCs w:val="0"/>
                <w:color w:val="auto"/>
                <w:sz w:val="21"/>
                <w:szCs w:val="21"/>
                <w:highlight w:val="none"/>
              </w:rPr>
              <w:t>0~0.5m）</w:t>
            </w:r>
          </w:p>
        </w:tc>
        <w:tc>
          <w:tcPr>
            <w:tcW w:w="869" w:type="pct"/>
            <w:gridSpan w:val="2"/>
            <w:tcBorders>
              <w:tl2br w:val="nil"/>
              <w:tr2bl w:val="nil"/>
            </w:tcBorders>
            <w:vAlign w:val="center"/>
          </w:tcPr>
          <w:p w14:paraId="79FCF3B5">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w:t>
            </w:r>
            <w:r>
              <w:rPr>
                <w:rFonts w:hint="default" w:ascii="Times New Roman" w:hAnsi="Times New Roman" w:eastAsia="宋体" w:cs="Times New Roman"/>
                <w:b w:val="0"/>
                <w:bCs w:val="0"/>
                <w:color w:val="auto"/>
                <w:sz w:val="21"/>
                <w:szCs w:val="21"/>
                <w:highlight w:val="none"/>
              </w:rPr>
              <w:t>0.5～1.5m）</w:t>
            </w:r>
          </w:p>
        </w:tc>
        <w:tc>
          <w:tcPr>
            <w:tcW w:w="1138" w:type="pct"/>
            <w:gridSpan w:val="2"/>
            <w:tcBorders>
              <w:tl2br w:val="nil"/>
              <w:tr2bl w:val="nil"/>
            </w:tcBorders>
            <w:vAlign w:val="center"/>
          </w:tcPr>
          <w:p w14:paraId="2BE3D446">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w:t>
            </w:r>
            <w:r>
              <w:rPr>
                <w:rFonts w:hint="default" w:ascii="Times New Roman" w:hAnsi="Times New Roman" w:eastAsia="宋体" w:cs="Times New Roman"/>
                <w:b w:val="0"/>
                <w:bCs w:val="0"/>
                <w:color w:val="auto"/>
                <w:sz w:val="21"/>
                <w:szCs w:val="21"/>
                <w:highlight w:val="none"/>
              </w:rPr>
              <w:t>1.5～3.0m）</w:t>
            </w:r>
          </w:p>
        </w:tc>
      </w:tr>
      <w:tr w14:paraId="52B7C1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0" w:hRule="atLeast"/>
          <w:tblHeader/>
          <w:jc w:val="center"/>
        </w:trPr>
        <w:tc>
          <w:tcPr>
            <w:tcW w:w="237" w:type="pct"/>
            <w:vMerge w:val="continue"/>
            <w:tcBorders>
              <w:tl2br w:val="nil"/>
              <w:tr2bl w:val="nil"/>
            </w:tcBorders>
            <w:vAlign w:val="center"/>
          </w:tcPr>
          <w:p w14:paraId="20ACE67F">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753" w:type="pct"/>
            <w:vMerge w:val="continue"/>
            <w:tcBorders>
              <w:tl2br w:val="nil"/>
              <w:tr2bl w:val="nil"/>
            </w:tcBorders>
            <w:vAlign w:val="center"/>
          </w:tcPr>
          <w:p w14:paraId="164BDFEF">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335" w:type="pct"/>
            <w:vMerge w:val="continue"/>
            <w:tcBorders>
              <w:tl2br w:val="nil"/>
              <w:tr2bl w:val="nil"/>
            </w:tcBorders>
            <w:vAlign w:val="center"/>
          </w:tcPr>
          <w:p w14:paraId="363DC1F0">
            <w:pPr>
              <w:keepNext w:val="0"/>
              <w:keepLines w:val="0"/>
              <w:pageBreakBefore w:val="0"/>
              <w:suppressLineNumbers w:val="0"/>
              <w:wordWrap/>
              <w:topLinePunct w:val="0"/>
              <w:autoSpaceDE w:val="0"/>
              <w:autoSpaceDN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kern w:val="0"/>
                <w:sz w:val="21"/>
                <w:szCs w:val="21"/>
                <w:highlight w:val="none"/>
              </w:rPr>
            </w:pPr>
          </w:p>
        </w:tc>
        <w:tc>
          <w:tcPr>
            <w:tcW w:w="415" w:type="pct"/>
            <w:tcBorders>
              <w:tl2br w:val="nil"/>
              <w:tr2bl w:val="nil"/>
            </w:tcBorders>
            <w:vAlign w:val="center"/>
          </w:tcPr>
          <w:p w14:paraId="1F6D3E9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监测结果</w:t>
            </w:r>
          </w:p>
        </w:tc>
        <w:tc>
          <w:tcPr>
            <w:tcW w:w="415" w:type="pct"/>
            <w:tcBorders>
              <w:tl2br w:val="nil"/>
              <w:tr2bl w:val="nil"/>
            </w:tcBorders>
            <w:vAlign w:val="center"/>
          </w:tcPr>
          <w:p w14:paraId="37D5429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标准指数</w:t>
            </w:r>
          </w:p>
        </w:tc>
        <w:tc>
          <w:tcPr>
            <w:tcW w:w="415" w:type="pct"/>
            <w:tcBorders>
              <w:tl2br w:val="nil"/>
              <w:tr2bl w:val="nil"/>
            </w:tcBorders>
            <w:vAlign w:val="center"/>
          </w:tcPr>
          <w:p w14:paraId="38381A5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监测结果</w:t>
            </w:r>
          </w:p>
        </w:tc>
        <w:tc>
          <w:tcPr>
            <w:tcW w:w="417" w:type="pct"/>
            <w:tcBorders>
              <w:tl2br w:val="nil"/>
              <w:tr2bl w:val="nil"/>
            </w:tcBorders>
            <w:vAlign w:val="center"/>
          </w:tcPr>
          <w:p w14:paraId="7418F54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标准指数</w:t>
            </w:r>
          </w:p>
        </w:tc>
        <w:tc>
          <w:tcPr>
            <w:tcW w:w="455" w:type="pct"/>
            <w:tcBorders>
              <w:tl2br w:val="nil"/>
              <w:tr2bl w:val="nil"/>
            </w:tcBorders>
            <w:vAlign w:val="center"/>
          </w:tcPr>
          <w:p w14:paraId="624DB7D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监测结果</w:t>
            </w:r>
          </w:p>
        </w:tc>
        <w:tc>
          <w:tcPr>
            <w:tcW w:w="414" w:type="pct"/>
            <w:tcBorders>
              <w:tl2br w:val="nil"/>
              <w:tr2bl w:val="nil"/>
            </w:tcBorders>
            <w:vAlign w:val="center"/>
          </w:tcPr>
          <w:p w14:paraId="337ABBF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标准指数</w:t>
            </w:r>
          </w:p>
        </w:tc>
        <w:tc>
          <w:tcPr>
            <w:tcW w:w="465" w:type="pct"/>
            <w:tcBorders>
              <w:tl2br w:val="nil"/>
              <w:tr2bl w:val="nil"/>
            </w:tcBorders>
            <w:vAlign w:val="center"/>
          </w:tcPr>
          <w:p w14:paraId="5004C0A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监测结果</w:t>
            </w:r>
          </w:p>
        </w:tc>
        <w:tc>
          <w:tcPr>
            <w:tcW w:w="673" w:type="pct"/>
            <w:tcBorders>
              <w:tl2br w:val="nil"/>
              <w:tr2bl w:val="nil"/>
            </w:tcBorders>
            <w:vAlign w:val="center"/>
          </w:tcPr>
          <w:p w14:paraId="3C12EAF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标准指数</w:t>
            </w:r>
          </w:p>
        </w:tc>
      </w:tr>
      <w:tr w14:paraId="5E4691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237" w:type="pct"/>
            <w:tcBorders>
              <w:tl2br w:val="nil"/>
              <w:tr2bl w:val="nil"/>
            </w:tcBorders>
            <w:shd w:val="clear" w:color="auto" w:fill="auto"/>
            <w:vAlign w:val="center"/>
          </w:tcPr>
          <w:p w14:paraId="3E31A3A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w:t>
            </w:r>
          </w:p>
        </w:tc>
        <w:tc>
          <w:tcPr>
            <w:tcW w:w="753" w:type="pct"/>
            <w:tcBorders>
              <w:tl2br w:val="nil"/>
              <w:tr2bl w:val="nil"/>
            </w:tcBorders>
            <w:vAlign w:val="center"/>
          </w:tcPr>
          <w:p w14:paraId="04F5504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含盐量</w:t>
            </w:r>
          </w:p>
        </w:tc>
        <w:tc>
          <w:tcPr>
            <w:tcW w:w="335" w:type="pct"/>
            <w:tcBorders>
              <w:tl2br w:val="nil"/>
              <w:tr2bl w:val="nil"/>
            </w:tcBorders>
            <w:vAlign w:val="center"/>
          </w:tcPr>
          <w:p w14:paraId="05180D0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415" w:type="pct"/>
            <w:tcBorders>
              <w:tl2br w:val="nil"/>
              <w:tr2bl w:val="nil"/>
            </w:tcBorders>
            <w:vAlign w:val="center"/>
          </w:tcPr>
          <w:p w14:paraId="3E2A806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p>
        </w:tc>
        <w:tc>
          <w:tcPr>
            <w:tcW w:w="415" w:type="pct"/>
            <w:tcBorders>
              <w:tl2br w:val="nil"/>
              <w:tr2bl w:val="nil"/>
            </w:tcBorders>
            <w:vAlign w:val="center"/>
          </w:tcPr>
          <w:p w14:paraId="3D6769E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415" w:type="pct"/>
            <w:tcBorders>
              <w:tl2br w:val="nil"/>
              <w:tr2bl w:val="nil"/>
            </w:tcBorders>
            <w:vAlign w:val="center"/>
          </w:tcPr>
          <w:p w14:paraId="25DA2E0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2.6</w:t>
            </w:r>
          </w:p>
        </w:tc>
        <w:tc>
          <w:tcPr>
            <w:tcW w:w="417" w:type="pct"/>
            <w:tcBorders>
              <w:tl2br w:val="nil"/>
              <w:tr2bl w:val="nil"/>
            </w:tcBorders>
            <w:vAlign w:val="center"/>
          </w:tcPr>
          <w:p w14:paraId="7EE8DA8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55" w:type="pct"/>
            <w:tcBorders>
              <w:tl2br w:val="nil"/>
              <w:tr2bl w:val="nil"/>
            </w:tcBorders>
            <w:vAlign w:val="center"/>
          </w:tcPr>
          <w:p w14:paraId="7D59BD4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3.2</w:t>
            </w:r>
          </w:p>
        </w:tc>
        <w:tc>
          <w:tcPr>
            <w:tcW w:w="414" w:type="pct"/>
            <w:tcBorders>
              <w:tl2br w:val="nil"/>
              <w:tr2bl w:val="nil"/>
            </w:tcBorders>
            <w:vAlign w:val="center"/>
          </w:tcPr>
          <w:p w14:paraId="726FF26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65" w:type="pct"/>
            <w:tcBorders>
              <w:tl2br w:val="nil"/>
              <w:tr2bl w:val="nil"/>
            </w:tcBorders>
            <w:vAlign w:val="center"/>
          </w:tcPr>
          <w:p w14:paraId="1B7F0B6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3.7</w:t>
            </w:r>
          </w:p>
        </w:tc>
        <w:tc>
          <w:tcPr>
            <w:tcW w:w="673" w:type="pct"/>
            <w:tcBorders>
              <w:tl2br w:val="nil"/>
              <w:tr2bl w:val="nil"/>
            </w:tcBorders>
            <w:vAlign w:val="center"/>
          </w:tcPr>
          <w:p w14:paraId="3EA3114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333EAE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0" w:hRule="atLeast"/>
          <w:jc w:val="center"/>
        </w:trPr>
        <w:tc>
          <w:tcPr>
            <w:tcW w:w="237" w:type="pct"/>
            <w:tcBorders>
              <w:tl2br w:val="nil"/>
              <w:tr2bl w:val="nil"/>
            </w:tcBorders>
            <w:shd w:val="clear" w:color="auto" w:fill="auto"/>
            <w:vAlign w:val="center"/>
          </w:tcPr>
          <w:p w14:paraId="747ADEB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w:t>
            </w:r>
          </w:p>
        </w:tc>
        <w:tc>
          <w:tcPr>
            <w:tcW w:w="753" w:type="pct"/>
            <w:tcBorders>
              <w:tl2br w:val="nil"/>
              <w:tr2bl w:val="nil"/>
            </w:tcBorders>
            <w:vAlign w:val="center"/>
          </w:tcPr>
          <w:p w14:paraId="0973A6A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pH</w:t>
            </w:r>
          </w:p>
        </w:tc>
        <w:tc>
          <w:tcPr>
            <w:tcW w:w="335" w:type="pct"/>
            <w:tcBorders>
              <w:tl2br w:val="nil"/>
              <w:tr2bl w:val="nil"/>
            </w:tcBorders>
            <w:vAlign w:val="center"/>
          </w:tcPr>
          <w:p w14:paraId="0C3FF6E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415" w:type="pct"/>
            <w:tcBorders>
              <w:tl2br w:val="nil"/>
              <w:tr2bl w:val="nil"/>
            </w:tcBorders>
            <w:vAlign w:val="center"/>
          </w:tcPr>
          <w:p w14:paraId="76B468F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7.98</w:t>
            </w:r>
          </w:p>
        </w:tc>
        <w:tc>
          <w:tcPr>
            <w:tcW w:w="415" w:type="pct"/>
            <w:tcBorders>
              <w:tl2br w:val="nil"/>
              <w:tr2bl w:val="nil"/>
            </w:tcBorders>
            <w:vAlign w:val="center"/>
          </w:tcPr>
          <w:p w14:paraId="0852B78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415" w:type="pct"/>
            <w:tcBorders>
              <w:tl2br w:val="nil"/>
              <w:tr2bl w:val="nil"/>
            </w:tcBorders>
            <w:shd w:val="clear" w:color="auto" w:fill="auto"/>
            <w:vAlign w:val="center"/>
          </w:tcPr>
          <w:p w14:paraId="2AD70B7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8.94</w:t>
            </w:r>
          </w:p>
        </w:tc>
        <w:tc>
          <w:tcPr>
            <w:tcW w:w="417" w:type="pct"/>
            <w:tcBorders>
              <w:tl2br w:val="nil"/>
              <w:tr2bl w:val="nil"/>
            </w:tcBorders>
            <w:shd w:val="clear" w:color="auto" w:fill="auto"/>
            <w:vAlign w:val="center"/>
          </w:tcPr>
          <w:p w14:paraId="29F1985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55" w:type="pct"/>
            <w:tcBorders>
              <w:tl2br w:val="nil"/>
              <w:tr2bl w:val="nil"/>
            </w:tcBorders>
            <w:shd w:val="clear" w:color="auto" w:fill="auto"/>
            <w:vAlign w:val="center"/>
          </w:tcPr>
          <w:p w14:paraId="561D8BD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8.02</w:t>
            </w:r>
          </w:p>
        </w:tc>
        <w:tc>
          <w:tcPr>
            <w:tcW w:w="414" w:type="pct"/>
            <w:tcBorders>
              <w:tl2br w:val="nil"/>
              <w:tr2bl w:val="nil"/>
            </w:tcBorders>
            <w:shd w:val="clear" w:color="auto" w:fill="auto"/>
            <w:vAlign w:val="center"/>
          </w:tcPr>
          <w:p w14:paraId="72D4AEA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65" w:type="pct"/>
            <w:tcBorders>
              <w:tl2br w:val="nil"/>
              <w:tr2bl w:val="nil"/>
            </w:tcBorders>
            <w:shd w:val="clear" w:color="auto" w:fill="auto"/>
            <w:vAlign w:val="center"/>
          </w:tcPr>
          <w:p w14:paraId="10D9D3C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8.47</w:t>
            </w:r>
          </w:p>
        </w:tc>
        <w:tc>
          <w:tcPr>
            <w:tcW w:w="673" w:type="pct"/>
            <w:tcBorders>
              <w:tl2br w:val="nil"/>
              <w:tr2bl w:val="nil"/>
            </w:tcBorders>
            <w:shd w:val="clear" w:color="auto" w:fill="auto"/>
            <w:vAlign w:val="center"/>
          </w:tcPr>
          <w:p w14:paraId="4843110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r>
      <w:tr w14:paraId="13B908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37" w:type="pct"/>
            <w:tcBorders>
              <w:tl2br w:val="nil"/>
              <w:tr2bl w:val="nil"/>
            </w:tcBorders>
            <w:shd w:val="clear" w:color="auto" w:fill="auto"/>
            <w:vAlign w:val="center"/>
          </w:tcPr>
          <w:p w14:paraId="09642235">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w:t>
            </w:r>
          </w:p>
        </w:tc>
        <w:tc>
          <w:tcPr>
            <w:tcW w:w="753" w:type="pct"/>
            <w:tcBorders>
              <w:tl2br w:val="nil"/>
              <w:tr2bl w:val="nil"/>
            </w:tcBorders>
            <w:vAlign w:val="center"/>
          </w:tcPr>
          <w:p w14:paraId="3CF5AC6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砷</w:t>
            </w:r>
          </w:p>
        </w:tc>
        <w:tc>
          <w:tcPr>
            <w:tcW w:w="335" w:type="pct"/>
            <w:tcBorders>
              <w:tl2br w:val="nil"/>
              <w:tr2bl w:val="nil"/>
            </w:tcBorders>
            <w:vAlign w:val="center"/>
          </w:tcPr>
          <w:p w14:paraId="67F9384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60</w:t>
            </w:r>
          </w:p>
        </w:tc>
        <w:tc>
          <w:tcPr>
            <w:tcW w:w="415" w:type="pct"/>
            <w:tcBorders>
              <w:tl2br w:val="nil"/>
              <w:tr2bl w:val="nil"/>
            </w:tcBorders>
            <w:vAlign w:val="center"/>
          </w:tcPr>
          <w:p w14:paraId="54454D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7.36</w:t>
            </w:r>
          </w:p>
        </w:tc>
        <w:tc>
          <w:tcPr>
            <w:tcW w:w="415" w:type="pct"/>
            <w:tcBorders>
              <w:tl2br w:val="nil"/>
              <w:tr2bl w:val="nil"/>
            </w:tcBorders>
            <w:vAlign w:val="center"/>
          </w:tcPr>
          <w:p w14:paraId="41586BC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0.123</w:t>
            </w:r>
          </w:p>
        </w:tc>
        <w:tc>
          <w:tcPr>
            <w:tcW w:w="415" w:type="pct"/>
            <w:tcBorders>
              <w:tl2br w:val="nil"/>
              <w:tr2bl w:val="nil"/>
            </w:tcBorders>
            <w:shd w:val="clear" w:color="auto" w:fill="auto"/>
            <w:vAlign w:val="center"/>
          </w:tcPr>
          <w:p w14:paraId="3A73AC6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9.94</w:t>
            </w:r>
          </w:p>
        </w:tc>
        <w:tc>
          <w:tcPr>
            <w:tcW w:w="417" w:type="pct"/>
            <w:tcBorders>
              <w:tl2br w:val="nil"/>
              <w:tr2bl w:val="nil"/>
            </w:tcBorders>
            <w:shd w:val="clear" w:color="auto" w:fill="auto"/>
            <w:vAlign w:val="center"/>
          </w:tcPr>
          <w:p w14:paraId="419BD64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0.166</w:t>
            </w:r>
          </w:p>
        </w:tc>
        <w:tc>
          <w:tcPr>
            <w:tcW w:w="455" w:type="pct"/>
            <w:tcBorders>
              <w:tl2br w:val="nil"/>
              <w:tr2bl w:val="nil"/>
            </w:tcBorders>
            <w:shd w:val="clear" w:color="auto" w:fill="auto"/>
            <w:vAlign w:val="center"/>
          </w:tcPr>
          <w:p w14:paraId="2331965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8.70</w:t>
            </w:r>
          </w:p>
        </w:tc>
        <w:tc>
          <w:tcPr>
            <w:tcW w:w="414" w:type="pct"/>
            <w:tcBorders>
              <w:tl2br w:val="nil"/>
              <w:tr2bl w:val="nil"/>
            </w:tcBorders>
            <w:shd w:val="clear" w:color="auto" w:fill="auto"/>
            <w:vAlign w:val="center"/>
          </w:tcPr>
          <w:p w14:paraId="4700FC7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0.145</w:t>
            </w:r>
          </w:p>
        </w:tc>
        <w:tc>
          <w:tcPr>
            <w:tcW w:w="465" w:type="pct"/>
            <w:tcBorders>
              <w:tl2br w:val="nil"/>
              <w:tr2bl w:val="nil"/>
            </w:tcBorders>
            <w:shd w:val="clear" w:color="auto" w:fill="auto"/>
            <w:vAlign w:val="center"/>
          </w:tcPr>
          <w:p w14:paraId="3BD142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9.14</w:t>
            </w:r>
          </w:p>
        </w:tc>
        <w:tc>
          <w:tcPr>
            <w:tcW w:w="673" w:type="pct"/>
            <w:tcBorders>
              <w:tl2br w:val="nil"/>
              <w:tr2bl w:val="nil"/>
            </w:tcBorders>
            <w:vAlign w:val="center"/>
          </w:tcPr>
          <w:p w14:paraId="3D34219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0.152</w:t>
            </w:r>
          </w:p>
        </w:tc>
      </w:tr>
      <w:tr w14:paraId="7F22BE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611D13D">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4</w:t>
            </w:r>
          </w:p>
        </w:tc>
        <w:tc>
          <w:tcPr>
            <w:tcW w:w="753" w:type="pct"/>
            <w:tcBorders>
              <w:tl2br w:val="nil"/>
              <w:tr2bl w:val="nil"/>
            </w:tcBorders>
            <w:vAlign w:val="center"/>
          </w:tcPr>
          <w:p w14:paraId="37C90B4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镉</w:t>
            </w:r>
          </w:p>
        </w:tc>
        <w:tc>
          <w:tcPr>
            <w:tcW w:w="335" w:type="pct"/>
            <w:tcBorders>
              <w:tl2br w:val="nil"/>
              <w:tr2bl w:val="nil"/>
            </w:tcBorders>
            <w:vAlign w:val="center"/>
          </w:tcPr>
          <w:p w14:paraId="789F370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65</w:t>
            </w:r>
          </w:p>
        </w:tc>
        <w:tc>
          <w:tcPr>
            <w:tcW w:w="415" w:type="pct"/>
            <w:tcBorders>
              <w:tl2br w:val="nil"/>
              <w:tr2bl w:val="nil"/>
            </w:tcBorders>
            <w:vAlign w:val="center"/>
          </w:tcPr>
          <w:p w14:paraId="1563736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0.20</w:t>
            </w:r>
          </w:p>
        </w:tc>
        <w:tc>
          <w:tcPr>
            <w:tcW w:w="415" w:type="pct"/>
            <w:tcBorders>
              <w:tl2br w:val="nil"/>
              <w:tr2bl w:val="nil"/>
            </w:tcBorders>
            <w:vAlign w:val="center"/>
          </w:tcPr>
          <w:p w14:paraId="34AF79F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415" w:type="pct"/>
            <w:tcBorders>
              <w:tl2br w:val="nil"/>
              <w:tr2bl w:val="nil"/>
            </w:tcBorders>
            <w:shd w:val="clear" w:color="auto" w:fill="auto"/>
            <w:vAlign w:val="center"/>
          </w:tcPr>
          <w:p w14:paraId="2E66AFD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0.29</w:t>
            </w:r>
          </w:p>
        </w:tc>
        <w:tc>
          <w:tcPr>
            <w:tcW w:w="417" w:type="pct"/>
            <w:tcBorders>
              <w:tl2br w:val="nil"/>
              <w:tr2bl w:val="nil"/>
            </w:tcBorders>
            <w:shd w:val="clear" w:color="auto" w:fill="auto"/>
            <w:vAlign w:val="center"/>
          </w:tcPr>
          <w:p w14:paraId="5B8938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0.004</w:t>
            </w:r>
          </w:p>
        </w:tc>
        <w:tc>
          <w:tcPr>
            <w:tcW w:w="455" w:type="pct"/>
            <w:tcBorders>
              <w:tl2br w:val="nil"/>
              <w:tr2bl w:val="nil"/>
            </w:tcBorders>
            <w:shd w:val="clear" w:color="auto" w:fill="auto"/>
            <w:vAlign w:val="center"/>
          </w:tcPr>
          <w:p w14:paraId="406B82E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0.18</w:t>
            </w:r>
          </w:p>
        </w:tc>
        <w:tc>
          <w:tcPr>
            <w:tcW w:w="414" w:type="pct"/>
            <w:tcBorders>
              <w:tl2br w:val="nil"/>
              <w:tr2bl w:val="nil"/>
            </w:tcBorders>
            <w:shd w:val="clear" w:color="auto" w:fill="auto"/>
            <w:vAlign w:val="center"/>
          </w:tcPr>
          <w:p w14:paraId="47E2FB8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465" w:type="pct"/>
            <w:tcBorders>
              <w:tl2br w:val="nil"/>
              <w:tr2bl w:val="nil"/>
            </w:tcBorders>
            <w:shd w:val="clear" w:color="auto" w:fill="auto"/>
            <w:vAlign w:val="center"/>
          </w:tcPr>
          <w:p w14:paraId="6896013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0.15</w:t>
            </w:r>
          </w:p>
        </w:tc>
        <w:tc>
          <w:tcPr>
            <w:tcW w:w="673" w:type="pct"/>
            <w:tcBorders>
              <w:tl2br w:val="nil"/>
              <w:tr2bl w:val="nil"/>
            </w:tcBorders>
            <w:vAlign w:val="center"/>
          </w:tcPr>
          <w:p w14:paraId="6F2D89A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r>
      <w:tr w14:paraId="5EC3D3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42B7B24">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5</w:t>
            </w:r>
          </w:p>
        </w:tc>
        <w:tc>
          <w:tcPr>
            <w:tcW w:w="753" w:type="pct"/>
            <w:tcBorders>
              <w:tl2br w:val="nil"/>
              <w:tr2bl w:val="nil"/>
            </w:tcBorders>
            <w:vAlign w:val="center"/>
          </w:tcPr>
          <w:p w14:paraId="670DD94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铬（六价）</w:t>
            </w:r>
          </w:p>
        </w:tc>
        <w:tc>
          <w:tcPr>
            <w:tcW w:w="335" w:type="pct"/>
            <w:tcBorders>
              <w:tl2br w:val="nil"/>
              <w:tr2bl w:val="nil"/>
            </w:tcBorders>
            <w:vAlign w:val="center"/>
          </w:tcPr>
          <w:p w14:paraId="5AEBBD9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5.7</w:t>
            </w:r>
          </w:p>
        </w:tc>
        <w:tc>
          <w:tcPr>
            <w:tcW w:w="415" w:type="pct"/>
            <w:tcBorders>
              <w:tl2br w:val="nil"/>
              <w:tr2bl w:val="nil"/>
            </w:tcBorders>
            <w:vAlign w:val="center"/>
          </w:tcPr>
          <w:p w14:paraId="44E4B07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ND</w:t>
            </w:r>
          </w:p>
        </w:tc>
        <w:tc>
          <w:tcPr>
            <w:tcW w:w="415" w:type="pct"/>
            <w:tcBorders>
              <w:tl2br w:val="nil"/>
              <w:tr2bl w:val="nil"/>
            </w:tcBorders>
            <w:vAlign w:val="center"/>
          </w:tcPr>
          <w:p w14:paraId="5FA3F88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415" w:type="pct"/>
            <w:tcBorders>
              <w:tl2br w:val="nil"/>
              <w:tr2bl w:val="nil"/>
            </w:tcBorders>
            <w:shd w:val="clear" w:color="auto" w:fill="auto"/>
            <w:vAlign w:val="center"/>
          </w:tcPr>
          <w:p w14:paraId="51C04F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417" w:type="pct"/>
            <w:tcBorders>
              <w:tl2br w:val="nil"/>
              <w:tr2bl w:val="nil"/>
            </w:tcBorders>
            <w:shd w:val="clear" w:color="auto" w:fill="auto"/>
            <w:vAlign w:val="center"/>
          </w:tcPr>
          <w:p w14:paraId="5940AD7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455" w:type="pct"/>
            <w:tcBorders>
              <w:tl2br w:val="nil"/>
              <w:tr2bl w:val="nil"/>
            </w:tcBorders>
            <w:shd w:val="clear" w:color="auto" w:fill="auto"/>
            <w:vAlign w:val="center"/>
          </w:tcPr>
          <w:p w14:paraId="4DCF8DC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414" w:type="pct"/>
            <w:tcBorders>
              <w:tl2br w:val="nil"/>
              <w:tr2bl w:val="nil"/>
            </w:tcBorders>
            <w:shd w:val="clear" w:color="auto" w:fill="auto"/>
            <w:vAlign w:val="center"/>
          </w:tcPr>
          <w:p w14:paraId="758512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465" w:type="pct"/>
            <w:tcBorders>
              <w:tl2br w:val="nil"/>
              <w:tr2bl w:val="nil"/>
            </w:tcBorders>
            <w:shd w:val="clear" w:color="auto" w:fill="auto"/>
            <w:vAlign w:val="center"/>
          </w:tcPr>
          <w:p w14:paraId="4AF717E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673" w:type="pct"/>
            <w:tcBorders>
              <w:tl2br w:val="nil"/>
              <w:tr2bl w:val="nil"/>
            </w:tcBorders>
            <w:vAlign w:val="center"/>
          </w:tcPr>
          <w:p w14:paraId="0B2F748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r>
      <w:tr w14:paraId="576D98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6D68810C">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6</w:t>
            </w:r>
          </w:p>
        </w:tc>
        <w:tc>
          <w:tcPr>
            <w:tcW w:w="753" w:type="pct"/>
            <w:tcBorders>
              <w:tl2br w:val="nil"/>
              <w:tr2bl w:val="nil"/>
            </w:tcBorders>
            <w:vAlign w:val="center"/>
          </w:tcPr>
          <w:p w14:paraId="1145538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铜</w:t>
            </w:r>
          </w:p>
        </w:tc>
        <w:tc>
          <w:tcPr>
            <w:tcW w:w="335" w:type="pct"/>
            <w:tcBorders>
              <w:tl2br w:val="nil"/>
              <w:tr2bl w:val="nil"/>
            </w:tcBorders>
            <w:vAlign w:val="center"/>
          </w:tcPr>
          <w:p w14:paraId="21112C3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18000</w:t>
            </w:r>
          </w:p>
        </w:tc>
        <w:tc>
          <w:tcPr>
            <w:tcW w:w="415" w:type="pct"/>
            <w:tcBorders>
              <w:tl2br w:val="nil"/>
              <w:tr2bl w:val="nil"/>
            </w:tcBorders>
            <w:vAlign w:val="center"/>
          </w:tcPr>
          <w:p w14:paraId="37A22C6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13</w:t>
            </w:r>
          </w:p>
        </w:tc>
        <w:tc>
          <w:tcPr>
            <w:tcW w:w="415" w:type="pct"/>
            <w:tcBorders>
              <w:tl2br w:val="nil"/>
              <w:tr2bl w:val="nil"/>
            </w:tcBorders>
            <w:vAlign w:val="center"/>
          </w:tcPr>
          <w:p w14:paraId="01713F3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415" w:type="pct"/>
            <w:tcBorders>
              <w:tl2br w:val="nil"/>
              <w:tr2bl w:val="nil"/>
            </w:tcBorders>
            <w:shd w:val="clear" w:color="auto" w:fill="auto"/>
            <w:vAlign w:val="center"/>
          </w:tcPr>
          <w:p w14:paraId="1E23336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w:t>
            </w:r>
          </w:p>
        </w:tc>
        <w:tc>
          <w:tcPr>
            <w:tcW w:w="417" w:type="pct"/>
            <w:tcBorders>
              <w:tl2br w:val="nil"/>
              <w:tr2bl w:val="nil"/>
            </w:tcBorders>
            <w:shd w:val="clear" w:color="auto" w:fill="auto"/>
            <w:vAlign w:val="center"/>
          </w:tcPr>
          <w:p w14:paraId="53365C2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455" w:type="pct"/>
            <w:tcBorders>
              <w:tl2br w:val="nil"/>
              <w:tr2bl w:val="nil"/>
            </w:tcBorders>
            <w:shd w:val="clear" w:color="auto" w:fill="auto"/>
            <w:vAlign w:val="center"/>
          </w:tcPr>
          <w:p w14:paraId="35326A9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w:t>
            </w:r>
          </w:p>
        </w:tc>
        <w:tc>
          <w:tcPr>
            <w:tcW w:w="414" w:type="pct"/>
            <w:tcBorders>
              <w:tl2br w:val="nil"/>
              <w:tr2bl w:val="nil"/>
            </w:tcBorders>
            <w:shd w:val="clear" w:color="auto" w:fill="auto"/>
            <w:vAlign w:val="center"/>
          </w:tcPr>
          <w:p w14:paraId="0D1D6CB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465" w:type="pct"/>
            <w:tcBorders>
              <w:tl2br w:val="nil"/>
              <w:tr2bl w:val="nil"/>
            </w:tcBorders>
            <w:shd w:val="clear" w:color="auto" w:fill="auto"/>
            <w:vAlign w:val="center"/>
          </w:tcPr>
          <w:p w14:paraId="773F7DD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673" w:type="pct"/>
            <w:tcBorders>
              <w:tl2br w:val="nil"/>
              <w:tr2bl w:val="nil"/>
            </w:tcBorders>
            <w:vAlign w:val="center"/>
          </w:tcPr>
          <w:p w14:paraId="0852F4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r>
      <w:tr w14:paraId="4ADE02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2BBDD3B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7</w:t>
            </w:r>
          </w:p>
        </w:tc>
        <w:tc>
          <w:tcPr>
            <w:tcW w:w="753" w:type="pct"/>
            <w:tcBorders>
              <w:tl2br w:val="nil"/>
              <w:tr2bl w:val="nil"/>
            </w:tcBorders>
            <w:vAlign w:val="center"/>
          </w:tcPr>
          <w:p w14:paraId="2EC7915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铅</w:t>
            </w:r>
          </w:p>
        </w:tc>
        <w:tc>
          <w:tcPr>
            <w:tcW w:w="335" w:type="pct"/>
            <w:tcBorders>
              <w:tl2br w:val="nil"/>
              <w:tr2bl w:val="nil"/>
            </w:tcBorders>
            <w:vAlign w:val="center"/>
          </w:tcPr>
          <w:p w14:paraId="6798F4D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800</w:t>
            </w:r>
          </w:p>
        </w:tc>
        <w:tc>
          <w:tcPr>
            <w:tcW w:w="415" w:type="pct"/>
            <w:tcBorders>
              <w:tl2br w:val="nil"/>
              <w:tr2bl w:val="nil"/>
            </w:tcBorders>
            <w:vAlign w:val="center"/>
          </w:tcPr>
          <w:p w14:paraId="27AD28E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8.9</w:t>
            </w:r>
          </w:p>
        </w:tc>
        <w:tc>
          <w:tcPr>
            <w:tcW w:w="415" w:type="pct"/>
            <w:tcBorders>
              <w:tl2br w:val="nil"/>
              <w:tr2bl w:val="nil"/>
            </w:tcBorders>
            <w:vAlign w:val="center"/>
          </w:tcPr>
          <w:p w14:paraId="3CE4BC1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0.011</w:t>
            </w:r>
          </w:p>
        </w:tc>
        <w:tc>
          <w:tcPr>
            <w:tcW w:w="415" w:type="pct"/>
            <w:tcBorders>
              <w:tl2br w:val="nil"/>
              <w:tr2bl w:val="nil"/>
            </w:tcBorders>
            <w:shd w:val="clear" w:color="auto" w:fill="auto"/>
            <w:vAlign w:val="center"/>
          </w:tcPr>
          <w:p w14:paraId="2B40518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11.1</w:t>
            </w:r>
          </w:p>
        </w:tc>
        <w:tc>
          <w:tcPr>
            <w:tcW w:w="417" w:type="pct"/>
            <w:tcBorders>
              <w:tl2br w:val="nil"/>
              <w:tr2bl w:val="nil"/>
            </w:tcBorders>
            <w:shd w:val="clear" w:color="auto" w:fill="auto"/>
            <w:vAlign w:val="center"/>
          </w:tcPr>
          <w:p w14:paraId="5189DB7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0.014</w:t>
            </w:r>
          </w:p>
        </w:tc>
        <w:tc>
          <w:tcPr>
            <w:tcW w:w="455" w:type="pct"/>
            <w:tcBorders>
              <w:tl2br w:val="nil"/>
              <w:tr2bl w:val="nil"/>
            </w:tcBorders>
            <w:shd w:val="clear" w:color="auto" w:fill="auto"/>
            <w:vAlign w:val="center"/>
          </w:tcPr>
          <w:p w14:paraId="40BDD1C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13.8</w:t>
            </w:r>
          </w:p>
        </w:tc>
        <w:tc>
          <w:tcPr>
            <w:tcW w:w="414" w:type="pct"/>
            <w:tcBorders>
              <w:tl2br w:val="nil"/>
              <w:tr2bl w:val="nil"/>
            </w:tcBorders>
            <w:shd w:val="clear" w:color="auto" w:fill="auto"/>
            <w:vAlign w:val="center"/>
          </w:tcPr>
          <w:p w14:paraId="43BCEC3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0.017</w:t>
            </w:r>
          </w:p>
        </w:tc>
        <w:tc>
          <w:tcPr>
            <w:tcW w:w="465" w:type="pct"/>
            <w:tcBorders>
              <w:tl2br w:val="nil"/>
              <w:tr2bl w:val="nil"/>
            </w:tcBorders>
            <w:shd w:val="clear" w:color="auto" w:fill="auto"/>
            <w:vAlign w:val="center"/>
          </w:tcPr>
          <w:p w14:paraId="5FB4A75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10.3</w:t>
            </w:r>
          </w:p>
        </w:tc>
        <w:tc>
          <w:tcPr>
            <w:tcW w:w="673" w:type="pct"/>
            <w:tcBorders>
              <w:tl2br w:val="nil"/>
              <w:tr2bl w:val="nil"/>
            </w:tcBorders>
            <w:vAlign w:val="center"/>
          </w:tcPr>
          <w:p w14:paraId="4BF1F38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r>
      <w:tr w14:paraId="453A7C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237" w:type="pct"/>
            <w:tcBorders>
              <w:tl2br w:val="nil"/>
              <w:tr2bl w:val="nil"/>
            </w:tcBorders>
            <w:shd w:val="clear" w:color="auto" w:fill="auto"/>
            <w:vAlign w:val="center"/>
          </w:tcPr>
          <w:p w14:paraId="53B33600">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8</w:t>
            </w:r>
          </w:p>
        </w:tc>
        <w:tc>
          <w:tcPr>
            <w:tcW w:w="753" w:type="pct"/>
            <w:tcBorders>
              <w:tl2br w:val="nil"/>
              <w:tr2bl w:val="nil"/>
            </w:tcBorders>
            <w:vAlign w:val="center"/>
          </w:tcPr>
          <w:p w14:paraId="32AB46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汞</w:t>
            </w:r>
          </w:p>
        </w:tc>
        <w:tc>
          <w:tcPr>
            <w:tcW w:w="335" w:type="pct"/>
            <w:tcBorders>
              <w:tl2br w:val="nil"/>
              <w:tr2bl w:val="nil"/>
            </w:tcBorders>
            <w:vAlign w:val="center"/>
          </w:tcPr>
          <w:p w14:paraId="61B02D7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38</w:t>
            </w:r>
          </w:p>
        </w:tc>
        <w:tc>
          <w:tcPr>
            <w:tcW w:w="415" w:type="pct"/>
            <w:tcBorders>
              <w:tl2br w:val="nil"/>
              <w:tr2bl w:val="nil"/>
            </w:tcBorders>
            <w:vAlign w:val="center"/>
          </w:tcPr>
          <w:p w14:paraId="4DCB916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1.17</w:t>
            </w:r>
          </w:p>
        </w:tc>
        <w:tc>
          <w:tcPr>
            <w:tcW w:w="415" w:type="pct"/>
            <w:tcBorders>
              <w:tl2br w:val="nil"/>
              <w:tr2bl w:val="nil"/>
            </w:tcBorders>
            <w:vAlign w:val="center"/>
          </w:tcPr>
          <w:p w14:paraId="5FD9D37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0.031</w:t>
            </w:r>
          </w:p>
        </w:tc>
        <w:tc>
          <w:tcPr>
            <w:tcW w:w="415" w:type="pct"/>
            <w:tcBorders>
              <w:tl2br w:val="nil"/>
              <w:tr2bl w:val="nil"/>
            </w:tcBorders>
            <w:shd w:val="clear" w:color="auto" w:fill="auto"/>
            <w:vAlign w:val="center"/>
          </w:tcPr>
          <w:p w14:paraId="7DAAC7E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0.054</w:t>
            </w:r>
          </w:p>
        </w:tc>
        <w:tc>
          <w:tcPr>
            <w:tcW w:w="417" w:type="pct"/>
            <w:tcBorders>
              <w:tl2br w:val="nil"/>
              <w:tr2bl w:val="nil"/>
            </w:tcBorders>
            <w:shd w:val="clear" w:color="auto" w:fill="auto"/>
            <w:vAlign w:val="center"/>
          </w:tcPr>
          <w:p w14:paraId="3A46185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455" w:type="pct"/>
            <w:tcBorders>
              <w:tl2br w:val="nil"/>
              <w:tr2bl w:val="nil"/>
            </w:tcBorders>
            <w:shd w:val="clear" w:color="auto" w:fill="auto"/>
            <w:vAlign w:val="center"/>
          </w:tcPr>
          <w:p w14:paraId="7BDBB12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0.109</w:t>
            </w:r>
          </w:p>
        </w:tc>
        <w:tc>
          <w:tcPr>
            <w:tcW w:w="414" w:type="pct"/>
            <w:tcBorders>
              <w:tl2br w:val="nil"/>
              <w:tr2bl w:val="nil"/>
            </w:tcBorders>
            <w:shd w:val="clear" w:color="auto" w:fill="auto"/>
            <w:vAlign w:val="center"/>
          </w:tcPr>
          <w:p w14:paraId="3F4E802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465" w:type="pct"/>
            <w:tcBorders>
              <w:tl2br w:val="nil"/>
              <w:tr2bl w:val="nil"/>
            </w:tcBorders>
            <w:shd w:val="clear" w:color="auto" w:fill="auto"/>
            <w:vAlign w:val="center"/>
          </w:tcPr>
          <w:p w14:paraId="4E9A04B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0.073</w:t>
            </w:r>
          </w:p>
        </w:tc>
        <w:tc>
          <w:tcPr>
            <w:tcW w:w="673" w:type="pct"/>
            <w:tcBorders>
              <w:tl2br w:val="nil"/>
              <w:tr2bl w:val="nil"/>
            </w:tcBorders>
            <w:vAlign w:val="center"/>
          </w:tcPr>
          <w:p w14:paraId="7494FC9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r>
      <w:tr w14:paraId="6258F1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8801732">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w:t>
            </w:r>
          </w:p>
        </w:tc>
        <w:tc>
          <w:tcPr>
            <w:tcW w:w="753" w:type="pct"/>
            <w:tcBorders>
              <w:tl2br w:val="nil"/>
              <w:tr2bl w:val="nil"/>
            </w:tcBorders>
            <w:vAlign w:val="center"/>
          </w:tcPr>
          <w:p w14:paraId="047F61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镍</w:t>
            </w:r>
          </w:p>
        </w:tc>
        <w:tc>
          <w:tcPr>
            <w:tcW w:w="335" w:type="pct"/>
            <w:tcBorders>
              <w:tl2br w:val="nil"/>
              <w:tr2bl w:val="nil"/>
            </w:tcBorders>
            <w:vAlign w:val="center"/>
          </w:tcPr>
          <w:p w14:paraId="39BADCAE">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900</w:t>
            </w:r>
          </w:p>
        </w:tc>
        <w:tc>
          <w:tcPr>
            <w:tcW w:w="415" w:type="pct"/>
            <w:tcBorders>
              <w:tl2br w:val="nil"/>
              <w:tr2bl w:val="nil"/>
            </w:tcBorders>
            <w:vAlign w:val="center"/>
          </w:tcPr>
          <w:p w14:paraId="1C539F8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17</w:t>
            </w:r>
          </w:p>
        </w:tc>
        <w:tc>
          <w:tcPr>
            <w:tcW w:w="415" w:type="pct"/>
            <w:tcBorders>
              <w:tl2br w:val="nil"/>
              <w:tr2bl w:val="nil"/>
            </w:tcBorders>
            <w:vAlign w:val="center"/>
          </w:tcPr>
          <w:p w14:paraId="0CF8711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0.019</w:t>
            </w:r>
          </w:p>
        </w:tc>
        <w:tc>
          <w:tcPr>
            <w:tcW w:w="415" w:type="pct"/>
            <w:tcBorders>
              <w:tl2br w:val="nil"/>
              <w:tr2bl w:val="nil"/>
            </w:tcBorders>
            <w:shd w:val="clear" w:color="auto" w:fill="auto"/>
            <w:vAlign w:val="center"/>
          </w:tcPr>
          <w:p w14:paraId="536506E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26</w:t>
            </w:r>
          </w:p>
        </w:tc>
        <w:tc>
          <w:tcPr>
            <w:tcW w:w="417" w:type="pct"/>
            <w:tcBorders>
              <w:tl2br w:val="nil"/>
              <w:tr2bl w:val="nil"/>
            </w:tcBorders>
            <w:shd w:val="clear" w:color="auto" w:fill="auto"/>
            <w:vAlign w:val="center"/>
          </w:tcPr>
          <w:p w14:paraId="5408B57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0.029</w:t>
            </w:r>
          </w:p>
        </w:tc>
        <w:tc>
          <w:tcPr>
            <w:tcW w:w="455" w:type="pct"/>
            <w:tcBorders>
              <w:tl2br w:val="nil"/>
              <w:tr2bl w:val="nil"/>
            </w:tcBorders>
            <w:shd w:val="clear" w:color="auto" w:fill="auto"/>
            <w:vAlign w:val="center"/>
          </w:tcPr>
          <w:p w14:paraId="3C09E2D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31</w:t>
            </w:r>
          </w:p>
        </w:tc>
        <w:tc>
          <w:tcPr>
            <w:tcW w:w="414" w:type="pct"/>
            <w:tcBorders>
              <w:tl2br w:val="nil"/>
              <w:tr2bl w:val="nil"/>
            </w:tcBorders>
            <w:shd w:val="clear" w:color="auto" w:fill="auto"/>
            <w:vAlign w:val="center"/>
          </w:tcPr>
          <w:p w14:paraId="6613C0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0.034</w:t>
            </w:r>
          </w:p>
        </w:tc>
        <w:tc>
          <w:tcPr>
            <w:tcW w:w="465" w:type="pct"/>
            <w:tcBorders>
              <w:tl2br w:val="nil"/>
              <w:tr2bl w:val="nil"/>
            </w:tcBorders>
            <w:shd w:val="clear" w:color="auto" w:fill="auto"/>
            <w:vAlign w:val="center"/>
          </w:tcPr>
          <w:p w14:paraId="69DB4D4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24</w:t>
            </w:r>
          </w:p>
        </w:tc>
        <w:tc>
          <w:tcPr>
            <w:tcW w:w="673" w:type="pct"/>
            <w:tcBorders>
              <w:tl2br w:val="nil"/>
              <w:tr2bl w:val="nil"/>
            </w:tcBorders>
            <w:vAlign w:val="center"/>
          </w:tcPr>
          <w:p w14:paraId="02CFF09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0.027</w:t>
            </w:r>
          </w:p>
        </w:tc>
      </w:tr>
      <w:tr w14:paraId="0FD7E9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237" w:type="pct"/>
            <w:tcBorders>
              <w:tl2br w:val="nil"/>
              <w:tr2bl w:val="nil"/>
            </w:tcBorders>
            <w:shd w:val="clear" w:color="auto" w:fill="auto"/>
            <w:vAlign w:val="center"/>
          </w:tcPr>
          <w:p w14:paraId="3EBD098A">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SA"/>
              </w:rPr>
              <w:t>11</w:t>
            </w:r>
          </w:p>
        </w:tc>
        <w:tc>
          <w:tcPr>
            <w:tcW w:w="753" w:type="pct"/>
            <w:tcBorders>
              <w:tl2br w:val="nil"/>
              <w:tr2bl w:val="nil"/>
            </w:tcBorders>
            <w:vAlign w:val="center"/>
          </w:tcPr>
          <w:p w14:paraId="649DDFD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Cs/>
                <w:color w:val="auto"/>
                <w:sz w:val="21"/>
                <w:szCs w:val="21"/>
                <w:highlight w:val="none"/>
              </w:rPr>
              <w:t>氯甲烷</w:t>
            </w:r>
          </w:p>
        </w:tc>
        <w:tc>
          <w:tcPr>
            <w:tcW w:w="335" w:type="pct"/>
            <w:tcBorders>
              <w:tl2br w:val="nil"/>
              <w:tr2bl w:val="nil"/>
            </w:tcBorders>
            <w:vAlign w:val="center"/>
          </w:tcPr>
          <w:p w14:paraId="6A7E94CC">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37</w:t>
            </w:r>
          </w:p>
        </w:tc>
        <w:tc>
          <w:tcPr>
            <w:tcW w:w="415" w:type="pct"/>
            <w:tcBorders>
              <w:tl2br w:val="nil"/>
              <w:tr2bl w:val="nil"/>
            </w:tcBorders>
            <w:vAlign w:val="center"/>
          </w:tcPr>
          <w:p w14:paraId="6079398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5D336AE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66E94E0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185360A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886A2A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42F25F5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7163967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5A7A3FB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DA2BB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F6DECD0">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SA"/>
              </w:rPr>
              <w:t>12</w:t>
            </w:r>
          </w:p>
        </w:tc>
        <w:tc>
          <w:tcPr>
            <w:tcW w:w="753" w:type="pct"/>
            <w:tcBorders>
              <w:tl2br w:val="nil"/>
              <w:tr2bl w:val="nil"/>
            </w:tcBorders>
            <w:vAlign w:val="center"/>
          </w:tcPr>
          <w:p w14:paraId="29E4DA0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氯乙烯</w:t>
            </w:r>
          </w:p>
        </w:tc>
        <w:tc>
          <w:tcPr>
            <w:tcW w:w="335" w:type="pct"/>
            <w:tcBorders>
              <w:tl2br w:val="nil"/>
              <w:tr2bl w:val="nil"/>
            </w:tcBorders>
            <w:vAlign w:val="center"/>
          </w:tcPr>
          <w:p w14:paraId="02F6B487">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0.43</w:t>
            </w:r>
          </w:p>
        </w:tc>
        <w:tc>
          <w:tcPr>
            <w:tcW w:w="415" w:type="pct"/>
            <w:tcBorders>
              <w:tl2br w:val="nil"/>
              <w:tr2bl w:val="nil"/>
            </w:tcBorders>
            <w:vAlign w:val="center"/>
          </w:tcPr>
          <w:p w14:paraId="1FD560A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C1E2C8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29002D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A61A88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19E184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0BFF9CF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00A01D9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19998A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A226E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8A0CF95">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3</w:t>
            </w:r>
          </w:p>
        </w:tc>
        <w:tc>
          <w:tcPr>
            <w:tcW w:w="753" w:type="pct"/>
            <w:tcBorders>
              <w:tl2br w:val="nil"/>
              <w:tr2bl w:val="nil"/>
            </w:tcBorders>
            <w:vAlign w:val="center"/>
          </w:tcPr>
          <w:p w14:paraId="734B8EF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1，1-二氯乙烯</w:t>
            </w:r>
          </w:p>
        </w:tc>
        <w:tc>
          <w:tcPr>
            <w:tcW w:w="335" w:type="pct"/>
            <w:tcBorders>
              <w:tl2br w:val="nil"/>
              <w:tr2bl w:val="nil"/>
            </w:tcBorders>
            <w:vAlign w:val="center"/>
          </w:tcPr>
          <w:p w14:paraId="031D3383">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w:t>
            </w:r>
          </w:p>
        </w:tc>
        <w:tc>
          <w:tcPr>
            <w:tcW w:w="415" w:type="pct"/>
            <w:tcBorders>
              <w:tl2br w:val="nil"/>
              <w:tr2bl w:val="nil"/>
            </w:tcBorders>
            <w:vAlign w:val="center"/>
          </w:tcPr>
          <w:p w14:paraId="599513A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C6C33B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EFCF9A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477302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60C457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3A9D7BB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0829A9C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FA1BB0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111008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69276F1C">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4</w:t>
            </w:r>
          </w:p>
        </w:tc>
        <w:tc>
          <w:tcPr>
            <w:tcW w:w="753" w:type="pct"/>
            <w:tcBorders>
              <w:tl2br w:val="nil"/>
              <w:tr2bl w:val="nil"/>
            </w:tcBorders>
            <w:vAlign w:val="center"/>
          </w:tcPr>
          <w:p w14:paraId="6B1343F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二氯甲烷</w:t>
            </w:r>
          </w:p>
        </w:tc>
        <w:tc>
          <w:tcPr>
            <w:tcW w:w="335" w:type="pct"/>
            <w:tcBorders>
              <w:tl2br w:val="nil"/>
              <w:tr2bl w:val="nil"/>
            </w:tcBorders>
            <w:vAlign w:val="center"/>
          </w:tcPr>
          <w:p w14:paraId="499948F4">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616</w:t>
            </w:r>
          </w:p>
        </w:tc>
        <w:tc>
          <w:tcPr>
            <w:tcW w:w="415" w:type="pct"/>
            <w:tcBorders>
              <w:tl2br w:val="nil"/>
              <w:tr2bl w:val="nil"/>
            </w:tcBorders>
            <w:vAlign w:val="center"/>
          </w:tcPr>
          <w:p w14:paraId="3033D42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459C5C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2F6B673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7410C52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998597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36095EB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530F57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0EC6556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D78BA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74552946">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5</w:t>
            </w:r>
          </w:p>
        </w:tc>
        <w:tc>
          <w:tcPr>
            <w:tcW w:w="753" w:type="pct"/>
            <w:tcBorders>
              <w:tl2br w:val="nil"/>
              <w:tr2bl w:val="nil"/>
            </w:tcBorders>
            <w:vAlign w:val="center"/>
          </w:tcPr>
          <w:p w14:paraId="09DE21F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反-1，2-二氯乙烯</w:t>
            </w:r>
          </w:p>
        </w:tc>
        <w:tc>
          <w:tcPr>
            <w:tcW w:w="335" w:type="pct"/>
            <w:tcBorders>
              <w:tl2br w:val="nil"/>
              <w:tr2bl w:val="nil"/>
            </w:tcBorders>
            <w:vAlign w:val="center"/>
          </w:tcPr>
          <w:p w14:paraId="1C77BB41">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54</w:t>
            </w:r>
          </w:p>
        </w:tc>
        <w:tc>
          <w:tcPr>
            <w:tcW w:w="415" w:type="pct"/>
            <w:tcBorders>
              <w:tl2br w:val="nil"/>
              <w:tr2bl w:val="nil"/>
            </w:tcBorders>
            <w:vAlign w:val="center"/>
          </w:tcPr>
          <w:p w14:paraId="618DE96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FDF627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5110EFF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051BCB6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08E94CF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98B4E6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3D1304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1DDA927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22052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B7A9300">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6</w:t>
            </w:r>
          </w:p>
        </w:tc>
        <w:tc>
          <w:tcPr>
            <w:tcW w:w="753" w:type="pct"/>
            <w:tcBorders>
              <w:tl2br w:val="nil"/>
              <w:tr2bl w:val="nil"/>
            </w:tcBorders>
            <w:vAlign w:val="center"/>
          </w:tcPr>
          <w:p w14:paraId="5FE612C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1，1-二氯乙烷</w:t>
            </w:r>
          </w:p>
        </w:tc>
        <w:tc>
          <w:tcPr>
            <w:tcW w:w="335" w:type="pct"/>
            <w:tcBorders>
              <w:tl2br w:val="nil"/>
              <w:tr2bl w:val="nil"/>
            </w:tcBorders>
            <w:vAlign w:val="center"/>
          </w:tcPr>
          <w:p w14:paraId="7D03AC94">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w:t>
            </w:r>
          </w:p>
        </w:tc>
        <w:tc>
          <w:tcPr>
            <w:tcW w:w="415" w:type="pct"/>
            <w:tcBorders>
              <w:tl2br w:val="nil"/>
              <w:tr2bl w:val="nil"/>
            </w:tcBorders>
            <w:vAlign w:val="center"/>
          </w:tcPr>
          <w:p w14:paraId="1FAE825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D9A4E8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46AB0AC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6DDE5E3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0674FD7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43B6B21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4D2FA38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5DDC79F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00F7C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7A15EFE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7</w:t>
            </w:r>
          </w:p>
        </w:tc>
        <w:tc>
          <w:tcPr>
            <w:tcW w:w="753" w:type="pct"/>
            <w:tcBorders>
              <w:tl2br w:val="nil"/>
              <w:tr2bl w:val="nil"/>
            </w:tcBorders>
            <w:vAlign w:val="center"/>
          </w:tcPr>
          <w:p w14:paraId="6CB97EC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顺-1，2-二氯乙烯</w:t>
            </w:r>
          </w:p>
        </w:tc>
        <w:tc>
          <w:tcPr>
            <w:tcW w:w="335" w:type="pct"/>
            <w:tcBorders>
              <w:tl2br w:val="nil"/>
              <w:tr2bl w:val="nil"/>
            </w:tcBorders>
            <w:vAlign w:val="center"/>
          </w:tcPr>
          <w:p w14:paraId="3B3553AF">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596</w:t>
            </w:r>
          </w:p>
        </w:tc>
        <w:tc>
          <w:tcPr>
            <w:tcW w:w="415" w:type="pct"/>
            <w:tcBorders>
              <w:tl2br w:val="nil"/>
              <w:tr2bl w:val="nil"/>
            </w:tcBorders>
            <w:vAlign w:val="center"/>
          </w:tcPr>
          <w:p w14:paraId="501FEEB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F6D61F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6409F3F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0A22ED8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4B0DBF1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7CDBB8A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3881658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06225C5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170B2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439F9EC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8</w:t>
            </w:r>
          </w:p>
        </w:tc>
        <w:tc>
          <w:tcPr>
            <w:tcW w:w="753" w:type="pct"/>
            <w:tcBorders>
              <w:tl2br w:val="nil"/>
              <w:tr2bl w:val="nil"/>
            </w:tcBorders>
            <w:vAlign w:val="center"/>
          </w:tcPr>
          <w:p w14:paraId="2648AD7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kern w:val="0"/>
                <w:sz w:val="21"/>
                <w:szCs w:val="21"/>
                <w:highlight w:val="none"/>
                <w:lang w:bidi="ar"/>
              </w:rPr>
              <w:t>三氯甲烷（氯仿）</w:t>
            </w:r>
          </w:p>
        </w:tc>
        <w:tc>
          <w:tcPr>
            <w:tcW w:w="335" w:type="pct"/>
            <w:tcBorders>
              <w:tl2br w:val="nil"/>
              <w:tr2bl w:val="nil"/>
            </w:tcBorders>
            <w:vAlign w:val="center"/>
          </w:tcPr>
          <w:p w14:paraId="752EA2C8">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0.9</w:t>
            </w:r>
          </w:p>
        </w:tc>
        <w:tc>
          <w:tcPr>
            <w:tcW w:w="415" w:type="pct"/>
            <w:tcBorders>
              <w:tl2br w:val="nil"/>
              <w:tr2bl w:val="nil"/>
            </w:tcBorders>
            <w:vAlign w:val="center"/>
          </w:tcPr>
          <w:p w14:paraId="29B69D8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E13478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EAA6A0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A97FBD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419427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3398E3F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130A9D3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D66C66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357C2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0" w:hRule="atLeast"/>
          <w:jc w:val="center"/>
        </w:trPr>
        <w:tc>
          <w:tcPr>
            <w:tcW w:w="237" w:type="pct"/>
            <w:tcBorders>
              <w:tl2br w:val="nil"/>
              <w:tr2bl w:val="nil"/>
            </w:tcBorders>
            <w:shd w:val="clear" w:color="auto" w:fill="auto"/>
            <w:vAlign w:val="center"/>
          </w:tcPr>
          <w:p w14:paraId="22D932DC">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9</w:t>
            </w:r>
          </w:p>
        </w:tc>
        <w:tc>
          <w:tcPr>
            <w:tcW w:w="753" w:type="pct"/>
            <w:tcBorders>
              <w:tl2br w:val="nil"/>
              <w:tr2bl w:val="nil"/>
            </w:tcBorders>
            <w:vAlign w:val="center"/>
          </w:tcPr>
          <w:p w14:paraId="2C62518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1，1，1-三氯乙烷</w:t>
            </w:r>
          </w:p>
        </w:tc>
        <w:tc>
          <w:tcPr>
            <w:tcW w:w="335" w:type="pct"/>
            <w:tcBorders>
              <w:tl2br w:val="nil"/>
              <w:tr2bl w:val="nil"/>
            </w:tcBorders>
            <w:vAlign w:val="center"/>
          </w:tcPr>
          <w:p w14:paraId="704214EF">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840</w:t>
            </w:r>
          </w:p>
        </w:tc>
        <w:tc>
          <w:tcPr>
            <w:tcW w:w="415" w:type="pct"/>
            <w:tcBorders>
              <w:tl2br w:val="nil"/>
              <w:tr2bl w:val="nil"/>
            </w:tcBorders>
            <w:vAlign w:val="center"/>
          </w:tcPr>
          <w:p w14:paraId="2A417D1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679C27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30C800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15A66ED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1D2A0B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53D9A2E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7701A8F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29D9A64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4D2EF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0" w:hRule="atLeast"/>
          <w:jc w:val="center"/>
        </w:trPr>
        <w:tc>
          <w:tcPr>
            <w:tcW w:w="237" w:type="pct"/>
            <w:tcBorders>
              <w:tl2br w:val="nil"/>
              <w:tr2bl w:val="nil"/>
            </w:tcBorders>
            <w:shd w:val="clear" w:color="auto" w:fill="auto"/>
            <w:vAlign w:val="center"/>
          </w:tcPr>
          <w:p w14:paraId="08015EDB">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20</w:t>
            </w:r>
          </w:p>
        </w:tc>
        <w:tc>
          <w:tcPr>
            <w:tcW w:w="753" w:type="pct"/>
            <w:tcBorders>
              <w:tl2br w:val="nil"/>
              <w:tr2bl w:val="nil"/>
            </w:tcBorders>
            <w:vAlign w:val="center"/>
          </w:tcPr>
          <w:p w14:paraId="24615B2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kern w:val="0"/>
                <w:sz w:val="21"/>
                <w:szCs w:val="21"/>
                <w:highlight w:val="none"/>
                <w:lang w:bidi="ar"/>
              </w:rPr>
              <w:t>四氯化碳</w:t>
            </w:r>
          </w:p>
        </w:tc>
        <w:tc>
          <w:tcPr>
            <w:tcW w:w="335" w:type="pct"/>
            <w:tcBorders>
              <w:tl2br w:val="nil"/>
              <w:tr2bl w:val="nil"/>
            </w:tcBorders>
            <w:vAlign w:val="center"/>
          </w:tcPr>
          <w:p w14:paraId="082EADF7">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2.8</w:t>
            </w:r>
          </w:p>
        </w:tc>
        <w:tc>
          <w:tcPr>
            <w:tcW w:w="415" w:type="pct"/>
            <w:tcBorders>
              <w:tl2br w:val="nil"/>
              <w:tr2bl w:val="nil"/>
            </w:tcBorders>
            <w:vAlign w:val="center"/>
          </w:tcPr>
          <w:p w14:paraId="0EE026A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45ABCC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A525E2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75B058D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1CF9A00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4D8C0BC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0F8770C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2DAD8BE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05821A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5BE8D128">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21</w:t>
            </w:r>
          </w:p>
        </w:tc>
        <w:tc>
          <w:tcPr>
            <w:tcW w:w="753" w:type="pct"/>
            <w:tcBorders>
              <w:tl2br w:val="nil"/>
              <w:tr2bl w:val="nil"/>
            </w:tcBorders>
            <w:vAlign w:val="center"/>
          </w:tcPr>
          <w:p w14:paraId="5DE70C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苯</w:t>
            </w:r>
          </w:p>
        </w:tc>
        <w:tc>
          <w:tcPr>
            <w:tcW w:w="335" w:type="pct"/>
            <w:tcBorders>
              <w:tl2br w:val="nil"/>
              <w:tr2bl w:val="nil"/>
            </w:tcBorders>
            <w:vAlign w:val="center"/>
          </w:tcPr>
          <w:p w14:paraId="5B4B45AB">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415" w:type="pct"/>
            <w:tcBorders>
              <w:tl2br w:val="nil"/>
              <w:tr2bl w:val="nil"/>
            </w:tcBorders>
            <w:vAlign w:val="center"/>
          </w:tcPr>
          <w:p w14:paraId="38E0D58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48FCBB1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7F00D12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2EB734B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A4440D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C5B3A6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2B89CCA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29C7447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C2D56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241D2652">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22</w:t>
            </w:r>
          </w:p>
        </w:tc>
        <w:tc>
          <w:tcPr>
            <w:tcW w:w="753" w:type="pct"/>
            <w:tcBorders>
              <w:tl2br w:val="nil"/>
              <w:tr2bl w:val="nil"/>
            </w:tcBorders>
            <w:vAlign w:val="center"/>
          </w:tcPr>
          <w:p w14:paraId="469DBB4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1，2-二氯乙烷</w:t>
            </w:r>
          </w:p>
        </w:tc>
        <w:tc>
          <w:tcPr>
            <w:tcW w:w="335" w:type="pct"/>
            <w:tcBorders>
              <w:tl2br w:val="nil"/>
              <w:tr2bl w:val="nil"/>
            </w:tcBorders>
            <w:vAlign w:val="center"/>
          </w:tcPr>
          <w:p w14:paraId="4E09A6E8">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415" w:type="pct"/>
            <w:tcBorders>
              <w:tl2br w:val="nil"/>
              <w:tr2bl w:val="nil"/>
            </w:tcBorders>
            <w:vAlign w:val="center"/>
          </w:tcPr>
          <w:p w14:paraId="31B249E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F3C86E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2DE4A2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5DF709D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C1F8E5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54792F1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F03334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5361A6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4BFBC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0" w:hRule="atLeast"/>
          <w:jc w:val="center"/>
        </w:trPr>
        <w:tc>
          <w:tcPr>
            <w:tcW w:w="237" w:type="pct"/>
            <w:tcBorders>
              <w:tl2br w:val="nil"/>
              <w:tr2bl w:val="nil"/>
            </w:tcBorders>
            <w:shd w:val="clear" w:color="auto" w:fill="auto"/>
            <w:vAlign w:val="center"/>
          </w:tcPr>
          <w:p w14:paraId="16EA0C41">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23</w:t>
            </w:r>
          </w:p>
        </w:tc>
        <w:tc>
          <w:tcPr>
            <w:tcW w:w="753" w:type="pct"/>
            <w:tcBorders>
              <w:tl2br w:val="nil"/>
              <w:tr2bl w:val="nil"/>
            </w:tcBorders>
            <w:vAlign w:val="center"/>
          </w:tcPr>
          <w:p w14:paraId="579C689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三氯乙烯</w:t>
            </w:r>
          </w:p>
        </w:tc>
        <w:tc>
          <w:tcPr>
            <w:tcW w:w="335" w:type="pct"/>
            <w:tcBorders>
              <w:tl2br w:val="nil"/>
              <w:tr2bl w:val="nil"/>
            </w:tcBorders>
            <w:vAlign w:val="center"/>
          </w:tcPr>
          <w:p w14:paraId="6308315E">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2.8</w:t>
            </w:r>
          </w:p>
        </w:tc>
        <w:tc>
          <w:tcPr>
            <w:tcW w:w="415" w:type="pct"/>
            <w:tcBorders>
              <w:tl2br w:val="nil"/>
              <w:tr2bl w:val="nil"/>
            </w:tcBorders>
            <w:vAlign w:val="center"/>
          </w:tcPr>
          <w:p w14:paraId="2D2BF5A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0DE2DC4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5086C35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5BAD131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5108C6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4323BA0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5A9204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622C6B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41C83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0" w:hRule="atLeast"/>
          <w:jc w:val="center"/>
        </w:trPr>
        <w:tc>
          <w:tcPr>
            <w:tcW w:w="237" w:type="pct"/>
            <w:tcBorders>
              <w:tl2br w:val="nil"/>
              <w:tr2bl w:val="nil"/>
            </w:tcBorders>
            <w:shd w:val="clear" w:color="auto" w:fill="auto"/>
            <w:vAlign w:val="center"/>
          </w:tcPr>
          <w:p w14:paraId="622E759B">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2</w:t>
            </w:r>
            <w:r>
              <w:rPr>
                <w:rFonts w:hint="default" w:ascii="Times New Roman" w:hAnsi="Times New Roman" w:eastAsia="宋体" w:cs="Times New Roman"/>
                <w:color w:val="auto"/>
                <w:kern w:val="0"/>
                <w:sz w:val="21"/>
                <w:szCs w:val="21"/>
                <w:highlight w:val="none"/>
                <w:lang w:val="en-US" w:eastAsia="zh-CN"/>
              </w:rPr>
              <w:t>4</w:t>
            </w:r>
          </w:p>
        </w:tc>
        <w:tc>
          <w:tcPr>
            <w:tcW w:w="753" w:type="pct"/>
            <w:tcBorders>
              <w:tl2br w:val="nil"/>
              <w:tr2bl w:val="nil"/>
            </w:tcBorders>
            <w:vAlign w:val="center"/>
          </w:tcPr>
          <w:p w14:paraId="473B48B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甲苯</w:t>
            </w:r>
          </w:p>
        </w:tc>
        <w:tc>
          <w:tcPr>
            <w:tcW w:w="335" w:type="pct"/>
            <w:tcBorders>
              <w:tl2br w:val="nil"/>
              <w:tr2bl w:val="nil"/>
            </w:tcBorders>
            <w:vAlign w:val="center"/>
          </w:tcPr>
          <w:p w14:paraId="7BA7FD04">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1200</w:t>
            </w:r>
          </w:p>
        </w:tc>
        <w:tc>
          <w:tcPr>
            <w:tcW w:w="415" w:type="pct"/>
            <w:tcBorders>
              <w:tl2br w:val="nil"/>
              <w:tr2bl w:val="nil"/>
            </w:tcBorders>
            <w:vAlign w:val="center"/>
          </w:tcPr>
          <w:p w14:paraId="259F657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81A054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E3D9B0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2C84F8C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D6ADA1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494D67F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E765BF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76267FF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58AA82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212CCBE2">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2</w:t>
            </w:r>
            <w:r>
              <w:rPr>
                <w:rFonts w:hint="default" w:ascii="Times New Roman" w:hAnsi="Times New Roman" w:eastAsia="宋体" w:cs="Times New Roman"/>
                <w:color w:val="auto"/>
                <w:kern w:val="0"/>
                <w:sz w:val="21"/>
                <w:szCs w:val="21"/>
                <w:highlight w:val="none"/>
                <w:lang w:val="en-US" w:eastAsia="zh-CN"/>
              </w:rPr>
              <w:t>5</w:t>
            </w:r>
          </w:p>
        </w:tc>
        <w:tc>
          <w:tcPr>
            <w:tcW w:w="753" w:type="pct"/>
            <w:tcBorders>
              <w:tl2br w:val="nil"/>
              <w:tr2bl w:val="nil"/>
            </w:tcBorders>
            <w:vAlign w:val="center"/>
          </w:tcPr>
          <w:p w14:paraId="68ACF5D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四氯乙烯</w:t>
            </w:r>
          </w:p>
        </w:tc>
        <w:tc>
          <w:tcPr>
            <w:tcW w:w="335" w:type="pct"/>
            <w:tcBorders>
              <w:tl2br w:val="nil"/>
              <w:tr2bl w:val="nil"/>
            </w:tcBorders>
            <w:vAlign w:val="center"/>
          </w:tcPr>
          <w:p w14:paraId="17A2040D">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53</w:t>
            </w:r>
          </w:p>
        </w:tc>
        <w:tc>
          <w:tcPr>
            <w:tcW w:w="415" w:type="pct"/>
            <w:tcBorders>
              <w:tl2br w:val="nil"/>
              <w:tr2bl w:val="nil"/>
            </w:tcBorders>
            <w:vAlign w:val="center"/>
          </w:tcPr>
          <w:p w14:paraId="28F38DF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39CFB46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0BBF72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4E3B84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EEF113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A1508D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3AC064D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0D0D4F0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A030C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45C8173C">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2</w:t>
            </w:r>
            <w:r>
              <w:rPr>
                <w:rFonts w:hint="default" w:ascii="Times New Roman" w:hAnsi="Times New Roman" w:eastAsia="宋体" w:cs="Times New Roman"/>
                <w:color w:val="auto"/>
                <w:kern w:val="0"/>
                <w:sz w:val="21"/>
                <w:szCs w:val="21"/>
                <w:highlight w:val="none"/>
                <w:lang w:val="en-US" w:eastAsia="zh-CN"/>
              </w:rPr>
              <w:t>6</w:t>
            </w:r>
          </w:p>
        </w:tc>
        <w:tc>
          <w:tcPr>
            <w:tcW w:w="753" w:type="pct"/>
            <w:tcBorders>
              <w:tl2br w:val="nil"/>
              <w:tr2bl w:val="nil"/>
            </w:tcBorders>
            <w:vAlign w:val="center"/>
          </w:tcPr>
          <w:p w14:paraId="310327F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1，2-二氯丙烷</w:t>
            </w:r>
          </w:p>
        </w:tc>
        <w:tc>
          <w:tcPr>
            <w:tcW w:w="335" w:type="pct"/>
            <w:tcBorders>
              <w:tl2br w:val="nil"/>
              <w:tr2bl w:val="nil"/>
            </w:tcBorders>
            <w:vAlign w:val="center"/>
          </w:tcPr>
          <w:p w14:paraId="708CF478">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415" w:type="pct"/>
            <w:tcBorders>
              <w:tl2br w:val="nil"/>
              <w:tr2bl w:val="nil"/>
            </w:tcBorders>
            <w:vAlign w:val="center"/>
          </w:tcPr>
          <w:p w14:paraId="64A5B7B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432F2BD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C8683C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2EF47CA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1C9481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68B72C3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42438FF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C7C847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3544B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53A5776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27</w:t>
            </w:r>
          </w:p>
        </w:tc>
        <w:tc>
          <w:tcPr>
            <w:tcW w:w="753" w:type="pct"/>
            <w:tcBorders>
              <w:tl2br w:val="nil"/>
              <w:tr2bl w:val="nil"/>
            </w:tcBorders>
            <w:vAlign w:val="center"/>
          </w:tcPr>
          <w:p w14:paraId="329F442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1，1，2-三氯乙烷</w:t>
            </w:r>
          </w:p>
        </w:tc>
        <w:tc>
          <w:tcPr>
            <w:tcW w:w="335" w:type="pct"/>
            <w:tcBorders>
              <w:tl2br w:val="nil"/>
              <w:tr2bl w:val="nil"/>
            </w:tcBorders>
            <w:vAlign w:val="center"/>
          </w:tcPr>
          <w:p w14:paraId="42E9160E">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2.8</w:t>
            </w:r>
          </w:p>
        </w:tc>
        <w:tc>
          <w:tcPr>
            <w:tcW w:w="415" w:type="pct"/>
            <w:tcBorders>
              <w:tl2br w:val="nil"/>
              <w:tr2bl w:val="nil"/>
            </w:tcBorders>
            <w:vAlign w:val="center"/>
          </w:tcPr>
          <w:p w14:paraId="4DEDE7B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15BE8B0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52A93E6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075A1E2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38854C8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7A3328C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35A8BC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1718889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2BEF6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670448D4">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28</w:t>
            </w:r>
          </w:p>
        </w:tc>
        <w:tc>
          <w:tcPr>
            <w:tcW w:w="753" w:type="pct"/>
            <w:tcBorders>
              <w:tl2br w:val="nil"/>
              <w:tr2bl w:val="nil"/>
            </w:tcBorders>
            <w:vAlign w:val="center"/>
          </w:tcPr>
          <w:p w14:paraId="6D3A125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氯苯</w:t>
            </w:r>
          </w:p>
        </w:tc>
        <w:tc>
          <w:tcPr>
            <w:tcW w:w="335" w:type="pct"/>
            <w:tcBorders>
              <w:tl2br w:val="nil"/>
              <w:tr2bl w:val="nil"/>
            </w:tcBorders>
            <w:vAlign w:val="center"/>
          </w:tcPr>
          <w:p w14:paraId="66B91FE5">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270</w:t>
            </w:r>
          </w:p>
        </w:tc>
        <w:tc>
          <w:tcPr>
            <w:tcW w:w="415" w:type="pct"/>
            <w:tcBorders>
              <w:tl2br w:val="nil"/>
              <w:tr2bl w:val="nil"/>
            </w:tcBorders>
            <w:vAlign w:val="center"/>
          </w:tcPr>
          <w:p w14:paraId="439B5CC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1D7E047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29A307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56F7AE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49D20EF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7A8909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FD3D5B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6131B8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F83B6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2502180">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2</w:t>
            </w:r>
            <w:r>
              <w:rPr>
                <w:rFonts w:hint="default" w:ascii="Times New Roman" w:hAnsi="Times New Roman" w:eastAsia="宋体" w:cs="Times New Roman"/>
                <w:color w:val="auto"/>
                <w:kern w:val="0"/>
                <w:sz w:val="21"/>
                <w:szCs w:val="21"/>
                <w:highlight w:val="none"/>
                <w:lang w:val="en-US" w:eastAsia="zh-CN"/>
              </w:rPr>
              <w:t>9</w:t>
            </w:r>
          </w:p>
        </w:tc>
        <w:tc>
          <w:tcPr>
            <w:tcW w:w="753" w:type="pct"/>
            <w:tcBorders>
              <w:tl2br w:val="nil"/>
              <w:tr2bl w:val="nil"/>
            </w:tcBorders>
            <w:vAlign w:val="center"/>
          </w:tcPr>
          <w:p w14:paraId="1FE79DB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1，1，1，2-四氯乙烷</w:t>
            </w:r>
          </w:p>
        </w:tc>
        <w:tc>
          <w:tcPr>
            <w:tcW w:w="335" w:type="pct"/>
            <w:tcBorders>
              <w:tl2br w:val="nil"/>
              <w:tr2bl w:val="nil"/>
            </w:tcBorders>
            <w:vAlign w:val="center"/>
          </w:tcPr>
          <w:p w14:paraId="56EF597B">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415" w:type="pct"/>
            <w:tcBorders>
              <w:tl2br w:val="nil"/>
              <w:tr2bl w:val="nil"/>
            </w:tcBorders>
            <w:vAlign w:val="center"/>
          </w:tcPr>
          <w:p w14:paraId="2905446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5D23A8D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205BE16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1A5B92B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4340ACD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7AB624C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7149543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0569CA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5715AE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8B8DC25">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30</w:t>
            </w:r>
          </w:p>
        </w:tc>
        <w:tc>
          <w:tcPr>
            <w:tcW w:w="753" w:type="pct"/>
            <w:tcBorders>
              <w:tl2br w:val="nil"/>
              <w:tr2bl w:val="nil"/>
            </w:tcBorders>
            <w:vAlign w:val="center"/>
          </w:tcPr>
          <w:p w14:paraId="6B6C2C3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乙苯</w:t>
            </w:r>
          </w:p>
        </w:tc>
        <w:tc>
          <w:tcPr>
            <w:tcW w:w="335" w:type="pct"/>
            <w:tcBorders>
              <w:tl2br w:val="nil"/>
              <w:tr2bl w:val="nil"/>
            </w:tcBorders>
            <w:vAlign w:val="center"/>
          </w:tcPr>
          <w:p w14:paraId="7749B3EB">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28</w:t>
            </w:r>
          </w:p>
        </w:tc>
        <w:tc>
          <w:tcPr>
            <w:tcW w:w="415" w:type="pct"/>
            <w:tcBorders>
              <w:tl2br w:val="nil"/>
              <w:tr2bl w:val="nil"/>
            </w:tcBorders>
            <w:vAlign w:val="center"/>
          </w:tcPr>
          <w:p w14:paraId="4683379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B0069B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44B697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C392F4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EA2FFC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5F9E10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73C31C0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2A29EFD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BD22F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1A59980">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31</w:t>
            </w:r>
          </w:p>
        </w:tc>
        <w:tc>
          <w:tcPr>
            <w:tcW w:w="753" w:type="pct"/>
            <w:tcBorders>
              <w:tl2br w:val="nil"/>
              <w:tr2bl w:val="nil"/>
            </w:tcBorders>
            <w:vAlign w:val="center"/>
          </w:tcPr>
          <w:p w14:paraId="7E485E0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间二甲苯+对二甲苯</w:t>
            </w:r>
          </w:p>
        </w:tc>
        <w:tc>
          <w:tcPr>
            <w:tcW w:w="335" w:type="pct"/>
            <w:tcBorders>
              <w:tl2br w:val="nil"/>
              <w:tr2bl w:val="nil"/>
            </w:tcBorders>
            <w:vAlign w:val="center"/>
          </w:tcPr>
          <w:p w14:paraId="2B4A3FF9">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570</w:t>
            </w:r>
          </w:p>
        </w:tc>
        <w:tc>
          <w:tcPr>
            <w:tcW w:w="415" w:type="pct"/>
            <w:tcBorders>
              <w:tl2br w:val="nil"/>
              <w:tr2bl w:val="nil"/>
            </w:tcBorders>
            <w:vAlign w:val="center"/>
          </w:tcPr>
          <w:p w14:paraId="799D98F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3B04157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4C8D2F0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E60D09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CA5960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387394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2FDD76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0070324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559DCA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1A531C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32</w:t>
            </w:r>
          </w:p>
        </w:tc>
        <w:tc>
          <w:tcPr>
            <w:tcW w:w="753" w:type="pct"/>
            <w:tcBorders>
              <w:tl2br w:val="nil"/>
              <w:tr2bl w:val="nil"/>
            </w:tcBorders>
            <w:vAlign w:val="center"/>
          </w:tcPr>
          <w:p w14:paraId="0E429A5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邻二甲苯</w:t>
            </w:r>
          </w:p>
        </w:tc>
        <w:tc>
          <w:tcPr>
            <w:tcW w:w="335" w:type="pct"/>
            <w:tcBorders>
              <w:tl2br w:val="nil"/>
              <w:tr2bl w:val="nil"/>
            </w:tcBorders>
            <w:vAlign w:val="center"/>
          </w:tcPr>
          <w:p w14:paraId="5B511169">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640</w:t>
            </w:r>
          </w:p>
        </w:tc>
        <w:tc>
          <w:tcPr>
            <w:tcW w:w="415" w:type="pct"/>
            <w:tcBorders>
              <w:tl2br w:val="nil"/>
              <w:tr2bl w:val="nil"/>
            </w:tcBorders>
            <w:vAlign w:val="center"/>
          </w:tcPr>
          <w:p w14:paraId="6C580F0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46A437D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43F9155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032BBEC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357C395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37848B8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43D5F2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5AA43D3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709AA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1C02DC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33</w:t>
            </w:r>
          </w:p>
        </w:tc>
        <w:tc>
          <w:tcPr>
            <w:tcW w:w="753" w:type="pct"/>
            <w:tcBorders>
              <w:tl2br w:val="nil"/>
              <w:tr2bl w:val="nil"/>
            </w:tcBorders>
            <w:vAlign w:val="center"/>
          </w:tcPr>
          <w:p w14:paraId="586E18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苯乙烯</w:t>
            </w:r>
          </w:p>
        </w:tc>
        <w:tc>
          <w:tcPr>
            <w:tcW w:w="335" w:type="pct"/>
            <w:tcBorders>
              <w:tl2br w:val="nil"/>
              <w:tr2bl w:val="nil"/>
            </w:tcBorders>
            <w:vAlign w:val="center"/>
          </w:tcPr>
          <w:p w14:paraId="1BE7C0AA">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1290</w:t>
            </w:r>
          </w:p>
        </w:tc>
        <w:tc>
          <w:tcPr>
            <w:tcW w:w="415" w:type="pct"/>
            <w:tcBorders>
              <w:tl2br w:val="nil"/>
              <w:tr2bl w:val="nil"/>
            </w:tcBorders>
            <w:vAlign w:val="center"/>
          </w:tcPr>
          <w:p w14:paraId="7165630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7B5F71A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60893E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6FB5CBA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9DE8D3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074BAAB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0D2F950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D71898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6D6B6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487332D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4</w:t>
            </w:r>
          </w:p>
        </w:tc>
        <w:tc>
          <w:tcPr>
            <w:tcW w:w="753" w:type="pct"/>
            <w:tcBorders>
              <w:tl2br w:val="nil"/>
              <w:tr2bl w:val="nil"/>
            </w:tcBorders>
            <w:vAlign w:val="center"/>
          </w:tcPr>
          <w:p w14:paraId="4F8174C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1，1，2，2-四氯乙烷</w:t>
            </w:r>
          </w:p>
        </w:tc>
        <w:tc>
          <w:tcPr>
            <w:tcW w:w="335" w:type="pct"/>
            <w:tcBorders>
              <w:tl2br w:val="nil"/>
              <w:tr2bl w:val="nil"/>
            </w:tcBorders>
            <w:vAlign w:val="center"/>
          </w:tcPr>
          <w:p w14:paraId="233D26E3">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6.8</w:t>
            </w:r>
          </w:p>
        </w:tc>
        <w:tc>
          <w:tcPr>
            <w:tcW w:w="415" w:type="pct"/>
            <w:tcBorders>
              <w:tl2br w:val="nil"/>
              <w:tr2bl w:val="nil"/>
            </w:tcBorders>
            <w:vAlign w:val="center"/>
          </w:tcPr>
          <w:p w14:paraId="6DD4DAB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09768D4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68412FC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22E25A5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C68E36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76A8C8F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7FBCBBB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FAE822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6D81F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669A709F">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5</w:t>
            </w:r>
          </w:p>
        </w:tc>
        <w:tc>
          <w:tcPr>
            <w:tcW w:w="753" w:type="pct"/>
            <w:tcBorders>
              <w:tl2br w:val="nil"/>
              <w:tr2bl w:val="nil"/>
            </w:tcBorders>
            <w:vAlign w:val="center"/>
          </w:tcPr>
          <w:p w14:paraId="7D16D14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1，2，3-三氯丙烷</w:t>
            </w:r>
          </w:p>
        </w:tc>
        <w:tc>
          <w:tcPr>
            <w:tcW w:w="335" w:type="pct"/>
            <w:tcBorders>
              <w:tl2br w:val="nil"/>
              <w:tr2bl w:val="nil"/>
            </w:tcBorders>
            <w:vAlign w:val="center"/>
          </w:tcPr>
          <w:p w14:paraId="00A9AE0D">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0.5</w:t>
            </w:r>
          </w:p>
        </w:tc>
        <w:tc>
          <w:tcPr>
            <w:tcW w:w="415" w:type="pct"/>
            <w:tcBorders>
              <w:tl2br w:val="nil"/>
              <w:tr2bl w:val="nil"/>
            </w:tcBorders>
            <w:vAlign w:val="center"/>
          </w:tcPr>
          <w:p w14:paraId="65EBE32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E003C6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09CE54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5E2DAD4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D74DC2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53D121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0C251E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1000BE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873A1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26307FAB">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6</w:t>
            </w:r>
          </w:p>
        </w:tc>
        <w:tc>
          <w:tcPr>
            <w:tcW w:w="753" w:type="pct"/>
            <w:tcBorders>
              <w:tl2br w:val="nil"/>
              <w:tr2bl w:val="nil"/>
            </w:tcBorders>
            <w:vAlign w:val="center"/>
          </w:tcPr>
          <w:p w14:paraId="70C8E2F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1，4-二氯苯</w:t>
            </w:r>
          </w:p>
        </w:tc>
        <w:tc>
          <w:tcPr>
            <w:tcW w:w="335" w:type="pct"/>
            <w:tcBorders>
              <w:tl2br w:val="nil"/>
              <w:tr2bl w:val="nil"/>
            </w:tcBorders>
            <w:vAlign w:val="center"/>
          </w:tcPr>
          <w:p w14:paraId="32427F3D">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415" w:type="pct"/>
            <w:tcBorders>
              <w:tl2br w:val="nil"/>
              <w:tr2bl w:val="nil"/>
            </w:tcBorders>
            <w:vAlign w:val="center"/>
          </w:tcPr>
          <w:p w14:paraId="48A7406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3458E9D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4F06DAE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E4E9BA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58FEEEE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9A518E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6C6D4A1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970ECE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A04E7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4BB6565">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7</w:t>
            </w:r>
          </w:p>
        </w:tc>
        <w:tc>
          <w:tcPr>
            <w:tcW w:w="753" w:type="pct"/>
            <w:tcBorders>
              <w:tl2br w:val="nil"/>
              <w:tr2bl w:val="nil"/>
            </w:tcBorders>
            <w:vAlign w:val="center"/>
          </w:tcPr>
          <w:p w14:paraId="2022246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1，2-二氯苯</w:t>
            </w:r>
          </w:p>
        </w:tc>
        <w:tc>
          <w:tcPr>
            <w:tcW w:w="335" w:type="pct"/>
            <w:tcBorders>
              <w:tl2br w:val="nil"/>
              <w:tr2bl w:val="nil"/>
            </w:tcBorders>
            <w:vAlign w:val="center"/>
          </w:tcPr>
          <w:p w14:paraId="6F55EE3C">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560</w:t>
            </w:r>
          </w:p>
        </w:tc>
        <w:tc>
          <w:tcPr>
            <w:tcW w:w="415" w:type="pct"/>
            <w:tcBorders>
              <w:tl2br w:val="nil"/>
              <w:tr2bl w:val="nil"/>
            </w:tcBorders>
            <w:vAlign w:val="center"/>
          </w:tcPr>
          <w:p w14:paraId="04EA799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DD6734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007BF1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5A43265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36EB113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11DEE9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52162D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21FD84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CB58F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7B6468A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8</w:t>
            </w:r>
          </w:p>
        </w:tc>
        <w:tc>
          <w:tcPr>
            <w:tcW w:w="753" w:type="pct"/>
            <w:tcBorders>
              <w:tl2br w:val="nil"/>
              <w:tr2bl w:val="nil"/>
            </w:tcBorders>
            <w:vAlign w:val="center"/>
          </w:tcPr>
          <w:p w14:paraId="3717AC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苯胺</w:t>
            </w:r>
          </w:p>
        </w:tc>
        <w:tc>
          <w:tcPr>
            <w:tcW w:w="335" w:type="pct"/>
            <w:tcBorders>
              <w:tl2br w:val="nil"/>
              <w:tr2bl w:val="nil"/>
            </w:tcBorders>
            <w:vAlign w:val="center"/>
          </w:tcPr>
          <w:p w14:paraId="1FD06755">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260</w:t>
            </w:r>
          </w:p>
        </w:tc>
        <w:tc>
          <w:tcPr>
            <w:tcW w:w="415" w:type="pct"/>
            <w:tcBorders>
              <w:tl2br w:val="nil"/>
              <w:tr2bl w:val="nil"/>
            </w:tcBorders>
            <w:vAlign w:val="center"/>
          </w:tcPr>
          <w:p w14:paraId="57DEF48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09107A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27B394E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7420AEE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376886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5A746C7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DB10EA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1AF174B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4C562A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71C9FE7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3</w:t>
            </w:r>
            <w:r>
              <w:rPr>
                <w:rFonts w:hint="default" w:ascii="Times New Roman" w:hAnsi="Times New Roman" w:eastAsia="宋体" w:cs="Times New Roman"/>
                <w:color w:val="auto"/>
                <w:kern w:val="0"/>
                <w:sz w:val="21"/>
                <w:szCs w:val="21"/>
                <w:highlight w:val="none"/>
                <w:lang w:val="en-US" w:eastAsia="zh-CN"/>
              </w:rPr>
              <w:t>9</w:t>
            </w:r>
          </w:p>
        </w:tc>
        <w:tc>
          <w:tcPr>
            <w:tcW w:w="753" w:type="pct"/>
            <w:tcBorders>
              <w:tl2br w:val="nil"/>
              <w:tr2bl w:val="nil"/>
            </w:tcBorders>
            <w:vAlign w:val="center"/>
          </w:tcPr>
          <w:p w14:paraId="53A8E85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2-氯酚</w:t>
            </w:r>
          </w:p>
        </w:tc>
        <w:tc>
          <w:tcPr>
            <w:tcW w:w="335" w:type="pct"/>
            <w:tcBorders>
              <w:tl2br w:val="nil"/>
              <w:tr2bl w:val="nil"/>
            </w:tcBorders>
            <w:vAlign w:val="center"/>
          </w:tcPr>
          <w:p w14:paraId="4123BC2B">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2256</w:t>
            </w:r>
          </w:p>
        </w:tc>
        <w:tc>
          <w:tcPr>
            <w:tcW w:w="415" w:type="pct"/>
            <w:tcBorders>
              <w:tl2br w:val="nil"/>
              <w:tr2bl w:val="nil"/>
            </w:tcBorders>
            <w:vAlign w:val="center"/>
          </w:tcPr>
          <w:p w14:paraId="3558DBE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336E5E8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6AB57B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6E6E7D1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5C1A865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25870DB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2311195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1B56D7E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76F96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AC2674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40</w:t>
            </w:r>
          </w:p>
        </w:tc>
        <w:tc>
          <w:tcPr>
            <w:tcW w:w="753" w:type="pct"/>
            <w:tcBorders>
              <w:tl2br w:val="nil"/>
              <w:tr2bl w:val="nil"/>
            </w:tcBorders>
            <w:vAlign w:val="center"/>
          </w:tcPr>
          <w:p w14:paraId="665C98B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硝基苯</w:t>
            </w:r>
          </w:p>
        </w:tc>
        <w:tc>
          <w:tcPr>
            <w:tcW w:w="335" w:type="pct"/>
            <w:tcBorders>
              <w:tl2br w:val="nil"/>
              <w:tr2bl w:val="nil"/>
            </w:tcBorders>
            <w:vAlign w:val="center"/>
          </w:tcPr>
          <w:p w14:paraId="46242F14">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76</w:t>
            </w:r>
          </w:p>
        </w:tc>
        <w:tc>
          <w:tcPr>
            <w:tcW w:w="415" w:type="pct"/>
            <w:tcBorders>
              <w:tl2br w:val="nil"/>
              <w:tr2bl w:val="nil"/>
            </w:tcBorders>
            <w:vAlign w:val="center"/>
          </w:tcPr>
          <w:p w14:paraId="189B86C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3D69EFB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17D02D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2B6E606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272B8C6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7DEF3B06">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1EE26AA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15417EE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13EF0B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6B4CDE7D">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41</w:t>
            </w:r>
          </w:p>
        </w:tc>
        <w:tc>
          <w:tcPr>
            <w:tcW w:w="753" w:type="pct"/>
            <w:tcBorders>
              <w:tl2br w:val="nil"/>
              <w:tr2bl w:val="nil"/>
            </w:tcBorders>
            <w:vAlign w:val="center"/>
          </w:tcPr>
          <w:p w14:paraId="3E87A81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萘</w:t>
            </w:r>
          </w:p>
        </w:tc>
        <w:tc>
          <w:tcPr>
            <w:tcW w:w="335" w:type="pct"/>
            <w:tcBorders>
              <w:tl2br w:val="nil"/>
              <w:tr2bl w:val="nil"/>
            </w:tcBorders>
            <w:vAlign w:val="center"/>
          </w:tcPr>
          <w:p w14:paraId="0C3B0E1F">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415" w:type="pct"/>
            <w:tcBorders>
              <w:tl2br w:val="nil"/>
              <w:tr2bl w:val="nil"/>
            </w:tcBorders>
            <w:vAlign w:val="center"/>
          </w:tcPr>
          <w:p w14:paraId="149468B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08D9690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15DA00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0916622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504F0FE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EAEFA9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43CC7B0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38DB2D7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275B6B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44CF95AD">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42</w:t>
            </w:r>
          </w:p>
        </w:tc>
        <w:tc>
          <w:tcPr>
            <w:tcW w:w="753" w:type="pct"/>
            <w:tcBorders>
              <w:tl2br w:val="nil"/>
              <w:tr2bl w:val="nil"/>
            </w:tcBorders>
            <w:vAlign w:val="center"/>
          </w:tcPr>
          <w:p w14:paraId="6BEEA57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苯并[a]蒽</w:t>
            </w:r>
          </w:p>
        </w:tc>
        <w:tc>
          <w:tcPr>
            <w:tcW w:w="335" w:type="pct"/>
            <w:tcBorders>
              <w:tl2br w:val="nil"/>
              <w:tr2bl w:val="nil"/>
            </w:tcBorders>
            <w:vAlign w:val="center"/>
          </w:tcPr>
          <w:p w14:paraId="52B53D80">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415" w:type="pct"/>
            <w:tcBorders>
              <w:tl2br w:val="nil"/>
              <w:tr2bl w:val="nil"/>
            </w:tcBorders>
            <w:vAlign w:val="center"/>
          </w:tcPr>
          <w:p w14:paraId="6D36350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12DCAAF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43689B8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BD91E4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15F80E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6084A00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368445D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6FB9BD6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1DE6F7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47F45D23">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43</w:t>
            </w:r>
          </w:p>
        </w:tc>
        <w:tc>
          <w:tcPr>
            <w:tcW w:w="753" w:type="pct"/>
            <w:tcBorders>
              <w:tl2br w:val="nil"/>
              <w:tr2bl w:val="nil"/>
            </w:tcBorders>
            <w:vAlign w:val="center"/>
          </w:tcPr>
          <w:p w14:paraId="5BC9A02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䓛</w:t>
            </w:r>
          </w:p>
        </w:tc>
        <w:tc>
          <w:tcPr>
            <w:tcW w:w="335" w:type="pct"/>
            <w:tcBorders>
              <w:tl2br w:val="nil"/>
              <w:tr2bl w:val="nil"/>
            </w:tcBorders>
            <w:vAlign w:val="center"/>
          </w:tcPr>
          <w:p w14:paraId="2C0437D3">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1293</w:t>
            </w:r>
          </w:p>
        </w:tc>
        <w:tc>
          <w:tcPr>
            <w:tcW w:w="415" w:type="pct"/>
            <w:tcBorders>
              <w:tl2br w:val="nil"/>
              <w:tr2bl w:val="nil"/>
            </w:tcBorders>
            <w:vAlign w:val="center"/>
          </w:tcPr>
          <w:p w14:paraId="2E6DD3E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EF3130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75D1F4D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4E9EF8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65C2ED1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6512237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B5FDDF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61919D3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E9632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441FA27">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4</w:t>
            </w:r>
            <w:r>
              <w:rPr>
                <w:rFonts w:hint="default" w:ascii="Times New Roman" w:hAnsi="Times New Roman" w:eastAsia="宋体" w:cs="Times New Roman"/>
                <w:color w:val="auto"/>
                <w:kern w:val="0"/>
                <w:sz w:val="21"/>
                <w:szCs w:val="21"/>
                <w:highlight w:val="none"/>
                <w:lang w:val="en-US" w:eastAsia="zh-CN"/>
              </w:rPr>
              <w:t>4</w:t>
            </w:r>
          </w:p>
        </w:tc>
        <w:tc>
          <w:tcPr>
            <w:tcW w:w="753" w:type="pct"/>
            <w:tcBorders>
              <w:tl2br w:val="nil"/>
              <w:tr2bl w:val="nil"/>
            </w:tcBorders>
            <w:vAlign w:val="center"/>
          </w:tcPr>
          <w:p w14:paraId="4A3B978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苯并[b]荧蒽</w:t>
            </w:r>
          </w:p>
        </w:tc>
        <w:tc>
          <w:tcPr>
            <w:tcW w:w="335" w:type="pct"/>
            <w:tcBorders>
              <w:tl2br w:val="nil"/>
              <w:tr2bl w:val="nil"/>
            </w:tcBorders>
            <w:vAlign w:val="center"/>
          </w:tcPr>
          <w:p w14:paraId="52ED99F8">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415" w:type="pct"/>
            <w:tcBorders>
              <w:tl2br w:val="nil"/>
              <w:tr2bl w:val="nil"/>
            </w:tcBorders>
            <w:vAlign w:val="center"/>
          </w:tcPr>
          <w:p w14:paraId="797BB92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4574172">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3C137CB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7FFD7C4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0232A9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3E8ED1A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104C90C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EBD93D4">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7E702B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22F8FEBB">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4</w:t>
            </w:r>
            <w:r>
              <w:rPr>
                <w:rFonts w:hint="default" w:ascii="Times New Roman" w:hAnsi="Times New Roman" w:eastAsia="宋体" w:cs="Times New Roman"/>
                <w:color w:val="auto"/>
                <w:kern w:val="0"/>
                <w:sz w:val="21"/>
                <w:szCs w:val="21"/>
                <w:highlight w:val="none"/>
                <w:lang w:val="en-US" w:eastAsia="zh-CN"/>
              </w:rPr>
              <w:t>5</w:t>
            </w:r>
          </w:p>
        </w:tc>
        <w:tc>
          <w:tcPr>
            <w:tcW w:w="753" w:type="pct"/>
            <w:tcBorders>
              <w:tl2br w:val="nil"/>
              <w:tr2bl w:val="nil"/>
            </w:tcBorders>
            <w:vAlign w:val="center"/>
          </w:tcPr>
          <w:p w14:paraId="3495193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苯并[k]荧蒽</w:t>
            </w:r>
          </w:p>
        </w:tc>
        <w:tc>
          <w:tcPr>
            <w:tcW w:w="335" w:type="pct"/>
            <w:tcBorders>
              <w:tl2br w:val="nil"/>
              <w:tr2bl w:val="nil"/>
            </w:tcBorders>
            <w:vAlign w:val="center"/>
          </w:tcPr>
          <w:p w14:paraId="30579728">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151</w:t>
            </w:r>
          </w:p>
        </w:tc>
        <w:tc>
          <w:tcPr>
            <w:tcW w:w="415" w:type="pct"/>
            <w:tcBorders>
              <w:tl2br w:val="nil"/>
              <w:tr2bl w:val="nil"/>
            </w:tcBorders>
            <w:vAlign w:val="center"/>
          </w:tcPr>
          <w:p w14:paraId="22B60EE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49BFCDC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7D24FA6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3270968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7D6D366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7D8876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50EE295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2A07AB4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6A53DF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D226439">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4</w:t>
            </w:r>
            <w:r>
              <w:rPr>
                <w:rFonts w:hint="default" w:ascii="Times New Roman" w:hAnsi="Times New Roman" w:eastAsia="宋体" w:cs="Times New Roman"/>
                <w:color w:val="auto"/>
                <w:kern w:val="0"/>
                <w:sz w:val="21"/>
                <w:szCs w:val="21"/>
                <w:highlight w:val="none"/>
                <w:lang w:val="en-US" w:eastAsia="zh-CN"/>
              </w:rPr>
              <w:t>6</w:t>
            </w:r>
          </w:p>
        </w:tc>
        <w:tc>
          <w:tcPr>
            <w:tcW w:w="753" w:type="pct"/>
            <w:tcBorders>
              <w:tl2br w:val="nil"/>
              <w:tr2bl w:val="nil"/>
            </w:tcBorders>
            <w:vAlign w:val="center"/>
          </w:tcPr>
          <w:p w14:paraId="55B365D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苯并[a]芘</w:t>
            </w:r>
          </w:p>
        </w:tc>
        <w:tc>
          <w:tcPr>
            <w:tcW w:w="335" w:type="pct"/>
            <w:tcBorders>
              <w:tl2br w:val="nil"/>
              <w:tr2bl w:val="nil"/>
            </w:tcBorders>
            <w:vAlign w:val="center"/>
          </w:tcPr>
          <w:p w14:paraId="18268292">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415" w:type="pct"/>
            <w:tcBorders>
              <w:tl2br w:val="nil"/>
              <w:tr2bl w:val="nil"/>
            </w:tcBorders>
            <w:vAlign w:val="center"/>
          </w:tcPr>
          <w:p w14:paraId="7C7A95DF">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64B69AF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6E8C2E3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6CF824A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3688505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0EB804E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3239563D">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319B2B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5F5A0D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3C0EEA26">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4</w:t>
            </w:r>
            <w:r>
              <w:rPr>
                <w:rFonts w:hint="default" w:ascii="Times New Roman" w:hAnsi="Times New Roman" w:eastAsia="宋体" w:cs="Times New Roman"/>
                <w:color w:val="auto"/>
                <w:kern w:val="0"/>
                <w:sz w:val="21"/>
                <w:szCs w:val="21"/>
                <w:highlight w:val="none"/>
                <w:lang w:val="en-US" w:eastAsia="zh-CN"/>
              </w:rPr>
              <w:t>7</w:t>
            </w:r>
          </w:p>
        </w:tc>
        <w:tc>
          <w:tcPr>
            <w:tcW w:w="753" w:type="pct"/>
            <w:tcBorders>
              <w:tl2br w:val="nil"/>
              <w:tr2bl w:val="nil"/>
            </w:tcBorders>
            <w:vAlign w:val="center"/>
          </w:tcPr>
          <w:p w14:paraId="7437EB1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茚并[1、2、3-cd]芘</w:t>
            </w:r>
          </w:p>
        </w:tc>
        <w:tc>
          <w:tcPr>
            <w:tcW w:w="335" w:type="pct"/>
            <w:tcBorders>
              <w:tl2br w:val="nil"/>
              <w:tr2bl w:val="nil"/>
            </w:tcBorders>
            <w:vAlign w:val="center"/>
          </w:tcPr>
          <w:p w14:paraId="68F17842">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415" w:type="pct"/>
            <w:tcBorders>
              <w:tl2br w:val="nil"/>
              <w:tr2bl w:val="nil"/>
            </w:tcBorders>
            <w:vAlign w:val="center"/>
          </w:tcPr>
          <w:p w14:paraId="6930B4FC">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1779506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0BF0CBBB">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65E2CAD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4176D441">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90C9A9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4925B01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6C9058B7">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33CF0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237" w:type="pct"/>
            <w:tcBorders>
              <w:tl2br w:val="nil"/>
              <w:tr2bl w:val="nil"/>
            </w:tcBorders>
            <w:shd w:val="clear" w:color="auto" w:fill="auto"/>
            <w:vAlign w:val="center"/>
          </w:tcPr>
          <w:p w14:paraId="1CF9A971">
            <w:pPr>
              <w:keepNext w:val="0"/>
              <w:keepLines w:val="0"/>
              <w:pageBreakBefore w:val="0"/>
              <w:suppressLineNumbers w:val="0"/>
              <w:wordWrap/>
              <w:topLinePunct w:val="0"/>
              <w:autoSpaceDE w:val="0"/>
              <w:autoSpaceDN w:val="0"/>
              <w:bidi w:val="0"/>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4</w:t>
            </w:r>
            <w:r>
              <w:rPr>
                <w:rFonts w:hint="default" w:ascii="Times New Roman" w:hAnsi="Times New Roman" w:eastAsia="宋体" w:cs="Times New Roman"/>
                <w:color w:val="auto"/>
                <w:kern w:val="0"/>
                <w:sz w:val="21"/>
                <w:szCs w:val="21"/>
                <w:highlight w:val="none"/>
                <w:lang w:val="en-US" w:eastAsia="zh-CN"/>
              </w:rPr>
              <w:t>8</w:t>
            </w:r>
          </w:p>
        </w:tc>
        <w:tc>
          <w:tcPr>
            <w:tcW w:w="753" w:type="pct"/>
            <w:tcBorders>
              <w:tl2br w:val="nil"/>
              <w:tr2bl w:val="nil"/>
            </w:tcBorders>
            <w:vAlign w:val="center"/>
          </w:tcPr>
          <w:p w14:paraId="5C4EF33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bidi="ar"/>
              </w:rPr>
              <w:t>二苯并</w:t>
            </w:r>
            <w:r>
              <w:rPr>
                <w:rFonts w:hint="default" w:ascii="Times New Roman" w:hAnsi="Times New Roman" w:eastAsia="宋体" w:cs="Times New Roman"/>
                <w:color w:val="auto"/>
                <w:sz w:val="21"/>
                <w:szCs w:val="21"/>
                <w:highlight w:val="none"/>
              </w:rPr>
              <w:t>[a，h]蒽</w:t>
            </w:r>
          </w:p>
        </w:tc>
        <w:tc>
          <w:tcPr>
            <w:tcW w:w="335" w:type="pct"/>
            <w:tcBorders>
              <w:tl2br w:val="nil"/>
              <w:tr2bl w:val="nil"/>
            </w:tcBorders>
            <w:vAlign w:val="center"/>
          </w:tcPr>
          <w:p w14:paraId="278AEB72">
            <w:pPr>
              <w:keepNext w:val="0"/>
              <w:keepLines w:val="0"/>
              <w:pageBreakBefore w:val="0"/>
              <w:suppressLineNumbers w:val="0"/>
              <w:kinsoku w:val="0"/>
              <w:wordWrap/>
              <w:overflowPunct w:val="0"/>
              <w:topLinePunct w:val="0"/>
              <w:autoSpaceDE w:val="0"/>
              <w:autoSpaceDN w:val="0"/>
              <w:bidi w:val="0"/>
              <w:adjustRightInd w:val="0"/>
              <w:snapToGrid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415" w:type="pct"/>
            <w:tcBorders>
              <w:tl2br w:val="nil"/>
              <w:tr2bl w:val="nil"/>
            </w:tcBorders>
            <w:vAlign w:val="center"/>
          </w:tcPr>
          <w:p w14:paraId="279D5975">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ND</w:t>
            </w:r>
          </w:p>
        </w:tc>
        <w:tc>
          <w:tcPr>
            <w:tcW w:w="415" w:type="pct"/>
            <w:tcBorders>
              <w:tl2br w:val="nil"/>
              <w:tr2bl w:val="nil"/>
            </w:tcBorders>
            <w:vAlign w:val="center"/>
          </w:tcPr>
          <w:p w14:paraId="28362273">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5" w:type="pct"/>
            <w:tcBorders>
              <w:tl2br w:val="nil"/>
              <w:tr2bl w:val="nil"/>
            </w:tcBorders>
            <w:vAlign w:val="center"/>
          </w:tcPr>
          <w:p w14:paraId="1110F510">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7" w:type="pct"/>
            <w:tcBorders>
              <w:tl2br w:val="nil"/>
              <w:tr2bl w:val="nil"/>
            </w:tcBorders>
            <w:vAlign w:val="center"/>
          </w:tcPr>
          <w:p w14:paraId="4FEA580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55" w:type="pct"/>
            <w:tcBorders>
              <w:tl2br w:val="nil"/>
              <w:tr2bl w:val="nil"/>
            </w:tcBorders>
            <w:vAlign w:val="center"/>
          </w:tcPr>
          <w:p w14:paraId="06A4ED9A">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14" w:type="pct"/>
            <w:tcBorders>
              <w:tl2br w:val="nil"/>
              <w:tr2bl w:val="nil"/>
            </w:tcBorders>
            <w:vAlign w:val="center"/>
          </w:tcPr>
          <w:p w14:paraId="16A14A49">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465" w:type="pct"/>
            <w:tcBorders>
              <w:tl2br w:val="nil"/>
              <w:tr2bl w:val="nil"/>
            </w:tcBorders>
            <w:vAlign w:val="center"/>
          </w:tcPr>
          <w:p w14:paraId="2A024CAE">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673" w:type="pct"/>
            <w:tcBorders>
              <w:tl2br w:val="nil"/>
              <w:tr2bl w:val="nil"/>
            </w:tcBorders>
            <w:vAlign w:val="center"/>
          </w:tcPr>
          <w:p w14:paraId="4F342908">
            <w:pPr>
              <w:keepNext w:val="0"/>
              <w:keepLines w:val="0"/>
              <w:pageBreakBefore w:val="0"/>
              <w:suppressLineNumbers w:val="0"/>
              <w:wordWrap/>
              <w:topLinePunct w:val="0"/>
              <w:bidi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bl>
    <w:p w14:paraId="356A6B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Cs w:val="20"/>
          <w:highlight w:val="none"/>
          <w:lang w:val="zh-CN"/>
        </w:rPr>
        <w:sectPr>
          <w:footerReference r:id="rId35" w:type="default"/>
          <w:footerReference r:id="rId36" w:type="even"/>
          <w:pgSz w:w="11907" w:h="16840"/>
          <w:pgMar w:top="1440" w:right="1800" w:bottom="1440" w:left="1800" w:header="680" w:footer="850" w:gutter="0"/>
          <w:pgBorders>
            <w:top w:val="none" w:sz="0" w:space="0"/>
            <w:left w:val="none" w:sz="0" w:space="0"/>
            <w:bottom w:val="none" w:sz="0" w:space="0"/>
            <w:right w:val="none" w:sz="0" w:space="0"/>
          </w:pgBorders>
          <w:pgNumType w:fmt="decimal"/>
          <w:cols w:space="720" w:num="1"/>
          <w:docGrid w:linePitch="326" w:charSpace="0"/>
        </w:sectPr>
      </w:pPr>
    </w:p>
    <w:p w14:paraId="6C115BB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 w:val="21"/>
          <w:szCs w:val="21"/>
          <w:highlight w:val="none"/>
          <w:lang w:val="zh-CN"/>
        </w:rPr>
      </w:pPr>
      <w:r>
        <w:rPr>
          <w:rFonts w:hint="default" w:ascii="Times New Roman" w:hAnsi="Times New Roman" w:eastAsia="宋体" w:cs="Times New Roman"/>
          <w:b/>
          <w:color w:val="auto"/>
          <w:kern w:val="0"/>
          <w:sz w:val="21"/>
          <w:szCs w:val="21"/>
          <w:highlight w:val="none"/>
          <w:lang w:val="zh-CN"/>
        </w:rPr>
        <w:t>表4.</w:t>
      </w:r>
      <w:r>
        <w:rPr>
          <w:rFonts w:hint="default" w:ascii="Times New Roman" w:hAnsi="Times New Roman" w:eastAsia="宋体" w:cs="Times New Roman"/>
          <w:b/>
          <w:color w:val="auto"/>
          <w:kern w:val="0"/>
          <w:sz w:val="21"/>
          <w:szCs w:val="21"/>
          <w:highlight w:val="none"/>
          <w:lang w:val="en-US" w:eastAsia="zh-CN"/>
        </w:rPr>
        <w:t>2</w:t>
      </w:r>
      <w:r>
        <w:rPr>
          <w:rFonts w:hint="default" w:ascii="Times New Roman" w:hAnsi="Times New Roman" w:eastAsia="宋体" w:cs="Times New Roman"/>
          <w:b/>
          <w:color w:val="auto"/>
          <w:kern w:val="0"/>
          <w:sz w:val="21"/>
          <w:szCs w:val="21"/>
          <w:highlight w:val="none"/>
          <w:lang w:val="zh-CN"/>
        </w:rPr>
        <w:t>-</w:t>
      </w:r>
      <w:r>
        <w:rPr>
          <w:rFonts w:hint="default" w:ascii="Times New Roman" w:hAnsi="Times New Roman" w:cs="Times New Roman"/>
          <w:b/>
          <w:color w:val="auto"/>
          <w:kern w:val="0"/>
          <w:sz w:val="21"/>
          <w:szCs w:val="21"/>
          <w:highlight w:val="none"/>
          <w:lang w:val="en-US" w:eastAsia="zh-CN"/>
        </w:rPr>
        <w:t>9</w:t>
      </w:r>
      <w:r>
        <w:rPr>
          <w:rFonts w:hint="default" w:ascii="Times New Roman" w:hAnsi="Times New Roman" w:eastAsia="宋体" w:cs="Times New Roman"/>
          <w:b/>
          <w:color w:val="auto"/>
          <w:kern w:val="0"/>
          <w:sz w:val="21"/>
          <w:szCs w:val="21"/>
          <w:highlight w:val="none"/>
          <w:lang w:val="zh-CN"/>
        </w:rPr>
        <w:t xml:space="preserve">    监测结果统计一览表（续表）    单位：mg/kg，pH除外</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75"/>
        <w:gridCol w:w="718"/>
        <w:gridCol w:w="614"/>
        <w:gridCol w:w="779"/>
        <w:gridCol w:w="697"/>
        <w:gridCol w:w="596"/>
        <w:gridCol w:w="587"/>
        <w:gridCol w:w="596"/>
        <w:gridCol w:w="587"/>
        <w:gridCol w:w="779"/>
        <w:gridCol w:w="697"/>
        <w:gridCol w:w="596"/>
        <w:gridCol w:w="587"/>
        <w:gridCol w:w="596"/>
        <w:gridCol w:w="587"/>
        <w:gridCol w:w="779"/>
        <w:gridCol w:w="697"/>
        <w:gridCol w:w="596"/>
        <w:gridCol w:w="587"/>
        <w:gridCol w:w="596"/>
        <w:gridCol w:w="587"/>
      </w:tblGrid>
      <w:tr w14:paraId="0C3A08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vMerge w:val="restart"/>
            <w:tcBorders>
              <w:tl2br w:val="nil"/>
              <w:tr2bl w:val="nil"/>
            </w:tcBorders>
            <w:shd w:val="clear" w:color="auto" w:fill="auto"/>
            <w:vAlign w:val="center"/>
          </w:tcPr>
          <w:p w14:paraId="3F5418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序号</w:t>
            </w:r>
          </w:p>
        </w:tc>
        <w:tc>
          <w:tcPr>
            <w:tcW w:w="718" w:type="dxa"/>
            <w:vMerge w:val="restart"/>
            <w:tcBorders>
              <w:tl2br w:val="nil"/>
              <w:tr2bl w:val="nil"/>
            </w:tcBorders>
            <w:shd w:val="clear" w:color="auto" w:fill="auto"/>
            <w:vAlign w:val="center"/>
          </w:tcPr>
          <w:p w14:paraId="6A459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项目</w:t>
            </w:r>
          </w:p>
        </w:tc>
        <w:tc>
          <w:tcPr>
            <w:tcW w:w="614" w:type="dxa"/>
            <w:vMerge w:val="restart"/>
            <w:tcBorders>
              <w:tl2br w:val="nil"/>
              <w:tr2bl w:val="nil"/>
            </w:tcBorders>
            <w:shd w:val="clear" w:color="auto" w:fill="auto"/>
            <w:vAlign w:val="center"/>
          </w:tcPr>
          <w:p w14:paraId="2B8AE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筛选值</w:t>
            </w:r>
          </w:p>
        </w:tc>
        <w:tc>
          <w:tcPr>
            <w:tcW w:w="11526" w:type="dxa"/>
            <w:gridSpan w:val="18"/>
            <w:tcBorders>
              <w:tl2br w:val="nil"/>
              <w:tr2bl w:val="nil"/>
            </w:tcBorders>
            <w:shd w:val="clear" w:color="auto" w:fill="auto"/>
            <w:vAlign w:val="center"/>
          </w:tcPr>
          <w:p w14:paraId="399A23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监测结果</w:t>
            </w:r>
          </w:p>
        </w:tc>
      </w:tr>
      <w:tr w14:paraId="4D0452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vMerge w:val="continue"/>
            <w:tcBorders>
              <w:tl2br w:val="nil"/>
              <w:tr2bl w:val="nil"/>
            </w:tcBorders>
            <w:shd w:val="clear" w:color="auto" w:fill="auto"/>
            <w:vAlign w:val="center"/>
          </w:tcPr>
          <w:p w14:paraId="136119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718" w:type="dxa"/>
            <w:vMerge w:val="continue"/>
            <w:tcBorders>
              <w:tl2br w:val="nil"/>
              <w:tr2bl w:val="nil"/>
            </w:tcBorders>
            <w:shd w:val="clear" w:color="auto" w:fill="auto"/>
            <w:vAlign w:val="center"/>
          </w:tcPr>
          <w:p w14:paraId="6BCE59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14" w:type="dxa"/>
            <w:vMerge w:val="continue"/>
            <w:tcBorders>
              <w:tl2br w:val="nil"/>
              <w:tr2bl w:val="nil"/>
            </w:tcBorders>
            <w:shd w:val="clear" w:color="auto" w:fill="auto"/>
            <w:vAlign w:val="center"/>
          </w:tcPr>
          <w:p w14:paraId="5E83F0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842" w:type="dxa"/>
            <w:gridSpan w:val="6"/>
            <w:tcBorders>
              <w:tl2br w:val="nil"/>
              <w:tr2bl w:val="nil"/>
            </w:tcBorders>
            <w:shd w:val="clear" w:color="auto" w:fill="auto"/>
            <w:vAlign w:val="center"/>
          </w:tcPr>
          <w:p w14:paraId="4659B2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kern w:val="0"/>
                <w:sz w:val="21"/>
                <w:szCs w:val="21"/>
                <w:highlight w:val="none"/>
                <w:lang w:val="en-US" w:eastAsia="zh-CN"/>
              </w:rPr>
              <w:t>矿区内空地表层样点</w:t>
            </w:r>
          </w:p>
        </w:tc>
        <w:tc>
          <w:tcPr>
            <w:tcW w:w="3842" w:type="dxa"/>
            <w:gridSpan w:val="6"/>
            <w:tcBorders>
              <w:tl2br w:val="nil"/>
              <w:tr2bl w:val="nil"/>
            </w:tcBorders>
            <w:shd w:val="clear" w:color="auto" w:fill="auto"/>
            <w:vAlign w:val="center"/>
          </w:tcPr>
          <w:p w14:paraId="06088C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w:t>
            </w:r>
            <w:r>
              <w:rPr>
                <w:rFonts w:hint="default" w:ascii="Times New Roman" w:hAnsi="Times New Roman" w:eastAsia="宋体" w:cs="Times New Roman"/>
                <w:b w:val="0"/>
                <w:bCs w:val="0"/>
                <w:color w:val="auto"/>
                <w:kern w:val="0"/>
                <w:sz w:val="21"/>
                <w:szCs w:val="21"/>
                <w:highlight w:val="none"/>
                <w:lang w:val="en-US" w:eastAsia="zh-CN"/>
              </w:rPr>
              <w:t>矿区内空地表层样点</w:t>
            </w:r>
          </w:p>
        </w:tc>
        <w:tc>
          <w:tcPr>
            <w:tcW w:w="3842" w:type="dxa"/>
            <w:gridSpan w:val="6"/>
            <w:tcBorders>
              <w:tl2br w:val="nil"/>
              <w:tr2bl w:val="nil"/>
            </w:tcBorders>
            <w:shd w:val="clear" w:color="auto" w:fill="auto"/>
            <w:vAlign w:val="center"/>
          </w:tcPr>
          <w:p w14:paraId="15CD2A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4#</w:t>
            </w:r>
            <w:r>
              <w:rPr>
                <w:rFonts w:hint="default" w:ascii="Times New Roman" w:hAnsi="Times New Roman" w:eastAsia="宋体" w:cs="Times New Roman"/>
                <w:b w:val="0"/>
                <w:bCs w:val="0"/>
                <w:color w:val="auto"/>
                <w:kern w:val="0"/>
                <w:sz w:val="21"/>
                <w:szCs w:val="21"/>
                <w:highlight w:val="none"/>
                <w:lang w:val="en-US" w:eastAsia="zh-CN"/>
              </w:rPr>
              <w:t>矿区内空地表层样点</w:t>
            </w:r>
          </w:p>
        </w:tc>
      </w:tr>
      <w:tr w14:paraId="66C0EB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vMerge w:val="continue"/>
            <w:tcBorders>
              <w:tl2br w:val="nil"/>
              <w:tr2bl w:val="nil"/>
            </w:tcBorders>
            <w:shd w:val="clear" w:color="auto" w:fill="auto"/>
            <w:vAlign w:val="center"/>
          </w:tcPr>
          <w:p w14:paraId="607EB6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718" w:type="dxa"/>
            <w:vMerge w:val="continue"/>
            <w:tcBorders>
              <w:tl2br w:val="nil"/>
              <w:tr2bl w:val="nil"/>
            </w:tcBorders>
            <w:shd w:val="clear" w:color="auto" w:fill="auto"/>
            <w:vAlign w:val="center"/>
          </w:tcPr>
          <w:p w14:paraId="046CA4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14" w:type="dxa"/>
            <w:vMerge w:val="continue"/>
            <w:tcBorders>
              <w:tl2br w:val="nil"/>
              <w:tr2bl w:val="nil"/>
            </w:tcBorders>
            <w:shd w:val="clear" w:color="auto" w:fill="auto"/>
            <w:vAlign w:val="center"/>
          </w:tcPr>
          <w:p w14:paraId="4C1924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1476" w:type="dxa"/>
            <w:gridSpan w:val="2"/>
            <w:tcBorders>
              <w:tl2br w:val="nil"/>
              <w:tr2bl w:val="nil"/>
            </w:tcBorders>
            <w:shd w:val="clear" w:color="auto" w:fill="auto"/>
            <w:vAlign w:val="center"/>
          </w:tcPr>
          <w:p w14:paraId="03166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（0~0.5m）</w:t>
            </w:r>
          </w:p>
        </w:tc>
        <w:tc>
          <w:tcPr>
            <w:tcW w:w="1183" w:type="dxa"/>
            <w:gridSpan w:val="2"/>
            <w:tcBorders>
              <w:tl2br w:val="nil"/>
              <w:tr2bl w:val="nil"/>
            </w:tcBorders>
            <w:shd w:val="clear" w:color="auto" w:fill="auto"/>
            <w:vAlign w:val="center"/>
          </w:tcPr>
          <w:p w14:paraId="6C92EE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（0.5～1.5m）</w:t>
            </w:r>
          </w:p>
        </w:tc>
        <w:tc>
          <w:tcPr>
            <w:tcW w:w="1183" w:type="dxa"/>
            <w:gridSpan w:val="2"/>
            <w:tcBorders>
              <w:tl2br w:val="nil"/>
              <w:tr2bl w:val="nil"/>
            </w:tcBorders>
            <w:shd w:val="clear" w:color="auto" w:fill="auto"/>
            <w:vAlign w:val="center"/>
          </w:tcPr>
          <w:p w14:paraId="6A371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（1.5～3.0m）</w:t>
            </w:r>
          </w:p>
        </w:tc>
        <w:tc>
          <w:tcPr>
            <w:tcW w:w="1476" w:type="dxa"/>
            <w:gridSpan w:val="2"/>
            <w:tcBorders>
              <w:tl2br w:val="nil"/>
              <w:tr2bl w:val="nil"/>
            </w:tcBorders>
            <w:shd w:val="clear" w:color="auto" w:fill="auto"/>
            <w:vAlign w:val="center"/>
          </w:tcPr>
          <w:p w14:paraId="7F4CC7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（0~0.5m）</w:t>
            </w:r>
          </w:p>
        </w:tc>
        <w:tc>
          <w:tcPr>
            <w:tcW w:w="1183" w:type="dxa"/>
            <w:gridSpan w:val="2"/>
            <w:tcBorders>
              <w:tl2br w:val="nil"/>
              <w:tr2bl w:val="nil"/>
            </w:tcBorders>
            <w:shd w:val="clear" w:color="auto" w:fill="auto"/>
            <w:vAlign w:val="center"/>
          </w:tcPr>
          <w:p w14:paraId="79ABF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（0.5～1.5m）</w:t>
            </w:r>
          </w:p>
        </w:tc>
        <w:tc>
          <w:tcPr>
            <w:tcW w:w="1183" w:type="dxa"/>
            <w:gridSpan w:val="2"/>
            <w:tcBorders>
              <w:tl2br w:val="nil"/>
              <w:tr2bl w:val="nil"/>
            </w:tcBorders>
            <w:shd w:val="clear" w:color="auto" w:fill="auto"/>
            <w:vAlign w:val="center"/>
          </w:tcPr>
          <w:p w14:paraId="3D6DF6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（1.5～3.0m）</w:t>
            </w:r>
          </w:p>
        </w:tc>
        <w:tc>
          <w:tcPr>
            <w:tcW w:w="1476" w:type="dxa"/>
            <w:gridSpan w:val="2"/>
            <w:tcBorders>
              <w:tl2br w:val="nil"/>
              <w:tr2bl w:val="nil"/>
            </w:tcBorders>
            <w:shd w:val="clear" w:color="auto" w:fill="auto"/>
            <w:vAlign w:val="center"/>
          </w:tcPr>
          <w:p w14:paraId="358FBE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（0~0.5m）</w:t>
            </w:r>
          </w:p>
        </w:tc>
        <w:tc>
          <w:tcPr>
            <w:tcW w:w="1183" w:type="dxa"/>
            <w:gridSpan w:val="2"/>
            <w:tcBorders>
              <w:tl2br w:val="nil"/>
              <w:tr2bl w:val="nil"/>
            </w:tcBorders>
            <w:shd w:val="clear" w:color="auto" w:fill="auto"/>
            <w:vAlign w:val="center"/>
          </w:tcPr>
          <w:p w14:paraId="67430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（0.5～1.5m）</w:t>
            </w:r>
          </w:p>
        </w:tc>
        <w:tc>
          <w:tcPr>
            <w:tcW w:w="1183" w:type="dxa"/>
            <w:gridSpan w:val="2"/>
            <w:tcBorders>
              <w:tl2br w:val="nil"/>
              <w:tr2bl w:val="nil"/>
            </w:tcBorders>
            <w:shd w:val="clear" w:color="auto" w:fill="auto"/>
            <w:vAlign w:val="center"/>
          </w:tcPr>
          <w:p w14:paraId="2FDC9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（1.5～3.0m）</w:t>
            </w:r>
          </w:p>
        </w:tc>
      </w:tr>
      <w:tr w14:paraId="1E8999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vMerge w:val="continue"/>
            <w:tcBorders>
              <w:tl2br w:val="nil"/>
              <w:tr2bl w:val="nil"/>
            </w:tcBorders>
            <w:shd w:val="clear" w:color="auto" w:fill="auto"/>
            <w:vAlign w:val="center"/>
          </w:tcPr>
          <w:p w14:paraId="089323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718" w:type="dxa"/>
            <w:vMerge w:val="continue"/>
            <w:tcBorders>
              <w:tl2br w:val="nil"/>
              <w:tr2bl w:val="nil"/>
            </w:tcBorders>
            <w:shd w:val="clear" w:color="auto" w:fill="auto"/>
            <w:vAlign w:val="center"/>
          </w:tcPr>
          <w:p w14:paraId="673F63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14" w:type="dxa"/>
            <w:vMerge w:val="continue"/>
            <w:tcBorders>
              <w:tl2br w:val="nil"/>
              <w:tr2bl w:val="nil"/>
            </w:tcBorders>
            <w:shd w:val="clear" w:color="auto" w:fill="auto"/>
            <w:vAlign w:val="center"/>
          </w:tcPr>
          <w:p w14:paraId="40E5E2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779" w:type="dxa"/>
            <w:tcBorders>
              <w:tl2br w:val="nil"/>
              <w:tr2bl w:val="nil"/>
            </w:tcBorders>
            <w:shd w:val="clear" w:color="auto" w:fill="auto"/>
            <w:vAlign w:val="center"/>
          </w:tcPr>
          <w:p w14:paraId="7C049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697" w:type="dxa"/>
            <w:tcBorders>
              <w:tl2br w:val="nil"/>
              <w:tr2bl w:val="nil"/>
            </w:tcBorders>
            <w:shd w:val="clear" w:color="auto" w:fill="auto"/>
            <w:vAlign w:val="center"/>
          </w:tcPr>
          <w:p w14:paraId="6BACDD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4E8323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5AEF2F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3C9520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7FE49C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779" w:type="dxa"/>
            <w:tcBorders>
              <w:tl2br w:val="nil"/>
              <w:tr2bl w:val="nil"/>
            </w:tcBorders>
            <w:shd w:val="clear" w:color="auto" w:fill="auto"/>
            <w:vAlign w:val="center"/>
          </w:tcPr>
          <w:p w14:paraId="6A99C0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697" w:type="dxa"/>
            <w:tcBorders>
              <w:tl2br w:val="nil"/>
              <w:tr2bl w:val="nil"/>
            </w:tcBorders>
            <w:shd w:val="clear" w:color="auto" w:fill="auto"/>
            <w:vAlign w:val="center"/>
          </w:tcPr>
          <w:p w14:paraId="7D09BA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0B4A0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55098B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6329BA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144DA9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779" w:type="dxa"/>
            <w:tcBorders>
              <w:tl2br w:val="nil"/>
              <w:tr2bl w:val="nil"/>
            </w:tcBorders>
            <w:shd w:val="clear" w:color="auto" w:fill="auto"/>
            <w:vAlign w:val="center"/>
          </w:tcPr>
          <w:p w14:paraId="5A84E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697" w:type="dxa"/>
            <w:tcBorders>
              <w:tl2br w:val="nil"/>
              <w:tr2bl w:val="nil"/>
            </w:tcBorders>
            <w:shd w:val="clear" w:color="auto" w:fill="auto"/>
            <w:vAlign w:val="center"/>
          </w:tcPr>
          <w:p w14:paraId="7A29C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27330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131537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596" w:type="dxa"/>
            <w:tcBorders>
              <w:tl2br w:val="nil"/>
              <w:tr2bl w:val="nil"/>
            </w:tcBorders>
            <w:shd w:val="clear" w:color="auto" w:fill="auto"/>
            <w:vAlign w:val="center"/>
          </w:tcPr>
          <w:p w14:paraId="310404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监测结果</w:t>
            </w:r>
          </w:p>
        </w:tc>
        <w:tc>
          <w:tcPr>
            <w:tcW w:w="587" w:type="dxa"/>
            <w:tcBorders>
              <w:tl2br w:val="nil"/>
              <w:tr2bl w:val="nil"/>
            </w:tcBorders>
            <w:shd w:val="clear" w:color="auto" w:fill="auto"/>
            <w:vAlign w:val="center"/>
          </w:tcPr>
          <w:p w14:paraId="6563DB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标准指数</w:t>
            </w:r>
          </w:p>
        </w:tc>
      </w:tr>
      <w:tr w14:paraId="0F51A7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209561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p>
        </w:tc>
        <w:tc>
          <w:tcPr>
            <w:tcW w:w="718" w:type="dxa"/>
            <w:tcBorders>
              <w:tl2br w:val="nil"/>
              <w:tr2bl w:val="nil"/>
            </w:tcBorders>
            <w:shd w:val="clear" w:color="auto" w:fill="auto"/>
            <w:vAlign w:val="center"/>
          </w:tcPr>
          <w:p w14:paraId="034F05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pH</w:t>
            </w:r>
          </w:p>
        </w:tc>
        <w:tc>
          <w:tcPr>
            <w:tcW w:w="614" w:type="dxa"/>
            <w:tcBorders>
              <w:tl2br w:val="nil"/>
              <w:tr2bl w:val="nil"/>
            </w:tcBorders>
            <w:shd w:val="clear" w:color="auto" w:fill="auto"/>
            <w:vAlign w:val="center"/>
          </w:tcPr>
          <w:p w14:paraId="0410C60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779" w:type="dxa"/>
            <w:tcBorders>
              <w:tl2br w:val="nil"/>
              <w:tr2bl w:val="nil"/>
            </w:tcBorders>
            <w:shd w:val="clear" w:color="auto" w:fill="auto"/>
            <w:vAlign w:val="center"/>
          </w:tcPr>
          <w:p w14:paraId="57BD444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8.31</w:t>
            </w:r>
          </w:p>
        </w:tc>
        <w:tc>
          <w:tcPr>
            <w:tcW w:w="697" w:type="dxa"/>
            <w:tcBorders>
              <w:tl2br w:val="nil"/>
              <w:tr2bl w:val="nil"/>
            </w:tcBorders>
            <w:shd w:val="clear" w:color="auto" w:fill="auto"/>
            <w:vAlign w:val="center"/>
          </w:tcPr>
          <w:p w14:paraId="4C882B9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5840FB5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8.63</w:t>
            </w:r>
          </w:p>
        </w:tc>
        <w:tc>
          <w:tcPr>
            <w:tcW w:w="587" w:type="dxa"/>
            <w:tcBorders>
              <w:tl2br w:val="nil"/>
              <w:tr2bl w:val="nil"/>
            </w:tcBorders>
            <w:shd w:val="clear" w:color="auto" w:fill="auto"/>
            <w:vAlign w:val="center"/>
          </w:tcPr>
          <w:p w14:paraId="2AD3DB9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0E5365A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8.10</w:t>
            </w:r>
          </w:p>
        </w:tc>
        <w:tc>
          <w:tcPr>
            <w:tcW w:w="587" w:type="dxa"/>
            <w:tcBorders>
              <w:tl2br w:val="nil"/>
              <w:tr2bl w:val="nil"/>
            </w:tcBorders>
            <w:shd w:val="clear" w:color="auto" w:fill="auto"/>
            <w:vAlign w:val="center"/>
          </w:tcPr>
          <w:p w14:paraId="448D934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779" w:type="dxa"/>
            <w:tcBorders>
              <w:tl2br w:val="nil"/>
              <w:tr2bl w:val="nil"/>
            </w:tcBorders>
            <w:shd w:val="clear" w:color="auto" w:fill="auto"/>
            <w:vAlign w:val="center"/>
          </w:tcPr>
          <w:p w14:paraId="7384EFD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8.45</w:t>
            </w:r>
          </w:p>
        </w:tc>
        <w:tc>
          <w:tcPr>
            <w:tcW w:w="697" w:type="dxa"/>
            <w:tcBorders>
              <w:tl2br w:val="nil"/>
              <w:tr2bl w:val="nil"/>
            </w:tcBorders>
            <w:shd w:val="clear" w:color="auto" w:fill="auto"/>
            <w:vAlign w:val="center"/>
          </w:tcPr>
          <w:p w14:paraId="48973CA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5141B0C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8.51</w:t>
            </w:r>
          </w:p>
        </w:tc>
        <w:tc>
          <w:tcPr>
            <w:tcW w:w="587" w:type="dxa"/>
            <w:tcBorders>
              <w:tl2br w:val="nil"/>
              <w:tr2bl w:val="nil"/>
            </w:tcBorders>
            <w:shd w:val="clear" w:color="auto" w:fill="auto"/>
            <w:vAlign w:val="center"/>
          </w:tcPr>
          <w:p w14:paraId="7268FB5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5B78587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8.69</w:t>
            </w:r>
          </w:p>
        </w:tc>
        <w:tc>
          <w:tcPr>
            <w:tcW w:w="587" w:type="dxa"/>
            <w:tcBorders>
              <w:tl2br w:val="nil"/>
              <w:tr2bl w:val="nil"/>
            </w:tcBorders>
            <w:shd w:val="clear" w:color="auto" w:fill="auto"/>
            <w:vAlign w:val="center"/>
          </w:tcPr>
          <w:p w14:paraId="3831F9F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779" w:type="dxa"/>
            <w:tcBorders>
              <w:tl2br w:val="nil"/>
              <w:tr2bl w:val="nil"/>
            </w:tcBorders>
            <w:shd w:val="clear" w:color="auto" w:fill="auto"/>
            <w:vAlign w:val="center"/>
          </w:tcPr>
          <w:p w14:paraId="63CA70D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8.24</w:t>
            </w:r>
          </w:p>
        </w:tc>
        <w:tc>
          <w:tcPr>
            <w:tcW w:w="697" w:type="dxa"/>
            <w:tcBorders>
              <w:tl2br w:val="nil"/>
              <w:tr2bl w:val="nil"/>
            </w:tcBorders>
            <w:shd w:val="clear" w:color="auto" w:fill="auto"/>
            <w:vAlign w:val="center"/>
          </w:tcPr>
          <w:p w14:paraId="0544DE6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36323FB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8.23</w:t>
            </w:r>
          </w:p>
        </w:tc>
        <w:tc>
          <w:tcPr>
            <w:tcW w:w="587" w:type="dxa"/>
            <w:tcBorders>
              <w:tl2br w:val="nil"/>
              <w:tr2bl w:val="nil"/>
            </w:tcBorders>
            <w:shd w:val="clear" w:color="auto" w:fill="auto"/>
            <w:vAlign w:val="center"/>
          </w:tcPr>
          <w:p w14:paraId="3978E1A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125791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8.17</w:t>
            </w:r>
          </w:p>
        </w:tc>
        <w:tc>
          <w:tcPr>
            <w:tcW w:w="587" w:type="dxa"/>
            <w:tcBorders>
              <w:tl2br w:val="nil"/>
              <w:tr2bl w:val="nil"/>
            </w:tcBorders>
            <w:shd w:val="clear" w:color="auto" w:fill="auto"/>
            <w:vAlign w:val="center"/>
          </w:tcPr>
          <w:p w14:paraId="7CC1B24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538EB6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3573E4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2</w:t>
            </w:r>
          </w:p>
        </w:tc>
        <w:tc>
          <w:tcPr>
            <w:tcW w:w="718" w:type="dxa"/>
            <w:tcBorders>
              <w:tl2br w:val="nil"/>
              <w:tr2bl w:val="nil"/>
            </w:tcBorders>
            <w:shd w:val="clear" w:color="auto" w:fill="auto"/>
            <w:vAlign w:val="center"/>
          </w:tcPr>
          <w:p w14:paraId="344280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含盐量</w:t>
            </w:r>
          </w:p>
        </w:tc>
        <w:tc>
          <w:tcPr>
            <w:tcW w:w="614" w:type="dxa"/>
            <w:tcBorders>
              <w:tl2br w:val="nil"/>
              <w:tr2bl w:val="nil"/>
            </w:tcBorders>
            <w:shd w:val="clear" w:color="auto" w:fill="auto"/>
            <w:vAlign w:val="center"/>
          </w:tcPr>
          <w:p w14:paraId="0D853B6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779" w:type="dxa"/>
            <w:tcBorders>
              <w:tl2br w:val="nil"/>
              <w:tr2bl w:val="nil"/>
            </w:tcBorders>
            <w:shd w:val="clear" w:color="auto" w:fill="auto"/>
            <w:vAlign w:val="center"/>
          </w:tcPr>
          <w:p w14:paraId="7A8DD5B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697" w:type="dxa"/>
            <w:tcBorders>
              <w:tl2br w:val="nil"/>
              <w:tr2bl w:val="nil"/>
            </w:tcBorders>
            <w:shd w:val="clear" w:color="auto" w:fill="auto"/>
            <w:vAlign w:val="center"/>
          </w:tcPr>
          <w:p w14:paraId="307D449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0DF0711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w:t>
            </w:r>
          </w:p>
        </w:tc>
        <w:tc>
          <w:tcPr>
            <w:tcW w:w="587" w:type="dxa"/>
            <w:tcBorders>
              <w:tl2br w:val="nil"/>
              <w:tr2bl w:val="nil"/>
            </w:tcBorders>
            <w:shd w:val="clear" w:color="auto" w:fill="auto"/>
            <w:vAlign w:val="center"/>
          </w:tcPr>
          <w:p w14:paraId="32792F1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5268B42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2.4</w:t>
            </w:r>
          </w:p>
        </w:tc>
        <w:tc>
          <w:tcPr>
            <w:tcW w:w="587" w:type="dxa"/>
            <w:tcBorders>
              <w:tl2br w:val="nil"/>
              <w:tr2bl w:val="nil"/>
            </w:tcBorders>
            <w:shd w:val="clear" w:color="auto" w:fill="auto"/>
            <w:vAlign w:val="center"/>
          </w:tcPr>
          <w:p w14:paraId="34D2089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779" w:type="dxa"/>
            <w:tcBorders>
              <w:tl2br w:val="nil"/>
              <w:tr2bl w:val="nil"/>
            </w:tcBorders>
            <w:shd w:val="clear" w:color="auto" w:fill="auto"/>
            <w:vAlign w:val="center"/>
          </w:tcPr>
          <w:p w14:paraId="2FAA124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w:t>
            </w:r>
          </w:p>
        </w:tc>
        <w:tc>
          <w:tcPr>
            <w:tcW w:w="697" w:type="dxa"/>
            <w:tcBorders>
              <w:tl2br w:val="nil"/>
              <w:tr2bl w:val="nil"/>
            </w:tcBorders>
            <w:shd w:val="clear" w:color="auto" w:fill="auto"/>
            <w:vAlign w:val="center"/>
          </w:tcPr>
          <w:p w14:paraId="024FDDD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3CC220A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587" w:type="dxa"/>
            <w:tcBorders>
              <w:tl2br w:val="nil"/>
              <w:tr2bl w:val="nil"/>
            </w:tcBorders>
            <w:shd w:val="clear" w:color="auto" w:fill="auto"/>
            <w:vAlign w:val="center"/>
          </w:tcPr>
          <w:p w14:paraId="2128378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2ED0094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587" w:type="dxa"/>
            <w:tcBorders>
              <w:tl2br w:val="nil"/>
              <w:tr2bl w:val="nil"/>
            </w:tcBorders>
            <w:shd w:val="clear" w:color="auto" w:fill="auto"/>
            <w:vAlign w:val="center"/>
          </w:tcPr>
          <w:p w14:paraId="590DC7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779" w:type="dxa"/>
            <w:tcBorders>
              <w:tl2br w:val="nil"/>
              <w:tr2bl w:val="nil"/>
            </w:tcBorders>
            <w:shd w:val="clear" w:color="auto" w:fill="auto"/>
            <w:vAlign w:val="center"/>
          </w:tcPr>
          <w:p w14:paraId="09E487D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w:t>
            </w:r>
          </w:p>
        </w:tc>
        <w:tc>
          <w:tcPr>
            <w:tcW w:w="697" w:type="dxa"/>
            <w:tcBorders>
              <w:tl2br w:val="nil"/>
              <w:tr2bl w:val="nil"/>
            </w:tcBorders>
            <w:shd w:val="clear" w:color="auto" w:fill="auto"/>
            <w:vAlign w:val="center"/>
          </w:tcPr>
          <w:p w14:paraId="5E2755A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21DAE9B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587" w:type="dxa"/>
            <w:tcBorders>
              <w:tl2br w:val="nil"/>
              <w:tr2bl w:val="nil"/>
            </w:tcBorders>
            <w:shd w:val="clear" w:color="auto" w:fill="auto"/>
            <w:vAlign w:val="center"/>
          </w:tcPr>
          <w:p w14:paraId="5743263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596" w:type="dxa"/>
            <w:tcBorders>
              <w:tl2br w:val="nil"/>
              <w:tr2bl w:val="nil"/>
            </w:tcBorders>
            <w:shd w:val="clear" w:color="auto" w:fill="auto"/>
            <w:vAlign w:val="center"/>
          </w:tcPr>
          <w:p w14:paraId="78529F1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2.5</w:t>
            </w:r>
          </w:p>
        </w:tc>
        <w:tc>
          <w:tcPr>
            <w:tcW w:w="587" w:type="dxa"/>
            <w:tcBorders>
              <w:tl2br w:val="nil"/>
              <w:tr2bl w:val="nil"/>
            </w:tcBorders>
            <w:shd w:val="clear" w:color="auto" w:fill="auto"/>
            <w:vAlign w:val="center"/>
          </w:tcPr>
          <w:p w14:paraId="47C9778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5B8C69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2EA9F3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718" w:type="dxa"/>
            <w:tcBorders>
              <w:tl2br w:val="nil"/>
              <w:tr2bl w:val="nil"/>
            </w:tcBorders>
            <w:shd w:val="clear" w:color="auto" w:fill="auto"/>
            <w:vAlign w:val="center"/>
          </w:tcPr>
          <w:p w14:paraId="0E25A5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砷</w:t>
            </w:r>
          </w:p>
        </w:tc>
        <w:tc>
          <w:tcPr>
            <w:tcW w:w="614" w:type="dxa"/>
            <w:tcBorders>
              <w:tl2br w:val="nil"/>
              <w:tr2bl w:val="nil"/>
            </w:tcBorders>
            <w:shd w:val="clear" w:color="auto" w:fill="auto"/>
            <w:vAlign w:val="center"/>
          </w:tcPr>
          <w:p w14:paraId="0C8A9A5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60</w:t>
            </w:r>
          </w:p>
        </w:tc>
        <w:tc>
          <w:tcPr>
            <w:tcW w:w="779" w:type="dxa"/>
            <w:tcBorders>
              <w:tl2br w:val="nil"/>
              <w:tr2bl w:val="nil"/>
            </w:tcBorders>
            <w:shd w:val="clear" w:color="auto" w:fill="auto"/>
            <w:vAlign w:val="center"/>
          </w:tcPr>
          <w:p w14:paraId="2E731B7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7.81</w:t>
            </w:r>
          </w:p>
        </w:tc>
        <w:tc>
          <w:tcPr>
            <w:tcW w:w="697" w:type="dxa"/>
            <w:tcBorders>
              <w:tl2br w:val="nil"/>
              <w:tr2bl w:val="nil"/>
            </w:tcBorders>
            <w:shd w:val="clear" w:color="auto" w:fill="auto"/>
            <w:vAlign w:val="center"/>
          </w:tcPr>
          <w:p w14:paraId="1D364F1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0.13</w:t>
            </w:r>
          </w:p>
        </w:tc>
        <w:tc>
          <w:tcPr>
            <w:tcW w:w="596" w:type="dxa"/>
            <w:tcBorders>
              <w:tl2br w:val="nil"/>
              <w:tr2bl w:val="nil"/>
            </w:tcBorders>
            <w:shd w:val="clear" w:color="auto" w:fill="auto"/>
            <w:vAlign w:val="center"/>
          </w:tcPr>
          <w:p w14:paraId="2180BAB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6.89</w:t>
            </w:r>
          </w:p>
        </w:tc>
        <w:tc>
          <w:tcPr>
            <w:tcW w:w="587" w:type="dxa"/>
            <w:tcBorders>
              <w:tl2br w:val="nil"/>
              <w:tr2bl w:val="nil"/>
            </w:tcBorders>
            <w:shd w:val="clear" w:color="auto" w:fill="auto"/>
            <w:vAlign w:val="center"/>
          </w:tcPr>
          <w:p w14:paraId="209CCEA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0.115</w:t>
            </w:r>
          </w:p>
        </w:tc>
        <w:tc>
          <w:tcPr>
            <w:tcW w:w="596" w:type="dxa"/>
            <w:tcBorders>
              <w:tl2br w:val="nil"/>
              <w:tr2bl w:val="nil"/>
            </w:tcBorders>
            <w:shd w:val="clear" w:color="auto" w:fill="auto"/>
            <w:vAlign w:val="center"/>
          </w:tcPr>
          <w:p w14:paraId="65396E1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7.24</w:t>
            </w:r>
          </w:p>
        </w:tc>
        <w:tc>
          <w:tcPr>
            <w:tcW w:w="587" w:type="dxa"/>
            <w:tcBorders>
              <w:tl2br w:val="nil"/>
              <w:tr2bl w:val="nil"/>
            </w:tcBorders>
            <w:shd w:val="clear" w:color="auto" w:fill="auto"/>
            <w:vAlign w:val="center"/>
          </w:tcPr>
          <w:p w14:paraId="148C7C7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0.121</w:t>
            </w:r>
          </w:p>
        </w:tc>
        <w:tc>
          <w:tcPr>
            <w:tcW w:w="779" w:type="dxa"/>
            <w:tcBorders>
              <w:tl2br w:val="nil"/>
              <w:tr2bl w:val="nil"/>
            </w:tcBorders>
            <w:shd w:val="clear" w:color="auto" w:fill="auto"/>
            <w:vAlign w:val="center"/>
          </w:tcPr>
          <w:p w14:paraId="5E4CE47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7.74</w:t>
            </w:r>
          </w:p>
        </w:tc>
        <w:tc>
          <w:tcPr>
            <w:tcW w:w="697" w:type="dxa"/>
            <w:tcBorders>
              <w:tl2br w:val="nil"/>
              <w:tr2bl w:val="nil"/>
            </w:tcBorders>
            <w:shd w:val="clear" w:color="auto" w:fill="auto"/>
            <w:vAlign w:val="center"/>
          </w:tcPr>
          <w:p w14:paraId="319F6DC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0.129</w:t>
            </w:r>
          </w:p>
        </w:tc>
        <w:tc>
          <w:tcPr>
            <w:tcW w:w="596" w:type="dxa"/>
            <w:tcBorders>
              <w:tl2br w:val="nil"/>
              <w:tr2bl w:val="nil"/>
            </w:tcBorders>
            <w:shd w:val="clear" w:color="auto" w:fill="auto"/>
            <w:vAlign w:val="center"/>
          </w:tcPr>
          <w:p w14:paraId="577D6E0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7.59</w:t>
            </w:r>
          </w:p>
        </w:tc>
        <w:tc>
          <w:tcPr>
            <w:tcW w:w="587" w:type="dxa"/>
            <w:tcBorders>
              <w:tl2br w:val="nil"/>
              <w:tr2bl w:val="nil"/>
            </w:tcBorders>
            <w:shd w:val="clear" w:color="auto" w:fill="auto"/>
            <w:vAlign w:val="center"/>
          </w:tcPr>
          <w:p w14:paraId="7460BCC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0.127</w:t>
            </w:r>
          </w:p>
        </w:tc>
        <w:tc>
          <w:tcPr>
            <w:tcW w:w="596" w:type="dxa"/>
            <w:tcBorders>
              <w:tl2br w:val="nil"/>
              <w:tr2bl w:val="nil"/>
            </w:tcBorders>
            <w:shd w:val="clear" w:color="auto" w:fill="auto"/>
            <w:vAlign w:val="center"/>
          </w:tcPr>
          <w:p w14:paraId="01680BD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7.28</w:t>
            </w:r>
          </w:p>
        </w:tc>
        <w:tc>
          <w:tcPr>
            <w:tcW w:w="587" w:type="dxa"/>
            <w:tcBorders>
              <w:tl2br w:val="nil"/>
              <w:tr2bl w:val="nil"/>
            </w:tcBorders>
            <w:shd w:val="clear" w:color="auto" w:fill="auto"/>
            <w:vAlign w:val="center"/>
          </w:tcPr>
          <w:p w14:paraId="4B244F3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0.121</w:t>
            </w:r>
          </w:p>
        </w:tc>
        <w:tc>
          <w:tcPr>
            <w:tcW w:w="779" w:type="dxa"/>
            <w:tcBorders>
              <w:tl2br w:val="nil"/>
              <w:tr2bl w:val="nil"/>
            </w:tcBorders>
            <w:shd w:val="clear" w:color="auto" w:fill="auto"/>
            <w:vAlign w:val="center"/>
          </w:tcPr>
          <w:p w14:paraId="2B2FBBB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8.38</w:t>
            </w:r>
          </w:p>
        </w:tc>
        <w:tc>
          <w:tcPr>
            <w:tcW w:w="697" w:type="dxa"/>
            <w:tcBorders>
              <w:tl2br w:val="nil"/>
              <w:tr2bl w:val="nil"/>
            </w:tcBorders>
            <w:shd w:val="clear" w:color="auto" w:fill="auto"/>
            <w:vAlign w:val="center"/>
          </w:tcPr>
          <w:p w14:paraId="7A6329E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0.14</w:t>
            </w:r>
          </w:p>
        </w:tc>
        <w:tc>
          <w:tcPr>
            <w:tcW w:w="596" w:type="dxa"/>
            <w:tcBorders>
              <w:tl2br w:val="nil"/>
              <w:tr2bl w:val="nil"/>
            </w:tcBorders>
            <w:shd w:val="clear" w:color="auto" w:fill="auto"/>
            <w:vAlign w:val="center"/>
          </w:tcPr>
          <w:p w14:paraId="1D89B8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8.37</w:t>
            </w:r>
          </w:p>
        </w:tc>
        <w:tc>
          <w:tcPr>
            <w:tcW w:w="587" w:type="dxa"/>
            <w:tcBorders>
              <w:tl2br w:val="nil"/>
              <w:tr2bl w:val="nil"/>
            </w:tcBorders>
            <w:shd w:val="clear" w:color="auto" w:fill="auto"/>
            <w:vAlign w:val="center"/>
          </w:tcPr>
          <w:p w14:paraId="298E5D4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0.139</w:t>
            </w:r>
          </w:p>
        </w:tc>
        <w:tc>
          <w:tcPr>
            <w:tcW w:w="596" w:type="dxa"/>
            <w:tcBorders>
              <w:tl2br w:val="nil"/>
              <w:tr2bl w:val="nil"/>
            </w:tcBorders>
            <w:shd w:val="clear" w:color="auto" w:fill="auto"/>
            <w:vAlign w:val="center"/>
          </w:tcPr>
          <w:p w14:paraId="32E564D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7.25</w:t>
            </w:r>
          </w:p>
        </w:tc>
        <w:tc>
          <w:tcPr>
            <w:tcW w:w="587" w:type="dxa"/>
            <w:tcBorders>
              <w:tl2br w:val="nil"/>
              <w:tr2bl w:val="nil"/>
            </w:tcBorders>
            <w:shd w:val="clear" w:color="auto" w:fill="auto"/>
            <w:vAlign w:val="center"/>
          </w:tcPr>
          <w:p w14:paraId="523DD85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0.121</w:t>
            </w:r>
          </w:p>
        </w:tc>
      </w:tr>
      <w:tr w14:paraId="6ED71C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69FB7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718" w:type="dxa"/>
            <w:tcBorders>
              <w:tl2br w:val="nil"/>
              <w:tr2bl w:val="nil"/>
            </w:tcBorders>
            <w:shd w:val="clear" w:color="auto" w:fill="auto"/>
            <w:vAlign w:val="center"/>
          </w:tcPr>
          <w:p w14:paraId="14EBF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镉</w:t>
            </w:r>
          </w:p>
        </w:tc>
        <w:tc>
          <w:tcPr>
            <w:tcW w:w="614" w:type="dxa"/>
            <w:tcBorders>
              <w:tl2br w:val="nil"/>
              <w:tr2bl w:val="nil"/>
            </w:tcBorders>
            <w:shd w:val="clear" w:color="auto" w:fill="auto"/>
            <w:vAlign w:val="center"/>
          </w:tcPr>
          <w:p w14:paraId="20CA340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65</w:t>
            </w:r>
          </w:p>
        </w:tc>
        <w:tc>
          <w:tcPr>
            <w:tcW w:w="779" w:type="dxa"/>
            <w:tcBorders>
              <w:tl2br w:val="nil"/>
              <w:tr2bl w:val="nil"/>
            </w:tcBorders>
            <w:shd w:val="clear" w:color="auto" w:fill="auto"/>
            <w:vAlign w:val="center"/>
          </w:tcPr>
          <w:p w14:paraId="7CC27D8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0.20</w:t>
            </w:r>
          </w:p>
        </w:tc>
        <w:tc>
          <w:tcPr>
            <w:tcW w:w="697" w:type="dxa"/>
            <w:tcBorders>
              <w:tl2br w:val="nil"/>
              <w:tr2bl w:val="nil"/>
            </w:tcBorders>
            <w:shd w:val="clear" w:color="auto" w:fill="auto"/>
            <w:vAlign w:val="center"/>
          </w:tcPr>
          <w:p w14:paraId="7E119B7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596" w:type="dxa"/>
            <w:tcBorders>
              <w:tl2br w:val="nil"/>
              <w:tr2bl w:val="nil"/>
            </w:tcBorders>
            <w:shd w:val="clear" w:color="auto" w:fill="auto"/>
            <w:vAlign w:val="center"/>
          </w:tcPr>
          <w:p w14:paraId="5D182AE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0.10</w:t>
            </w:r>
          </w:p>
        </w:tc>
        <w:tc>
          <w:tcPr>
            <w:tcW w:w="587" w:type="dxa"/>
            <w:tcBorders>
              <w:tl2br w:val="nil"/>
              <w:tr2bl w:val="nil"/>
            </w:tcBorders>
            <w:shd w:val="clear" w:color="auto" w:fill="auto"/>
            <w:vAlign w:val="center"/>
          </w:tcPr>
          <w:p w14:paraId="546FA63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5AF9345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0.15</w:t>
            </w:r>
          </w:p>
        </w:tc>
        <w:tc>
          <w:tcPr>
            <w:tcW w:w="587" w:type="dxa"/>
            <w:tcBorders>
              <w:tl2br w:val="nil"/>
              <w:tr2bl w:val="nil"/>
            </w:tcBorders>
            <w:shd w:val="clear" w:color="auto" w:fill="auto"/>
            <w:vAlign w:val="center"/>
          </w:tcPr>
          <w:p w14:paraId="2D38883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779" w:type="dxa"/>
            <w:tcBorders>
              <w:tl2br w:val="nil"/>
              <w:tr2bl w:val="nil"/>
            </w:tcBorders>
            <w:shd w:val="clear" w:color="auto" w:fill="auto"/>
            <w:vAlign w:val="center"/>
          </w:tcPr>
          <w:p w14:paraId="00DA381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0.12</w:t>
            </w:r>
          </w:p>
        </w:tc>
        <w:tc>
          <w:tcPr>
            <w:tcW w:w="697" w:type="dxa"/>
            <w:tcBorders>
              <w:tl2br w:val="nil"/>
              <w:tr2bl w:val="nil"/>
            </w:tcBorders>
            <w:shd w:val="clear" w:color="auto" w:fill="auto"/>
            <w:vAlign w:val="center"/>
          </w:tcPr>
          <w:p w14:paraId="5369534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7AC5080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0.15</w:t>
            </w:r>
          </w:p>
        </w:tc>
        <w:tc>
          <w:tcPr>
            <w:tcW w:w="587" w:type="dxa"/>
            <w:tcBorders>
              <w:tl2br w:val="nil"/>
              <w:tr2bl w:val="nil"/>
            </w:tcBorders>
            <w:shd w:val="clear" w:color="auto" w:fill="auto"/>
            <w:vAlign w:val="center"/>
          </w:tcPr>
          <w:p w14:paraId="49C06B9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6E28690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0.17</w:t>
            </w:r>
          </w:p>
        </w:tc>
        <w:tc>
          <w:tcPr>
            <w:tcW w:w="587" w:type="dxa"/>
            <w:tcBorders>
              <w:tl2br w:val="nil"/>
              <w:tr2bl w:val="nil"/>
            </w:tcBorders>
            <w:shd w:val="clear" w:color="auto" w:fill="auto"/>
            <w:vAlign w:val="center"/>
          </w:tcPr>
          <w:p w14:paraId="60FCC1B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779" w:type="dxa"/>
            <w:tcBorders>
              <w:tl2br w:val="nil"/>
              <w:tr2bl w:val="nil"/>
            </w:tcBorders>
            <w:shd w:val="clear" w:color="auto" w:fill="auto"/>
            <w:vAlign w:val="center"/>
          </w:tcPr>
          <w:p w14:paraId="3F5E7B6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0.29</w:t>
            </w:r>
          </w:p>
        </w:tc>
        <w:tc>
          <w:tcPr>
            <w:tcW w:w="697" w:type="dxa"/>
            <w:tcBorders>
              <w:tl2br w:val="nil"/>
              <w:tr2bl w:val="nil"/>
            </w:tcBorders>
            <w:shd w:val="clear" w:color="auto" w:fill="auto"/>
            <w:vAlign w:val="center"/>
          </w:tcPr>
          <w:p w14:paraId="18864C7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0.004</w:t>
            </w:r>
          </w:p>
        </w:tc>
        <w:tc>
          <w:tcPr>
            <w:tcW w:w="596" w:type="dxa"/>
            <w:tcBorders>
              <w:tl2br w:val="nil"/>
              <w:tr2bl w:val="nil"/>
            </w:tcBorders>
            <w:shd w:val="clear" w:color="auto" w:fill="auto"/>
            <w:vAlign w:val="center"/>
          </w:tcPr>
          <w:p w14:paraId="19B70F8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0.12</w:t>
            </w:r>
          </w:p>
        </w:tc>
        <w:tc>
          <w:tcPr>
            <w:tcW w:w="587" w:type="dxa"/>
            <w:tcBorders>
              <w:tl2br w:val="nil"/>
              <w:tr2bl w:val="nil"/>
            </w:tcBorders>
            <w:shd w:val="clear" w:color="auto" w:fill="auto"/>
            <w:vAlign w:val="center"/>
          </w:tcPr>
          <w:p w14:paraId="46FE213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2278E3F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0.07</w:t>
            </w:r>
          </w:p>
        </w:tc>
        <w:tc>
          <w:tcPr>
            <w:tcW w:w="587" w:type="dxa"/>
            <w:tcBorders>
              <w:tl2br w:val="nil"/>
              <w:tr2bl w:val="nil"/>
            </w:tcBorders>
            <w:shd w:val="clear" w:color="auto" w:fill="auto"/>
            <w:vAlign w:val="center"/>
          </w:tcPr>
          <w:p w14:paraId="5E65253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r>
      <w:tr w14:paraId="5BBA87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75" w:type="dxa"/>
            <w:tcBorders>
              <w:tl2br w:val="nil"/>
              <w:tr2bl w:val="nil"/>
            </w:tcBorders>
            <w:shd w:val="clear" w:color="auto" w:fill="auto"/>
            <w:vAlign w:val="center"/>
          </w:tcPr>
          <w:p w14:paraId="293EA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p>
        </w:tc>
        <w:tc>
          <w:tcPr>
            <w:tcW w:w="718" w:type="dxa"/>
            <w:tcBorders>
              <w:tl2br w:val="nil"/>
              <w:tr2bl w:val="nil"/>
            </w:tcBorders>
            <w:shd w:val="clear" w:color="auto" w:fill="auto"/>
            <w:vAlign w:val="center"/>
          </w:tcPr>
          <w:p w14:paraId="1DA968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0"/>
                <w:sz w:val="21"/>
                <w:szCs w:val="21"/>
                <w:highlight w:val="none"/>
                <w:lang w:val="en-US" w:eastAsia="zh-CN" w:bidi="ar"/>
              </w:rPr>
              <w:t>六价</w:t>
            </w:r>
            <w:r>
              <w:rPr>
                <w:rFonts w:hint="default" w:ascii="Times New Roman" w:hAnsi="Times New Roman" w:eastAsia="宋体" w:cs="Times New Roman"/>
                <w:color w:val="auto"/>
                <w:kern w:val="0"/>
                <w:sz w:val="21"/>
                <w:szCs w:val="21"/>
                <w:highlight w:val="none"/>
                <w:lang w:bidi="ar"/>
              </w:rPr>
              <w:t>铬</w:t>
            </w:r>
          </w:p>
        </w:tc>
        <w:tc>
          <w:tcPr>
            <w:tcW w:w="614" w:type="dxa"/>
            <w:tcBorders>
              <w:tl2br w:val="nil"/>
              <w:tr2bl w:val="nil"/>
            </w:tcBorders>
            <w:shd w:val="clear" w:color="auto" w:fill="auto"/>
            <w:vAlign w:val="center"/>
          </w:tcPr>
          <w:p w14:paraId="56C46D8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5.7</w:t>
            </w:r>
          </w:p>
        </w:tc>
        <w:tc>
          <w:tcPr>
            <w:tcW w:w="779" w:type="dxa"/>
            <w:tcBorders>
              <w:tl2br w:val="nil"/>
              <w:tr2bl w:val="nil"/>
            </w:tcBorders>
            <w:shd w:val="clear" w:color="auto" w:fill="auto"/>
            <w:vAlign w:val="center"/>
          </w:tcPr>
          <w:p w14:paraId="12E47EB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697" w:type="dxa"/>
            <w:tcBorders>
              <w:tl2br w:val="nil"/>
              <w:tr2bl w:val="nil"/>
            </w:tcBorders>
            <w:shd w:val="clear" w:color="auto" w:fill="auto"/>
            <w:vAlign w:val="center"/>
          </w:tcPr>
          <w:p w14:paraId="038A587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55415C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7650C65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7DFD541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48AF8B3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779" w:type="dxa"/>
            <w:tcBorders>
              <w:tl2br w:val="nil"/>
              <w:tr2bl w:val="nil"/>
            </w:tcBorders>
            <w:shd w:val="clear" w:color="auto" w:fill="auto"/>
            <w:vAlign w:val="center"/>
          </w:tcPr>
          <w:p w14:paraId="40A5AE6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697" w:type="dxa"/>
            <w:tcBorders>
              <w:tl2br w:val="nil"/>
              <w:tr2bl w:val="nil"/>
            </w:tcBorders>
            <w:shd w:val="clear" w:color="auto" w:fill="auto"/>
            <w:vAlign w:val="center"/>
          </w:tcPr>
          <w:p w14:paraId="4EBBC25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5B1DF91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3B78C46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65DDD57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04D7448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779" w:type="dxa"/>
            <w:tcBorders>
              <w:tl2br w:val="nil"/>
              <w:tr2bl w:val="nil"/>
            </w:tcBorders>
            <w:shd w:val="clear" w:color="auto" w:fill="auto"/>
            <w:vAlign w:val="center"/>
          </w:tcPr>
          <w:p w14:paraId="0890298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697" w:type="dxa"/>
            <w:tcBorders>
              <w:tl2br w:val="nil"/>
              <w:tr2bl w:val="nil"/>
            </w:tcBorders>
            <w:shd w:val="clear" w:color="auto" w:fill="auto"/>
            <w:vAlign w:val="center"/>
          </w:tcPr>
          <w:p w14:paraId="75310D9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56ABF1B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6FB8D89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596" w:type="dxa"/>
            <w:tcBorders>
              <w:tl2br w:val="nil"/>
              <w:tr2bl w:val="nil"/>
            </w:tcBorders>
            <w:shd w:val="clear" w:color="auto" w:fill="auto"/>
            <w:vAlign w:val="center"/>
          </w:tcPr>
          <w:p w14:paraId="74775EB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587" w:type="dxa"/>
            <w:tcBorders>
              <w:tl2br w:val="nil"/>
              <w:tr2bl w:val="nil"/>
            </w:tcBorders>
            <w:shd w:val="clear" w:color="auto" w:fill="auto"/>
            <w:vAlign w:val="center"/>
          </w:tcPr>
          <w:p w14:paraId="75C748F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r>
      <w:tr w14:paraId="405C4A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69F679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p>
        </w:tc>
        <w:tc>
          <w:tcPr>
            <w:tcW w:w="718" w:type="dxa"/>
            <w:tcBorders>
              <w:tl2br w:val="nil"/>
              <w:tr2bl w:val="nil"/>
            </w:tcBorders>
            <w:shd w:val="clear" w:color="auto" w:fill="auto"/>
            <w:vAlign w:val="center"/>
          </w:tcPr>
          <w:p w14:paraId="11575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铜</w:t>
            </w:r>
          </w:p>
        </w:tc>
        <w:tc>
          <w:tcPr>
            <w:tcW w:w="614" w:type="dxa"/>
            <w:tcBorders>
              <w:tl2br w:val="nil"/>
              <w:tr2bl w:val="nil"/>
            </w:tcBorders>
            <w:shd w:val="clear" w:color="auto" w:fill="auto"/>
            <w:vAlign w:val="center"/>
          </w:tcPr>
          <w:p w14:paraId="1E7E2B3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18000</w:t>
            </w:r>
          </w:p>
        </w:tc>
        <w:tc>
          <w:tcPr>
            <w:tcW w:w="779" w:type="dxa"/>
            <w:tcBorders>
              <w:tl2br w:val="nil"/>
              <w:tr2bl w:val="nil"/>
            </w:tcBorders>
            <w:shd w:val="clear" w:color="auto" w:fill="auto"/>
            <w:vAlign w:val="center"/>
          </w:tcPr>
          <w:p w14:paraId="2712433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697" w:type="dxa"/>
            <w:tcBorders>
              <w:tl2br w:val="nil"/>
              <w:tr2bl w:val="nil"/>
            </w:tcBorders>
            <w:shd w:val="clear" w:color="auto" w:fill="auto"/>
            <w:vAlign w:val="center"/>
          </w:tcPr>
          <w:p w14:paraId="30BACAF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592CB22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587" w:type="dxa"/>
            <w:tcBorders>
              <w:tl2br w:val="nil"/>
              <w:tr2bl w:val="nil"/>
            </w:tcBorders>
            <w:shd w:val="clear" w:color="auto" w:fill="auto"/>
            <w:vAlign w:val="center"/>
          </w:tcPr>
          <w:p w14:paraId="6AE5EAF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3DF5024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587" w:type="dxa"/>
            <w:tcBorders>
              <w:tl2br w:val="nil"/>
              <w:tr2bl w:val="nil"/>
            </w:tcBorders>
            <w:shd w:val="clear" w:color="auto" w:fill="auto"/>
            <w:vAlign w:val="center"/>
          </w:tcPr>
          <w:p w14:paraId="32629BB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779" w:type="dxa"/>
            <w:tcBorders>
              <w:tl2br w:val="nil"/>
              <w:tr2bl w:val="nil"/>
            </w:tcBorders>
            <w:shd w:val="clear" w:color="auto" w:fill="auto"/>
            <w:vAlign w:val="center"/>
          </w:tcPr>
          <w:p w14:paraId="728861D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697" w:type="dxa"/>
            <w:tcBorders>
              <w:tl2br w:val="nil"/>
              <w:tr2bl w:val="nil"/>
            </w:tcBorders>
            <w:shd w:val="clear" w:color="auto" w:fill="auto"/>
            <w:vAlign w:val="center"/>
          </w:tcPr>
          <w:p w14:paraId="72E1083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08F29B3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587" w:type="dxa"/>
            <w:tcBorders>
              <w:tl2br w:val="nil"/>
              <w:tr2bl w:val="nil"/>
            </w:tcBorders>
            <w:shd w:val="clear" w:color="auto" w:fill="auto"/>
            <w:vAlign w:val="center"/>
          </w:tcPr>
          <w:p w14:paraId="45FE236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16DE699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587" w:type="dxa"/>
            <w:tcBorders>
              <w:tl2br w:val="nil"/>
              <w:tr2bl w:val="nil"/>
            </w:tcBorders>
            <w:shd w:val="clear" w:color="auto" w:fill="auto"/>
            <w:vAlign w:val="center"/>
          </w:tcPr>
          <w:p w14:paraId="0208425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779" w:type="dxa"/>
            <w:tcBorders>
              <w:tl2br w:val="nil"/>
              <w:tr2bl w:val="nil"/>
            </w:tcBorders>
            <w:shd w:val="clear" w:color="auto" w:fill="auto"/>
            <w:vAlign w:val="center"/>
          </w:tcPr>
          <w:p w14:paraId="047811E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697" w:type="dxa"/>
            <w:tcBorders>
              <w:tl2br w:val="nil"/>
              <w:tr2bl w:val="nil"/>
            </w:tcBorders>
            <w:shd w:val="clear" w:color="auto" w:fill="auto"/>
            <w:vAlign w:val="center"/>
          </w:tcPr>
          <w:p w14:paraId="145DD37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510D4D2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587" w:type="dxa"/>
            <w:tcBorders>
              <w:tl2br w:val="nil"/>
              <w:tr2bl w:val="nil"/>
            </w:tcBorders>
            <w:shd w:val="clear" w:color="auto" w:fill="auto"/>
            <w:vAlign w:val="center"/>
          </w:tcPr>
          <w:p w14:paraId="37E1657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14369B0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587" w:type="dxa"/>
            <w:tcBorders>
              <w:tl2br w:val="nil"/>
              <w:tr2bl w:val="nil"/>
            </w:tcBorders>
            <w:shd w:val="clear" w:color="auto" w:fill="auto"/>
            <w:vAlign w:val="center"/>
          </w:tcPr>
          <w:p w14:paraId="3ED6509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r>
      <w:tr w14:paraId="21D4DB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06AE6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p>
        </w:tc>
        <w:tc>
          <w:tcPr>
            <w:tcW w:w="718" w:type="dxa"/>
            <w:tcBorders>
              <w:tl2br w:val="nil"/>
              <w:tr2bl w:val="nil"/>
            </w:tcBorders>
            <w:shd w:val="clear" w:color="auto" w:fill="auto"/>
            <w:vAlign w:val="center"/>
          </w:tcPr>
          <w:p w14:paraId="5A64DD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铅</w:t>
            </w:r>
          </w:p>
        </w:tc>
        <w:tc>
          <w:tcPr>
            <w:tcW w:w="614" w:type="dxa"/>
            <w:tcBorders>
              <w:tl2br w:val="nil"/>
              <w:tr2bl w:val="nil"/>
            </w:tcBorders>
            <w:shd w:val="clear" w:color="auto" w:fill="auto"/>
            <w:vAlign w:val="center"/>
          </w:tcPr>
          <w:p w14:paraId="12E8C4B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800</w:t>
            </w:r>
          </w:p>
        </w:tc>
        <w:tc>
          <w:tcPr>
            <w:tcW w:w="779" w:type="dxa"/>
            <w:tcBorders>
              <w:tl2br w:val="nil"/>
              <w:tr2bl w:val="nil"/>
            </w:tcBorders>
            <w:shd w:val="clear" w:color="auto" w:fill="auto"/>
            <w:vAlign w:val="center"/>
          </w:tcPr>
          <w:p w14:paraId="0CED5FA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10.6</w:t>
            </w:r>
          </w:p>
        </w:tc>
        <w:tc>
          <w:tcPr>
            <w:tcW w:w="697" w:type="dxa"/>
            <w:tcBorders>
              <w:tl2br w:val="nil"/>
              <w:tr2bl w:val="nil"/>
            </w:tcBorders>
            <w:shd w:val="clear" w:color="auto" w:fill="auto"/>
            <w:vAlign w:val="center"/>
          </w:tcPr>
          <w:p w14:paraId="2D532CE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c>
          <w:tcPr>
            <w:tcW w:w="596" w:type="dxa"/>
            <w:tcBorders>
              <w:tl2br w:val="nil"/>
              <w:tr2bl w:val="nil"/>
            </w:tcBorders>
            <w:shd w:val="clear" w:color="auto" w:fill="auto"/>
            <w:vAlign w:val="center"/>
          </w:tcPr>
          <w:p w14:paraId="2CD73F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10.6</w:t>
            </w:r>
          </w:p>
        </w:tc>
        <w:tc>
          <w:tcPr>
            <w:tcW w:w="587" w:type="dxa"/>
            <w:tcBorders>
              <w:tl2br w:val="nil"/>
              <w:tr2bl w:val="nil"/>
            </w:tcBorders>
            <w:shd w:val="clear" w:color="auto" w:fill="auto"/>
            <w:vAlign w:val="center"/>
          </w:tcPr>
          <w:p w14:paraId="5404329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c>
          <w:tcPr>
            <w:tcW w:w="596" w:type="dxa"/>
            <w:tcBorders>
              <w:tl2br w:val="nil"/>
              <w:tr2bl w:val="nil"/>
            </w:tcBorders>
            <w:shd w:val="clear" w:color="auto" w:fill="auto"/>
            <w:vAlign w:val="center"/>
          </w:tcPr>
          <w:p w14:paraId="1935A37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12.3</w:t>
            </w:r>
          </w:p>
        </w:tc>
        <w:tc>
          <w:tcPr>
            <w:tcW w:w="587" w:type="dxa"/>
            <w:tcBorders>
              <w:tl2br w:val="nil"/>
              <w:tr2bl w:val="nil"/>
            </w:tcBorders>
            <w:shd w:val="clear" w:color="auto" w:fill="auto"/>
            <w:vAlign w:val="center"/>
          </w:tcPr>
          <w:p w14:paraId="1BD616A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0.015</w:t>
            </w:r>
          </w:p>
        </w:tc>
        <w:tc>
          <w:tcPr>
            <w:tcW w:w="779" w:type="dxa"/>
            <w:tcBorders>
              <w:tl2br w:val="nil"/>
              <w:tr2bl w:val="nil"/>
            </w:tcBorders>
            <w:shd w:val="clear" w:color="auto" w:fill="auto"/>
            <w:vAlign w:val="center"/>
          </w:tcPr>
          <w:p w14:paraId="1DD8DF4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9.9</w:t>
            </w:r>
          </w:p>
        </w:tc>
        <w:tc>
          <w:tcPr>
            <w:tcW w:w="697" w:type="dxa"/>
            <w:tcBorders>
              <w:tl2br w:val="nil"/>
              <w:tr2bl w:val="nil"/>
            </w:tcBorders>
            <w:shd w:val="clear" w:color="auto" w:fill="auto"/>
            <w:vAlign w:val="center"/>
          </w:tcPr>
          <w:p w14:paraId="35F3807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0.012</w:t>
            </w:r>
          </w:p>
        </w:tc>
        <w:tc>
          <w:tcPr>
            <w:tcW w:w="596" w:type="dxa"/>
            <w:tcBorders>
              <w:tl2br w:val="nil"/>
              <w:tr2bl w:val="nil"/>
            </w:tcBorders>
            <w:shd w:val="clear" w:color="auto" w:fill="auto"/>
            <w:vAlign w:val="center"/>
          </w:tcPr>
          <w:p w14:paraId="7B778BD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10.6</w:t>
            </w:r>
          </w:p>
        </w:tc>
        <w:tc>
          <w:tcPr>
            <w:tcW w:w="587" w:type="dxa"/>
            <w:tcBorders>
              <w:tl2br w:val="nil"/>
              <w:tr2bl w:val="nil"/>
            </w:tcBorders>
            <w:shd w:val="clear" w:color="auto" w:fill="auto"/>
            <w:vAlign w:val="center"/>
          </w:tcPr>
          <w:p w14:paraId="4FD29D5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c>
          <w:tcPr>
            <w:tcW w:w="596" w:type="dxa"/>
            <w:tcBorders>
              <w:tl2br w:val="nil"/>
              <w:tr2bl w:val="nil"/>
            </w:tcBorders>
            <w:shd w:val="clear" w:color="auto" w:fill="auto"/>
            <w:vAlign w:val="center"/>
          </w:tcPr>
          <w:p w14:paraId="439D071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14.7</w:t>
            </w:r>
          </w:p>
        </w:tc>
        <w:tc>
          <w:tcPr>
            <w:tcW w:w="587" w:type="dxa"/>
            <w:tcBorders>
              <w:tl2br w:val="nil"/>
              <w:tr2bl w:val="nil"/>
            </w:tcBorders>
            <w:shd w:val="clear" w:color="auto" w:fill="auto"/>
            <w:vAlign w:val="center"/>
          </w:tcPr>
          <w:p w14:paraId="4C0741D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0.018</w:t>
            </w:r>
          </w:p>
        </w:tc>
        <w:tc>
          <w:tcPr>
            <w:tcW w:w="779" w:type="dxa"/>
            <w:tcBorders>
              <w:tl2br w:val="nil"/>
              <w:tr2bl w:val="nil"/>
            </w:tcBorders>
            <w:shd w:val="clear" w:color="auto" w:fill="auto"/>
            <w:vAlign w:val="center"/>
          </w:tcPr>
          <w:p w14:paraId="0DCC942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8.5</w:t>
            </w:r>
          </w:p>
        </w:tc>
        <w:tc>
          <w:tcPr>
            <w:tcW w:w="697" w:type="dxa"/>
            <w:tcBorders>
              <w:tl2br w:val="nil"/>
              <w:tr2bl w:val="nil"/>
            </w:tcBorders>
            <w:shd w:val="clear" w:color="auto" w:fill="auto"/>
            <w:vAlign w:val="center"/>
          </w:tcPr>
          <w:p w14:paraId="7B19B43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0.011</w:t>
            </w:r>
          </w:p>
        </w:tc>
        <w:tc>
          <w:tcPr>
            <w:tcW w:w="596" w:type="dxa"/>
            <w:tcBorders>
              <w:tl2br w:val="nil"/>
              <w:tr2bl w:val="nil"/>
            </w:tcBorders>
            <w:shd w:val="clear" w:color="auto" w:fill="auto"/>
            <w:vAlign w:val="center"/>
          </w:tcPr>
          <w:p w14:paraId="5EF8832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8.7</w:t>
            </w:r>
          </w:p>
        </w:tc>
        <w:tc>
          <w:tcPr>
            <w:tcW w:w="587" w:type="dxa"/>
            <w:tcBorders>
              <w:tl2br w:val="nil"/>
              <w:tr2bl w:val="nil"/>
            </w:tcBorders>
            <w:shd w:val="clear" w:color="auto" w:fill="auto"/>
            <w:vAlign w:val="center"/>
          </w:tcPr>
          <w:p w14:paraId="24F9270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0.011</w:t>
            </w:r>
          </w:p>
        </w:tc>
        <w:tc>
          <w:tcPr>
            <w:tcW w:w="596" w:type="dxa"/>
            <w:tcBorders>
              <w:tl2br w:val="nil"/>
              <w:tr2bl w:val="nil"/>
            </w:tcBorders>
            <w:shd w:val="clear" w:color="auto" w:fill="auto"/>
            <w:vAlign w:val="center"/>
          </w:tcPr>
          <w:p w14:paraId="1F2CA45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10.3</w:t>
            </w:r>
          </w:p>
        </w:tc>
        <w:tc>
          <w:tcPr>
            <w:tcW w:w="587" w:type="dxa"/>
            <w:tcBorders>
              <w:tl2br w:val="nil"/>
              <w:tr2bl w:val="nil"/>
            </w:tcBorders>
            <w:shd w:val="clear" w:color="auto" w:fill="auto"/>
            <w:vAlign w:val="center"/>
          </w:tcPr>
          <w:p w14:paraId="37F5D91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r>
      <w:tr w14:paraId="34CBAE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540A4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p>
        </w:tc>
        <w:tc>
          <w:tcPr>
            <w:tcW w:w="718" w:type="dxa"/>
            <w:tcBorders>
              <w:tl2br w:val="nil"/>
              <w:tr2bl w:val="nil"/>
            </w:tcBorders>
            <w:shd w:val="clear" w:color="auto" w:fill="auto"/>
            <w:vAlign w:val="center"/>
          </w:tcPr>
          <w:p w14:paraId="653DD0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汞</w:t>
            </w:r>
          </w:p>
        </w:tc>
        <w:tc>
          <w:tcPr>
            <w:tcW w:w="614" w:type="dxa"/>
            <w:tcBorders>
              <w:tl2br w:val="nil"/>
              <w:tr2bl w:val="nil"/>
            </w:tcBorders>
            <w:shd w:val="clear" w:color="auto" w:fill="auto"/>
            <w:vAlign w:val="center"/>
          </w:tcPr>
          <w:p w14:paraId="5DBFE4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38</w:t>
            </w:r>
          </w:p>
        </w:tc>
        <w:tc>
          <w:tcPr>
            <w:tcW w:w="779" w:type="dxa"/>
            <w:tcBorders>
              <w:tl2br w:val="nil"/>
              <w:tr2bl w:val="nil"/>
            </w:tcBorders>
            <w:shd w:val="clear" w:color="auto" w:fill="auto"/>
            <w:vAlign w:val="center"/>
          </w:tcPr>
          <w:p w14:paraId="2D7CFD4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0.075</w:t>
            </w:r>
          </w:p>
        </w:tc>
        <w:tc>
          <w:tcPr>
            <w:tcW w:w="697" w:type="dxa"/>
            <w:tcBorders>
              <w:tl2br w:val="nil"/>
              <w:tr2bl w:val="nil"/>
            </w:tcBorders>
            <w:shd w:val="clear" w:color="auto" w:fill="auto"/>
            <w:vAlign w:val="center"/>
          </w:tcPr>
          <w:p w14:paraId="1F580FE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492529D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0.030</w:t>
            </w:r>
          </w:p>
        </w:tc>
        <w:tc>
          <w:tcPr>
            <w:tcW w:w="587" w:type="dxa"/>
            <w:tcBorders>
              <w:tl2br w:val="nil"/>
              <w:tr2bl w:val="nil"/>
            </w:tcBorders>
            <w:shd w:val="clear" w:color="auto" w:fill="auto"/>
            <w:vAlign w:val="center"/>
          </w:tcPr>
          <w:p w14:paraId="15917E2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18F144C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0.040</w:t>
            </w:r>
          </w:p>
        </w:tc>
        <w:tc>
          <w:tcPr>
            <w:tcW w:w="587" w:type="dxa"/>
            <w:tcBorders>
              <w:tl2br w:val="nil"/>
              <w:tr2bl w:val="nil"/>
            </w:tcBorders>
            <w:shd w:val="clear" w:color="auto" w:fill="auto"/>
            <w:vAlign w:val="center"/>
          </w:tcPr>
          <w:p w14:paraId="5634B77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779" w:type="dxa"/>
            <w:tcBorders>
              <w:tl2br w:val="nil"/>
              <w:tr2bl w:val="nil"/>
            </w:tcBorders>
            <w:shd w:val="clear" w:color="auto" w:fill="auto"/>
            <w:vAlign w:val="center"/>
          </w:tcPr>
          <w:p w14:paraId="4267DA6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0.044</w:t>
            </w:r>
          </w:p>
        </w:tc>
        <w:tc>
          <w:tcPr>
            <w:tcW w:w="697" w:type="dxa"/>
            <w:tcBorders>
              <w:tl2br w:val="nil"/>
              <w:tr2bl w:val="nil"/>
            </w:tcBorders>
            <w:shd w:val="clear" w:color="auto" w:fill="auto"/>
            <w:vAlign w:val="center"/>
          </w:tcPr>
          <w:p w14:paraId="2BFEE39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596" w:type="dxa"/>
            <w:tcBorders>
              <w:tl2br w:val="nil"/>
              <w:tr2bl w:val="nil"/>
            </w:tcBorders>
            <w:shd w:val="clear" w:color="auto" w:fill="auto"/>
            <w:vAlign w:val="center"/>
          </w:tcPr>
          <w:p w14:paraId="061662F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0.064</w:t>
            </w:r>
          </w:p>
        </w:tc>
        <w:tc>
          <w:tcPr>
            <w:tcW w:w="587" w:type="dxa"/>
            <w:tcBorders>
              <w:tl2br w:val="nil"/>
              <w:tr2bl w:val="nil"/>
            </w:tcBorders>
            <w:shd w:val="clear" w:color="auto" w:fill="auto"/>
            <w:vAlign w:val="center"/>
          </w:tcPr>
          <w:p w14:paraId="2BBA117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596" w:type="dxa"/>
            <w:tcBorders>
              <w:tl2br w:val="nil"/>
              <w:tr2bl w:val="nil"/>
            </w:tcBorders>
            <w:shd w:val="clear" w:color="auto" w:fill="auto"/>
            <w:vAlign w:val="center"/>
          </w:tcPr>
          <w:p w14:paraId="5752163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0.049</w:t>
            </w:r>
          </w:p>
        </w:tc>
        <w:tc>
          <w:tcPr>
            <w:tcW w:w="587" w:type="dxa"/>
            <w:tcBorders>
              <w:tl2br w:val="nil"/>
              <w:tr2bl w:val="nil"/>
            </w:tcBorders>
            <w:shd w:val="clear" w:color="auto" w:fill="auto"/>
            <w:vAlign w:val="center"/>
          </w:tcPr>
          <w:p w14:paraId="700E5CE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779" w:type="dxa"/>
            <w:tcBorders>
              <w:tl2br w:val="nil"/>
              <w:tr2bl w:val="nil"/>
            </w:tcBorders>
            <w:shd w:val="clear" w:color="auto" w:fill="auto"/>
            <w:vAlign w:val="center"/>
          </w:tcPr>
          <w:p w14:paraId="79F3C96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1.50</w:t>
            </w:r>
          </w:p>
        </w:tc>
        <w:tc>
          <w:tcPr>
            <w:tcW w:w="697" w:type="dxa"/>
            <w:tcBorders>
              <w:tl2br w:val="nil"/>
              <w:tr2bl w:val="nil"/>
            </w:tcBorders>
            <w:shd w:val="clear" w:color="auto" w:fill="auto"/>
            <w:vAlign w:val="center"/>
          </w:tcPr>
          <w:p w14:paraId="1D16DF5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0.039</w:t>
            </w:r>
          </w:p>
        </w:tc>
        <w:tc>
          <w:tcPr>
            <w:tcW w:w="596" w:type="dxa"/>
            <w:tcBorders>
              <w:tl2br w:val="nil"/>
              <w:tr2bl w:val="nil"/>
            </w:tcBorders>
            <w:shd w:val="clear" w:color="auto" w:fill="auto"/>
            <w:vAlign w:val="center"/>
          </w:tcPr>
          <w:p w14:paraId="5309543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1.89</w:t>
            </w:r>
          </w:p>
        </w:tc>
        <w:tc>
          <w:tcPr>
            <w:tcW w:w="587" w:type="dxa"/>
            <w:tcBorders>
              <w:tl2br w:val="nil"/>
              <w:tr2bl w:val="nil"/>
            </w:tcBorders>
            <w:shd w:val="clear" w:color="auto" w:fill="auto"/>
            <w:vAlign w:val="center"/>
          </w:tcPr>
          <w:p w14:paraId="1507B3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0.05</w:t>
            </w:r>
          </w:p>
        </w:tc>
        <w:tc>
          <w:tcPr>
            <w:tcW w:w="596" w:type="dxa"/>
            <w:tcBorders>
              <w:tl2br w:val="nil"/>
              <w:tr2bl w:val="nil"/>
            </w:tcBorders>
            <w:shd w:val="clear" w:color="auto" w:fill="auto"/>
            <w:vAlign w:val="center"/>
          </w:tcPr>
          <w:p w14:paraId="2FDF6FC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0.224</w:t>
            </w:r>
          </w:p>
        </w:tc>
        <w:tc>
          <w:tcPr>
            <w:tcW w:w="587" w:type="dxa"/>
            <w:tcBorders>
              <w:tl2br w:val="nil"/>
              <w:tr2bl w:val="nil"/>
            </w:tcBorders>
            <w:shd w:val="clear" w:color="auto" w:fill="auto"/>
            <w:vAlign w:val="center"/>
          </w:tcPr>
          <w:p w14:paraId="3AD92DC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0.006</w:t>
            </w:r>
          </w:p>
        </w:tc>
      </w:tr>
      <w:tr w14:paraId="3F5E60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475" w:type="dxa"/>
            <w:tcBorders>
              <w:tl2br w:val="nil"/>
              <w:tr2bl w:val="nil"/>
            </w:tcBorders>
            <w:shd w:val="clear" w:color="auto" w:fill="auto"/>
            <w:vAlign w:val="center"/>
          </w:tcPr>
          <w:p w14:paraId="49273E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w:t>
            </w:r>
          </w:p>
        </w:tc>
        <w:tc>
          <w:tcPr>
            <w:tcW w:w="718" w:type="dxa"/>
            <w:tcBorders>
              <w:tl2br w:val="nil"/>
              <w:tr2bl w:val="nil"/>
            </w:tcBorders>
            <w:shd w:val="clear" w:color="auto" w:fill="auto"/>
            <w:vAlign w:val="center"/>
          </w:tcPr>
          <w:p w14:paraId="1EF620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镍</w:t>
            </w:r>
          </w:p>
        </w:tc>
        <w:tc>
          <w:tcPr>
            <w:tcW w:w="614" w:type="dxa"/>
            <w:tcBorders>
              <w:tl2br w:val="nil"/>
              <w:tr2bl w:val="nil"/>
            </w:tcBorders>
            <w:shd w:val="clear" w:color="auto" w:fill="auto"/>
            <w:vAlign w:val="center"/>
          </w:tcPr>
          <w:p w14:paraId="4DDE582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900</w:t>
            </w:r>
          </w:p>
        </w:tc>
        <w:tc>
          <w:tcPr>
            <w:tcW w:w="779" w:type="dxa"/>
            <w:tcBorders>
              <w:tl2br w:val="nil"/>
              <w:tr2bl w:val="nil"/>
            </w:tcBorders>
            <w:shd w:val="clear" w:color="auto" w:fill="auto"/>
            <w:vAlign w:val="center"/>
          </w:tcPr>
          <w:p w14:paraId="3D9442F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697" w:type="dxa"/>
            <w:tcBorders>
              <w:tl2br w:val="nil"/>
              <w:tr2bl w:val="nil"/>
            </w:tcBorders>
            <w:shd w:val="clear" w:color="auto" w:fill="auto"/>
            <w:vAlign w:val="center"/>
          </w:tcPr>
          <w:p w14:paraId="3DF0DDB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0.019</w:t>
            </w:r>
          </w:p>
        </w:tc>
        <w:tc>
          <w:tcPr>
            <w:tcW w:w="596" w:type="dxa"/>
            <w:tcBorders>
              <w:tl2br w:val="nil"/>
              <w:tr2bl w:val="nil"/>
            </w:tcBorders>
            <w:shd w:val="clear" w:color="auto" w:fill="auto"/>
            <w:vAlign w:val="center"/>
          </w:tcPr>
          <w:p w14:paraId="5B55BD8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w:t>
            </w:r>
          </w:p>
        </w:tc>
        <w:tc>
          <w:tcPr>
            <w:tcW w:w="587" w:type="dxa"/>
            <w:tcBorders>
              <w:tl2br w:val="nil"/>
              <w:tr2bl w:val="nil"/>
            </w:tcBorders>
            <w:shd w:val="clear" w:color="auto" w:fill="auto"/>
            <w:vAlign w:val="center"/>
          </w:tcPr>
          <w:p w14:paraId="6A41F54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w:t>
            </w:r>
          </w:p>
        </w:tc>
        <w:tc>
          <w:tcPr>
            <w:tcW w:w="596" w:type="dxa"/>
            <w:tcBorders>
              <w:tl2br w:val="nil"/>
              <w:tr2bl w:val="nil"/>
            </w:tcBorders>
            <w:shd w:val="clear" w:color="auto" w:fill="auto"/>
            <w:vAlign w:val="center"/>
          </w:tcPr>
          <w:p w14:paraId="41212AD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587" w:type="dxa"/>
            <w:tcBorders>
              <w:tl2br w:val="nil"/>
              <w:tr2bl w:val="nil"/>
            </w:tcBorders>
            <w:shd w:val="clear" w:color="auto" w:fill="auto"/>
            <w:vAlign w:val="center"/>
          </w:tcPr>
          <w:p w14:paraId="0F229D1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779" w:type="dxa"/>
            <w:tcBorders>
              <w:tl2br w:val="nil"/>
              <w:tr2bl w:val="nil"/>
            </w:tcBorders>
            <w:shd w:val="clear" w:color="auto" w:fill="auto"/>
            <w:vAlign w:val="center"/>
          </w:tcPr>
          <w:p w14:paraId="12C9477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697" w:type="dxa"/>
            <w:tcBorders>
              <w:tl2br w:val="nil"/>
              <w:tr2bl w:val="nil"/>
            </w:tcBorders>
            <w:shd w:val="clear" w:color="auto" w:fill="auto"/>
            <w:vAlign w:val="center"/>
          </w:tcPr>
          <w:p w14:paraId="30D307B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0.017</w:t>
            </w:r>
          </w:p>
        </w:tc>
        <w:tc>
          <w:tcPr>
            <w:tcW w:w="596" w:type="dxa"/>
            <w:tcBorders>
              <w:tl2br w:val="nil"/>
              <w:tr2bl w:val="nil"/>
            </w:tcBorders>
            <w:shd w:val="clear" w:color="auto" w:fill="auto"/>
            <w:vAlign w:val="center"/>
          </w:tcPr>
          <w:p w14:paraId="3F4FF21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w:t>
            </w:r>
          </w:p>
        </w:tc>
        <w:tc>
          <w:tcPr>
            <w:tcW w:w="587" w:type="dxa"/>
            <w:tcBorders>
              <w:tl2br w:val="nil"/>
              <w:tr2bl w:val="nil"/>
            </w:tcBorders>
            <w:shd w:val="clear" w:color="auto" w:fill="auto"/>
            <w:vAlign w:val="center"/>
          </w:tcPr>
          <w:p w14:paraId="4BB0B7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w:t>
            </w:r>
          </w:p>
        </w:tc>
        <w:tc>
          <w:tcPr>
            <w:tcW w:w="596" w:type="dxa"/>
            <w:tcBorders>
              <w:tl2br w:val="nil"/>
              <w:tr2bl w:val="nil"/>
            </w:tcBorders>
            <w:shd w:val="clear" w:color="auto" w:fill="auto"/>
            <w:vAlign w:val="center"/>
          </w:tcPr>
          <w:p w14:paraId="3DDBF6B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587" w:type="dxa"/>
            <w:tcBorders>
              <w:tl2br w:val="nil"/>
              <w:tr2bl w:val="nil"/>
            </w:tcBorders>
            <w:shd w:val="clear" w:color="auto" w:fill="auto"/>
            <w:vAlign w:val="center"/>
          </w:tcPr>
          <w:p w14:paraId="00E4FFB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779" w:type="dxa"/>
            <w:tcBorders>
              <w:tl2br w:val="nil"/>
              <w:tr2bl w:val="nil"/>
            </w:tcBorders>
            <w:shd w:val="clear" w:color="auto" w:fill="auto"/>
            <w:vAlign w:val="center"/>
          </w:tcPr>
          <w:p w14:paraId="71D27DC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697" w:type="dxa"/>
            <w:tcBorders>
              <w:tl2br w:val="nil"/>
              <w:tr2bl w:val="nil"/>
            </w:tcBorders>
            <w:shd w:val="clear" w:color="auto" w:fill="auto"/>
            <w:vAlign w:val="center"/>
          </w:tcPr>
          <w:p w14:paraId="1043DD0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596" w:type="dxa"/>
            <w:tcBorders>
              <w:tl2br w:val="nil"/>
              <w:tr2bl w:val="nil"/>
            </w:tcBorders>
            <w:shd w:val="clear" w:color="auto" w:fill="auto"/>
            <w:vAlign w:val="center"/>
          </w:tcPr>
          <w:p w14:paraId="014B413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587" w:type="dxa"/>
            <w:tcBorders>
              <w:tl2br w:val="nil"/>
              <w:tr2bl w:val="nil"/>
            </w:tcBorders>
            <w:shd w:val="clear" w:color="auto" w:fill="auto"/>
            <w:vAlign w:val="center"/>
          </w:tcPr>
          <w:p w14:paraId="394B883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596" w:type="dxa"/>
            <w:tcBorders>
              <w:tl2br w:val="nil"/>
              <w:tr2bl w:val="nil"/>
            </w:tcBorders>
            <w:shd w:val="clear" w:color="auto" w:fill="auto"/>
            <w:vAlign w:val="center"/>
          </w:tcPr>
          <w:p w14:paraId="1118723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587" w:type="dxa"/>
            <w:tcBorders>
              <w:tl2br w:val="nil"/>
              <w:tr2bl w:val="nil"/>
            </w:tcBorders>
            <w:shd w:val="clear" w:color="auto" w:fill="auto"/>
            <w:vAlign w:val="center"/>
          </w:tcPr>
          <w:p w14:paraId="2D514F4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0.022</w:t>
            </w:r>
          </w:p>
        </w:tc>
      </w:tr>
    </w:tbl>
    <w:p w14:paraId="7179787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 w:val="21"/>
          <w:szCs w:val="21"/>
          <w:highlight w:val="none"/>
          <w:lang w:val="zh-CN"/>
        </w:rPr>
      </w:pPr>
      <w:r>
        <w:rPr>
          <w:rFonts w:hint="default" w:ascii="Times New Roman" w:hAnsi="Times New Roman" w:eastAsia="宋体" w:cs="Times New Roman"/>
          <w:b/>
          <w:color w:val="auto"/>
          <w:kern w:val="0"/>
          <w:sz w:val="21"/>
          <w:szCs w:val="21"/>
          <w:highlight w:val="none"/>
          <w:lang w:val="zh-CN"/>
        </w:rPr>
        <w:t>表4.</w:t>
      </w:r>
      <w:r>
        <w:rPr>
          <w:rFonts w:hint="default" w:ascii="Times New Roman" w:hAnsi="Times New Roman" w:eastAsia="宋体" w:cs="Times New Roman"/>
          <w:b/>
          <w:color w:val="auto"/>
          <w:kern w:val="0"/>
          <w:sz w:val="21"/>
          <w:szCs w:val="21"/>
          <w:highlight w:val="none"/>
          <w:lang w:val="en-US" w:eastAsia="zh-CN"/>
        </w:rPr>
        <w:t>2</w:t>
      </w:r>
      <w:r>
        <w:rPr>
          <w:rFonts w:hint="default" w:ascii="Times New Roman" w:hAnsi="Times New Roman" w:eastAsia="宋体" w:cs="Times New Roman"/>
          <w:b/>
          <w:color w:val="auto"/>
          <w:kern w:val="0"/>
          <w:sz w:val="21"/>
          <w:szCs w:val="21"/>
          <w:highlight w:val="none"/>
          <w:lang w:val="zh-CN"/>
        </w:rPr>
        <w:t>-</w:t>
      </w:r>
      <w:r>
        <w:rPr>
          <w:rFonts w:hint="default" w:ascii="Times New Roman" w:hAnsi="Times New Roman" w:eastAsia="宋体" w:cs="Times New Roman"/>
          <w:b/>
          <w:color w:val="auto"/>
          <w:kern w:val="0"/>
          <w:sz w:val="21"/>
          <w:szCs w:val="21"/>
          <w:highlight w:val="none"/>
          <w:lang w:val="en-US" w:eastAsia="zh-CN"/>
        </w:rPr>
        <w:t>9</w:t>
      </w:r>
      <w:r>
        <w:rPr>
          <w:rFonts w:hint="default" w:ascii="Times New Roman" w:hAnsi="Times New Roman" w:eastAsia="宋体" w:cs="Times New Roman"/>
          <w:b/>
          <w:color w:val="auto"/>
          <w:kern w:val="0"/>
          <w:sz w:val="21"/>
          <w:szCs w:val="21"/>
          <w:highlight w:val="none"/>
          <w:lang w:val="zh-CN"/>
        </w:rPr>
        <w:t xml:space="preserve">    监测结果统计一览表（续表）    单位：mg/kg，pH除外</w:t>
      </w:r>
    </w:p>
    <w:tbl>
      <w:tblPr>
        <w:tblStyle w:val="21"/>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447"/>
        <w:gridCol w:w="840"/>
        <w:gridCol w:w="741"/>
        <w:gridCol w:w="956"/>
        <w:gridCol w:w="848"/>
        <w:gridCol w:w="1074"/>
        <w:gridCol w:w="902"/>
        <w:gridCol w:w="730"/>
        <w:gridCol w:w="738"/>
        <w:gridCol w:w="730"/>
        <w:gridCol w:w="781"/>
        <w:gridCol w:w="730"/>
        <w:gridCol w:w="782"/>
        <w:gridCol w:w="647"/>
        <w:gridCol w:w="790"/>
        <w:gridCol w:w="731"/>
        <w:gridCol w:w="986"/>
      </w:tblGrid>
      <w:tr w14:paraId="75AC28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vMerge w:val="restart"/>
            <w:tcBorders>
              <w:tl2br w:val="nil"/>
              <w:tr2bl w:val="nil"/>
            </w:tcBorders>
            <w:shd w:val="clear" w:color="auto" w:fill="auto"/>
            <w:vAlign w:val="center"/>
          </w:tcPr>
          <w:p w14:paraId="3CC30C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序号</w:t>
            </w:r>
          </w:p>
        </w:tc>
        <w:tc>
          <w:tcPr>
            <w:tcW w:w="313" w:type="pct"/>
            <w:vMerge w:val="restart"/>
            <w:tcBorders>
              <w:tl2br w:val="nil"/>
              <w:tr2bl w:val="nil"/>
            </w:tcBorders>
            <w:shd w:val="clear" w:color="auto" w:fill="auto"/>
            <w:vAlign w:val="center"/>
          </w:tcPr>
          <w:p w14:paraId="0A8007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项目</w:t>
            </w:r>
          </w:p>
        </w:tc>
        <w:tc>
          <w:tcPr>
            <w:tcW w:w="265" w:type="pct"/>
            <w:vMerge w:val="restart"/>
            <w:tcBorders>
              <w:tl2br w:val="nil"/>
              <w:tr2bl w:val="nil"/>
            </w:tcBorders>
            <w:shd w:val="clear" w:color="auto" w:fill="auto"/>
            <w:vAlign w:val="center"/>
          </w:tcPr>
          <w:p w14:paraId="12C1BD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筛选值</w:t>
            </w:r>
          </w:p>
        </w:tc>
        <w:tc>
          <w:tcPr>
            <w:tcW w:w="4253" w:type="pct"/>
            <w:gridSpan w:val="14"/>
            <w:tcBorders>
              <w:tl2br w:val="nil"/>
              <w:tr2bl w:val="nil"/>
            </w:tcBorders>
            <w:shd w:val="clear" w:color="auto" w:fill="auto"/>
            <w:vAlign w:val="center"/>
          </w:tcPr>
          <w:p w14:paraId="605D6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监测结果</w:t>
            </w:r>
          </w:p>
        </w:tc>
      </w:tr>
      <w:tr w14:paraId="63A95B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vMerge w:val="continue"/>
            <w:tcBorders>
              <w:tl2br w:val="nil"/>
              <w:tr2bl w:val="nil"/>
            </w:tcBorders>
            <w:shd w:val="clear" w:color="auto" w:fill="auto"/>
            <w:vAlign w:val="center"/>
          </w:tcPr>
          <w:p w14:paraId="62A6F8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13" w:type="pct"/>
            <w:vMerge w:val="continue"/>
            <w:tcBorders>
              <w:tl2br w:val="nil"/>
              <w:tr2bl w:val="nil"/>
            </w:tcBorders>
            <w:shd w:val="clear" w:color="auto" w:fill="auto"/>
            <w:vAlign w:val="center"/>
          </w:tcPr>
          <w:p w14:paraId="6EB311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65" w:type="pct"/>
            <w:vMerge w:val="continue"/>
            <w:tcBorders>
              <w:tl2br w:val="nil"/>
              <w:tr2bl w:val="nil"/>
            </w:tcBorders>
            <w:shd w:val="clear" w:color="auto" w:fill="auto"/>
            <w:vAlign w:val="center"/>
          </w:tcPr>
          <w:p w14:paraId="78E49B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1954" w:type="pct"/>
            <w:gridSpan w:val="6"/>
            <w:tcBorders>
              <w:tl2br w:val="nil"/>
              <w:tr2bl w:val="nil"/>
            </w:tcBorders>
            <w:shd w:val="clear" w:color="auto" w:fill="auto"/>
            <w:vAlign w:val="center"/>
          </w:tcPr>
          <w:p w14:paraId="00E4C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w:t>
            </w:r>
            <w:r>
              <w:rPr>
                <w:rFonts w:hint="default" w:ascii="Times New Roman" w:hAnsi="Times New Roman" w:eastAsia="宋体" w:cs="Times New Roman"/>
                <w:b w:val="0"/>
                <w:bCs w:val="0"/>
                <w:color w:val="auto"/>
                <w:kern w:val="0"/>
                <w:sz w:val="21"/>
                <w:szCs w:val="21"/>
                <w:highlight w:val="none"/>
                <w:lang w:val="en-US" w:eastAsia="zh-CN"/>
              </w:rPr>
              <w:t>矿区内空地表层样点</w:t>
            </w:r>
          </w:p>
        </w:tc>
        <w:tc>
          <w:tcPr>
            <w:tcW w:w="563" w:type="pct"/>
            <w:gridSpan w:val="2"/>
            <w:tcBorders>
              <w:tl2br w:val="nil"/>
              <w:tr2bl w:val="nil"/>
            </w:tcBorders>
            <w:shd w:val="clear" w:color="auto" w:fill="auto"/>
            <w:vAlign w:val="center"/>
          </w:tcPr>
          <w:p w14:paraId="3BF8B0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7</w:t>
            </w:r>
            <w:r>
              <w:rPr>
                <w:rFonts w:hint="default" w:ascii="Times New Roman" w:hAnsi="Times New Roman" w:eastAsia="宋体" w:cs="Times New Roman"/>
                <w:b w:val="0"/>
                <w:bCs w:val="0"/>
                <w:color w:val="auto"/>
                <w:sz w:val="21"/>
                <w:szCs w:val="21"/>
                <w:highlight w:val="none"/>
                <w:lang w:val="en-US" w:eastAsia="zh-CN"/>
              </w:rPr>
              <w:t>#矿区内空地表层样</w:t>
            </w:r>
          </w:p>
        </w:tc>
        <w:tc>
          <w:tcPr>
            <w:tcW w:w="563" w:type="pct"/>
            <w:gridSpan w:val="2"/>
            <w:tcBorders>
              <w:tl2br w:val="nil"/>
              <w:tr2bl w:val="nil"/>
            </w:tcBorders>
            <w:shd w:val="clear" w:color="auto" w:fill="auto"/>
            <w:vAlign w:val="center"/>
          </w:tcPr>
          <w:p w14:paraId="3F72A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8</w:t>
            </w:r>
            <w:r>
              <w:rPr>
                <w:rFonts w:hint="default" w:ascii="Times New Roman" w:hAnsi="Times New Roman" w:eastAsia="宋体" w:cs="Times New Roman"/>
                <w:b w:val="0"/>
                <w:bCs w:val="0"/>
                <w:color w:val="auto"/>
                <w:sz w:val="21"/>
                <w:szCs w:val="21"/>
                <w:highlight w:val="none"/>
                <w:lang w:val="en-US" w:eastAsia="zh-CN"/>
              </w:rPr>
              <w:t>#矿区内空地表层样</w:t>
            </w:r>
          </w:p>
        </w:tc>
        <w:tc>
          <w:tcPr>
            <w:tcW w:w="535" w:type="pct"/>
            <w:gridSpan w:val="2"/>
            <w:tcBorders>
              <w:tl2br w:val="nil"/>
              <w:tr2bl w:val="nil"/>
            </w:tcBorders>
            <w:shd w:val="clear" w:color="auto" w:fill="auto"/>
            <w:vAlign w:val="center"/>
          </w:tcPr>
          <w:p w14:paraId="68566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9</w:t>
            </w:r>
            <w:r>
              <w:rPr>
                <w:rFonts w:hint="default" w:ascii="Times New Roman" w:hAnsi="Times New Roman" w:eastAsia="宋体" w:cs="Times New Roman"/>
                <w:b w:val="0"/>
                <w:bCs w:val="0"/>
                <w:color w:val="auto"/>
                <w:sz w:val="21"/>
                <w:szCs w:val="21"/>
                <w:highlight w:val="none"/>
                <w:lang w:val="en-US" w:eastAsia="zh-CN"/>
              </w:rPr>
              <w:t>#矿区内空地表层样点</w:t>
            </w:r>
          </w:p>
        </w:tc>
        <w:tc>
          <w:tcPr>
            <w:tcW w:w="636" w:type="pct"/>
            <w:gridSpan w:val="2"/>
            <w:tcBorders>
              <w:tl2br w:val="nil"/>
              <w:tr2bl w:val="nil"/>
            </w:tcBorders>
            <w:shd w:val="clear" w:color="auto" w:fill="auto"/>
            <w:vAlign w:val="center"/>
          </w:tcPr>
          <w:p w14:paraId="179DB0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10</w:t>
            </w:r>
            <w:r>
              <w:rPr>
                <w:rFonts w:hint="default" w:ascii="Times New Roman" w:hAnsi="Times New Roman" w:eastAsia="宋体" w:cs="Times New Roman"/>
                <w:b w:val="0"/>
                <w:bCs w:val="0"/>
                <w:color w:val="auto"/>
                <w:sz w:val="21"/>
                <w:szCs w:val="21"/>
                <w:highlight w:val="none"/>
                <w:lang w:val="en-US" w:eastAsia="zh-CN"/>
              </w:rPr>
              <w:t>#矿区内空地表层样点</w:t>
            </w:r>
          </w:p>
        </w:tc>
      </w:tr>
      <w:tr w14:paraId="43BF21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vMerge w:val="continue"/>
            <w:tcBorders>
              <w:tl2br w:val="nil"/>
              <w:tr2bl w:val="nil"/>
            </w:tcBorders>
            <w:shd w:val="clear" w:color="auto" w:fill="auto"/>
            <w:vAlign w:val="center"/>
          </w:tcPr>
          <w:p w14:paraId="5FE524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13" w:type="pct"/>
            <w:vMerge w:val="continue"/>
            <w:tcBorders>
              <w:tl2br w:val="nil"/>
              <w:tr2bl w:val="nil"/>
            </w:tcBorders>
            <w:shd w:val="clear" w:color="auto" w:fill="auto"/>
            <w:vAlign w:val="center"/>
          </w:tcPr>
          <w:p w14:paraId="7522A3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65" w:type="pct"/>
            <w:vMerge w:val="continue"/>
            <w:tcBorders>
              <w:tl2br w:val="nil"/>
              <w:tr2bl w:val="nil"/>
            </w:tcBorders>
            <w:shd w:val="clear" w:color="auto" w:fill="auto"/>
            <w:vAlign w:val="center"/>
          </w:tcPr>
          <w:p w14:paraId="64B327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72" w:type="pct"/>
            <w:gridSpan w:val="2"/>
            <w:tcBorders>
              <w:tl2br w:val="nil"/>
              <w:tr2bl w:val="nil"/>
            </w:tcBorders>
            <w:shd w:val="clear" w:color="auto" w:fill="auto"/>
            <w:vAlign w:val="center"/>
          </w:tcPr>
          <w:p w14:paraId="33959A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（0~0.5m）</w:t>
            </w:r>
          </w:p>
        </w:tc>
        <w:tc>
          <w:tcPr>
            <w:tcW w:w="736" w:type="pct"/>
            <w:gridSpan w:val="2"/>
            <w:tcBorders>
              <w:tl2br w:val="nil"/>
              <w:tr2bl w:val="nil"/>
            </w:tcBorders>
            <w:shd w:val="clear" w:color="auto" w:fill="auto"/>
            <w:vAlign w:val="center"/>
          </w:tcPr>
          <w:p w14:paraId="2BE84E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（0.5～1.5m）</w:t>
            </w:r>
          </w:p>
        </w:tc>
        <w:tc>
          <w:tcPr>
            <w:tcW w:w="546" w:type="pct"/>
            <w:gridSpan w:val="2"/>
            <w:tcBorders>
              <w:tl2br w:val="nil"/>
              <w:tr2bl w:val="nil"/>
            </w:tcBorders>
            <w:shd w:val="clear" w:color="auto" w:fill="auto"/>
            <w:vAlign w:val="center"/>
          </w:tcPr>
          <w:p w14:paraId="6DD65E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（1.5～3.0m）</w:t>
            </w:r>
          </w:p>
        </w:tc>
        <w:tc>
          <w:tcPr>
            <w:tcW w:w="563" w:type="pct"/>
            <w:gridSpan w:val="2"/>
            <w:tcBorders>
              <w:tl2br w:val="nil"/>
              <w:tr2bl w:val="nil"/>
            </w:tcBorders>
            <w:shd w:val="clear" w:color="auto" w:fill="auto"/>
            <w:vAlign w:val="center"/>
          </w:tcPr>
          <w:p w14:paraId="6E2CD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563" w:type="pct"/>
            <w:gridSpan w:val="2"/>
            <w:tcBorders>
              <w:tl2br w:val="nil"/>
              <w:tr2bl w:val="nil"/>
            </w:tcBorders>
            <w:shd w:val="clear" w:color="auto" w:fill="auto"/>
            <w:vAlign w:val="center"/>
          </w:tcPr>
          <w:p w14:paraId="71B3AC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535" w:type="pct"/>
            <w:gridSpan w:val="2"/>
            <w:tcBorders>
              <w:tl2br w:val="nil"/>
              <w:tr2bl w:val="nil"/>
            </w:tcBorders>
            <w:shd w:val="clear" w:color="auto" w:fill="auto"/>
            <w:vAlign w:val="center"/>
          </w:tcPr>
          <w:p w14:paraId="5ED6E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636" w:type="pct"/>
            <w:gridSpan w:val="2"/>
            <w:tcBorders>
              <w:tl2br w:val="nil"/>
              <w:tr2bl w:val="nil"/>
            </w:tcBorders>
            <w:shd w:val="clear" w:color="auto" w:fill="auto"/>
            <w:vAlign w:val="center"/>
          </w:tcPr>
          <w:p w14:paraId="764DE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r>
      <w:tr w14:paraId="684ED8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vMerge w:val="continue"/>
            <w:tcBorders>
              <w:tl2br w:val="nil"/>
              <w:tr2bl w:val="nil"/>
            </w:tcBorders>
            <w:shd w:val="clear" w:color="auto" w:fill="auto"/>
            <w:vAlign w:val="center"/>
          </w:tcPr>
          <w:p w14:paraId="1A3A52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13" w:type="pct"/>
            <w:vMerge w:val="continue"/>
            <w:tcBorders>
              <w:tl2br w:val="nil"/>
              <w:tr2bl w:val="nil"/>
            </w:tcBorders>
            <w:shd w:val="clear" w:color="auto" w:fill="auto"/>
            <w:vAlign w:val="center"/>
          </w:tcPr>
          <w:p w14:paraId="1F009F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65" w:type="pct"/>
            <w:vMerge w:val="continue"/>
            <w:tcBorders>
              <w:tl2br w:val="nil"/>
              <w:tr2bl w:val="nil"/>
            </w:tcBorders>
            <w:shd w:val="clear" w:color="auto" w:fill="auto"/>
            <w:vAlign w:val="center"/>
          </w:tcPr>
          <w:p w14:paraId="52F5FF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56" w:type="pct"/>
            <w:tcBorders>
              <w:tl2br w:val="nil"/>
              <w:tr2bl w:val="nil"/>
            </w:tcBorders>
            <w:shd w:val="clear" w:color="auto" w:fill="auto"/>
            <w:vAlign w:val="center"/>
          </w:tcPr>
          <w:p w14:paraId="7A1953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316" w:type="pct"/>
            <w:tcBorders>
              <w:tl2br w:val="nil"/>
              <w:tr2bl w:val="nil"/>
            </w:tcBorders>
            <w:shd w:val="clear" w:color="auto" w:fill="auto"/>
            <w:vAlign w:val="center"/>
          </w:tcPr>
          <w:p w14:paraId="46E8FD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400" w:type="pct"/>
            <w:tcBorders>
              <w:tl2br w:val="nil"/>
              <w:tr2bl w:val="nil"/>
            </w:tcBorders>
            <w:shd w:val="clear" w:color="auto" w:fill="auto"/>
            <w:vAlign w:val="center"/>
          </w:tcPr>
          <w:p w14:paraId="1E150C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335" w:type="pct"/>
            <w:tcBorders>
              <w:tl2br w:val="nil"/>
              <w:tr2bl w:val="nil"/>
            </w:tcBorders>
            <w:shd w:val="clear" w:color="auto" w:fill="auto"/>
            <w:vAlign w:val="center"/>
          </w:tcPr>
          <w:p w14:paraId="0D05A8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272" w:type="pct"/>
            <w:tcBorders>
              <w:tl2br w:val="nil"/>
              <w:tr2bl w:val="nil"/>
            </w:tcBorders>
            <w:shd w:val="clear" w:color="auto" w:fill="auto"/>
            <w:vAlign w:val="center"/>
          </w:tcPr>
          <w:p w14:paraId="76F48A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73" w:type="pct"/>
            <w:tcBorders>
              <w:tl2br w:val="nil"/>
              <w:tr2bl w:val="nil"/>
            </w:tcBorders>
            <w:shd w:val="clear" w:color="auto" w:fill="auto"/>
            <w:vAlign w:val="center"/>
          </w:tcPr>
          <w:p w14:paraId="2AE203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272" w:type="pct"/>
            <w:tcBorders>
              <w:tl2br w:val="nil"/>
              <w:tr2bl w:val="nil"/>
            </w:tcBorders>
            <w:shd w:val="clear" w:color="auto" w:fill="auto"/>
            <w:vAlign w:val="center"/>
          </w:tcPr>
          <w:p w14:paraId="290D6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90" w:type="pct"/>
            <w:tcBorders>
              <w:tl2br w:val="nil"/>
              <w:tr2bl w:val="nil"/>
            </w:tcBorders>
            <w:shd w:val="clear" w:color="auto" w:fill="auto"/>
            <w:vAlign w:val="center"/>
          </w:tcPr>
          <w:p w14:paraId="5E69A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272" w:type="pct"/>
            <w:tcBorders>
              <w:tl2br w:val="nil"/>
              <w:tr2bl w:val="nil"/>
            </w:tcBorders>
            <w:shd w:val="clear" w:color="auto" w:fill="auto"/>
            <w:vAlign w:val="center"/>
          </w:tcPr>
          <w:p w14:paraId="5DB02B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90" w:type="pct"/>
            <w:tcBorders>
              <w:tl2br w:val="nil"/>
              <w:tr2bl w:val="nil"/>
            </w:tcBorders>
            <w:shd w:val="clear" w:color="auto" w:fill="auto"/>
            <w:vAlign w:val="center"/>
          </w:tcPr>
          <w:p w14:paraId="6ED237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241" w:type="pct"/>
            <w:tcBorders>
              <w:tl2br w:val="nil"/>
              <w:tr2bl w:val="nil"/>
            </w:tcBorders>
            <w:shd w:val="clear" w:color="auto" w:fill="auto"/>
            <w:vAlign w:val="center"/>
          </w:tcPr>
          <w:p w14:paraId="5234C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93" w:type="pct"/>
            <w:tcBorders>
              <w:tl2br w:val="nil"/>
              <w:tr2bl w:val="nil"/>
            </w:tcBorders>
            <w:shd w:val="clear" w:color="auto" w:fill="auto"/>
            <w:vAlign w:val="center"/>
          </w:tcPr>
          <w:p w14:paraId="7C2E7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272" w:type="pct"/>
            <w:tcBorders>
              <w:tl2br w:val="nil"/>
              <w:tr2bl w:val="nil"/>
            </w:tcBorders>
            <w:shd w:val="clear" w:color="auto" w:fill="auto"/>
            <w:vAlign w:val="center"/>
          </w:tcPr>
          <w:p w14:paraId="52952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363" w:type="pct"/>
            <w:tcBorders>
              <w:tl2br w:val="nil"/>
              <w:tr2bl w:val="nil"/>
            </w:tcBorders>
            <w:shd w:val="clear" w:color="auto" w:fill="auto"/>
            <w:vAlign w:val="center"/>
          </w:tcPr>
          <w:p w14:paraId="78B97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r>
      <w:tr w14:paraId="64F404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1BB75A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313" w:type="pct"/>
            <w:tcBorders>
              <w:tl2br w:val="nil"/>
              <w:tr2bl w:val="nil"/>
            </w:tcBorders>
            <w:shd w:val="clear" w:color="auto" w:fill="auto"/>
            <w:vAlign w:val="center"/>
          </w:tcPr>
          <w:p w14:paraId="370E3D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pH</w:t>
            </w:r>
          </w:p>
        </w:tc>
        <w:tc>
          <w:tcPr>
            <w:tcW w:w="265" w:type="pct"/>
            <w:tcBorders>
              <w:tl2br w:val="nil"/>
              <w:tr2bl w:val="nil"/>
            </w:tcBorders>
            <w:shd w:val="clear" w:color="auto" w:fill="auto"/>
            <w:vAlign w:val="center"/>
          </w:tcPr>
          <w:p w14:paraId="3CE6A8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356" w:type="pct"/>
            <w:tcBorders>
              <w:tl2br w:val="nil"/>
              <w:tr2bl w:val="nil"/>
            </w:tcBorders>
            <w:shd w:val="clear" w:color="auto" w:fill="auto"/>
            <w:vAlign w:val="center"/>
          </w:tcPr>
          <w:p w14:paraId="47F7D02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8.72</w:t>
            </w:r>
          </w:p>
        </w:tc>
        <w:tc>
          <w:tcPr>
            <w:tcW w:w="316" w:type="pct"/>
            <w:tcBorders>
              <w:tl2br w:val="nil"/>
              <w:tr2bl w:val="nil"/>
            </w:tcBorders>
            <w:shd w:val="clear" w:color="auto" w:fill="auto"/>
            <w:vAlign w:val="center"/>
          </w:tcPr>
          <w:p w14:paraId="537A896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00" w:type="pct"/>
            <w:tcBorders>
              <w:tl2br w:val="nil"/>
              <w:tr2bl w:val="nil"/>
            </w:tcBorders>
            <w:shd w:val="clear" w:color="auto" w:fill="auto"/>
            <w:vAlign w:val="center"/>
          </w:tcPr>
          <w:p w14:paraId="5AC8216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8.36</w:t>
            </w:r>
          </w:p>
        </w:tc>
        <w:tc>
          <w:tcPr>
            <w:tcW w:w="335" w:type="pct"/>
            <w:tcBorders>
              <w:tl2br w:val="nil"/>
              <w:tr2bl w:val="nil"/>
            </w:tcBorders>
            <w:shd w:val="clear" w:color="auto" w:fill="auto"/>
            <w:vAlign w:val="center"/>
          </w:tcPr>
          <w:p w14:paraId="080BF3B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74EFAB4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8.11</w:t>
            </w:r>
          </w:p>
        </w:tc>
        <w:tc>
          <w:tcPr>
            <w:tcW w:w="273" w:type="pct"/>
            <w:tcBorders>
              <w:tl2br w:val="nil"/>
              <w:tr2bl w:val="nil"/>
            </w:tcBorders>
            <w:shd w:val="clear" w:color="auto" w:fill="auto"/>
            <w:vAlign w:val="center"/>
          </w:tcPr>
          <w:p w14:paraId="4F2499B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7E818A1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8.39</w:t>
            </w:r>
          </w:p>
        </w:tc>
        <w:tc>
          <w:tcPr>
            <w:tcW w:w="290" w:type="pct"/>
            <w:tcBorders>
              <w:tl2br w:val="nil"/>
              <w:tr2bl w:val="nil"/>
            </w:tcBorders>
            <w:shd w:val="clear" w:color="auto" w:fill="auto"/>
            <w:vAlign w:val="center"/>
          </w:tcPr>
          <w:p w14:paraId="1134B47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5FFB65F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8.48</w:t>
            </w:r>
          </w:p>
        </w:tc>
        <w:tc>
          <w:tcPr>
            <w:tcW w:w="290" w:type="pct"/>
            <w:tcBorders>
              <w:tl2br w:val="nil"/>
              <w:tr2bl w:val="nil"/>
            </w:tcBorders>
            <w:shd w:val="clear" w:color="auto" w:fill="auto"/>
            <w:vAlign w:val="center"/>
          </w:tcPr>
          <w:p w14:paraId="44001D4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41" w:type="pct"/>
            <w:tcBorders>
              <w:tl2br w:val="nil"/>
              <w:tr2bl w:val="nil"/>
            </w:tcBorders>
            <w:shd w:val="clear" w:color="auto" w:fill="auto"/>
            <w:vAlign w:val="center"/>
          </w:tcPr>
          <w:p w14:paraId="120BC5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8.20</w:t>
            </w:r>
          </w:p>
        </w:tc>
        <w:tc>
          <w:tcPr>
            <w:tcW w:w="293" w:type="pct"/>
            <w:tcBorders>
              <w:tl2br w:val="nil"/>
              <w:tr2bl w:val="nil"/>
            </w:tcBorders>
            <w:shd w:val="clear" w:color="auto" w:fill="auto"/>
            <w:vAlign w:val="center"/>
          </w:tcPr>
          <w:p w14:paraId="6E82FC8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01A1170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8.34</w:t>
            </w:r>
          </w:p>
        </w:tc>
        <w:tc>
          <w:tcPr>
            <w:tcW w:w="363" w:type="pct"/>
            <w:tcBorders>
              <w:tl2br w:val="nil"/>
              <w:tr2bl w:val="nil"/>
            </w:tcBorders>
            <w:shd w:val="clear" w:color="auto" w:fill="auto"/>
            <w:vAlign w:val="center"/>
          </w:tcPr>
          <w:p w14:paraId="19F4169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43D0AF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4E8C7F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313" w:type="pct"/>
            <w:tcBorders>
              <w:tl2br w:val="nil"/>
              <w:tr2bl w:val="nil"/>
            </w:tcBorders>
            <w:shd w:val="clear" w:color="auto" w:fill="auto"/>
            <w:vAlign w:val="center"/>
          </w:tcPr>
          <w:p w14:paraId="6E0939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含盐量</w:t>
            </w:r>
          </w:p>
        </w:tc>
        <w:tc>
          <w:tcPr>
            <w:tcW w:w="265" w:type="pct"/>
            <w:tcBorders>
              <w:tl2br w:val="nil"/>
              <w:tr2bl w:val="nil"/>
            </w:tcBorders>
            <w:shd w:val="clear" w:color="auto" w:fill="auto"/>
            <w:vAlign w:val="center"/>
          </w:tcPr>
          <w:p w14:paraId="0CC363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w:t>
            </w:r>
          </w:p>
        </w:tc>
        <w:tc>
          <w:tcPr>
            <w:tcW w:w="356" w:type="pct"/>
            <w:tcBorders>
              <w:tl2br w:val="nil"/>
              <w:tr2bl w:val="nil"/>
            </w:tcBorders>
            <w:shd w:val="clear" w:color="auto" w:fill="auto"/>
            <w:vAlign w:val="center"/>
          </w:tcPr>
          <w:p w14:paraId="4CF6474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316" w:type="pct"/>
            <w:tcBorders>
              <w:tl2br w:val="nil"/>
              <w:tr2bl w:val="nil"/>
            </w:tcBorders>
            <w:shd w:val="clear" w:color="auto" w:fill="auto"/>
            <w:vAlign w:val="center"/>
          </w:tcPr>
          <w:p w14:paraId="7D53FBC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00" w:type="pct"/>
            <w:tcBorders>
              <w:tl2br w:val="nil"/>
              <w:tr2bl w:val="nil"/>
            </w:tcBorders>
            <w:shd w:val="clear" w:color="auto" w:fill="auto"/>
            <w:vAlign w:val="center"/>
          </w:tcPr>
          <w:p w14:paraId="7C9C44A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335" w:type="pct"/>
            <w:tcBorders>
              <w:tl2br w:val="nil"/>
              <w:tr2bl w:val="nil"/>
            </w:tcBorders>
            <w:shd w:val="clear" w:color="auto" w:fill="auto"/>
            <w:vAlign w:val="center"/>
          </w:tcPr>
          <w:p w14:paraId="4A00EE6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02C8E06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3.0</w:t>
            </w:r>
          </w:p>
        </w:tc>
        <w:tc>
          <w:tcPr>
            <w:tcW w:w="273" w:type="pct"/>
            <w:tcBorders>
              <w:tl2br w:val="nil"/>
              <w:tr2bl w:val="nil"/>
            </w:tcBorders>
            <w:shd w:val="clear" w:color="auto" w:fill="auto"/>
            <w:vAlign w:val="center"/>
          </w:tcPr>
          <w:p w14:paraId="44156B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3833836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0.8</w:t>
            </w:r>
          </w:p>
        </w:tc>
        <w:tc>
          <w:tcPr>
            <w:tcW w:w="290" w:type="pct"/>
            <w:tcBorders>
              <w:tl2br w:val="nil"/>
              <w:tr2bl w:val="nil"/>
            </w:tcBorders>
            <w:shd w:val="clear" w:color="auto" w:fill="auto"/>
            <w:vAlign w:val="center"/>
          </w:tcPr>
          <w:p w14:paraId="310B5B5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2352795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w:t>
            </w:r>
          </w:p>
        </w:tc>
        <w:tc>
          <w:tcPr>
            <w:tcW w:w="290" w:type="pct"/>
            <w:tcBorders>
              <w:tl2br w:val="nil"/>
              <w:tr2bl w:val="nil"/>
            </w:tcBorders>
            <w:shd w:val="clear" w:color="auto" w:fill="auto"/>
            <w:vAlign w:val="center"/>
          </w:tcPr>
          <w:p w14:paraId="2437A3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41" w:type="pct"/>
            <w:tcBorders>
              <w:tl2br w:val="nil"/>
              <w:tr2bl w:val="nil"/>
            </w:tcBorders>
            <w:shd w:val="clear" w:color="auto" w:fill="auto"/>
            <w:vAlign w:val="center"/>
          </w:tcPr>
          <w:p w14:paraId="5B183AC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293" w:type="pct"/>
            <w:tcBorders>
              <w:tl2br w:val="nil"/>
              <w:tr2bl w:val="nil"/>
            </w:tcBorders>
            <w:shd w:val="clear" w:color="auto" w:fill="auto"/>
            <w:vAlign w:val="center"/>
          </w:tcPr>
          <w:p w14:paraId="0CCAB30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7A9D403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w:t>
            </w:r>
          </w:p>
        </w:tc>
        <w:tc>
          <w:tcPr>
            <w:tcW w:w="363" w:type="pct"/>
            <w:tcBorders>
              <w:tl2br w:val="nil"/>
              <w:tr2bl w:val="nil"/>
            </w:tcBorders>
            <w:shd w:val="clear" w:color="auto" w:fill="auto"/>
            <w:vAlign w:val="center"/>
          </w:tcPr>
          <w:p w14:paraId="5D37268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329388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138008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313" w:type="pct"/>
            <w:tcBorders>
              <w:tl2br w:val="nil"/>
              <w:tr2bl w:val="nil"/>
            </w:tcBorders>
            <w:shd w:val="clear" w:color="auto" w:fill="auto"/>
            <w:vAlign w:val="center"/>
          </w:tcPr>
          <w:p w14:paraId="10F2B5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锌</w:t>
            </w:r>
          </w:p>
        </w:tc>
        <w:tc>
          <w:tcPr>
            <w:tcW w:w="265" w:type="pct"/>
            <w:tcBorders>
              <w:tl2br w:val="nil"/>
              <w:tr2bl w:val="nil"/>
            </w:tcBorders>
            <w:shd w:val="clear" w:color="auto" w:fill="auto"/>
            <w:vAlign w:val="center"/>
          </w:tcPr>
          <w:p w14:paraId="5D4964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w:t>
            </w:r>
          </w:p>
        </w:tc>
        <w:tc>
          <w:tcPr>
            <w:tcW w:w="356" w:type="pct"/>
            <w:tcBorders>
              <w:tl2br w:val="nil"/>
              <w:tr2bl w:val="nil"/>
            </w:tcBorders>
            <w:shd w:val="clear" w:color="auto" w:fill="auto"/>
            <w:vAlign w:val="center"/>
          </w:tcPr>
          <w:p w14:paraId="1448653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lang w:val="en-US" w:eastAsia="zh-CN"/>
              </w:rPr>
              <w:t>/</w:t>
            </w:r>
          </w:p>
        </w:tc>
        <w:tc>
          <w:tcPr>
            <w:tcW w:w="316" w:type="pct"/>
            <w:tcBorders>
              <w:tl2br w:val="nil"/>
              <w:tr2bl w:val="nil"/>
            </w:tcBorders>
            <w:shd w:val="clear" w:color="auto" w:fill="auto"/>
            <w:vAlign w:val="center"/>
          </w:tcPr>
          <w:p w14:paraId="7AD2E4D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400" w:type="pct"/>
            <w:tcBorders>
              <w:tl2br w:val="nil"/>
              <w:tr2bl w:val="nil"/>
            </w:tcBorders>
            <w:shd w:val="clear" w:color="auto" w:fill="auto"/>
            <w:vAlign w:val="center"/>
          </w:tcPr>
          <w:p w14:paraId="4D5E631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p>
        </w:tc>
        <w:tc>
          <w:tcPr>
            <w:tcW w:w="335" w:type="pct"/>
            <w:tcBorders>
              <w:tl2br w:val="nil"/>
              <w:tr2bl w:val="nil"/>
            </w:tcBorders>
            <w:shd w:val="clear" w:color="auto" w:fill="auto"/>
            <w:vAlign w:val="center"/>
          </w:tcPr>
          <w:p w14:paraId="0AB0F52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6357219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p>
        </w:tc>
        <w:tc>
          <w:tcPr>
            <w:tcW w:w="273" w:type="pct"/>
            <w:tcBorders>
              <w:tl2br w:val="nil"/>
              <w:tr2bl w:val="nil"/>
            </w:tcBorders>
            <w:shd w:val="clear" w:color="auto" w:fill="auto"/>
            <w:vAlign w:val="center"/>
          </w:tcPr>
          <w:p w14:paraId="1350C81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05C8292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46</w:t>
            </w:r>
          </w:p>
        </w:tc>
        <w:tc>
          <w:tcPr>
            <w:tcW w:w="290" w:type="pct"/>
            <w:tcBorders>
              <w:tl2br w:val="nil"/>
              <w:tr2bl w:val="nil"/>
            </w:tcBorders>
            <w:shd w:val="clear" w:color="auto" w:fill="auto"/>
            <w:vAlign w:val="center"/>
          </w:tcPr>
          <w:p w14:paraId="57BDEB5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243CE6E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53</w:t>
            </w:r>
          </w:p>
        </w:tc>
        <w:tc>
          <w:tcPr>
            <w:tcW w:w="290" w:type="pct"/>
            <w:tcBorders>
              <w:tl2br w:val="nil"/>
              <w:tr2bl w:val="nil"/>
            </w:tcBorders>
            <w:shd w:val="clear" w:color="auto" w:fill="auto"/>
            <w:vAlign w:val="center"/>
          </w:tcPr>
          <w:p w14:paraId="19109DD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41" w:type="pct"/>
            <w:tcBorders>
              <w:tl2br w:val="nil"/>
              <w:tr2bl w:val="nil"/>
            </w:tcBorders>
            <w:shd w:val="clear" w:color="auto" w:fill="auto"/>
            <w:vAlign w:val="center"/>
          </w:tcPr>
          <w:p w14:paraId="3CD8A4F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62</w:t>
            </w:r>
          </w:p>
        </w:tc>
        <w:tc>
          <w:tcPr>
            <w:tcW w:w="293" w:type="pct"/>
            <w:tcBorders>
              <w:tl2br w:val="nil"/>
              <w:tr2bl w:val="nil"/>
            </w:tcBorders>
            <w:shd w:val="clear" w:color="auto" w:fill="auto"/>
            <w:vAlign w:val="center"/>
          </w:tcPr>
          <w:p w14:paraId="711EBD0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272" w:type="pct"/>
            <w:tcBorders>
              <w:tl2br w:val="nil"/>
              <w:tr2bl w:val="nil"/>
            </w:tcBorders>
            <w:shd w:val="clear" w:color="auto" w:fill="auto"/>
            <w:vAlign w:val="center"/>
          </w:tcPr>
          <w:p w14:paraId="0CA9B6A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w:t>
            </w:r>
          </w:p>
        </w:tc>
        <w:tc>
          <w:tcPr>
            <w:tcW w:w="363" w:type="pct"/>
            <w:tcBorders>
              <w:tl2br w:val="nil"/>
              <w:tr2bl w:val="nil"/>
            </w:tcBorders>
            <w:shd w:val="clear" w:color="auto" w:fill="auto"/>
            <w:vAlign w:val="center"/>
          </w:tcPr>
          <w:p w14:paraId="7EF5082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210830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3A45AF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313" w:type="pct"/>
            <w:tcBorders>
              <w:tl2br w:val="nil"/>
              <w:tr2bl w:val="nil"/>
            </w:tcBorders>
            <w:shd w:val="clear" w:color="auto" w:fill="auto"/>
            <w:vAlign w:val="center"/>
          </w:tcPr>
          <w:p w14:paraId="7C355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砷</w:t>
            </w:r>
          </w:p>
        </w:tc>
        <w:tc>
          <w:tcPr>
            <w:tcW w:w="265" w:type="pct"/>
            <w:tcBorders>
              <w:tl2br w:val="nil"/>
              <w:tr2bl w:val="nil"/>
            </w:tcBorders>
            <w:shd w:val="clear" w:color="auto" w:fill="auto"/>
            <w:vAlign w:val="center"/>
          </w:tcPr>
          <w:p w14:paraId="01700E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60</w:t>
            </w:r>
          </w:p>
        </w:tc>
        <w:tc>
          <w:tcPr>
            <w:tcW w:w="356" w:type="pct"/>
            <w:tcBorders>
              <w:tl2br w:val="nil"/>
              <w:tr2bl w:val="nil"/>
            </w:tcBorders>
            <w:shd w:val="clear" w:color="auto" w:fill="auto"/>
            <w:vAlign w:val="center"/>
          </w:tcPr>
          <w:p w14:paraId="1EBDB3A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8.27</w:t>
            </w:r>
          </w:p>
        </w:tc>
        <w:tc>
          <w:tcPr>
            <w:tcW w:w="316" w:type="pct"/>
            <w:tcBorders>
              <w:tl2br w:val="nil"/>
              <w:tr2bl w:val="nil"/>
            </w:tcBorders>
            <w:shd w:val="clear" w:color="auto" w:fill="auto"/>
            <w:vAlign w:val="center"/>
          </w:tcPr>
          <w:p w14:paraId="6DA2612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0.138</w:t>
            </w:r>
          </w:p>
        </w:tc>
        <w:tc>
          <w:tcPr>
            <w:tcW w:w="400" w:type="pct"/>
            <w:tcBorders>
              <w:tl2br w:val="nil"/>
              <w:tr2bl w:val="nil"/>
            </w:tcBorders>
            <w:shd w:val="clear" w:color="auto" w:fill="auto"/>
            <w:vAlign w:val="center"/>
          </w:tcPr>
          <w:p w14:paraId="4CB9D47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6.92</w:t>
            </w:r>
          </w:p>
        </w:tc>
        <w:tc>
          <w:tcPr>
            <w:tcW w:w="335" w:type="pct"/>
            <w:tcBorders>
              <w:tl2br w:val="nil"/>
              <w:tr2bl w:val="nil"/>
            </w:tcBorders>
            <w:shd w:val="clear" w:color="auto" w:fill="auto"/>
            <w:vAlign w:val="center"/>
          </w:tcPr>
          <w:p w14:paraId="5845C36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0.115</w:t>
            </w:r>
          </w:p>
        </w:tc>
        <w:tc>
          <w:tcPr>
            <w:tcW w:w="272" w:type="pct"/>
            <w:tcBorders>
              <w:tl2br w:val="nil"/>
              <w:tr2bl w:val="nil"/>
            </w:tcBorders>
            <w:shd w:val="clear" w:color="auto" w:fill="auto"/>
            <w:vAlign w:val="center"/>
          </w:tcPr>
          <w:p w14:paraId="252B8CE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8.65</w:t>
            </w:r>
          </w:p>
        </w:tc>
        <w:tc>
          <w:tcPr>
            <w:tcW w:w="273" w:type="pct"/>
            <w:tcBorders>
              <w:tl2br w:val="nil"/>
              <w:tr2bl w:val="nil"/>
            </w:tcBorders>
            <w:shd w:val="clear" w:color="auto" w:fill="auto"/>
            <w:vAlign w:val="center"/>
          </w:tcPr>
          <w:p w14:paraId="7F00757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0.144</w:t>
            </w:r>
          </w:p>
        </w:tc>
        <w:tc>
          <w:tcPr>
            <w:tcW w:w="272" w:type="pct"/>
            <w:tcBorders>
              <w:tl2br w:val="nil"/>
              <w:tr2bl w:val="nil"/>
            </w:tcBorders>
            <w:shd w:val="clear" w:color="auto" w:fill="auto"/>
            <w:vAlign w:val="center"/>
          </w:tcPr>
          <w:p w14:paraId="05AD8A1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8.75</w:t>
            </w:r>
          </w:p>
        </w:tc>
        <w:tc>
          <w:tcPr>
            <w:tcW w:w="290" w:type="pct"/>
            <w:tcBorders>
              <w:tl2br w:val="nil"/>
              <w:tr2bl w:val="nil"/>
            </w:tcBorders>
            <w:shd w:val="clear" w:color="auto" w:fill="auto"/>
            <w:vAlign w:val="center"/>
          </w:tcPr>
          <w:p w14:paraId="604A063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0.146</w:t>
            </w:r>
          </w:p>
        </w:tc>
        <w:tc>
          <w:tcPr>
            <w:tcW w:w="272" w:type="pct"/>
            <w:tcBorders>
              <w:tl2br w:val="nil"/>
              <w:tr2bl w:val="nil"/>
            </w:tcBorders>
            <w:shd w:val="clear" w:color="auto" w:fill="auto"/>
            <w:vAlign w:val="center"/>
          </w:tcPr>
          <w:p w14:paraId="00B1E6C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8.42</w:t>
            </w:r>
          </w:p>
        </w:tc>
        <w:tc>
          <w:tcPr>
            <w:tcW w:w="290" w:type="pct"/>
            <w:tcBorders>
              <w:tl2br w:val="nil"/>
              <w:tr2bl w:val="nil"/>
            </w:tcBorders>
            <w:shd w:val="clear" w:color="auto" w:fill="auto"/>
            <w:vAlign w:val="center"/>
          </w:tcPr>
          <w:p w14:paraId="039DDF9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0.14</w:t>
            </w:r>
          </w:p>
        </w:tc>
        <w:tc>
          <w:tcPr>
            <w:tcW w:w="241" w:type="pct"/>
            <w:tcBorders>
              <w:tl2br w:val="nil"/>
              <w:tr2bl w:val="nil"/>
            </w:tcBorders>
            <w:shd w:val="clear" w:color="auto" w:fill="auto"/>
            <w:vAlign w:val="center"/>
          </w:tcPr>
          <w:p w14:paraId="56FFDBF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8.97</w:t>
            </w:r>
          </w:p>
        </w:tc>
        <w:tc>
          <w:tcPr>
            <w:tcW w:w="293" w:type="pct"/>
            <w:tcBorders>
              <w:tl2br w:val="nil"/>
              <w:tr2bl w:val="nil"/>
            </w:tcBorders>
            <w:shd w:val="clear" w:color="auto" w:fill="auto"/>
            <w:vAlign w:val="center"/>
          </w:tcPr>
          <w:p w14:paraId="66C782C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0.15</w:t>
            </w:r>
          </w:p>
        </w:tc>
        <w:tc>
          <w:tcPr>
            <w:tcW w:w="272" w:type="pct"/>
            <w:tcBorders>
              <w:tl2br w:val="nil"/>
              <w:tr2bl w:val="nil"/>
            </w:tcBorders>
            <w:shd w:val="clear" w:color="auto" w:fill="auto"/>
            <w:vAlign w:val="center"/>
          </w:tcPr>
          <w:p w14:paraId="201C758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7.08</w:t>
            </w:r>
          </w:p>
        </w:tc>
        <w:tc>
          <w:tcPr>
            <w:tcW w:w="363" w:type="pct"/>
            <w:tcBorders>
              <w:tl2br w:val="nil"/>
              <w:tr2bl w:val="nil"/>
            </w:tcBorders>
            <w:shd w:val="clear" w:color="auto" w:fill="auto"/>
            <w:vAlign w:val="center"/>
          </w:tcPr>
          <w:p w14:paraId="223B959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0.118</w:t>
            </w:r>
          </w:p>
        </w:tc>
      </w:tr>
      <w:tr w14:paraId="63582A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22B69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313" w:type="pct"/>
            <w:tcBorders>
              <w:tl2br w:val="nil"/>
              <w:tr2bl w:val="nil"/>
            </w:tcBorders>
            <w:shd w:val="clear" w:color="auto" w:fill="auto"/>
            <w:vAlign w:val="center"/>
          </w:tcPr>
          <w:p w14:paraId="02DCBD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镉</w:t>
            </w:r>
          </w:p>
        </w:tc>
        <w:tc>
          <w:tcPr>
            <w:tcW w:w="265" w:type="pct"/>
            <w:tcBorders>
              <w:tl2br w:val="nil"/>
              <w:tr2bl w:val="nil"/>
            </w:tcBorders>
            <w:shd w:val="clear" w:color="auto" w:fill="auto"/>
            <w:vAlign w:val="center"/>
          </w:tcPr>
          <w:p w14:paraId="6E3A72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65</w:t>
            </w:r>
          </w:p>
        </w:tc>
        <w:tc>
          <w:tcPr>
            <w:tcW w:w="356" w:type="pct"/>
            <w:tcBorders>
              <w:tl2br w:val="nil"/>
              <w:tr2bl w:val="nil"/>
            </w:tcBorders>
            <w:shd w:val="clear" w:color="auto" w:fill="auto"/>
            <w:vAlign w:val="center"/>
          </w:tcPr>
          <w:p w14:paraId="3E8504F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0.31</w:t>
            </w:r>
          </w:p>
        </w:tc>
        <w:tc>
          <w:tcPr>
            <w:tcW w:w="316" w:type="pct"/>
            <w:tcBorders>
              <w:tl2br w:val="nil"/>
              <w:tr2bl w:val="nil"/>
            </w:tcBorders>
            <w:shd w:val="clear" w:color="auto" w:fill="auto"/>
            <w:vAlign w:val="center"/>
          </w:tcPr>
          <w:p w14:paraId="2AD24AB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0.005</w:t>
            </w:r>
          </w:p>
        </w:tc>
        <w:tc>
          <w:tcPr>
            <w:tcW w:w="400" w:type="pct"/>
            <w:tcBorders>
              <w:tl2br w:val="nil"/>
              <w:tr2bl w:val="nil"/>
            </w:tcBorders>
            <w:shd w:val="clear" w:color="auto" w:fill="auto"/>
            <w:vAlign w:val="center"/>
          </w:tcPr>
          <w:p w14:paraId="5C15531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0.35</w:t>
            </w:r>
          </w:p>
        </w:tc>
        <w:tc>
          <w:tcPr>
            <w:tcW w:w="335" w:type="pct"/>
            <w:tcBorders>
              <w:tl2br w:val="nil"/>
              <w:tr2bl w:val="nil"/>
            </w:tcBorders>
            <w:shd w:val="clear" w:color="auto" w:fill="auto"/>
            <w:vAlign w:val="center"/>
          </w:tcPr>
          <w:p w14:paraId="77F9888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0.005</w:t>
            </w:r>
          </w:p>
        </w:tc>
        <w:tc>
          <w:tcPr>
            <w:tcW w:w="272" w:type="pct"/>
            <w:tcBorders>
              <w:tl2br w:val="nil"/>
              <w:tr2bl w:val="nil"/>
            </w:tcBorders>
            <w:shd w:val="clear" w:color="auto" w:fill="auto"/>
            <w:vAlign w:val="center"/>
          </w:tcPr>
          <w:p w14:paraId="6B50D05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0.21</w:t>
            </w:r>
          </w:p>
        </w:tc>
        <w:tc>
          <w:tcPr>
            <w:tcW w:w="273" w:type="pct"/>
            <w:tcBorders>
              <w:tl2br w:val="nil"/>
              <w:tr2bl w:val="nil"/>
            </w:tcBorders>
            <w:shd w:val="clear" w:color="auto" w:fill="auto"/>
            <w:vAlign w:val="center"/>
          </w:tcPr>
          <w:p w14:paraId="6E2B5CD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272" w:type="pct"/>
            <w:tcBorders>
              <w:tl2br w:val="nil"/>
              <w:tr2bl w:val="nil"/>
            </w:tcBorders>
            <w:shd w:val="clear" w:color="auto" w:fill="auto"/>
            <w:vAlign w:val="center"/>
          </w:tcPr>
          <w:p w14:paraId="6F48635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0.15</w:t>
            </w:r>
          </w:p>
        </w:tc>
        <w:tc>
          <w:tcPr>
            <w:tcW w:w="290" w:type="pct"/>
            <w:tcBorders>
              <w:tl2br w:val="nil"/>
              <w:tr2bl w:val="nil"/>
            </w:tcBorders>
            <w:shd w:val="clear" w:color="auto" w:fill="auto"/>
            <w:vAlign w:val="center"/>
          </w:tcPr>
          <w:p w14:paraId="14097D5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272" w:type="pct"/>
            <w:tcBorders>
              <w:tl2br w:val="nil"/>
              <w:tr2bl w:val="nil"/>
            </w:tcBorders>
            <w:shd w:val="clear" w:color="auto" w:fill="auto"/>
            <w:vAlign w:val="center"/>
          </w:tcPr>
          <w:p w14:paraId="70F78F0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0.31</w:t>
            </w:r>
          </w:p>
        </w:tc>
        <w:tc>
          <w:tcPr>
            <w:tcW w:w="290" w:type="pct"/>
            <w:tcBorders>
              <w:tl2br w:val="nil"/>
              <w:tr2bl w:val="nil"/>
            </w:tcBorders>
            <w:shd w:val="clear" w:color="auto" w:fill="auto"/>
            <w:vAlign w:val="center"/>
          </w:tcPr>
          <w:p w14:paraId="3003159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0.005</w:t>
            </w:r>
          </w:p>
        </w:tc>
        <w:tc>
          <w:tcPr>
            <w:tcW w:w="241" w:type="pct"/>
            <w:tcBorders>
              <w:tl2br w:val="nil"/>
              <w:tr2bl w:val="nil"/>
            </w:tcBorders>
            <w:shd w:val="clear" w:color="auto" w:fill="auto"/>
            <w:vAlign w:val="center"/>
          </w:tcPr>
          <w:p w14:paraId="5D288AE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0.13</w:t>
            </w:r>
          </w:p>
        </w:tc>
        <w:tc>
          <w:tcPr>
            <w:tcW w:w="293" w:type="pct"/>
            <w:tcBorders>
              <w:tl2br w:val="nil"/>
              <w:tr2bl w:val="nil"/>
            </w:tcBorders>
            <w:shd w:val="clear" w:color="auto" w:fill="auto"/>
            <w:vAlign w:val="center"/>
          </w:tcPr>
          <w:p w14:paraId="5533E9B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272" w:type="pct"/>
            <w:tcBorders>
              <w:tl2br w:val="nil"/>
              <w:tr2bl w:val="nil"/>
            </w:tcBorders>
            <w:shd w:val="clear" w:color="auto" w:fill="auto"/>
            <w:vAlign w:val="center"/>
          </w:tcPr>
          <w:p w14:paraId="2468E77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0.19</w:t>
            </w:r>
          </w:p>
        </w:tc>
        <w:tc>
          <w:tcPr>
            <w:tcW w:w="363" w:type="pct"/>
            <w:tcBorders>
              <w:tl2br w:val="nil"/>
              <w:tr2bl w:val="nil"/>
            </w:tcBorders>
            <w:shd w:val="clear" w:color="auto" w:fill="auto"/>
            <w:vAlign w:val="center"/>
          </w:tcPr>
          <w:p w14:paraId="5B1E7FD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r>
      <w:tr w14:paraId="6EC100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41" w:hRule="atLeast"/>
          <w:jc w:val="center"/>
        </w:trPr>
        <w:tc>
          <w:tcPr>
            <w:tcW w:w="167" w:type="pct"/>
            <w:tcBorders>
              <w:tl2br w:val="nil"/>
              <w:tr2bl w:val="nil"/>
            </w:tcBorders>
            <w:shd w:val="clear" w:color="auto" w:fill="auto"/>
            <w:vAlign w:val="center"/>
          </w:tcPr>
          <w:p w14:paraId="0C885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313" w:type="pct"/>
            <w:tcBorders>
              <w:tl2br w:val="nil"/>
              <w:tr2bl w:val="nil"/>
            </w:tcBorders>
            <w:shd w:val="clear" w:color="auto" w:fill="auto"/>
            <w:vAlign w:val="center"/>
          </w:tcPr>
          <w:p w14:paraId="542A2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auto"/>
                <w:kern w:val="0"/>
                <w:szCs w:val="21"/>
                <w:lang w:eastAsia="zh-CN" w:bidi="ar"/>
              </w:rPr>
              <w:t>六价铬</w:t>
            </w:r>
          </w:p>
        </w:tc>
        <w:tc>
          <w:tcPr>
            <w:tcW w:w="265" w:type="pct"/>
            <w:tcBorders>
              <w:tl2br w:val="nil"/>
              <w:tr2bl w:val="nil"/>
            </w:tcBorders>
            <w:shd w:val="clear" w:color="auto" w:fill="auto"/>
            <w:vAlign w:val="center"/>
          </w:tcPr>
          <w:p w14:paraId="0E8F9C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5.7</w:t>
            </w:r>
          </w:p>
        </w:tc>
        <w:tc>
          <w:tcPr>
            <w:tcW w:w="356" w:type="pct"/>
            <w:tcBorders>
              <w:tl2br w:val="nil"/>
              <w:tr2bl w:val="nil"/>
            </w:tcBorders>
            <w:shd w:val="clear" w:color="auto" w:fill="auto"/>
            <w:vAlign w:val="center"/>
          </w:tcPr>
          <w:p w14:paraId="47CBD9A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316" w:type="pct"/>
            <w:tcBorders>
              <w:tl2br w:val="nil"/>
              <w:tr2bl w:val="nil"/>
            </w:tcBorders>
            <w:shd w:val="clear" w:color="auto" w:fill="auto"/>
            <w:vAlign w:val="center"/>
          </w:tcPr>
          <w:p w14:paraId="618025F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400" w:type="pct"/>
            <w:tcBorders>
              <w:tl2br w:val="nil"/>
              <w:tr2bl w:val="nil"/>
            </w:tcBorders>
            <w:shd w:val="clear" w:color="auto" w:fill="auto"/>
            <w:vAlign w:val="center"/>
          </w:tcPr>
          <w:p w14:paraId="7AE2A7F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335" w:type="pct"/>
            <w:tcBorders>
              <w:tl2br w:val="nil"/>
              <w:tr2bl w:val="nil"/>
            </w:tcBorders>
            <w:shd w:val="clear" w:color="auto" w:fill="auto"/>
            <w:vAlign w:val="center"/>
          </w:tcPr>
          <w:p w14:paraId="606ECBB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272" w:type="pct"/>
            <w:tcBorders>
              <w:tl2br w:val="nil"/>
              <w:tr2bl w:val="nil"/>
            </w:tcBorders>
            <w:shd w:val="clear" w:color="auto" w:fill="auto"/>
            <w:vAlign w:val="center"/>
          </w:tcPr>
          <w:p w14:paraId="3529EA3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73" w:type="pct"/>
            <w:tcBorders>
              <w:tl2br w:val="nil"/>
              <w:tr2bl w:val="nil"/>
            </w:tcBorders>
            <w:shd w:val="clear" w:color="auto" w:fill="auto"/>
            <w:vAlign w:val="center"/>
          </w:tcPr>
          <w:p w14:paraId="08AD643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272" w:type="pct"/>
            <w:tcBorders>
              <w:tl2br w:val="nil"/>
              <w:tr2bl w:val="nil"/>
            </w:tcBorders>
            <w:shd w:val="clear" w:color="auto" w:fill="auto"/>
            <w:vAlign w:val="center"/>
          </w:tcPr>
          <w:p w14:paraId="1EC8522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90" w:type="pct"/>
            <w:tcBorders>
              <w:tl2br w:val="nil"/>
              <w:tr2bl w:val="nil"/>
            </w:tcBorders>
            <w:shd w:val="clear" w:color="auto" w:fill="auto"/>
            <w:vAlign w:val="center"/>
          </w:tcPr>
          <w:p w14:paraId="133E4C3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272" w:type="pct"/>
            <w:tcBorders>
              <w:tl2br w:val="nil"/>
              <w:tr2bl w:val="nil"/>
            </w:tcBorders>
            <w:shd w:val="clear" w:color="auto" w:fill="auto"/>
            <w:vAlign w:val="center"/>
          </w:tcPr>
          <w:p w14:paraId="7EE848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90" w:type="pct"/>
            <w:tcBorders>
              <w:tl2br w:val="nil"/>
              <w:tr2bl w:val="nil"/>
            </w:tcBorders>
            <w:shd w:val="clear" w:color="auto" w:fill="auto"/>
            <w:vAlign w:val="center"/>
          </w:tcPr>
          <w:p w14:paraId="3276536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241" w:type="pct"/>
            <w:tcBorders>
              <w:tl2br w:val="nil"/>
              <w:tr2bl w:val="nil"/>
            </w:tcBorders>
            <w:shd w:val="clear" w:color="auto" w:fill="auto"/>
            <w:vAlign w:val="center"/>
          </w:tcPr>
          <w:p w14:paraId="6C1C08B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93" w:type="pct"/>
            <w:tcBorders>
              <w:tl2br w:val="nil"/>
              <w:tr2bl w:val="nil"/>
            </w:tcBorders>
            <w:shd w:val="clear" w:color="auto" w:fill="auto"/>
            <w:vAlign w:val="center"/>
          </w:tcPr>
          <w:p w14:paraId="3A96F1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272" w:type="pct"/>
            <w:tcBorders>
              <w:tl2br w:val="nil"/>
              <w:tr2bl w:val="nil"/>
            </w:tcBorders>
            <w:shd w:val="clear" w:color="auto" w:fill="auto"/>
            <w:vAlign w:val="center"/>
          </w:tcPr>
          <w:p w14:paraId="4AC5BF8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363" w:type="pct"/>
            <w:tcBorders>
              <w:tl2br w:val="nil"/>
              <w:tr2bl w:val="nil"/>
            </w:tcBorders>
            <w:shd w:val="clear" w:color="auto" w:fill="auto"/>
            <w:vAlign w:val="center"/>
          </w:tcPr>
          <w:p w14:paraId="01A0790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r>
      <w:tr w14:paraId="1C2CD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1E1821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313" w:type="pct"/>
            <w:tcBorders>
              <w:tl2br w:val="nil"/>
              <w:tr2bl w:val="nil"/>
            </w:tcBorders>
            <w:shd w:val="clear" w:color="auto" w:fill="auto"/>
            <w:vAlign w:val="center"/>
          </w:tcPr>
          <w:p w14:paraId="560D17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铜</w:t>
            </w:r>
          </w:p>
        </w:tc>
        <w:tc>
          <w:tcPr>
            <w:tcW w:w="265" w:type="pct"/>
            <w:tcBorders>
              <w:tl2br w:val="nil"/>
              <w:tr2bl w:val="nil"/>
            </w:tcBorders>
            <w:shd w:val="clear" w:color="auto" w:fill="auto"/>
            <w:vAlign w:val="center"/>
          </w:tcPr>
          <w:p w14:paraId="54C5D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18000</w:t>
            </w:r>
          </w:p>
        </w:tc>
        <w:tc>
          <w:tcPr>
            <w:tcW w:w="356" w:type="pct"/>
            <w:tcBorders>
              <w:tl2br w:val="nil"/>
              <w:tr2bl w:val="nil"/>
            </w:tcBorders>
            <w:shd w:val="clear" w:color="auto" w:fill="auto"/>
            <w:vAlign w:val="center"/>
          </w:tcPr>
          <w:p w14:paraId="5DF2F06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316" w:type="pct"/>
            <w:tcBorders>
              <w:tl2br w:val="nil"/>
              <w:tr2bl w:val="nil"/>
            </w:tcBorders>
            <w:shd w:val="clear" w:color="auto" w:fill="auto"/>
            <w:vAlign w:val="center"/>
          </w:tcPr>
          <w:p w14:paraId="022ABEC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400" w:type="pct"/>
            <w:tcBorders>
              <w:tl2br w:val="nil"/>
              <w:tr2bl w:val="nil"/>
            </w:tcBorders>
            <w:shd w:val="clear" w:color="auto" w:fill="auto"/>
            <w:vAlign w:val="center"/>
          </w:tcPr>
          <w:p w14:paraId="5D267B8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w:t>
            </w:r>
          </w:p>
        </w:tc>
        <w:tc>
          <w:tcPr>
            <w:tcW w:w="335" w:type="pct"/>
            <w:tcBorders>
              <w:tl2br w:val="nil"/>
              <w:tr2bl w:val="nil"/>
            </w:tcBorders>
            <w:shd w:val="clear" w:color="auto" w:fill="auto"/>
            <w:vAlign w:val="center"/>
          </w:tcPr>
          <w:p w14:paraId="7973DF1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272" w:type="pct"/>
            <w:tcBorders>
              <w:tl2br w:val="nil"/>
              <w:tr2bl w:val="nil"/>
            </w:tcBorders>
            <w:shd w:val="clear" w:color="auto" w:fill="auto"/>
            <w:vAlign w:val="center"/>
          </w:tcPr>
          <w:p w14:paraId="2C6B70E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w:t>
            </w:r>
          </w:p>
        </w:tc>
        <w:tc>
          <w:tcPr>
            <w:tcW w:w="273" w:type="pct"/>
            <w:tcBorders>
              <w:tl2br w:val="nil"/>
              <w:tr2bl w:val="nil"/>
            </w:tcBorders>
            <w:shd w:val="clear" w:color="auto" w:fill="auto"/>
            <w:vAlign w:val="center"/>
          </w:tcPr>
          <w:p w14:paraId="33F2FA2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272" w:type="pct"/>
            <w:tcBorders>
              <w:tl2br w:val="nil"/>
              <w:tr2bl w:val="nil"/>
            </w:tcBorders>
            <w:shd w:val="clear" w:color="auto" w:fill="auto"/>
            <w:vAlign w:val="center"/>
          </w:tcPr>
          <w:p w14:paraId="2785356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290" w:type="pct"/>
            <w:tcBorders>
              <w:tl2br w:val="nil"/>
              <w:tr2bl w:val="nil"/>
            </w:tcBorders>
            <w:shd w:val="clear" w:color="auto" w:fill="auto"/>
            <w:vAlign w:val="center"/>
          </w:tcPr>
          <w:p w14:paraId="62F1251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272" w:type="pct"/>
            <w:tcBorders>
              <w:tl2br w:val="nil"/>
              <w:tr2bl w:val="nil"/>
            </w:tcBorders>
            <w:shd w:val="clear" w:color="auto" w:fill="auto"/>
            <w:vAlign w:val="center"/>
          </w:tcPr>
          <w:p w14:paraId="2A97D83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290" w:type="pct"/>
            <w:tcBorders>
              <w:tl2br w:val="nil"/>
              <w:tr2bl w:val="nil"/>
            </w:tcBorders>
            <w:shd w:val="clear" w:color="auto" w:fill="auto"/>
            <w:vAlign w:val="center"/>
          </w:tcPr>
          <w:p w14:paraId="232BE7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241" w:type="pct"/>
            <w:tcBorders>
              <w:tl2br w:val="nil"/>
              <w:tr2bl w:val="nil"/>
            </w:tcBorders>
            <w:shd w:val="clear" w:color="auto" w:fill="auto"/>
            <w:vAlign w:val="center"/>
          </w:tcPr>
          <w:p w14:paraId="3C97471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w:t>
            </w:r>
          </w:p>
        </w:tc>
        <w:tc>
          <w:tcPr>
            <w:tcW w:w="293" w:type="pct"/>
            <w:tcBorders>
              <w:tl2br w:val="nil"/>
              <w:tr2bl w:val="nil"/>
            </w:tcBorders>
            <w:shd w:val="clear" w:color="auto" w:fill="auto"/>
            <w:vAlign w:val="center"/>
          </w:tcPr>
          <w:p w14:paraId="38A1997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272" w:type="pct"/>
            <w:tcBorders>
              <w:tl2br w:val="nil"/>
              <w:tr2bl w:val="nil"/>
            </w:tcBorders>
            <w:shd w:val="clear" w:color="auto" w:fill="auto"/>
            <w:vAlign w:val="center"/>
          </w:tcPr>
          <w:p w14:paraId="7FB9264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w:t>
            </w:r>
          </w:p>
        </w:tc>
        <w:tc>
          <w:tcPr>
            <w:tcW w:w="363" w:type="pct"/>
            <w:tcBorders>
              <w:tl2br w:val="nil"/>
              <w:tr2bl w:val="nil"/>
            </w:tcBorders>
            <w:shd w:val="clear" w:color="auto" w:fill="auto"/>
            <w:vAlign w:val="center"/>
          </w:tcPr>
          <w:p w14:paraId="5901827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r>
      <w:tr w14:paraId="63FB2F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700077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313" w:type="pct"/>
            <w:tcBorders>
              <w:tl2br w:val="nil"/>
              <w:tr2bl w:val="nil"/>
            </w:tcBorders>
            <w:shd w:val="clear" w:color="auto" w:fill="auto"/>
            <w:vAlign w:val="center"/>
          </w:tcPr>
          <w:p w14:paraId="739C8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铅</w:t>
            </w:r>
          </w:p>
        </w:tc>
        <w:tc>
          <w:tcPr>
            <w:tcW w:w="265" w:type="pct"/>
            <w:tcBorders>
              <w:tl2br w:val="nil"/>
              <w:tr2bl w:val="nil"/>
            </w:tcBorders>
            <w:shd w:val="clear" w:color="auto" w:fill="auto"/>
            <w:vAlign w:val="center"/>
          </w:tcPr>
          <w:p w14:paraId="62BD9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800</w:t>
            </w:r>
          </w:p>
        </w:tc>
        <w:tc>
          <w:tcPr>
            <w:tcW w:w="356" w:type="pct"/>
            <w:tcBorders>
              <w:tl2br w:val="nil"/>
              <w:tr2bl w:val="nil"/>
            </w:tcBorders>
            <w:shd w:val="clear" w:color="auto" w:fill="auto"/>
            <w:vAlign w:val="center"/>
          </w:tcPr>
          <w:p w14:paraId="76C5322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20.6</w:t>
            </w:r>
          </w:p>
        </w:tc>
        <w:tc>
          <w:tcPr>
            <w:tcW w:w="316" w:type="pct"/>
            <w:tcBorders>
              <w:tl2br w:val="nil"/>
              <w:tr2bl w:val="nil"/>
            </w:tcBorders>
            <w:shd w:val="clear" w:color="auto" w:fill="auto"/>
            <w:vAlign w:val="center"/>
          </w:tcPr>
          <w:p w14:paraId="740AA8A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0.026</w:t>
            </w:r>
          </w:p>
        </w:tc>
        <w:tc>
          <w:tcPr>
            <w:tcW w:w="400" w:type="pct"/>
            <w:tcBorders>
              <w:tl2br w:val="nil"/>
              <w:tr2bl w:val="nil"/>
            </w:tcBorders>
            <w:shd w:val="clear" w:color="auto" w:fill="auto"/>
            <w:vAlign w:val="center"/>
          </w:tcPr>
          <w:p w14:paraId="3D8B010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w:t>
            </w:r>
          </w:p>
        </w:tc>
        <w:tc>
          <w:tcPr>
            <w:tcW w:w="335" w:type="pct"/>
            <w:tcBorders>
              <w:tl2br w:val="nil"/>
              <w:tr2bl w:val="nil"/>
            </w:tcBorders>
            <w:shd w:val="clear" w:color="auto" w:fill="auto"/>
            <w:vAlign w:val="center"/>
          </w:tcPr>
          <w:p w14:paraId="15ABDF5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0.007</w:t>
            </w:r>
          </w:p>
        </w:tc>
        <w:tc>
          <w:tcPr>
            <w:tcW w:w="272" w:type="pct"/>
            <w:tcBorders>
              <w:tl2br w:val="nil"/>
              <w:tr2bl w:val="nil"/>
            </w:tcBorders>
            <w:shd w:val="clear" w:color="auto" w:fill="auto"/>
            <w:vAlign w:val="center"/>
          </w:tcPr>
          <w:p w14:paraId="29903C9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8.9</w:t>
            </w:r>
          </w:p>
        </w:tc>
        <w:tc>
          <w:tcPr>
            <w:tcW w:w="273" w:type="pct"/>
            <w:tcBorders>
              <w:tl2br w:val="nil"/>
              <w:tr2bl w:val="nil"/>
            </w:tcBorders>
            <w:shd w:val="clear" w:color="auto" w:fill="auto"/>
            <w:vAlign w:val="center"/>
          </w:tcPr>
          <w:p w14:paraId="0920E6B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0.011</w:t>
            </w:r>
          </w:p>
        </w:tc>
        <w:tc>
          <w:tcPr>
            <w:tcW w:w="272" w:type="pct"/>
            <w:tcBorders>
              <w:tl2br w:val="nil"/>
              <w:tr2bl w:val="nil"/>
            </w:tcBorders>
            <w:shd w:val="clear" w:color="auto" w:fill="auto"/>
            <w:vAlign w:val="center"/>
          </w:tcPr>
          <w:p w14:paraId="4C5A880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11.3</w:t>
            </w:r>
          </w:p>
        </w:tc>
        <w:tc>
          <w:tcPr>
            <w:tcW w:w="290" w:type="pct"/>
            <w:tcBorders>
              <w:tl2br w:val="nil"/>
              <w:tr2bl w:val="nil"/>
            </w:tcBorders>
            <w:shd w:val="clear" w:color="auto" w:fill="auto"/>
            <w:vAlign w:val="center"/>
          </w:tcPr>
          <w:p w14:paraId="564A0AD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0.014</w:t>
            </w:r>
          </w:p>
        </w:tc>
        <w:tc>
          <w:tcPr>
            <w:tcW w:w="272" w:type="pct"/>
            <w:tcBorders>
              <w:tl2br w:val="nil"/>
              <w:tr2bl w:val="nil"/>
            </w:tcBorders>
            <w:shd w:val="clear" w:color="auto" w:fill="auto"/>
            <w:vAlign w:val="center"/>
          </w:tcPr>
          <w:p w14:paraId="05D1A88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11.5</w:t>
            </w:r>
          </w:p>
        </w:tc>
        <w:tc>
          <w:tcPr>
            <w:tcW w:w="290" w:type="pct"/>
            <w:tcBorders>
              <w:tl2br w:val="nil"/>
              <w:tr2bl w:val="nil"/>
            </w:tcBorders>
            <w:shd w:val="clear" w:color="auto" w:fill="auto"/>
            <w:vAlign w:val="center"/>
          </w:tcPr>
          <w:p w14:paraId="74E02AD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0.014</w:t>
            </w:r>
          </w:p>
        </w:tc>
        <w:tc>
          <w:tcPr>
            <w:tcW w:w="241" w:type="pct"/>
            <w:tcBorders>
              <w:tl2br w:val="nil"/>
              <w:tr2bl w:val="nil"/>
            </w:tcBorders>
            <w:shd w:val="clear" w:color="auto" w:fill="auto"/>
            <w:vAlign w:val="center"/>
          </w:tcPr>
          <w:p w14:paraId="1A03BE2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6.5</w:t>
            </w:r>
          </w:p>
        </w:tc>
        <w:tc>
          <w:tcPr>
            <w:tcW w:w="293" w:type="pct"/>
            <w:tcBorders>
              <w:tl2br w:val="nil"/>
              <w:tr2bl w:val="nil"/>
            </w:tcBorders>
            <w:shd w:val="clear" w:color="auto" w:fill="auto"/>
            <w:vAlign w:val="center"/>
          </w:tcPr>
          <w:p w14:paraId="0E53DA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0.008</w:t>
            </w:r>
          </w:p>
        </w:tc>
        <w:tc>
          <w:tcPr>
            <w:tcW w:w="272" w:type="pct"/>
            <w:tcBorders>
              <w:tl2br w:val="nil"/>
              <w:tr2bl w:val="nil"/>
            </w:tcBorders>
            <w:shd w:val="clear" w:color="auto" w:fill="auto"/>
            <w:vAlign w:val="center"/>
          </w:tcPr>
          <w:p w14:paraId="155E35E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10.7</w:t>
            </w:r>
          </w:p>
        </w:tc>
        <w:tc>
          <w:tcPr>
            <w:tcW w:w="363" w:type="pct"/>
            <w:tcBorders>
              <w:tl2br w:val="nil"/>
              <w:tr2bl w:val="nil"/>
            </w:tcBorders>
            <w:shd w:val="clear" w:color="auto" w:fill="auto"/>
            <w:vAlign w:val="center"/>
          </w:tcPr>
          <w:p w14:paraId="061C61A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r>
      <w:tr w14:paraId="7B0D47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0A15DE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313" w:type="pct"/>
            <w:tcBorders>
              <w:tl2br w:val="nil"/>
              <w:tr2bl w:val="nil"/>
            </w:tcBorders>
            <w:shd w:val="clear" w:color="auto" w:fill="auto"/>
            <w:vAlign w:val="center"/>
          </w:tcPr>
          <w:p w14:paraId="32E0C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汞</w:t>
            </w:r>
          </w:p>
        </w:tc>
        <w:tc>
          <w:tcPr>
            <w:tcW w:w="265" w:type="pct"/>
            <w:tcBorders>
              <w:tl2br w:val="nil"/>
              <w:tr2bl w:val="nil"/>
            </w:tcBorders>
            <w:shd w:val="clear" w:color="auto" w:fill="auto"/>
            <w:vAlign w:val="center"/>
          </w:tcPr>
          <w:p w14:paraId="5412FB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38</w:t>
            </w:r>
          </w:p>
        </w:tc>
        <w:tc>
          <w:tcPr>
            <w:tcW w:w="356" w:type="pct"/>
            <w:tcBorders>
              <w:tl2br w:val="nil"/>
              <w:tr2bl w:val="nil"/>
            </w:tcBorders>
            <w:shd w:val="clear" w:color="auto" w:fill="auto"/>
            <w:vAlign w:val="center"/>
          </w:tcPr>
          <w:p w14:paraId="372F70E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0.521</w:t>
            </w:r>
          </w:p>
        </w:tc>
        <w:tc>
          <w:tcPr>
            <w:tcW w:w="316" w:type="pct"/>
            <w:tcBorders>
              <w:tl2br w:val="nil"/>
              <w:tr2bl w:val="nil"/>
            </w:tcBorders>
            <w:shd w:val="clear" w:color="auto" w:fill="auto"/>
            <w:vAlign w:val="center"/>
          </w:tcPr>
          <w:p w14:paraId="09114A7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0.014</w:t>
            </w:r>
          </w:p>
        </w:tc>
        <w:tc>
          <w:tcPr>
            <w:tcW w:w="400" w:type="pct"/>
            <w:tcBorders>
              <w:tl2br w:val="nil"/>
              <w:tr2bl w:val="nil"/>
            </w:tcBorders>
            <w:shd w:val="clear" w:color="auto" w:fill="auto"/>
            <w:vAlign w:val="center"/>
          </w:tcPr>
          <w:p w14:paraId="2DCBCEA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0.669</w:t>
            </w:r>
          </w:p>
        </w:tc>
        <w:tc>
          <w:tcPr>
            <w:tcW w:w="335" w:type="pct"/>
            <w:tcBorders>
              <w:tl2br w:val="nil"/>
              <w:tr2bl w:val="nil"/>
            </w:tcBorders>
            <w:shd w:val="clear" w:color="auto" w:fill="auto"/>
            <w:vAlign w:val="center"/>
          </w:tcPr>
          <w:p w14:paraId="4F460B9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0.018</w:t>
            </w:r>
          </w:p>
        </w:tc>
        <w:tc>
          <w:tcPr>
            <w:tcW w:w="272" w:type="pct"/>
            <w:tcBorders>
              <w:tl2br w:val="nil"/>
              <w:tr2bl w:val="nil"/>
            </w:tcBorders>
            <w:shd w:val="clear" w:color="auto" w:fill="auto"/>
            <w:vAlign w:val="center"/>
          </w:tcPr>
          <w:p w14:paraId="0A8A7C6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0.253</w:t>
            </w:r>
          </w:p>
        </w:tc>
        <w:tc>
          <w:tcPr>
            <w:tcW w:w="273" w:type="pct"/>
            <w:tcBorders>
              <w:tl2br w:val="nil"/>
              <w:tr2bl w:val="nil"/>
            </w:tcBorders>
            <w:shd w:val="clear" w:color="auto" w:fill="auto"/>
            <w:vAlign w:val="center"/>
          </w:tcPr>
          <w:p w14:paraId="149FC4B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0.007</w:t>
            </w:r>
          </w:p>
        </w:tc>
        <w:tc>
          <w:tcPr>
            <w:tcW w:w="272" w:type="pct"/>
            <w:tcBorders>
              <w:tl2br w:val="nil"/>
              <w:tr2bl w:val="nil"/>
            </w:tcBorders>
            <w:shd w:val="clear" w:color="auto" w:fill="auto"/>
            <w:vAlign w:val="center"/>
          </w:tcPr>
          <w:p w14:paraId="0B9ED65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0.954</w:t>
            </w:r>
          </w:p>
        </w:tc>
        <w:tc>
          <w:tcPr>
            <w:tcW w:w="290" w:type="pct"/>
            <w:tcBorders>
              <w:tl2br w:val="nil"/>
              <w:tr2bl w:val="nil"/>
            </w:tcBorders>
            <w:shd w:val="clear" w:color="auto" w:fill="auto"/>
            <w:vAlign w:val="center"/>
          </w:tcPr>
          <w:p w14:paraId="3B71D69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0.025</w:t>
            </w:r>
          </w:p>
        </w:tc>
        <w:tc>
          <w:tcPr>
            <w:tcW w:w="272" w:type="pct"/>
            <w:tcBorders>
              <w:tl2br w:val="nil"/>
              <w:tr2bl w:val="nil"/>
            </w:tcBorders>
            <w:shd w:val="clear" w:color="auto" w:fill="auto"/>
            <w:vAlign w:val="center"/>
          </w:tcPr>
          <w:p w14:paraId="42B436A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0.343</w:t>
            </w:r>
          </w:p>
        </w:tc>
        <w:tc>
          <w:tcPr>
            <w:tcW w:w="290" w:type="pct"/>
            <w:tcBorders>
              <w:tl2br w:val="nil"/>
              <w:tr2bl w:val="nil"/>
            </w:tcBorders>
            <w:shd w:val="clear" w:color="auto" w:fill="auto"/>
            <w:vAlign w:val="center"/>
          </w:tcPr>
          <w:p w14:paraId="5DCD327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0.009</w:t>
            </w:r>
          </w:p>
        </w:tc>
        <w:tc>
          <w:tcPr>
            <w:tcW w:w="241" w:type="pct"/>
            <w:tcBorders>
              <w:tl2br w:val="nil"/>
              <w:tr2bl w:val="nil"/>
            </w:tcBorders>
            <w:shd w:val="clear" w:color="auto" w:fill="auto"/>
            <w:vAlign w:val="center"/>
          </w:tcPr>
          <w:p w14:paraId="28E4EED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1.20</w:t>
            </w:r>
          </w:p>
        </w:tc>
        <w:tc>
          <w:tcPr>
            <w:tcW w:w="293" w:type="pct"/>
            <w:tcBorders>
              <w:tl2br w:val="nil"/>
              <w:tr2bl w:val="nil"/>
            </w:tcBorders>
            <w:shd w:val="clear" w:color="auto" w:fill="auto"/>
            <w:vAlign w:val="center"/>
          </w:tcPr>
          <w:p w14:paraId="7EE6BD9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0.032</w:t>
            </w:r>
          </w:p>
        </w:tc>
        <w:tc>
          <w:tcPr>
            <w:tcW w:w="272" w:type="pct"/>
            <w:tcBorders>
              <w:tl2br w:val="nil"/>
              <w:tr2bl w:val="nil"/>
            </w:tcBorders>
            <w:shd w:val="clear" w:color="auto" w:fill="auto"/>
            <w:vAlign w:val="center"/>
          </w:tcPr>
          <w:p w14:paraId="74CABDB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0.210</w:t>
            </w:r>
          </w:p>
        </w:tc>
        <w:tc>
          <w:tcPr>
            <w:tcW w:w="363" w:type="pct"/>
            <w:tcBorders>
              <w:tl2br w:val="nil"/>
              <w:tr2bl w:val="nil"/>
            </w:tcBorders>
            <w:shd w:val="clear" w:color="auto" w:fill="auto"/>
            <w:vAlign w:val="center"/>
          </w:tcPr>
          <w:p w14:paraId="6C090D4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0.006</w:t>
            </w:r>
          </w:p>
        </w:tc>
      </w:tr>
      <w:tr w14:paraId="5B2BB3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167" w:type="pct"/>
            <w:tcBorders>
              <w:tl2br w:val="nil"/>
              <w:tr2bl w:val="nil"/>
            </w:tcBorders>
            <w:shd w:val="clear" w:color="auto" w:fill="auto"/>
            <w:vAlign w:val="center"/>
          </w:tcPr>
          <w:p w14:paraId="430959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313" w:type="pct"/>
            <w:tcBorders>
              <w:tl2br w:val="nil"/>
              <w:tr2bl w:val="nil"/>
            </w:tcBorders>
            <w:shd w:val="clear" w:color="auto" w:fill="auto"/>
            <w:vAlign w:val="center"/>
          </w:tcPr>
          <w:p w14:paraId="4E712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镍</w:t>
            </w:r>
          </w:p>
        </w:tc>
        <w:tc>
          <w:tcPr>
            <w:tcW w:w="265" w:type="pct"/>
            <w:tcBorders>
              <w:tl2br w:val="nil"/>
              <w:tr2bl w:val="nil"/>
            </w:tcBorders>
            <w:shd w:val="clear" w:color="auto" w:fill="auto"/>
            <w:vAlign w:val="center"/>
          </w:tcPr>
          <w:p w14:paraId="261617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900</w:t>
            </w:r>
          </w:p>
        </w:tc>
        <w:tc>
          <w:tcPr>
            <w:tcW w:w="356" w:type="pct"/>
            <w:tcBorders>
              <w:tl2br w:val="nil"/>
              <w:tr2bl w:val="nil"/>
            </w:tcBorders>
            <w:shd w:val="clear" w:color="auto" w:fill="auto"/>
            <w:vAlign w:val="center"/>
          </w:tcPr>
          <w:p w14:paraId="00E4DBF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316" w:type="pct"/>
            <w:tcBorders>
              <w:tl2br w:val="nil"/>
              <w:tr2bl w:val="nil"/>
            </w:tcBorders>
            <w:shd w:val="clear" w:color="auto" w:fill="auto"/>
            <w:vAlign w:val="center"/>
          </w:tcPr>
          <w:p w14:paraId="43E4C29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0.022</w:t>
            </w:r>
          </w:p>
        </w:tc>
        <w:tc>
          <w:tcPr>
            <w:tcW w:w="400" w:type="pct"/>
            <w:tcBorders>
              <w:tl2br w:val="nil"/>
              <w:tr2bl w:val="nil"/>
            </w:tcBorders>
            <w:shd w:val="clear" w:color="auto" w:fill="auto"/>
            <w:vAlign w:val="center"/>
          </w:tcPr>
          <w:p w14:paraId="28D56B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335" w:type="pct"/>
            <w:tcBorders>
              <w:tl2br w:val="nil"/>
              <w:tr2bl w:val="nil"/>
            </w:tcBorders>
            <w:shd w:val="clear" w:color="auto" w:fill="auto"/>
            <w:vAlign w:val="center"/>
          </w:tcPr>
          <w:p w14:paraId="5DD5F9D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272" w:type="pct"/>
            <w:tcBorders>
              <w:tl2br w:val="nil"/>
              <w:tr2bl w:val="nil"/>
            </w:tcBorders>
            <w:shd w:val="clear" w:color="auto" w:fill="auto"/>
            <w:vAlign w:val="center"/>
          </w:tcPr>
          <w:p w14:paraId="06FC28F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c>
          <w:tcPr>
            <w:tcW w:w="273" w:type="pct"/>
            <w:tcBorders>
              <w:tl2br w:val="nil"/>
              <w:tr2bl w:val="nil"/>
            </w:tcBorders>
            <w:shd w:val="clear" w:color="auto" w:fill="auto"/>
            <w:vAlign w:val="center"/>
          </w:tcPr>
          <w:p w14:paraId="7D61D7D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0.011</w:t>
            </w:r>
          </w:p>
        </w:tc>
        <w:tc>
          <w:tcPr>
            <w:tcW w:w="272" w:type="pct"/>
            <w:tcBorders>
              <w:tl2br w:val="nil"/>
              <w:tr2bl w:val="nil"/>
            </w:tcBorders>
            <w:shd w:val="clear" w:color="auto" w:fill="auto"/>
            <w:vAlign w:val="center"/>
          </w:tcPr>
          <w:p w14:paraId="7997876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w:t>
            </w:r>
          </w:p>
        </w:tc>
        <w:tc>
          <w:tcPr>
            <w:tcW w:w="290" w:type="pct"/>
            <w:tcBorders>
              <w:tl2br w:val="nil"/>
              <w:tr2bl w:val="nil"/>
            </w:tcBorders>
            <w:shd w:val="clear" w:color="auto" w:fill="auto"/>
            <w:vAlign w:val="center"/>
          </w:tcPr>
          <w:p w14:paraId="68D1EB6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0.024</w:t>
            </w:r>
          </w:p>
        </w:tc>
        <w:tc>
          <w:tcPr>
            <w:tcW w:w="272" w:type="pct"/>
            <w:tcBorders>
              <w:tl2br w:val="nil"/>
              <w:tr2bl w:val="nil"/>
            </w:tcBorders>
            <w:shd w:val="clear" w:color="auto" w:fill="auto"/>
            <w:vAlign w:val="center"/>
          </w:tcPr>
          <w:p w14:paraId="12BF890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25</w:t>
            </w:r>
          </w:p>
        </w:tc>
        <w:tc>
          <w:tcPr>
            <w:tcW w:w="290" w:type="pct"/>
            <w:tcBorders>
              <w:tl2br w:val="nil"/>
              <w:tr2bl w:val="nil"/>
            </w:tcBorders>
            <w:shd w:val="clear" w:color="auto" w:fill="auto"/>
            <w:vAlign w:val="center"/>
          </w:tcPr>
          <w:p w14:paraId="5A207F5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0.028</w:t>
            </w:r>
          </w:p>
        </w:tc>
        <w:tc>
          <w:tcPr>
            <w:tcW w:w="241" w:type="pct"/>
            <w:tcBorders>
              <w:tl2br w:val="nil"/>
              <w:tr2bl w:val="nil"/>
            </w:tcBorders>
            <w:shd w:val="clear" w:color="auto" w:fill="auto"/>
            <w:vAlign w:val="center"/>
          </w:tcPr>
          <w:p w14:paraId="6067F2E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26</w:t>
            </w:r>
          </w:p>
        </w:tc>
        <w:tc>
          <w:tcPr>
            <w:tcW w:w="293" w:type="pct"/>
            <w:tcBorders>
              <w:tl2br w:val="nil"/>
              <w:tr2bl w:val="nil"/>
            </w:tcBorders>
            <w:shd w:val="clear" w:color="auto" w:fill="auto"/>
            <w:vAlign w:val="center"/>
          </w:tcPr>
          <w:p w14:paraId="7A3ACFB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0.029</w:t>
            </w:r>
          </w:p>
        </w:tc>
        <w:tc>
          <w:tcPr>
            <w:tcW w:w="272" w:type="pct"/>
            <w:tcBorders>
              <w:tl2br w:val="nil"/>
              <w:tr2bl w:val="nil"/>
            </w:tcBorders>
            <w:shd w:val="clear" w:color="auto" w:fill="auto"/>
            <w:vAlign w:val="center"/>
          </w:tcPr>
          <w:p w14:paraId="3C0A4AC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w:t>
            </w:r>
          </w:p>
        </w:tc>
        <w:tc>
          <w:tcPr>
            <w:tcW w:w="363" w:type="pct"/>
            <w:tcBorders>
              <w:tl2br w:val="nil"/>
              <w:tr2bl w:val="nil"/>
            </w:tcBorders>
            <w:shd w:val="clear" w:color="auto" w:fill="auto"/>
            <w:vAlign w:val="center"/>
          </w:tcPr>
          <w:p w14:paraId="5A34EC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0.024</w:t>
            </w:r>
          </w:p>
        </w:tc>
      </w:tr>
    </w:tbl>
    <w:p w14:paraId="27A1291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 w:val="21"/>
          <w:szCs w:val="21"/>
          <w:highlight w:val="none"/>
          <w:lang w:val="zh-CN"/>
        </w:rPr>
        <w:sectPr>
          <w:headerReference r:id="rId37" w:type="default"/>
          <w:footerReference r:id="rId39" w:type="default"/>
          <w:headerReference r:id="rId38" w:type="even"/>
          <w:footerReference r:id="rId40" w:type="even"/>
          <w:pgSz w:w="16840" w:h="11907" w:orient="landscape"/>
          <w:pgMar w:top="1440" w:right="1800" w:bottom="1440" w:left="1800" w:header="680" w:footer="850" w:gutter="0"/>
          <w:pgBorders>
            <w:top w:val="none" w:sz="0" w:space="0"/>
            <w:left w:val="none" w:sz="0" w:space="0"/>
            <w:bottom w:val="none" w:sz="0" w:space="0"/>
            <w:right w:val="none" w:sz="0" w:space="0"/>
          </w:pgBorders>
          <w:pgNumType w:fmt="decimal"/>
          <w:cols w:space="720" w:num="1"/>
          <w:docGrid w:linePitch="326" w:charSpace="0"/>
        </w:sectPr>
      </w:pPr>
    </w:p>
    <w:p w14:paraId="38BEAB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b/>
          <w:color w:val="auto"/>
          <w:kern w:val="0"/>
          <w:sz w:val="21"/>
          <w:szCs w:val="21"/>
          <w:highlight w:val="none"/>
          <w:lang w:val="zh-CN"/>
        </w:rPr>
      </w:pPr>
      <w:r>
        <w:rPr>
          <w:rFonts w:hint="default" w:ascii="Times New Roman" w:hAnsi="Times New Roman" w:eastAsia="宋体" w:cs="Times New Roman"/>
          <w:b/>
          <w:color w:val="auto"/>
          <w:kern w:val="0"/>
          <w:sz w:val="21"/>
          <w:szCs w:val="21"/>
          <w:highlight w:val="none"/>
          <w:lang w:val="zh-CN"/>
        </w:rPr>
        <w:t>表4.</w:t>
      </w:r>
      <w:r>
        <w:rPr>
          <w:rFonts w:hint="default" w:ascii="Times New Roman" w:hAnsi="Times New Roman" w:eastAsia="宋体" w:cs="Times New Roman"/>
          <w:b/>
          <w:color w:val="auto"/>
          <w:kern w:val="0"/>
          <w:sz w:val="21"/>
          <w:szCs w:val="21"/>
          <w:highlight w:val="none"/>
          <w:lang w:val="en-US" w:eastAsia="zh-CN"/>
        </w:rPr>
        <w:t>2</w:t>
      </w:r>
      <w:r>
        <w:rPr>
          <w:rFonts w:hint="default" w:ascii="Times New Roman" w:hAnsi="Times New Roman" w:eastAsia="宋体" w:cs="Times New Roman"/>
          <w:b/>
          <w:color w:val="auto"/>
          <w:kern w:val="0"/>
          <w:sz w:val="21"/>
          <w:szCs w:val="21"/>
          <w:highlight w:val="none"/>
          <w:lang w:val="zh-CN"/>
        </w:rPr>
        <w:t>-</w:t>
      </w:r>
      <w:r>
        <w:rPr>
          <w:rFonts w:hint="default" w:ascii="Times New Roman" w:hAnsi="Times New Roman" w:eastAsia="宋体" w:cs="Times New Roman"/>
          <w:b/>
          <w:color w:val="auto"/>
          <w:kern w:val="0"/>
          <w:sz w:val="21"/>
          <w:szCs w:val="21"/>
          <w:highlight w:val="none"/>
          <w:lang w:val="en-US" w:eastAsia="zh-CN"/>
        </w:rPr>
        <w:t>9</w:t>
      </w:r>
      <w:r>
        <w:rPr>
          <w:rFonts w:hint="default" w:ascii="Times New Roman" w:hAnsi="Times New Roman" w:eastAsia="宋体" w:cs="Times New Roman"/>
          <w:b/>
          <w:color w:val="auto"/>
          <w:kern w:val="0"/>
          <w:sz w:val="21"/>
          <w:szCs w:val="21"/>
          <w:highlight w:val="none"/>
          <w:lang w:val="zh-CN"/>
        </w:rPr>
        <w:t xml:space="preserve">    监测结果统计一览表（续表）    单位：mg/kg，pH除外</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70"/>
        <w:gridCol w:w="996"/>
        <w:gridCol w:w="763"/>
        <w:gridCol w:w="941"/>
        <w:gridCol w:w="928"/>
        <w:gridCol w:w="1009"/>
        <w:gridCol w:w="777"/>
        <w:gridCol w:w="832"/>
        <w:gridCol w:w="750"/>
        <w:gridCol w:w="927"/>
        <w:gridCol w:w="1118"/>
        <w:gridCol w:w="900"/>
        <w:gridCol w:w="1105"/>
        <w:gridCol w:w="845"/>
        <w:gridCol w:w="990"/>
      </w:tblGrid>
      <w:tr w14:paraId="3AF851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vMerge w:val="restart"/>
            <w:tcBorders>
              <w:tl2br w:val="nil"/>
              <w:tr2bl w:val="nil"/>
            </w:tcBorders>
            <w:shd w:val="clear" w:color="auto" w:fill="auto"/>
            <w:vAlign w:val="center"/>
          </w:tcPr>
          <w:p w14:paraId="1B7090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序号</w:t>
            </w:r>
          </w:p>
        </w:tc>
        <w:tc>
          <w:tcPr>
            <w:tcW w:w="370" w:type="pct"/>
            <w:vMerge w:val="restart"/>
            <w:tcBorders>
              <w:tl2br w:val="nil"/>
              <w:tr2bl w:val="nil"/>
            </w:tcBorders>
            <w:shd w:val="clear" w:color="auto" w:fill="auto"/>
            <w:vAlign w:val="center"/>
          </w:tcPr>
          <w:p w14:paraId="41F7DB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项目</w:t>
            </w:r>
          </w:p>
        </w:tc>
        <w:tc>
          <w:tcPr>
            <w:tcW w:w="283" w:type="pct"/>
            <w:vMerge w:val="restart"/>
            <w:tcBorders>
              <w:tl2br w:val="nil"/>
              <w:tr2bl w:val="nil"/>
            </w:tcBorders>
            <w:shd w:val="clear" w:color="auto" w:fill="auto"/>
            <w:vAlign w:val="center"/>
          </w:tcPr>
          <w:p w14:paraId="200BD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筛选值</w:t>
            </w:r>
          </w:p>
        </w:tc>
        <w:tc>
          <w:tcPr>
            <w:tcW w:w="4134" w:type="pct"/>
            <w:gridSpan w:val="12"/>
            <w:tcBorders>
              <w:tl2br w:val="nil"/>
              <w:tr2bl w:val="nil"/>
            </w:tcBorders>
            <w:shd w:val="clear" w:color="auto" w:fill="auto"/>
            <w:vAlign w:val="center"/>
          </w:tcPr>
          <w:p w14:paraId="2042B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监测结果</w:t>
            </w:r>
          </w:p>
        </w:tc>
      </w:tr>
      <w:tr w14:paraId="5328AD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vMerge w:val="continue"/>
            <w:tcBorders>
              <w:tl2br w:val="nil"/>
              <w:tr2bl w:val="nil"/>
            </w:tcBorders>
            <w:shd w:val="clear" w:color="auto" w:fill="auto"/>
            <w:vAlign w:val="center"/>
          </w:tcPr>
          <w:p w14:paraId="019CCD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70" w:type="pct"/>
            <w:vMerge w:val="continue"/>
            <w:tcBorders>
              <w:tl2br w:val="nil"/>
              <w:tr2bl w:val="nil"/>
            </w:tcBorders>
            <w:shd w:val="clear" w:color="auto" w:fill="auto"/>
            <w:vAlign w:val="center"/>
          </w:tcPr>
          <w:p w14:paraId="77233F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83" w:type="pct"/>
            <w:vMerge w:val="continue"/>
            <w:tcBorders>
              <w:tl2br w:val="nil"/>
              <w:tr2bl w:val="nil"/>
            </w:tcBorders>
            <w:shd w:val="clear" w:color="auto" w:fill="auto"/>
            <w:vAlign w:val="center"/>
          </w:tcPr>
          <w:p w14:paraId="192CE7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94" w:type="pct"/>
            <w:gridSpan w:val="2"/>
            <w:tcBorders>
              <w:tl2br w:val="nil"/>
              <w:tr2bl w:val="nil"/>
            </w:tcBorders>
            <w:shd w:val="clear" w:color="auto" w:fill="auto"/>
            <w:vAlign w:val="center"/>
          </w:tcPr>
          <w:p w14:paraId="4C6A31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11</w:t>
            </w:r>
            <w:r>
              <w:rPr>
                <w:rFonts w:hint="default" w:ascii="Times New Roman" w:hAnsi="Times New Roman" w:eastAsia="宋体" w:cs="Times New Roman"/>
                <w:b w:val="0"/>
                <w:bCs w:val="0"/>
                <w:color w:val="auto"/>
                <w:sz w:val="21"/>
                <w:szCs w:val="21"/>
                <w:highlight w:val="none"/>
                <w:lang w:val="en-US" w:eastAsia="zh-CN"/>
              </w:rPr>
              <w:t>#矿区外空地表层样点</w:t>
            </w:r>
          </w:p>
        </w:tc>
        <w:tc>
          <w:tcPr>
            <w:tcW w:w="663" w:type="pct"/>
            <w:gridSpan w:val="2"/>
            <w:tcBorders>
              <w:tl2br w:val="nil"/>
              <w:tr2bl w:val="nil"/>
            </w:tcBorders>
            <w:shd w:val="clear" w:color="auto" w:fill="auto"/>
            <w:vAlign w:val="center"/>
          </w:tcPr>
          <w:p w14:paraId="0D7288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lang w:val="en-US" w:eastAsia="zh-CN"/>
              </w:rPr>
              <w:t>2#矿区外空地表层样点</w:t>
            </w:r>
          </w:p>
        </w:tc>
        <w:tc>
          <w:tcPr>
            <w:tcW w:w="588" w:type="pct"/>
            <w:gridSpan w:val="2"/>
            <w:tcBorders>
              <w:tl2br w:val="nil"/>
              <w:tr2bl w:val="nil"/>
            </w:tcBorders>
            <w:shd w:val="clear" w:color="auto" w:fill="auto"/>
            <w:vAlign w:val="center"/>
          </w:tcPr>
          <w:p w14:paraId="4A4D3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lang w:val="en-US" w:eastAsia="zh-CN"/>
              </w:rPr>
              <w:t>3#矿区外空地表层样点</w:t>
            </w:r>
          </w:p>
        </w:tc>
        <w:tc>
          <w:tcPr>
            <w:tcW w:w="760" w:type="pct"/>
            <w:gridSpan w:val="2"/>
            <w:tcBorders>
              <w:tl2br w:val="nil"/>
              <w:tr2bl w:val="nil"/>
            </w:tcBorders>
            <w:shd w:val="clear" w:color="auto" w:fill="auto"/>
            <w:vAlign w:val="center"/>
          </w:tcPr>
          <w:p w14:paraId="3FA887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lang w:val="en-US" w:eastAsia="zh-CN"/>
              </w:rPr>
              <w:t>4#矿区外空地表层样点</w:t>
            </w:r>
          </w:p>
        </w:tc>
        <w:tc>
          <w:tcPr>
            <w:tcW w:w="745" w:type="pct"/>
            <w:gridSpan w:val="2"/>
            <w:tcBorders>
              <w:tl2br w:val="nil"/>
              <w:tr2bl w:val="nil"/>
            </w:tcBorders>
            <w:shd w:val="clear" w:color="auto" w:fill="auto"/>
            <w:vAlign w:val="center"/>
          </w:tcPr>
          <w:p w14:paraId="172B9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15</w:t>
            </w:r>
            <w:r>
              <w:rPr>
                <w:rFonts w:hint="default" w:ascii="Times New Roman" w:hAnsi="Times New Roman" w:eastAsia="宋体" w:cs="Times New Roman"/>
                <w:b w:val="0"/>
                <w:bCs w:val="0"/>
                <w:color w:val="auto"/>
                <w:sz w:val="21"/>
                <w:szCs w:val="21"/>
                <w:highlight w:val="none"/>
                <w:lang w:val="en-US" w:eastAsia="zh-CN"/>
              </w:rPr>
              <w:t>#矿区外空地表层样点</w:t>
            </w:r>
          </w:p>
        </w:tc>
        <w:tc>
          <w:tcPr>
            <w:tcW w:w="682" w:type="pct"/>
            <w:gridSpan w:val="2"/>
            <w:tcBorders>
              <w:tl2br w:val="nil"/>
              <w:tr2bl w:val="nil"/>
            </w:tcBorders>
            <w:shd w:val="clear" w:color="auto" w:fill="auto"/>
            <w:vAlign w:val="center"/>
          </w:tcPr>
          <w:p w14:paraId="14BE8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16</w:t>
            </w:r>
            <w:r>
              <w:rPr>
                <w:rFonts w:hint="default" w:ascii="Times New Roman" w:hAnsi="Times New Roman" w:eastAsia="宋体" w:cs="Times New Roman"/>
                <w:b w:val="0"/>
                <w:bCs w:val="0"/>
                <w:color w:val="auto"/>
                <w:sz w:val="21"/>
                <w:szCs w:val="21"/>
                <w:highlight w:val="none"/>
                <w:lang w:val="en-US" w:eastAsia="zh-CN"/>
              </w:rPr>
              <w:t>#矿区外空地表层样点</w:t>
            </w:r>
          </w:p>
        </w:tc>
      </w:tr>
      <w:tr w14:paraId="3C2BCD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vMerge w:val="continue"/>
            <w:tcBorders>
              <w:tl2br w:val="nil"/>
              <w:tr2bl w:val="nil"/>
            </w:tcBorders>
            <w:shd w:val="clear" w:color="auto" w:fill="auto"/>
            <w:vAlign w:val="center"/>
          </w:tcPr>
          <w:p w14:paraId="2DDA5B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70" w:type="pct"/>
            <w:vMerge w:val="continue"/>
            <w:tcBorders>
              <w:tl2br w:val="nil"/>
              <w:tr2bl w:val="nil"/>
            </w:tcBorders>
            <w:shd w:val="clear" w:color="auto" w:fill="auto"/>
            <w:vAlign w:val="center"/>
          </w:tcPr>
          <w:p w14:paraId="36A96B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83" w:type="pct"/>
            <w:vMerge w:val="continue"/>
            <w:tcBorders>
              <w:tl2br w:val="nil"/>
              <w:tr2bl w:val="nil"/>
            </w:tcBorders>
            <w:shd w:val="clear" w:color="auto" w:fill="auto"/>
            <w:vAlign w:val="center"/>
          </w:tcPr>
          <w:p w14:paraId="1B044D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694" w:type="pct"/>
            <w:gridSpan w:val="2"/>
            <w:tcBorders>
              <w:tl2br w:val="nil"/>
              <w:tr2bl w:val="nil"/>
            </w:tcBorders>
            <w:shd w:val="clear" w:color="auto" w:fill="auto"/>
            <w:vAlign w:val="center"/>
          </w:tcPr>
          <w:p w14:paraId="302CAD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663" w:type="pct"/>
            <w:gridSpan w:val="2"/>
            <w:tcBorders>
              <w:tl2br w:val="nil"/>
              <w:tr2bl w:val="nil"/>
            </w:tcBorders>
            <w:shd w:val="clear" w:color="auto" w:fill="auto"/>
            <w:vAlign w:val="center"/>
          </w:tcPr>
          <w:p w14:paraId="4785B3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588" w:type="pct"/>
            <w:gridSpan w:val="2"/>
            <w:tcBorders>
              <w:tl2br w:val="nil"/>
              <w:tr2bl w:val="nil"/>
            </w:tcBorders>
            <w:shd w:val="clear" w:color="auto" w:fill="auto"/>
            <w:vAlign w:val="center"/>
          </w:tcPr>
          <w:p w14:paraId="54D1F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760" w:type="pct"/>
            <w:gridSpan w:val="2"/>
            <w:tcBorders>
              <w:tl2br w:val="nil"/>
              <w:tr2bl w:val="nil"/>
            </w:tcBorders>
            <w:shd w:val="clear" w:color="auto" w:fill="auto"/>
            <w:vAlign w:val="center"/>
          </w:tcPr>
          <w:p w14:paraId="103838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745" w:type="pct"/>
            <w:gridSpan w:val="2"/>
            <w:tcBorders>
              <w:tl2br w:val="nil"/>
              <w:tr2bl w:val="nil"/>
            </w:tcBorders>
            <w:shd w:val="clear" w:color="auto" w:fill="auto"/>
            <w:vAlign w:val="center"/>
          </w:tcPr>
          <w:p w14:paraId="0480AA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c>
          <w:tcPr>
            <w:tcW w:w="682" w:type="pct"/>
            <w:gridSpan w:val="2"/>
            <w:tcBorders>
              <w:tl2br w:val="nil"/>
              <w:tr2bl w:val="nil"/>
            </w:tcBorders>
            <w:shd w:val="clear" w:color="auto" w:fill="auto"/>
            <w:vAlign w:val="center"/>
          </w:tcPr>
          <w:p w14:paraId="320CA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（0~0.</w:t>
            </w:r>
            <w:r>
              <w:rPr>
                <w:rFonts w:hint="default" w:ascii="Times New Roman" w:hAnsi="Times New Roman" w:eastAsia="宋体" w:cs="Times New Roman"/>
                <w:b w:val="0"/>
                <w:bCs w:val="0"/>
                <w:color w:val="auto"/>
                <w:kern w:val="0"/>
                <w:sz w:val="21"/>
                <w:szCs w:val="21"/>
                <w:highlight w:val="none"/>
                <w:lang w:val="en-US" w:eastAsia="zh-CN" w:bidi="ar"/>
              </w:rPr>
              <w:t>2</w:t>
            </w:r>
            <w:r>
              <w:rPr>
                <w:rFonts w:hint="default" w:ascii="Times New Roman" w:hAnsi="Times New Roman" w:eastAsia="宋体" w:cs="Times New Roman"/>
                <w:b w:val="0"/>
                <w:bCs w:val="0"/>
                <w:color w:val="auto"/>
                <w:kern w:val="0"/>
                <w:sz w:val="21"/>
                <w:szCs w:val="21"/>
                <w:highlight w:val="none"/>
                <w:lang w:bidi="ar"/>
              </w:rPr>
              <w:t>m）</w:t>
            </w:r>
          </w:p>
        </w:tc>
      </w:tr>
      <w:tr w14:paraId="5A12B3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vMerge w:val="continue"/>
            <w:tcBorders>
              <w:tl2br w:val="nil"/>
              <w:tr2bl w:val="nil"/>
            </w:tcBorders>
            <w:shd w:val="clear" w:color="auto" w:fill="auto"/>
            <w:vAlign w:val="center"/>
          </w:tcPr>
          <w:p w14:paraId="0F4D05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70" w:type="pct"/>
            <w:vMerge w:val="continue"/>
            <w:tcBorders>
              <w:tl2br w:val="nil"/>
              <w:tr2bl w:val="nil"/>
            </w:tcBorders>
            <w:shd w:val="clear" w:color="auto" w:fill="auto"/>
            <w:vAlign w:val="center"/>
          </w:tcPr>
          <w:p w14:paraId="4832E1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283" w:type="pct"/>
            <w:vMerge w:val="continue"/>
            <w:tcBorders>
              <w:tl2br w:val="nil"/>
              <w:tr2bl w:val="nil"/>
            </w:tcBorders>
            <w:shd w:val="clear" w:color="auto" w:fill="auto"/>
            <w:vAlign w:val="center"/>
          </w:tcPr>
          <w:p w14:paraId="1657DB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rPr>
            </w:pPr>
          </w:p>
        </w:tc>
        <w:tc>
          <w:tcPr>
            <w:tcW w:w="349" w:type="pct"/>
            <w:tcBorders>
              <w:tl2br w:val="nil"/>
              <w:tr2bl w:val="nil"/>
            </w:tcBorders>
            <w:shd w:val="clear" w:color="auto" w:fill="auto"/>
            <w:vAlign w:val="center"/>
          </w:tcPr>
          <w:p w14:paraId="1FADE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344" w:type="pct"/>
            <w:tcBorders>
              <w:tl2br w:val="nil"/>
              <w:tr2bl w:val="nil"/>
            </w:tcBorders>
            <w:shd w:val="clear" w:color="auto" w:fill="auto"/>
            <w:vAlign w:val="center"/>
          </w:tcPr>
          <w:p w14:paraId="0DC717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375" w:type="pct"/>
            <w:tcBorders>
              <w:tl2br w:val="nil"/>
              <w:tr2bl w:val="nil"/>
            </w:tcBorders>
            <w:shd w:val="clear" w:color="auto" w:fill="auto"/>
            <w:vAlign w:val="center"/>
          </w:tcPr>
          <w:p w14:paraId="36C51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88" w:type="pct"/>
            <w:tcBorders>
              <w:tl2br w:val="nil"/>
              <w:tr2bl w:val="nil"/>
            </w:tcBorders>
            <w:shd w:val="clear" w:color="auto" w:fill="auto"/>
            <w:vAlign w:val="center"/>
          </w:tcPr>
          <w:p w14:paraId="4F95C9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309" w:type="pct"/>
            <w:tcBorders>
              <w:tl2br w:val="nil"/>
              <w:tr2bl w:val="nil"/>
            </w:tcBorders>
            <w:shd w:val="clear" w:color="auto" w:fill="auto"/>
            <w:vAlign w:val="center"/>
          </w:tcPr>
          <w:p w14:paraId="24269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278" w:type="pct"/>
            <w:tcBorders>
              <w:tl2br w:val="nil"/>
              <w:tr2bl w:val="nil"/>
            </w:tcBorders>
            <w:shd w:val="clear" w:color="auto" w:fill="auto"/>
            <w:vAlign w:val="center"/>
          </w:tcPr>
          <w:p w14:paraId="42746B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344" w:type="pct"/>
            <w:tcBorders>
              <w:tl2br w:val="nil"/>
              <w:tr2bl w:val="nil"/>
            </w:tcBorders>
            <w:shd w:val="clear" w:color="auto" w:fill="auto"/>
            <w:vAlign w:val="center"/>
          </w:tcPr>
          <w:p w14:paraId="09324A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监测结果</w:t>
            </w:r>
          </w:p>
        </w:tc>
        <w:tc>
          <w:tcPr>
            <w:tcW w:w="415" w:type="pct"/>
            <w:tcBorders>
              <w:tl2br w:val="nil"/>
              <w:tr2bl w:val="nil"/>
            </w:tcBorders>
            <w:shd w:val="clear" w:color="auto" w:fill="auto"/>
            <w:vAlign w:val="center"/>
          </w:tcPr>
          <w:p w14:paraId="6FF3E5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lang w:bidi="ar"/>
              </w:rPr>
              <w:t>标准指数</w:t>
            </w:r>
          </w:p>
        </w:tc>
        <w:tc>
          <w:tcPr>
            <w:tcW w:w="334" w:type="pct"/>
            <w:tcBorders>
              <w:tl2br w:val="nil"/>
              <w:tr2bl w:val="nil"/>
            </w:tcBorders>
            <w:shd w:val="clear" w:color="auto" w:fill="auto"/>
            <w:vAlign w:val="center"/>
          </w:tcPr>
          <w:p w14:paraId="36C1C2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监测结果</w:t>
            </w:r>
          </w:p>
        </w:tc>
        <w:tc>
          <w:tcPr>
            <w:tcW w:w="410" w:type="pct"/>
            <w:tcBorders>
              <w:tl2br w:val="nil"/>
              <w:tr2bl w:val="nil"/>
            </w:tcBorders>
            <w:shd w:val="clear" w:color="auto" w:fill="auto"/>
            <w:vAlign w:val="center"/>
          </w:tcPr>
          <w:p w14:paraId="5DC85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标准指数</w:t>
            </w:r>
          </w:p>
        </w:tc>
        <w:tc>
          <w:tcPr>
            <w:tcW w:w="314" w:type="pct"/>
            <w:tcBorders>
              <w:tl2br w:val="nil"/>
              <w:tr2bl w:val="nil"/>
            </w:tcBorders>
            <w:shd w:val="clear" w:color="auto" w:fill="auto"/>
            <w:vAlign w:val="center"/>
          </w:tcPr>
          <w:p w14:paraId="465522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监测结果</w:t>
            </w:r>
          </w:p>
        </w:tc>
        <w:tc>
          <w:tcPr>
            <w:tcW w:w="368" w:type="pct"/>
            <w:tcBorders>
              <w:tl2br w:val="nil"/>
              <w:tr2bl w:val="nil"/>
            </w:tcBorders>
            <w:shd w:val="clear" w:color="auto" w:fill="auto"/>
            <w:vAlign w:val="center"/>
          </w:tcPr>
          <w:p w14:paraId="71F98E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bidi="ar"/>
              </w:rPr>
              <w:t>标准指数</w:t>
            </w:r>
          </w:p>
        </w:tc>
      </w:tr>
      <w:tr w14:paraId="662C4E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541BB6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1</w:t>
            </w:r>
          </w:p>
        </w:tc>
        <w:tc>
          <w:tcPr>
            <w:tcW w:w="370" w:type="pct"/>
            <w:tcBorders>
              <w:tl2br w:val="nil"/>
              <w:tr2bl w:val="nil"/>
            </w:tcBorders>
            <w:shd w:val="clear" w:color="auto" w:fill="auto"/>
            <w:vAlign w:val="center"/>
          </w:tcPr>
          <w:p w14:paraId="2E3330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pH</w:t>
            </w:r>
          </w:p>
        </w:tc>
        <w:tc>
          <w:tcPr>
            <w:tcW w:w="283" w:type="pct"/>
            <w:tcBorders>
              <w:tl2br w:val="nil"/>
              <w:tr2bl w:val="nil"/>
            </w:tcBorders>
            <w:shd w:val="clear" w:color="auto" w:fill="auto"/>
            <w:vAlign w:val="center"/>
          </w:tcPr>
          <w:p w14:paraId="31DDFA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w:t>
            </w:r>
          </w:p>
        </w:tc>
        <w:tc>
          <w:tcPr>
            <w:tcW w:w="349" w:type="pct"/>
            <w:tcBorders>
              <w:tl2br w:val="nil"/>
              <w:tr2bl w:val="nil"/>
            </w:tcBorders>
            <w:shd w:val="clear" w:color="auto" w:fill="auto"/>
            <w:vAlign w:val="center"/>
          </w:tcPr>
          <w:p w14:paraId="298300D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8.46</w:t>
            </w:r>
          </w:p>
        </w:tc>
        <w:tc>
          <w:tcPr>
            <w:tcW w:w="344" w:type="pct"/>
            <w:tcBorders>
              <w:tl2br w:val="nil"/>
              <w:tr2bl w:val="nil"/>
            </w:tcBorders>
            <w:shd w:val="clear" w:color="auto" w:fill="auto"/>
            <w:vAlign w:val="center"/>
          </w:tcPr>
          <w:p w14:paraId="42950AD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75" w:type="pct"/>
            <w:tcBorders>
              <w:tl2br w:val="nil"/>
              <w:tr2bl w:val="nil"/>
            </w:tcBorders>
            <w:shd w:val="clear" w:color="auto" w:fill="auto"/>
            <w:vAlign w:val="center"/>
          </w:tcPr>
          <w:p w14:paraId="53BC6DA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7.95</w:t>
            </w:r>
          </w:p>
        </w:tc>
        <w:tc>
          <w:tcPr>
            <w:tcW w:w="288" w:type="pct"/>
            <w:tcBorders>
              <w:tl2br w:val="nil"/>
              <w:tr2bl w:val="nil"/>
            </w:tcBorders>
            <w:shd w:val="clear" w:color="auto" w:fill="auto"/>
            <w:vAlign w:val="center"/>
          </w:tcPr>
          <w:p w14:paraId="40DE53F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09" w:type="pct"/>
            <w:tcBorders>
              <w:tl2br w:val="nil"/>
              <w:tr2bl w:val="nil"/>
            </w:tcBorders>
            <w:shd w:val="clear" w:color="auto" w:fill="auto"/>
            <w:vAlign w:val="center"/>
          </w:tcPr>
          <w:p w14:paraId="78B4448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8.09</w:t>
            </w:r>
          </w:p>
        </w:tc>
        <w:tc>
          <w:tcPr>
            <w:tcW w:w="278" w:type="pct"/>
            <w:tcBorders>
              <w:tl2br w:val="nil"/>
              <w:tr2bl w:val="nil"/>
            </w:tcBorders>
            <w:shd w:val="clear" w:color="auto" w:fill="auto"/>
            <w:vAlign w:val="center"/>
          </w:tcPr>
          <w:p w14:paraId="3A280F0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44" w:type="pct"/>
            <w:tcBorders>
              <w:tl2br w:val="nil"/>
              <w:tr2bl w:val="nil"/>
            </w:tcBorders>
            <w:shd w:val="clear" w:color="auto" w:fill="auto"/>
            <w:vAlign w:val="center"/>
          </w:tcPr>
          <w:p w14:paraId="7F2CF84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8.05</w:t>
            </w:r>
          </w:p>
        </w:tc>
        <w:tc>
          <w:tcPr>
            <w:tcW w:w="415" w:type="pct"/>
            <w:tcBorders>
              <w:tl2br w:val="nil"/>
              <w:tr2bl w:val="nil"/>
            </w:tcBorders>
            <w:shd w:val="clear" w:color="auto" w:fill="auto"/>
            <w:vAlign w:val="center"/>
          </w:tcPr>
          <w:p w14:paraId="26C6495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34" w:type="pct"/>
            <w:tcBorders>
              <w:tl2br w:val="nil"/>
              <w:tr2bl w:val="nil"/>
            </w:tcBorders>
            <w:shd w:val="clear" w:color="auto" w:fill="auto"/>
            <w:vAlign w:val="center"/>
          </w:tcPr>
          <w:p w14:paraId="15D3ABD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8.57</w:t>
            </w:r>
          </w:p>
        </w:tc>
        <w:tc>
          <w:tcPr>
            <w:tcW w:w="410" w:type="pct"/>
            <w:tcBorders>
              <w:tl2br w:val="nil"/>
              <w:tr2bl w:val="nil"/>
            </w:tcBorders>
            <w:shd w:val="clear" w:color="auto" w:fill="auto"/>
            <w:vAlign w:val="center"/>
          </w:tcPr>
          <w:p w14:paraId="240936E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14" w:type="pct"/>
            <w:tcBorders>
              <w:tl2br w:val="nil"/>
              <w:tr2bl w:val="nil"/>
            </w:tcBorders>
            <w:shd w:val="clear" w:color="auto" w:fill="auto"/>
            <w:vAlign w:val="center"/>
          </w:tcPr>
          <w:p w14:paraId="7625727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8.61</w:t>
            </w:r>
          </w:p>
        </w:tc>
        <w:tc>
          <w:tcPr>
            <w:tcW w:w="368" w:type="pct"/>
            <w:tcBorders>
              <w:tl2br w:val="nil"/>
              <w:tr2bl w:val="nil"/>
            </w:tcBorders>
            <w:shd w:val="clear" w:color="auto" w:fill="auto"/>
            <w:vAlign w:val="center"/>
          </w:tcPr>
          <w:p w14:paraId="363FE45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55D906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2E38F9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p>
        </w:tc>
        <w:tc>
          <w:tcPr>
            <w:tcW w:w="370" w:type="pct"/>
            <w:tcBorders>
              <w:tl2br w:val="nil"/>
              <w:tr2bl w:val="nil"/>
            </w:tcBorders>
            <w:shd w:val="clear" w:color="auto" w:fill="auto"/>
            <w:vAlign w:val="center"/>
          </w:tcPr>
          <w:p w14:paraId="59C8BB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 w:val="21"/>
                <w:szCs w:val="21"/>
                <w:highlight w:val="none"/>
                <w:lang w:val="en-US" w:eastAsia="zh-CN"/>
              </w:rPr>
              <w:t>含盐量</w:t>
            </w:r>
          </w:p>
        </w:tc>
        <w:tc>
          <w:tcPr>
            <w:tcW w:w="283" w:type="pct"/>
            <w:tcBorders>
              <w:tl2br w:val="nil"/>
              <w:tr2bl w:val="nil"/>
            </w:tcBorders>
            <w:shd w:val="clear" w:color="auto" w:fill="auto"/>
            <w:vAlign w:val="center"/>
          </w:tcPr>
          <w:p w14:paraId="5B7DE1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w:t>
            </w:r>
          </w:p>
        </w:tc>
        <w:tc>
          <w:tcPr>
            <w:tcW w:w="349" w:type="pct"/>
            <w:tcBorders>
              <w:tl2br w:val="nil"/>
              <w:tr2bl w:val="nil"/>
            </w:tcBorders>
            <w:shd w:val="clear" w:color="auto" w:fill="auto"/>
            <w:vAlign w:val="center"/>
          </w:tcPr>
          <w:p w14:paraId="1E05EAE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3.3</w:t>
            </w:r>
          </w:p>
        </w:tc>
        <w:tc>
          <w:tcPr>
            <w:tcW w:w="344" w:type="pct"/>
            <w:tcBorders>
              <w:tl2br w:val="nil"/>
              <w:tr2bl w:val="nil"/>
            </w:tcBorders>
            <w:shd w:val="clear" w:color="auto" w:fill="auto"/>
            <w:vAlign w:val="center"/>
          </w:tcPr>
          <w:p w14:paraId="6D20775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75" w:type="pct"/>
            <w:tcBorders>
              <w:tl2br w:val="nil"/>
              <w:tr2bl w:val="nil"/>
            </w:tcBorders>
            <w:shd w:val="clear" w:color="auto" w:fill="auto"/>
            <w:vAlign w:val="center"/>
          </w:tcPr>
          <w:p w14:paraId="0AFD013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288" w:type="pct"/>
            <w:tcBorders>
              <w:tl2br w:val="nil"/>
              <w:tr2bl w:val="nil"/>
            </w:tcBorders>
            <w:shd w:val="clear" w:color="auto" w:fill="auto"/>
            <w:vAlign w:val="center"/>
          </w:tcPr>
          <w:p w14:paraId="6D2D61B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09" w:type="pct"/>
            <w:tcBorders>
              <w:tl2br w:val="nil"/>
              <w:tr2bl w:val="nil"/>
            </w:tcBorders>
            <w:shd w:val="clear" w:color="auto" w:fill="auto"/>
            <w:vAlign w:val="center"/>
          </w:tcPr>
          <w:p w14:paraId="52C0E89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w:t>
            </w:r>
          </w:p>
        </w:tc>
        <w:tc>
          <w:tcPr>
            <w:tcW w:w="278" w:type="pct"/>
            <w:tcBorders>
              <w:tl2br w:val="nil"/>
              <w:tr2bl w:val="nil"/>
            </w:tcBorders>
            <w:shd w:val="clear" w:color="auto" w:fill="auto"/>
            <w:vAlign w:val="center"/>
          </w:tcPr>
          <w:p w14:paraId="690714A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44" w:type="pct"/>
            <w:tcBorders>
              <w:tl2br w:val="nil"/>
              <w:tr2bl w:val="nil"/>
            </w:tcBorders>
            <w:shd w:val="clear" w:color="auto" w:fill="auto"/>
            <w:vAlign w:val="center"/>
          </w:tcPr>
          <w:p w14:paraId="264F89D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3.8</w:t>
            </w:r>
          </w:p>
        </w:tc>
        <w:tc>
          <w:tcPr>
            <w:tcW w:w="415" w:type="pct"/>
            <w:tcBorders>
              <w:tl2br w:val="nil"/>
              <w:tr2bl w:val="nil"/>
            </w:tcBorders>
            <w:shd w:val="clear" w:color="auto" w:fill="auto"/>
            <w:vAlign w:val="center"/>
          </w:tcPr>
          <w:p w14:paraId="0439C80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34" w:type="pct"/>
            <w:tcBorders>
              <w:tl2br w:val="nil"/>
              <w:tr2bl w:val="nil"/>
            </w:tcBorders>
            <w:shd w:val="clear" w:color="auto" w:fill="auto"/>
            <w:vAlign w:val="center"/>
          </w:tcPr>
          <w:p w14:paraId="2B88299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3.2</w:t>
            </w:r>
          </w:p>
        </w:tc>
        <w:tc>
          <w:tcPr>
            <w:tcW w:w="410" w:type="pct"/>
            <w:tcBorders>
              <w:tl2br w:val="nil"/>
              <w:tr2bl w:val="nil"/>
            </w:tcBorders>
            <w:shd w:val="clear" w:color="auto" w:fill="auto"/>
            <w:vAlign w:val="center"/>
          </w:tcPr>
          <w:p w14:paraId="53B6B3A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c>
          <w:tcPr>
            <w:tcW w:w="314" w:type="pct"/>
            <w:tcBorders>
              <w:tl2br w:val="nil"/>
              <w:tr2bl w:val="nil"/>
            </w:tcBorders>
            <w:shd w:val="clear" w:color="auto" w:fill="auto"/>
            <w:vAlign w:val="center"/>
          </w:tcPr>
          <w:p w14:paraId="6D21BE3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368" w:type="pct"/>
            <w:tcBorders>
              <w:tl2br w:val="nil"/>
              <w:tr2bl w:val="nil"/>
            </w:tcBorders>
            <w:shd w:val="clear" w:color="auto" w:fill="auto"/>
            <w:vAlign w:val="center"/>
          </w:tcPr>
          <w:p w14:paraId="015ECF2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w:t>
            </w:r>
          </w:p>
        </w:tc>
      </w:tr>
      <w:tr w14:paraId="79F97E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4A8A5A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3</w:t>
            </w:r>
          </w:p>
        </w:tc>
        <w:tc>
          <w:tcPr>
            <w:tcW w:w="370" w:type="pct"/>
            <w:tcBorders>
              <w:tl2br w:val="nil"/>
              <w:tr2bl w:val="nil"/>
            </w:tcBorders>
            <w:shd w:val="clear" w:color="auto" w:fill="auto"/>
            <w:vAlign w:val="center"/>
          </w:tcPr>
          <w:p w14:paraId="6971A8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锌</w:t>
            </w:r>
          </w:p>
        </w:tc>
        <w:tc>
          <w:tcPr>
            <w:tcW w:w="283" w:type="pct"/>
            <w:tcBorders>
              <w:tl2br w:val="nil"/>
              <w:tr2bl w:val="nil"/>
            </w:tcBorders>
            <w:shd w:val="clear" w:color="auto" w:fill="auto"/>
            <w:vAlign w:val="center"/>
          </w:tcPr>
          <w:p w14:paraId="54A927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300</w:t>
            </w:r>
          </w:p>
        </w:tc>
        <w:tc>
          <w:tcPr>
            <w:tcW w:w="349" w:type="pct"/>
            <w:tcBorders>
              <w:tl2br w:val="nil"/>
              <w:tr2bl w:val="nil"/>
            </w:tcBorders>
            <w:shd w:val="clear" w:color="auto" w:fill="auto"/>
            <w:vAlign w:val="center"/>
          </w:tcPr>
          <w:p w14:paraId="48F86B8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58</w:t>
            </w:r>
          </w:p>
        </w:tc>
        <w:tc>
          <w:tcPr>
            <w:tcW w:w="344" w:type="pct"/>
            <w:tcBorders>
              <w:tl2br w:val="nil"/>
              <w:tr2bl w:val="nil"/>
            </w:tcBorders>
            <w:shd w:val="clear" w:color="auto" w:fill="auto"/>
            <w:vAlign w:val="center"/>
          </w:tcPr>
          <w:p w14:paraId="48B8BCB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color w:val="auto"/>
                <w:lang w:val="en-US" w:eastAsia="zh-CN"/>
              </w:rPr>
              <w:t>0.193</w:t>
            </w:r>
          </w:p>
        </w:tc>
        <w:tc>
          <w:tcPr>
            <w:tcW w:w="375" w:type="pct"/>
            <w:tcBorders>
              <w:tl2br w:val="nil"/>
              <w:tr2bl w:val="nil"/>
            </w:tcBorders>
            <w:shd w:val="clear" w:color="auto" w:fill="auto"/>
            <w:vAlign w:val="center"/>
          </w:tcPr>
          <w:p w14:paraId="551BC0F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50</w:t>
            </w:r>
          </w:p>
        </w:tc>
        <w:tc>
          <w:tcPr>
            <w:tcW w:w="288" w:type="pct"/>
            <w:tcBorders>
              <w:tl2br w:val="nil"/>
              <w:tr2bl w:val="nil"/>
            </w:tcBorders>
            <w:shd w:val="clear" w:color="auto" w:fill="auto"/>
            <w:vAlign w:val="center"/>
          </w:tcPr>
          <w:p w14:paraId="1A1904D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0.167</w:t>
            </w:r>
          </w:p>
        </w:tc>
        <w:tc>
          <w:tcPr>
            <w:tcW w:w="309" w:type="pct"/>
            <w:tcBorders>
              <w:tl2br w:val="nil"/>
              <w:tr2bl w:val="nil"/>
            </w:tcBorders>
            <w:shd w:val="clear" w:color="auto" w:fill="auto"/>
            <w:vAlign w:val="center"/>
          </w:tcPr>
          <w:p w14:paraId="6F4A2D9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47</w:t>
            </w:r>
          </w:p>
        </w:tc>
        <w:tc>
          <w:tcPr>
            <w:tcW w:w="278" w:type="pct"/>
            <w:tcBorders>
              <w:tl2br w:val="nil"/>
              <w:tr2bl w:val="nil"/>
            </w:tcBorders>
            <w:shd w:val="clear" w:color="auto" w:fill="auto"/>
            <w:vAlign w:val="center"/>
          </w:tcPr>
          <w:p w14:paraId="6B6A316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0.157</w:t>
            </w:r>
          </w:p>
        </w:tc>
        <w:tc>
          <w:tcPr>
            <w:tcW w:w="344" w:type="pct"/>
            <w:tcBorders>
              <w:tl2br w:val="nil"/>
              <w:tr2bl w:val="nil"/>
            </w:tcBorders>
            <w:shd w:val="clear" w:color="auto" w:fill="auto"/>
            <w:vAlign w:val="center"/>
          </w:tcPr>
          <w:p w14:paraId="7A4E56E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60</w:t>
            </w:r>
          </w:p>
        </w:tc>
        <w:tc>
          <w:tcPr>
            <w:tcW w:w="415" w:type="pct"/>
            <w:tcBorders>
              <w:tl2br w:val="nil"/>
              <w:tr2bl w:val="nil"/>
            </w:tcBorders>
            <w:shd w:val="clear" w:color="auto" w:fill="auto"/>
            <w:vAlign w:val="center"/>
          </w:tcPr>
          <w:p w14:paraId="7EC681D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0.200</w:t>
            </w:r>
          </w:p>
        </w:tc>
        <w:tc>
          <w:tcPr>
            <w:tcW w:w="334" w:type="pct"/>
            <w:tcBorders>
              <w:tl2br w:val="nil"/>
              <w:tr2bl w:val="nil"/>
            </w:tcBorders>
            <w:shd w:val="clear" w:color="auto" w:fill="auto"/>
            <w:vAlign w:val="center"/>
          </w:tcPr>
          <w:p w14:paraId="472856A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64</w:t>
            </w:r>
          </w:p>
        </w:tc>
        <w:tc>
          <w:tcPr>
            <w:tcW w:w="410" w:type="pct"/>
            <w:tcBorders>
              <w:tl2br w:val="nil"/>
              <w:tr2bl w:val="nil"/>
            </w:tcBorders>
            <w:shd w:val="clear" w:color="auto" w:fill="auto"/>
            <w:vAlign w:val="center"/>
          </w:tcPr>
          <w:p w14:paraId="11F6952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0.213</w:t>
            </w:r>
          </w:p>
        </w:tc>
        <w:tc>
          <w:tcPr>
            <w:tcW w:w="314" w:type="pct"/>
            <w:tcBorders>
              <w:tl2br w:val="nil"/>
              <w:tr2bl w:val="nil"/>
            </w:tcBorders>
            <w:shd w:val="clear" w:color="auto" w:fill="auto"/>
            <w:vAlign w:val="center"/>
          </w:tcPr>
          <w:p w14:paraId="132A891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c>
          <w:tcPr>
            <w:tcW w:w="368" w:type="pct"/>
            <w:tcBorders>
              <w:tl2br w:val="nil"/>
              <w:tr2bl w:val="nil"/>
            </w:tcBorders>
            <w:shd w:val="clear" w:color="auto" w:fill="auto"/>
            <w:vAlign w:val="center"/>
          </w:tcPr>
          <w:p w14:paraId="6D2F2D5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0.180</w:t>
            </w:r>
          </w:p>
        </w:tc>
      </w:tr>
      <w:tr w14:paraId="5FAD76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38" w:hRule="atLeast"/>
          <w:jc w:val="center"/>
        </w:trPr>
        <w:tc>
          <w:tcPr>
            <w:tcW w:w="211" w:type="pct"/>
            <w:tcBorders>
              <w:tl2br w:val="nil"/>
              <w:tr2bl w:val="nil"/>
            </w:tcBorders>
            <w:shd w:val="clear" w:color="auto" w:fill="auto"/>
            <w:vAlign w:val="center"/>
          </w:tcPr>
          <w:p w14:paraId="60AE10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370" w:type="pct"/>
            <w:tcBorders>
              <w:tl2br w:val="nil"/>
              <w:tr2bl w:val="nil"/>
            </w:tcBorders>
            <w:shd w:val="clear" w:color="auto" w:fill="auto"/>
            <w:vAlign w:val="center"/>
          </w:tcPr>
          <w:p w14:paraId="2175E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砷</w:t>
            </w:r>
          </w:p>
        </w:tc>
        <w:tc>
          <w:tcPr>
            <w:tcW w:w="283" w:type="pct"/>
            <w:tcBorders>
              <w:tl2br w:val="nil"/>
              <w:tr2bl w:val="nil"/>
            </w:tcBorders>
            <w:shd w:val="clear" w:color="auto" w:fill="auto"/>
            <w:vAlign w:val="center"/>
          </w:tcPr>
          <w:p w14:paraId="04F490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60</w:t>
            </w:r>
          </w:p>
        </w:tc>
        <w:tc>
          <w:tcPr>
            <w:tcW w:w="349" w:type="pct"/>
            <w:tcBorders>
              <w:tl2br w:val="nil"/>
              <w:tr2bl w:val="nil"/>
            </w:tcBorders>
            <w:shd w:val="clear" w:color="auto" w:fill="auto"/>
            <w:vAlign w:val="center"/>
          </w:tcPr>
          <w:p w14:paraId="11CB3B6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7.70</w:t>
            </w:r>
          </w:p>
        </w:tc>
        <w:tc>
          <w:tcPr>
            <w:tcW w:w="344" w:type="pct"/>
            <w:tcBorders>
              <w:tl2br w:val="nil"/>
              <w:tr2bl w:val="nil"/>
            </w:tcBorders>
            <w:shd w:val="clear" w:color="auto" w:fill="auto"/>
            <w:vAlign w:val="center"/>
          </w:tcPr>
          <w:p w14:paraId="210A1F9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0.128</w:t>
            </w:r>
          </w:p>
        </w:tc>
        <w:tc>
          <w:tcPr>
            <w:tcW w:w="375" w:type="pct"/>
            <w:tcBorders>
              <w:tl2br w:val="nil"/>
              <w:tr2bl w:val="nil"/>
            </w:tcBorders>
            <w:shd w:val="clear" w:color="auto" w:fill="auto"/>
            <w:vAlign w:val="center"/>
          </w:tcPr>
          <w:p w14:paraId="6FF51F3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6.96</w:t>
            </w:r>
          </w:p>
        </w:tc>
        <w:tc>
          <w:tcPr>
            <w:tcW w:w="288" w:type="pct"/>
            <w:tcBorders>
              <w:tl2br w:val="nil"/>
              <w:tr2bl w:val="nil"/>
            </w:tcBorders>
            <w:shd w:val="clear" w:color="auto" w:fill="auto"/>
            <w:vAlign w:val="center"/>
          </w:tcPr>
          <w:p w14:paraId="428F261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0.116</w:t>
            </w:r>
          </w:p>
        </w:tc>
        <w:tc>
          <w:tcPr>
            <w:tcW w:w="309" w:type="pct"/>
            <w:tcBorders>
              <w:tl2br w:val="nil"/>
              <w:tr2bl w:val="nil"/>
            </w:tcBorders>
            <w:shd w:val="clear" w:color="auto" w:fill="auto"/>
            <w:vAlign w:val="center"/>
          </w:tcPr>
          <w:p w14:paraId="061A75F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6.73</w:t>
            </w:r>
          </w:p>
        </w:tc>
        <w:tc>
          <w:tcPr>
            <w:tcW w:w="278" w:type="pct"/>
            <w:tcBorders>
              <w:tl2br w:val="nil"/>
              <w:tr2bl w:val="nil"/>
            </w:tcBorders>
            <w:shd w:val="clear" w:color="auto" w:fill="auto"/>
            <w:vAlign w:val="center"/>
          </w:tcPr>
          <w:p w14:paraId="4876D30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0.112</w:t>
            </w:r>
          </w:p>
        </w:tc>
        <w:tc>
          <w:tcPr>
            <w:tcW w:w="344" w:type="pct"/>
            <w:tcBorders>
              <w:tl2br w:val="nil"/>
              <w:tr2bl w:val="nil"/>
            </w:tcBorders>
            <w:shd w:val="clear" w:color="auto" w:fill="auto"/>
            <w:vAlign w:val="center"/>
          </w:tcPr>
          <w:p w14:paraId="1B9EC04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6.29</w:t>
            </w:r>
          </w:p>
        </w:tc>
        <w:tc>
          <w:tcPr>
            <w:tcW w:w="415" w:type="pct"/>
            <w:tcBorders>
              <w:tl2br w:val="nil"/>
              <w:tr2bl w:val="nil"/>
            </w:tcBorders>
            <w:shd w:val="clear" w:color="auto" w:fill="auto"/>
            <w:vAlign w:val="center"/>
          </w:tcPr>
          <w:p w14:paraId="01870A7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0.105</w:t>
            </w:r>
          </w:p>
        </w:tc>
        <w:tc>
          <w:tcPr>
            <w:tcW w:w="334" w:type="pct"/>
            <w:tcBorders>
              <w:tl2br w:val="nil"/>
              <w:tr2bl w:val="nil"/>
            </w:tcBorders>
            <w:shd w:val="clear" w:color="auto" w:fill="auto"/>
            <w:vAlign w:val="center"/>
          </w:tcPr>
          <w:p w14:paraId="2DC0CD1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5.60</w:t>
            </w:r>
          </w:p>
        </w:tc>
        <w:tc>
          <w:tcPr>
            <w:tcW w:w="410" w:type="pct"/>
            <w:tcBorders>
              <w:tl2br w:val="nil"/>
              <w:tr2bl w:val="nil"/>
            </w:tcBorders>
            <w:shd w:val="clear" w:color="auto" w:fill="auto"/>
            <w:vAlign w:val="center"/>
          </w:tcPr>
          <w:p w14:paraId="43A7137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0.093</w:t>
            </w:r>
          </w:p>
        </w:tc>
        <w:tc>
          <w:tcPr>
            <w:tcW w:w="314" w:type="pct"/>
            <w:tcBorders>
              <w:tl2br w:val="nil"/>
              <w:tr2bl w:val="nil"/>
            </w:tcBorders>
            <w:shd w:val="clear" w:color="auto" w:fill="auto"/>
            <w:vAlign w:val="center"/>
          </w:tcPr>
          <w:p w14:paraId="2EB5B4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7.13</w:t>
            </w:r>
          </w:p>
        </w:tc>
        <w:tc>
          <w:tcPr>
            <w:tcW w:w="368" w:type="pct"/>
            <w:tcBorders>
              <w:tl2br w:val="nil"/>
              <w:tr2bl w:val="nil"/>
            </w:tcBorders>
            <w:shd w:val="clear" w:color="auto" w:fill="auto"/>
            <w:vAlign w:val="center"/>
          </w:tcPr>
          <w:p w14:paraId="46A4143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0.119</w:t>
            </w:r>
          </w:p>
        </w:tc>
      </w:tr>
      <w:tr w14:paraId="0E4C54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5BF1F6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370" w:type="pct"/>
            <w:tcBorders>
              <w:tl2br w:val="nil"/>
              <w:tr2bl w:val="nil"/>
            </w:tcBorders>
            <w:shd w:val="clear" w:color="auto" w:fill="auto"/>
            <w:vAlign w:val="center"/>
          </w:tcPr>
          <w:p w14:paraId="0CE09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镉</w:t>
            </w:r>
          </w:p>
        </w:tc>
        <w:tc>
          <w:tcPr>
            <w:tcW w:w="283" w:type="pct"/>
            <w:tcBorders>
              <w:tl2br w:val="nil"/>
              <w:tr2bl w:val="nil"/>
            </w:tcBorders>
            <w:shd w:val="clear" w:color="auto" w:fill="auto"/>
            <w:vAlign w:val="center"/>
          </w:tcPr>
          <w:p w14:paraId="6A495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65</w:t>
            </w:r>
          </w:p>
        </w:tc>
        <w:tc>
          <w:tcPr>
            <w:tcW w:w="349" w:type="pct"/>
            <w:tcBorders>
              <w:tl2br w:val="nil"/>
              <w:tr2bl w:val="nil"/>
            </w:tcBorders>
            <w:shd w:val="clear" w:color="auto" w:fill="auto"/>
            <w:vAlign w:val="center"/>
          </w:tcPr>
          <w:p w14:paraId="0E8B84A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0.36</w:t>
            </w:r>
          </w:p>
        </w:tc>
        <w:tc>
          <w:tcPr>
            <w:tcW w:w="344" w:type="pct"/>
            <w:tcBorders>
              <w:tl2br w:val="nil"/>
              <w:tr2bl w:val="nil"/>
            </w:tcBorders>
            <w:shd w:val="clear" w:color="auto" w:fill="auto"/>
            <w:vAlign w:val="center"/>
          </w:tcPr>
          <w:p w14:paraId="6805553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0.006</w:t>
            </w:r>
          </w:p>
        </w:tc>
        <w:tc>
          <w:tcPr>
            <w:tcW w:w="375" w:type="pct"/>
            <w:tcBorders>
              <w:tl2br w:val="nil"/>
              <w:tr2bl w:val="nil"/>
            </w:tcBorders>
            <w:shd w:val="clear" w:color="auto" w:fill="auto"/>
            <w:vAlign w:val="center"/>
          </w:tcPr>
          <w:p w14:paraId="4C456E5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0.09</w:t>
            </w:r>
          </w:p>
        </w:tc>
        <w:tc>
          <w:tcPr>
            <w:tcW w:w="288" w:type="pct"/>
            <w:tcBorders>
              <w:tl2br w:val="nil"/>
              <w:tr2bl w:val="nil"/>
            </w:tcBorders>
            <w:shd w:val="clear" w:color="auto" w:fill="auto"/>
            <w:vAlign w:val="center"/>
          </w:tcPr>
          <w:p w14:paraId="21F1139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09" w:type="pct"/>
            <w:tcBorders>
              <w:tl2br w:val="nil"/>
              <w:tr2bl w:val="nil"/>
            </w:tcBorders>
            <w:shd w:val="clear" w:color="auto" w:fill="auto"/>
            <w:vAlign w:val="center"/>
          </w:tcPr>
          <w:p w14:paraId="29811F9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0.15</w:t>
            </w:r>
          </w:p>
        </w:tc>
        <w:tc>
          <w:tcPr>
            <w:tcW w:w="278" w:type="pct"/>
            <w:tcBorders>
              <w:tl2br w:val="nil"/>
              <w:tr2bl w:val="nil"/>
            </w:tcBorders>
            <w:shd w:val="clear" w:color="auto" w:fill="auto"/>
            <w:vAlign w:val="center"/>
          </w:tcPr>
          <w:p w14:paraId="5D49F2E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0.002</w:t>
            </w:r>
          </w:p>
        </w:tc>
        <w:tc>
          <w:tcPr>
            <w:tcW w:w="344" w:type="pct"/>
            <w:tcBorders>
              <w:tl2br w:val="nil"/>
              <w:tr2bl w:val="nil"/>
            </w:tcBorders>
            <w:shd w:val="clear" w:color="auto" w:fill="auto"/>
            <w:vAlign w:val="center"/>
          </w:tcPr>
          <w:p w14:paraId="2A65CBA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0.21</w:t>
            </w:r>
          </w:p>
        </w:tc>
        <w:tc>
          <w:tcPr>
            <w:tcW w:w="415" w:type="pct"/>
            <w:tcBorders>
              <w:tl2br w:val="nil"/>
              <w:tr2bl w:val="nil"/>
            </w:tcBorders>
            <w:shd w:val="clear" w:color="auto" w:fill="auto"/>
            <w:vAlign w:val="center"/>
          </w:tcPr>
          <w:p w14:paraId="0937B59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0.003</w:t>
            </w:r>
          </w:p>
        </w:tc>
        <w:tc>
          <w:tcPr>
            <w:tcW w:w="334" w:type="pct"/>
            <w:tcBorders>
              <w:tl2br w:val="nil"/>
              <w:tr2bl w:val="nil"/>
            </w:tcBorders>
            <w:shd w:val="clear" w:color="auto" w:fill="auto"/>
            <w:vAlign w:val="center"/>
          </w:tcPr>
          <w:p w14:paraId="75ECAAA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0.26</w:t>
            </w:r>
          </w:p>
        </w:tc>
        <w:tc>
          <w:tcPr>
            <w:tcW w:w="410" w:type="pct"/>
            <w:tcBorders>
              <w:tl2br w:val="nil"/>
              <w:tr2bl w:val="nil"/>
            </w:tcBorders>
            <w:shd w:val="clear" w:color="auto" w:fill="auto"/>
            <w:vAlign w:val="center"/>
          </w:tcPr>
          <w:p w14:paraId="0540006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0.004</w:t>
            </w:r>
          </w:p>
        </w:tc>
        <w:tc>
          <w:tcPr>
            <w:tcW w:w="314" w:type="pct"/>
            <w:tcBorders>
              <w:tl2br w:val="nil"/>
              <w:tr2bl w:val="nil"/>
            </w:tcBorders>
            <w:shd w:val="clear" w:color="auto" w:fill="auto"/>
            <w:vAlign w:val="center"/>
          </w:tcPr>
          <w:p w14:paraId="33A5782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0.26</w:t>
            </w:r>
          </w:p>
        </w:tc>
        <w:tc>
          <w:tcPr>
            <w:tcW w:w="368" w:type="pct"/>
            <w:tcBorders>
              <w:tl2br w:val="nil"/>
              <w:tr2bl w:val="nil"/>
            </w:tcBorders>
            <w:shd w:val="clear" w:color="auto" w:fill="auto"/>
            <w:vAlign w:val="center"/>
          </w:tcPr>
          <w:p w14:paraId="3459CF5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0.004</w:t>
            </w:r>
          </w:p>
        </w:tc>
      </w:tr>
      <w:tr w14:paraId="3FB2F9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41" w:hRule="atLeast"/>
          <w:jc w:val="center"/>
        </w:trPr>
        <w:tc>
          <w:tcPr>
            <w:tcW w:w="211" w:type="pct"/>
            <w:tcBorders>
              <w:tl2br w:val="nil"/>
              <w:tr2bl w:val="nil"/>
            </w:tcBorders>
            <w:shd w:val="clear" w:color="auto" w:fill="auto"/>
            <w:vAlign w:val="center"/>
          </w:tcPr>
          <w:p w14:paraId="3A060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370" w:type="pct"/>
            <w:tcBorders>
              <w:tl2br w:val="nil"/>
              <w:tr2bl w:val="nil"/>
            </w:tcBorders>
            <w:shd w:val="clear" w:color="auto" w:fill="auto"/>
            <w:vAlign w:val="center"/>
          </w:tcPr>
          <w:p w14:paraId="42CAC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kern w:val="0"/>
                <w:szCs w:val="21"/>
                <w:lang w:eastAsia="zh-CN" w:bidi="ar"/>
              </w:rPr>
              <w:t>六价铬</w:t>
            </w:r>
          </w:p>
        </w:tc>
        <w:tc>
          <w:tcPr>
            <w:tcW w:w="283" w:type="pct"/>
            <w:tcBorders>
              <w:tl2br w:val="nil"/>
              <w:tr2bl w:val="nil"/>
            </w:tcBorders>
            <w:shd w:val="clear" w:color="auto" w:fill="auto"/>
            <w:vAlign w:val="center"/>
          </w:tcPr>
          <w:p w14:paraId="5A02AC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5.7</w:t>
            </w:r>
          </w:p>
        </w:tc>
        <w:tc>
          <w:tcPr>
            <w:tcW w:w="349" w:type="pct"/>
            <w:tcBorders>
              <w:tl2br w:val="nil"/>
              <w:tr2bl w:val="nil"/>
            </w:tcBorders>
            <w:shd w:val="clear" w:color="auto" w:fill="auto"/>
            <w:vAlign w:val="center"/>
          </w:tcPr>
          <w:p w14:paraId="66122F0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344" w:type="pct"/>
            <w:tcBorders>
              <w:tl2br w:val="nil"/>
              <w:tr2bl w:val="nil"/>
            </w:tcBorders>
            <w:shd w:val="clear" w:color="auto" w:fill="auto"/>
            <w:vAlign w:val="center"/>
          </w:tcPr>
          <w:p w14:paraId="404C848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375" w:type="pct"/>
            <w:tcBorders>
              <w:tl2br w:val="nil"/>
              <w:tr2bl w:val="nil"/>
            </w:tcBorders>
            <w:shd w:val="clear" w:color="auto" w:fill="auto"/>
            <w:vAlign w:val="center"/>
          </w:tcPr>
          <w:p w14:paraId="07E1614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88" w:type="pct"/>
            <w:tcBorders>
              <w:tl2br w:val="nil"/>
              <w:tr2bl w:val="nil"/>
            </w:tcBorders>
            <w:shd w:val="clear" w:color="auto" w:fill="auto"/>
            <w:vAlign w:val="center"/>
          </w:tcPr>
          <w:p w14:paraId="78741DE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309" w:type="pct"/>
            <w:tcBorders>
              <w:tl2br w:val="nil"/>
              <w:tr2bl w:val="nil"/>
            </w:tcBorders>
            <w:shd w:val="clear" w:color="auto" w:fill="auto"/>
            <w:vAlign w:val="center"/>
          </w:tcPr>
          <w:p w14:paraId="540A113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278" w:type="pct"/>
            <w:tcBorders>
              <w:tl2br w:val="nil"/>
              <w:tr2bl w:val="nil"/>
            </w:tcBorders>
            <w:shd w:val="clear" w:color="auto" w:fill="auto"/>
            <w:vAlign w:val="center"/>
          </w:tcPr>
          <w:p w14:paraId="5172F0E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344" w:type="pct"/>
            <w:tcBorders>
              <w:tl2br w:val="nil"/>
              <w:tr2bl w:val="nil"/>
            </w:tcBorders>
            <w:shd w:val="clear" w:color="auto" w:fill="auto"/>
            <w:vAlign w:val="center"/>
          </w:tcPr>
          <w:p w14:paraId="635E8A6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415" w:type="pct"/>
            <w:tcBorders>
              <w:tl2br w:val="nil"/>
              <w:tr2bl w:val="nil"/>
            </w:tcBorders>
            <w:shd w:val="clear" w:color="auto" w:fill="auto"/>
            <w:vAlign w:val="center"/>
          </w:tcPr>
          <w:p w14:paraId="3367362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334" w:type="pct"/>
            <w:tcBorders>
              <w:tl2br w:val="nil"/>
              <w:tr2bl w:val="nil"/>
            </w:tcBorders>
            <w:shd w:val="clear" w:color="auto" w:fill="auto"/>
            <w:vAlign w:val="center"/>
          </w:tcPr>
          <w:p w14:paraId="71B785F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410" w:type="pct"/>
            <w:tcBorders>
              <w:tl2br w:val="nil"/>
              <w:tr2bl w:val="nil"/>
            </w:tcBorders>
            <w:shd w:val="clear" w:color="auto" w:fill="auto"/>
            <w:vAlign w:val="center"/>
          </w:tcPr>
          <w:p w14:paraId="5D61469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c>
          <w:tcPr>
            <w:tcW w:w="314" w:type="pct"/>
            <w:tcBorders>
              <w:tl2br w:val="nil"/>
              <w:tr2bl w:val="nil"/>
            </w:tcBorders>
            <w:shd w:val="clear" w:color="auto" w:fill="auto"/>
            <w:vAlign w:val="center"/>
          </w:tcPr>
          <w:p w14:paraId="4A63C34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w:t>
            </w:r>
          </w:p>
        </w:tc>
        <w:tc>
          <w:tcPr>
            <w:tcW w:w="368" w:type="pct"/>
            <w:tcBorders>
              <w:tl2br w:val="nil"/>
              <w:tr2bl w:val="nil"/>
            </w:tcBorders>
            <w:shd w:val="clear" w:color="auto" w:fill="auto"/>
            <w:vAlign w:val="center"/>
          </w:tcPr>
          <w:p w14:paraId="707FC2A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0.088</w:t>
            </w:r>
          </w:p>
        </w:tc>
      </w:tr>
      <w:tr w14:paraId="0FCC89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48881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w:t>
            </w:r>
          </w:p>
        </w:tc>
        <w:tc>
          <w:tcPr>
            <w:tcW w:w="370" w:type="pct"/>
            <w:tcBorders>
              <w:tl2br w:val="nil"/>
              <w:tr2bl w:val="nil"/>
            </w:tcBorders>
            <w:shd w:val="clear" w:color="auto" w:fill="auto"/>
            <w:vAlign w:val="center"/>
          </w:tcPr>
          <w:p w14:paraId="2A522D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铜</w:t>
            </w:r>
          </w:p>
        </w:tc>
        <w:tc>
          <w:tcPr>
            <w:tcW w:w="283" w:type="pct"/>
            <w:tcBorders>
              <w:tl2br w:val="nil"/>
              <w:tr2bl w:val="nil"/>
            </w:tcBorders>
            <w:shd w:val="clear" w:color="auto" w:fill="auto"/>
            <w:vAlign w:val="center"/>
          </w:tcPr>
          <w:p w14:paraId="06362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18000</w:t>
            </w:r>
          </w:p>
        </w:tc>
        <w:tc>
          <w:tcPr>
            <w:tcW w:w="349" w:type="pct"/>
            <w:tcBorders>
              <w:tl2br w:val="nil"/>
              <w:tr2bl w:val="nil"/>
            </w:tcBorders>
            <w:shd w:val="clear" w:color="auto" w:fill="auto"/>
            <w:vAlign w:val="center"/>
          </w:tcPr>
          <w:p w14:paraId="29DEFE8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344" w:type="pct"/>
            <w:tcBorders>
              <w:tl2br w:val="nil"/>
              <w:tr2bl w:val="nil"/>
            </w:tcBorders>
            <w:shd w:val="clear" w:color="auto" w:fill="auto"/>
            <w:vAlign w:val="center"/>
          </w:tcPr>
          <w:p w14:paraId="6A08BA5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75" w:type="pct"/>
            <w:tcBorders>
              <w:tl2br w:val="nil"/>
              <w:tr2bl w:val="nil"/>
            </w:tcBorders>
            <w:shd w:val="clear" w:color="auto" w:fill="auto"/>
            <w:vAlign w:val="center"/>
          </w:tcPr>
          <w:p w14:paraId="7D05785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288" w:type="pct"/>
            <w:tcBorders>
              <w:tl2br w:val="nil"/>
              <w:tr2bl w:val="nil"/>
            </w:tcBorders>
            <w:shd w:val="clear" w:color="auto" w:fill="auto"/>
            <w:vAlign w:val="center"/>
          </w:tcPr>
          <w:p w14:paraId="5896B13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09" w:type="pct"/>
            <w:tcBorders>
              <w:tl2br w:val="nil"/>
              <w:tr2bl w:val="nil"/>
            </w:tcBorders>
            <w:shd w:val="clear" w:color="auto" w:fill="auto"/>
            <w:vAlign w:val="center"/>
          </w:tcPr>
          <w:p w14:paraId="1E07949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w:t>
            </w:r>
          </w:p>
        </w:tc>
        <w:tc>
          <w:tcPr>
            <w:tcW w:w="278" w:type="pct"/>
            <w:tcBorders>
              <w:tl2br w:val="nil"/>
              <w:tr2bl w:val="nil"/>
            </w:tcBorders>
            <w:shd w:val="clear" w:color="auto" w:fill="auto"/>
            <w:vAlign w:val="center"/>
          </w:tcPr>
          <w:p w14:paraId="59CA5F5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44" w:type="pct"/>
            <w:tcBorders>
              <w:tl2br w:val="nil"/>
              <w:tr2bl w:val="nil"/>
            </w:tcBorders>
            <w:shd w:val="clear" w:color="auto" w:fill="auto"/>
            <w:vAlign w:val="center"/>
          </w:tcPr>
          <w:p w14:paraId="173E23C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w:t>
            </w:r>
          </w:p>
        </w:tc>
        <w:tc>
          <w:tcPr>
            <w:tcW w:w="415" w:type="pct"/>
            <w:tcBorders>
              <w:tl2br w:val="nil"/>
              <w:tr2bl w:val="nil"/>
            </w:tcBorders>
            <w:shd w:val="clear" w:color="auto" w:fill="auto"/>
            <w:vAlign w:val="center"/>
          </w:tcPr>
          <w:p w14:paraId="640D3D2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34" w:type="pct"/>
            <w:tcBorders>
              <w:tl2br w:val="nil"/>
              <w:tr2bl w:val="nil"/>
            </w:tcBorders>
            <w:shd w:val="clear" w:color="auto" w:fill="auto"/>
            <w:vAlign w:val="center"/>
          </w:tcPr>
          <w:p w14:paraId="7790144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w:t>
            </w:r>
          </w:p>
        </w:tc>
        <w:tc>
          <w:tcPr>
            <w:tcW w:w="410" w:type="pct"/>
            <w:tcBorders>
              <w:tl2br w:val="nil"/>
              <w:tr2bl w:val="nil"/>
            </w:tcBorders>
            <w:shd w:val="clear" w:color="auto" w:fill="auto"/>
            <w:vAlign w:val="center"/>
          </w:tcPr>
          <w:p w14:paraId="072EB71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c>
          <w:tcPr>
            <w:tcW w:w="314" w:type="pct"/>
            <w:tcBorders>
              <w:tl2br w:val="nil"/>
              <w:tr2bl w:val="nil"/>
            </w:tcBorders>
            <w:shd w:val="clear" w:color="auto" w:fill="auto"/>
            <w:vAlign w:val="center"/>
          </w:tcPr>
          <w:p w14:paraId="2081AC8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w:t>
            </w:r>
          </w:p>
        </w:tc>
        <w:tc>
          <w:tcPr>
            <w:tcW w:w="368" w:type="pct"/>
            <w:tcBorders>
              <w:tl2br w:val="nil"/>
              <w:tr2bl w:val="nil"/>
            </w:tcBorders>
            <w:shd w:val="clear" w:color="auto" w:fill="auto"/>
            <w:vAlign w:val="center"/>
          </w:tcPr>
          <w:p w14:paraId="1B090D9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0.001</w:t>
            </w:r>
          </w:p>
        </w:tc>
      </w:tr>
      <w:tr w14:paraId="4BBD70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6DE6C0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c>
          <w:tcPr>
            <w:tcW w:w="370" w:type="pct"/>
            <w:tcBorders>
              <w:tl2br w:val="nil"/>
              <w:tr2bl w:val="nil"/>
            </w:tcBorders>
            <w:shd w:val="clear" w:color="auto" w:fill="auto"/>
            <w:vAlign w:val="center"/>
          </w:tcPr>
          <w:p w14:paraId="2A64EB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铅</w:t>
            </w:r>
          </w:p>
        </w:tc>
        <w:tc>
          <w:tcPr>
            <w:tcW w:w="283" w:type="pct"/>
            <w:tcBorders>
              <w:tl2br w:val="nil"/>
              <w:tr2bl w:val="nil"/>
            </w:tcBorders>
            <w:shd w:val="clear" w:color="auto" w:fill="auto"/>
            <w:vAlign w:val="center"/>
          </w:tcPr>
          <w:p w14:paraId="009C7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800</w:t>
            </w:r>
          </w:p>
        </w:tc>
        <w:tc>
          <w:tcPr>
            <w:tcW w:w="349" w:type="pct"/>
            <w:tcBorders>
              <w:tl2br w:val="nil"/>
              <w:tr2bl w:val="nil"/>
            </w:tcBorders>
            <w:shd w:val="clear" w:color="auto" w:fill="auto"/>
            <w:vAlign w:val="center"/>
          </w:tcPr>
          <w:p w14:paraId="51259E4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11.1</w:t>
            </w:r>
          </w:p>
        </w:tc>
        <w:tc>
          <w:tcPr>
            <w:tcW w:w="344" w:type="pct"/>
            <w:tcBorders>
              <w:tl2br w:val="nil"/>
              <w:tr2bl w:val="nil"/>
            </w:tcBorders>
            <w:shd w:val="clear" w:color="auto" w:fill="auto"/>
            <w:vAlign w:val="center"/>
          </w:tcPr>
          <w:p w14:paraId="72AFE78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0.014</w:t>
            </w:r>
          </w:p>
        </w:tc>
        <w:tc>
          <w:tcPr>
            <w:tcW w:w="375" w:type="pct"/>
            <w:tcBorders>
              <w:tl2br w:val="nil"/>
              <w:tr2bl w:val="nil"/>
            </w:tcBorders>
            <w:shd w:val="clear" w:color="auto" w:fill="auto"/>
            <w:vAlign w:val="center"/>
          </w:tcPr>
          <w:p w14:paraId="1FA31F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22.2</w:t>
            </w:r>
          </w:p>
        </w:tc>
        <w:tc>
          <w:tcPr>
            <w:tcW w:w="288" w:type="pct"/>
            <w:tcBorders>
              <w:tl2br w:val="nil"/>
              <w:tr2bl w:val="nil"/>
            </w:tcBorders>
            <w:shd w:val="clear" w:color="auto" w:fill="auto"/>
            <w:vAlign w:val="center"/>
          </w:tcPr>
          <w:p w14:paraId="7EC7ABD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0.028</w:t>
            </w:r>
          </w:p>
        </w:tc>
        <w:tc>
          <w:tcPr>
            <w:tcW w:w="309" w:type="pct"/>
            <w:tcBorders>
              <w:tl2br w:val="nil"/>
              <w:tr2bl w:val="nil"/>
            </w:tcBorders>
            <w:shd w:val="clear" w:color="auto" w:fill="auto"/>
            <w:vAlign w:val="center"/>
          </w:tcPr>
          <w:p w14:paraId="4A3D38B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10.5</w:t>
            </w:r>
          </w:p>
        </w:tc>
        <w:tc>
          <w:tcPr>
            <w:tcW w:w="278" w:type="pct"/>
            <w:tcBorders>
              <w:tl2br w:val="nil"/>
              <w:tr2bl w:val="nil"/>
            </w:tcBorders>
            <w:shd w:val="clear" w:color="auto" w:fill="auto"/>
            <w:vAlign w:val="center"/>
          </w:tcPr>
          <w:p w14:paraId="4552616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0.013</w:t>
            </w:r>
          </w:p>
        </w:tc>
        <w:tc>
          <w:tcPr>
            <w:tcW w:w="344" w:type="pct"/>
            <w:tcBorders>
              <w:tl2br w:val="nil"/>
              <w:tr2bl w:val="nil"/>
            </w:tcBorders>
            <w:shd w:val="clear" w:color="auto" w:fill="auto"/>
            <w:vAlign w:val="center"/>
          </w:tcPr>
          <w:p w14:paraId="0609677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8.1</w:t>
            </w:r>
          </w:p>
        </w:tc>
        <w:tc>
          <w:tcPr>
            <w:tcW w:w="415" w:type="pct"/>
            <w:tcBorders>
              <w:tl2br w:val="nil"/>
              <w:tr2bl w:val="nil"/>
            </w:tcBorders>
            <w:shd w:val="clear" w:color="auto" w:fill="auto"/>
            <w:vAlign w:val="center"/>
          </w:tcPr>
          <w:p w14:paraId="242A45B1">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w:t>
            </w:r>
          </w:p>
        </w:tc>
        <w:tc>
          <w:tcPr>
            <w:tcW w:w="334" w:type="pct"/>
            <w:tcBorders>
              <w:tl2br w:val="nil"/>
              <w:tr2bl w:val="nil"/>
            </w:tcBorders>
            <w:shd w:val="clear" w:color="auto" w:fill="auto"/>
            <w:vAlign w:val="center"/>
          </w:tcPr>
          <w:p w14:paraId="7D8FD15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c>
          <w:tcPr>
            <w:tcW w:w="410" w:type="pct"/>
            <w:tcBorders>
              <w:tl2br w:val="nil"/>
              <w:tr2bl w:val="nil"/>
            </w:tcBorders>
            <w:shd w:val="clear" w:color="auto" w:fill="auto"/>
            <w:vAlign w:val="center"/>
          </w:tcPr>
          <w:p w14:paraId="44C97E22">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0.007</w:t>
            </w:r>
          </w:p>
        </w:tc>
        <w:tc>
          <w:tcPr>
            <w:tcW w:w="314" w:type="pct"/>
            <w:tcBorders>
              <w:tl2br w:val="nil"/>
              <w:tr2bl w:val="nil"/>
            </w:tcBorders>
            <w:shd w:val="clear" w:color="auto" w:fill="auto"/>
            <w:vAlign w:val="center"/>
          </w:tcPr>
          <w:p w14:paraId="7070A2C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7.8</w:t>
            </w:r>
          </w:p>
        </w:tc>
        <w:tc>
          <w:tcPr>
            <w:tcW w:w="368" w:type="pct"/>
            <w:tcBorders>
              <w:tl2br w:val="nil"/>
              <w:tr2bl w:val="nil"/>
            </w:tcBorders>
            <w:shd w:val="clear" w:color="auto" w:fill="auto"/>
            <w:vAlign w:val="center"/>
          </w:tcPr>
          <w:p w14:paraId="7FECAC4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w:t>
            </w:r>
          </w:p>
        </w:tc>
      </w:tr>
      <w:tr w14:paraId="205AE9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684951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w:t>
            </w:r>
          </w:p>
        </w:tc>
        <w:tc>
          <w:tcPr>
            <w:tcW w:w="370" w:type="pct"/>
            <w:tcBorders>
              <w:tl2br w:val="nil"/>
              <w:tr2bl w:val="nil"/>
            </w:tcBorders>
            <w:shd w:val="clear" w:color="auto" w:fill="auto"/>
            <w:vAlign w:val="center"/>
          </w:tcPr>
          <w:p w14:paraId="3605D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汞</w:t>
            </w:r>
          </w:p>
        </w:tc>
        <w:tc>
          <w:tcPr>
            <w:tcW w:w="283" w:type="pct"/>
            <w:tcBorders>
              <w:tl2br w:val="nil"/>
              <w:tr2bl w:val="nil"/>
            </w:tcBorders>
            <w:shd w:val="clear" w:color="auto" w:fill="auto"/>
            <w:vAlign w:val="center"/>
          </w:tcPr>
          <w:p w14:paraId="38DFF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38</w:t>
            </w:r>
          </w:p>
        </w:tc>
        <w:tc>
          <w:tcPr>
            <w:tcW w:w="349" w:type="pct"/>
            <w:tcBorders>
              <w:tl2br w:val="nil"/>
              <w:tr2bl w:val="nil"/>
            </w:tcBorders>
            <w:shd w:val="clear" w:color="auto" w:fill="auto"/>
            <w:vAlign w:val="center"/>
          </w:tcPr>
          <w:p w14:paraId="71EC1F2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0.708</w:t>
            </w:r>
          </w:p>
        </w:tc>
        <w:tc>
          <w:tcPr>
            <w:tcW w:w="344" w:type="pct"/>
            <w:tcBorders>
              <w:tl2br w:val="nil"/>
              <w:tr2bl w:val="nil"/>
            </w:tcBorders>
            <w:shd w:val="clear" w:color="auto" w:fill="auto"/>
            <w:vAlign w:val="center"/>
          </w:tcPr>
          <w:p w14:paraId="7FA622EC">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0.019</w:t>
            </w:r>
          </w:p>
        </w:tc>
        <w:tc>
          <w:tcPr>
            <w:tcW w:w="375" w:type="pct"/>
            <w:tcBorders>
              <w:tl2br w:val="nil"/>
              <w:tr2bl w:val="nil"/>
            </w:tcBorders>
            <w:shd w:val="clear" w:color="auto" w:fill="auto"/>
            <w:vAlign w:val="center"/>
          </w:tcPr>
          <w:p w14:paraId="7357B8E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0.211</w:t>
            </w:r>
          </w:p>
        </w:tc>
        <w:tc>
          <w:tcPr>
            <w:tcW w:w="288" w:type="pct"/>
            <w:tcBorders>
              <w:tl2br w:val="nil"/>
              <w:tr2bl w:val="nil"/>
            </w:tcBorders>
            <w:shd w:val="clear" w:color="auto" w:fill="auto"/>
            <w:vAlign w:val="center"/>
          </w:tcPr>
          <w:p w14:paraId="1FAC854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0.006</w:t>
            </w:r>
          </w:p>
        </w:tc>
        <w:tc>
          <w:tcPr>
            <w:tcW w:w="309" w:type="pct"/>
            <w:tcBorders>
              <w:tl2br w:val="nil"/>
              <w:tr2bl w:val="nil"/>
            </w:tcBorders>
            <w:shd w:val="clear" w:color="auto" w:fill="auto"/>
            <w:vAlign w:val="center"/>
          </w:tcPr>
          <w:p w14:paraId="4EF666B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0.785</w:t>
            </w:r>
          </w:p>
        </w:tc>
        <w:tc>
          <w:tcPr>
            <w:tcW w:w="278" w:type="pct"/>
            <w:tcBorders>
              <w:tl2br w:val="nil"/>
              <w:tr2bl w:val="nil"/>
            </w:tcBorders>
            <w:shd w:val="clear" w:color="auto" w:fill="auto"/>
            <w:vAlign w:val="center"/>
          </w:tcPr>
          <w:p w14:paraId="12F6E36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344" w:type="pct"/>
            <w:tcBorders>
              <w:tl2br w:val="nil"/>
              <w:tr2bl w:val="nil"/>
            </w:tcBorders>
            <w:shd w:val="clear" w:color="auto" w:fill="auto"/>
            <w:vAlign w:val="center"/>
          </w:tcPr>
          <w:p w14:paraId="78AE4C9D">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0.587</w:t>
            </w:r>
          </w:p>
        </w:tc>
        <w:tc>
          <w:tcPr>
            <w:tcW w:w="415" w:type="pct"/>
            <w:tcBorders>
              <w:tl2br w:val="nil"/>
              <w:tr2bl w:val="nil"/>
            </w:tcBorders>
            <w:shd w:val="clear" w:color="auto" w:fill="auto"/>
            <w:vAlign w:val="center"/>
          </w:tcPr>
          <w:p w14:paraId="0EDD838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0.015</w:t>
            </w:r>
          </w:p>
        </w:tc>
        <w:tc>
          <w:tcPr>
            <w:tcW w:w="334" w:type="pct"/>
            <w:tcBorders>
              <w:tl2br w:val="nil"/>
              <w:tr2bl w:val="nil"/>
            </w:tcBorders>
            <w:shd w:val="clear" w:color="auto" w:fill="auto"/>
            <w:vAlign w:val="center"/>
          </w:tcPr>
          <w:p w14:paraId="5BE77C7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0.167</w:t>
            </w:r>
          </w:p>
        </w:tc>
        <w:tc>
          <w:tcPr>
            <w:tcW w:w="410" w:type="pct"/>
            <w:tcBorders>
              <w:tl2br w:val="nil"/>
              <w:tr2bl w:val="nil"/>
            </w:tcBorders>
            <w:shd w:val="clear" w:color="auto" w:fill="auto"/>
            <w:vAlign w:val="center"/>
          </w:tcPr>
          <w:p w14:paraId="63CA848F">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0.004</w:t>
            </w:r>
          </w:p>
        </w:tc>
        <w:tc>
          <w:tcPr>
            <w:tcW w:w="314" w:type="pct"/>
            <w:tcBorders>
              <w:tl2br w:val="nil"/>
              <w:tr2bl w:val="nil"/>
            </w:tcBorders>
            <w:shd w:val="clear" w:color="auto" w:fill="auto"/>
            <w:vAlign w:val="center"/>
          </w:tcPr>
          <w:p w14:paraId="58C5756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0.590</w:t>
            </w:r>
          </w:p>
        </w:tc>
        <w:tc>
          <w:tcPr>
            <w:tcW w:w="368" w:type="pct"/>
            <w:tcBorders>
              <w:tl2br w:val="nil"/>
              <w:tr2bl w:val="nil"/>
            </w:tcBorders>
            <w:shd w:val="clear" w:color="auto" w:fill="auto"/>
            <w:vAlign w:val="center"/>
          </w:tcPr>
          <w:p w14:paraId="05375113">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0.016</w:t>
            </w:r>
          </w:p>
        </w:tc>
      </w:tr>
      <w:tr w14:paraId="61FB7F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0" w:hRule="atLeast"/>
          <w:jc w:val="center"/>
        </w:trPr>
        <w:tc>
          <w:tcPr>
            <w:tcW w:w="211" w:type="pct"/>
            <w:tcBorders>
              <w:tl2br w:val="nil"/>
              <w:tr2bl w:val="nil"/>
            </w:tcBorders>
            <w:shd w:val="clear" w:color="auto" w:fill="auto"/>
            <w:vAlign w:val="center"/>
          </w:tcPr>
          <w:p w14:paraId="7F5C5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370" w:type="pct"/>
            <w:tcBorders>
              <w:tl2br w:val="nil"/>
              <w:tr2bl w:val="nil"/>
            </w:tcBorders>
            <w:shd w:val="clear" w:color="auto" w:fill="auto"/>
            <w:vAlign w:val="center"/>
          </w:tcPr>
          <w:p w14:paraId="415C9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镍</w:t>
            </w:r>
          </w:p>
        </w:tc>
        <w:tc>
          <w:tcPr>
            <w:tcW w:w="283" w:type="pct"/>
            <w:tcBorders>
              <w:tl2br w:val="nil"/>
              <w:tr2bl w:val="nil"/>
            </w:tcBorders>
            <w:shd w:val="clear" w:color="auto" w:fill="auto"/>
            <w:vAlign w:val="center"/>
          </w:tcPr>
          <w:p w14:paraId="51256D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900</w:t>
            </w:r>
          </w:p>
        </w:tc>
        <w:tc>
          <w:tcPr>
            <w:tcW w:w="349" w:type="pct"/>
            <w:tcBorders>
              <w:tl2br w:val="nil"/>
              <w:tr2bl w:val="nil"/>
            </w:tcBorders>
            <w:shd w:val="clear" w:color="auto" w:fill="auto"/>
            <w:vAlign w:val="center"/>
          </w:tcPr>
          <w:p w14:paraId="02C11700">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344" w:type="pct"/>
            <w:tcBorders>
              <w:tl2br w:val="nil"/>
              <w:tr2bl w:val="nil"/>
            </w:tcBorders>
            <w:shd w:val="clear" w:color="auto" w:fill="auto"/>
            <w:vAlign w:val="center"/>
          </w:tcPr>
          <w:p w14:paraId="2CCE34D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0.022</w:t>
            </w:r>
          </w:p>
        </w:tc>
        <w:tc>
          <w:tcPr>
            <w:tcW w:w="375" w:type="pct"/>
            <w:tcBorders>
              <w:tl2br w:val="nil"/>
              <w:tr2bl w:val="nil"/>
            </w:tcBorders>
            <w:shd w:val="clear" w:color="auto" w:fill="auto"/>
            <w:vAlign w:val="center"/>
          </w:tcPr>
          <w:p w14:paraId="705CA73A">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w:t>
            </w:r>
          </w:p>
        </w:tc>
        <w:tc>
          <w:tcPr>
            <w:tcW w:w="288" w:type="pct"/>
            <w:tcBorders>
              <w:tl2br w:val="nil"/>
              <w:tr2bl w:val="nil"/>
            </w:tcBorders>
            <w:shd w:val="clear" w:color="auto" w:fill="auto"/>
            <w:vAlign w:val="center"/>
          </w:tcPr>
          <w:p w14:paraId="6FF01B18">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0.021</w:t>
            </w:r>
          </w:p>
        </w:tc>
        <w:tc>
          <w:tcPr>
            <w:tcW w:w="309" w:type="pct"/>
            <w:tcBorders>
              <w:tl2br w:val="nil"/>
              <w:tr2bl w:val="nil"/>
            </w:tcBorders>
            <w:shd w:val="clear" w:color="auto" w:fill="auto"/>
            <w:vAlign w:val="center"/>
          </w:tcPr>
          <w:p w14:paraId="4A051609">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w:t>
            </w:r>
          </w:p>
        </w:tc>
        <w:tc>
          <w:tcPr>
            <w:tcW w:w="278" w:type="pct"/>
            <w:tcBorders>
              <w:tl2br w:val="nil"/>
              <w:tr2bl w:val="nil"/>
            </w:tcBorders>
            <w:shd w:val="clear" w:color="auto" w:fill="auto"/>
            <w:vAlign w:val="center"/>
          </w:tcPr>
          <w:p w14:paraId="62967186">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0.022</w:t>
            </w:r>
          </w:p>
        </w:tc>
        <w:tc>
          <w:tcPr>
            <w:tcW w:w="344" w:type="pct"/>
            <w:tcBorders>
              <w:tl2br w:val="nil"/>
              <w:tr2bl w:val="nil"/>
            </w:tcBorders>
            <w:shd w:val="clear" w:color="auto" w:fill="auto"/>
            <w:vAlign w:val="center"/>
          </w:tcPr>
          <w:p w14:paraId="1A6F2F7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w:t>
            </w:r>
          </w:p>
        </w:tc>
        <w:tc>
          <w:tcPr>
            <w:tcW w:w="415" w:type="pct"/>
            <w:tcBorders>
              <w:tl2br w:val="nil"/>
              <w:tr2bl w:val="nil"/>
            </w:tcBorders>
            <w:shd w:val="clear" w:color="auto" w:fill="auto"/>
            <w:vAlign w:val="center"/>
          </w:tcPr>
          <w:p w14:paraId="235BF08B">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0.024</w:t>
            </w:r>
          </w:p>
        </w:tc>
        <w:tc>
          <w:tcPr>
            <w:tcW w:w="334" w:type="pct"/>
            <w:tcBorders>
              <w:tl2br w:val="nil"/>
              <w:tr2bl w:val="nil"/>
            </w:tcBorders>
            <w:shd w:val="clear" w:color="auto" w:fill="auto"/>
            <w:vAlign w:val="center"/>
          </w:tcPr>
          <w:p w14:paraId="16F49DC7">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28</w:t>
            </w:r>
          </w:p>
        </w:tc>
        <w:tc>
          <w:tcPr>
            <w:tcW w:w="410" w:type="pct"/>
            <w:tcBorders>
              <w:tl2br w:val="nil"/>
              <w:tr2bl w:val="nil"/>
            </w:tcBorders>
            <w:shd w:val="clear" w:color="auto" w:fill="auto"/>
            <w:vAlign w:val="center"/>
          </w:tcPr>
          <w:p w14:paraId="582AB91E">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0.031</w:t>
            </w:r>
          </w:p>
        </w:tc>
        <w:tc>
          <w:tcPr>
            <w:tcW w:w="314" w:type="pct"/>
            <w:tcBorders>
              <w:tl2br w:val="nil"/>
              <w:tr2bl w:val="nil"/>
            </w:tcBorders>
            <w:shd w:val="clear" w:color="auto" w:fill="auto"/>
            <w:vAlign w:val="center"/>
          </w:tcPr>
          <w:p w14:paraId="086DDF15">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w:t>
            </w:r>
          </w:p>
        </w:tc>
        <w:tc>
          <w:tcPr>
            <w:tcW w:w="368" w:type="pct"/>
            <w:tcBorders>
              <w:tl2br w:val="nil"/>
              <w:tr2bl w:val="nil"/>
            </w:tcBorders>
            <w:shd w:val="clear" w:color="auto" w:fill="auto"/>
            <w:vAlign w:val="center"/>
          </w:tcPr>
          <w:p w14:paraId="60DEBF14">
            <w:pPr>
              <w:keepNext w:val="0"/>
              <w:keepLines w:val="0"/>
              <w:pageBreakBefore w:val="0"/>
              <w:widowControl/>
              <w:suppressLineNumbers w:val="0"/>
              <w:wordWrap/>
              <w:topLinePunct w:val="0"/>
              <w:bidi w:val="0"/>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0.023</w:t>
            </w:r>
          </w:p>
        </w:tc>
      </w:tr>
    </w:tbl>
    <w:p w14:paraId="0F761823">
      <w:pPr>
        <w:pStyle w:val="11"/>
        <w:widowControl/>
        <w:adjustRightInd/>
        <w:spacing w:after="0" w:line="480" w:lineRule="exact"/>
        <w:ind w:firstLine="480" w:firstLineChars="200"/>
        <w:textAlignment w:val="auto"/>
        <w:rPr>
          <w:rFonts w:hint="default" w:ascii="Times New Roman" w:hAnsi="Times New Roman" w:eastAsia="宋体" w:cs="Times New Roman"/>
          <w:bCs/>
          <w:snapToGrid w:val="0"/>
          <w:color w:val="auto"/>
          <w:sz w:val="24"/>
          <w:szCs w:val="24"/>
          <w:highlight w:val="none"/>
        </w:rPr>
        <w:sectPr>
          <w:pgSz w:w="16840" w:h="11907" w:orient="landscape"/>
          <w:pgMar w:top="1440" w:right="1800" w:bottom="1440" w:left="1800" w:header="680" w:footer="850" w:gutter="0"/>
          <w:pgBorders>
            <w:top w:val="none" w:sz="0" w:space="0"/>
            <w:left w:val="none" w:sz="0" w:space="0"/>
            <w:bottom w:val="none" w:sz="0" w:space="0"/>
            <w:right w:val="none" w:sz="0" w:space="0"/>
          </w:pgBorders>
          <w:pgNumType w:fmt="decimal"/>
          <w:cols w:space="720" w:num="1"/>
          <w:docGrid w:linePitch="326" w:charSpace="0"/>
        </w:sectPr>
      </w:pPr>
    </w:p>
    <w:p w14:paraId="0E40FC5D">
      <w:pPr>
        <w:pStyle w:val="11"/>
        <w:keepNext w:val="0"/>
        <w:keepLines w:val="0"/>
        <w:pageBreakBefore w:val="0"/>
        <w:widowControl/>
        <w:kinsoku/>
        <w:wordWrap/>
        <w:overflowPunct/>
        <w:topLinePunct w:val="0"/>
        <w:autoSpaceDE/>
        <w:autoSpaceDN/>
        <w:bidi w:val="0"/>
        <w:adjustRightInd/>
        <w:spacing w:after="0" w:line="480" w:lineRule="exact"/>
        <w:ind w:left="0" w:leftChars="0" w:firstLine="480" w:firstLineChars="200"/>
        <w:textAlignment w:val="auto"/>
        <w:rPr>
          <w:rFonts w:hint="default" w:ascii="Times New Roman" w:hAnsi="Times New Roman" w:eastAsia="宋体" w:cs="Times New Roman"/>
          <w:bCs/>
          <w:snapToGrid w:val="0"/>
          <w:color w:val="auto"/>
          <w:sz w:val="24"/>
          <w:szCs w:val="24"/>
          <w:highlight w:val="none"/>
        </w:rPr>
      </w:pPr>
      <w:r>
        <w:rPr>
          <w:rFonts w:hint="default" w:ascii="Times New Roman" w:hAnsi="Times New Roman" w:eastAsia="宋体" w:cs="Times New Roman"/>
          <w:bCs/>
          <w:snapToGrid w:val="0"/>
          <w:color w:val="auto"/>
          <w:sz w:val="24"/>
          <w:szCs w:val="24"/>
          <w:highlight w:val="none"/>
        </w:rPr>
        <w:t>（6）检测与评价结果</w:t>
      </w:r>
    </w:p>
    <w:p w14:paraId="15C9CF00">
      <w:pPr>
        <w:keepNext w:val="0"/>
        <w:keepLines w:val="0"/>
        <w:pageBreakBefore w:val="0"/>
        <w:kinsoku/>
        <w:wordWrap/>
        <w:overflowPunct/>
        <w:topLinePunct w:val="0"/>
        <w:autoSpaceDE/>
        <w:autoSpaceDN/>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各监测点位的基本指标均未超出《土壤环境质量 建设用地土壤污染风险管控质量标准》（GB36600-2018）表1中的第二类用地土壤污染风险筛选值。</w:t>
      </w:r>
      <w:r>
        <w:rPr>
          <w:rFonts w:hint="eastAsia" w:ascii="Times New Roman" w:hAnsi="Times New Roman" w:cs="Times New Roman"/>
          <w:color w:val="auto"/>
          <w:sz w:val="24"/>
          <w:szCs w:val="24"/>
          <w:highlight w:val="none"/>
          <w:lang w:val="en-US" w:eastAsia="zh-CN"/>
        </w:rPr>
        <w:t>矿区外土壤满足《土壤环境质量 农用地土壤污染风险管控标准（试行）》（GB15618-2018）中的筛选值标准。</w:t>
      </w:r>
    </w:p>
    <w:p w14:paraId="3C0B1DB5">
      <w:pPr>
        <w:keepNext w:val="0"/>
        <w:keepLines w:val="0"/>
        <w:pageBreakBefore w:val="0"/>
        <w:kinsoku/>
        <w:wordWrap/>
        <w:overflowPunct/>
        <w:topLinePunct w:val="0"/>
        <w:autoSpaceDE/>
        <w:autoSpaceDN/>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根据土壤pH值判断，区域土壤基本处于无酸化</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轻度</w:t>
      </w:r>
      <w:r>
        <w:rPr>
          <w:rFonts w:hint="default" w:ascii="Times New Roman" w:hAnsi="Times New Roman" w:eastAsia="宋体" w:cs="Times New Roman"/>
          <w:color w:val="auto"/>
          <w:sz w:val="24"/>
          <w:szCs w:val="24"/>
          <w:highlight w:val="none"/>
        </w:rPr>
        <w:t>碱化强度。</w:t>
      </w:r>
    </w:p>
    <w:p w14:paraId="0F45DE9B">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4.2.5.3土壤理化特性调查</w:t>
      </w:r>
      <w:r>
        <w:rPr>
          <w:rFonts w:hint="default" w:ascii="Times New Roman" w:hAnsi="Times New Roman" w:cs="Times New Roman"/>
          <w:color w:val="auto"/>
          <w:highlight w:val="none"/>
          <w:lang w:val="en-US" w:eastAsia="zh-CN"/>
        </w:rPr>
        <w:t>及土地构型</w:t>
      </w:r>
    </w:p>
    <w:p w14:paraId="2BFADD13">
      <w:pPr>
        <w:pStyle w:val="11"/>
        <w:keepNext w:val="0"/>
        <w:keepLines w:val="0"/>
        <w:pageBreakBefore w:val="0"/>
        <w:widowControl/>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bCs/>
          <w:snapToGrid w:val="0"/>
          <w:color w:val="auto"/>
          <w:sz w:val="24"/>
          <w:szCs w:val="24"/>
          <w:highlight w:val="none"/>
          <w:lang w:val="en-US" w:eastAsia="zh-CN"/>
        </w:rPr>
      </w:pPr>
      <w:r>
        <w:rPr>
          <w:rFonts w:hint="default" w:ascii="Times New Roman" w:hAnsi="Times New Roman" w:eastAsia="宋体" w:cs="Times New Roman"/>
          <w:bCs/>
          <w:snapToGrid w:val="0"/>
          <w:color w:val="auto"/>
          <w:sz w:val="24"/>
          <w:szCs w:val="24"/>
          <w:highlight w:val="none"/>
          <w:lang w:val="en-US" w:eastAsia="zh-CN"/>
        </w:rPr>
        <w:t>土壤理化特性调查结果见表4.2-10。</w:t>
      </w:r>
    </w:p>
    <w:p w14:paraId="4FAABB0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表4.2-10    土壤理化特性调查表</w:t>
      </w:r>
    </w:p>
    <w:bookmarkEnd w:id="545"/>
    <w:bookmarkEnd w:id="546"/>
    <w:bookmarkEnd w:id="547"/>
    <w:bookmarkEnd w:id="548"/>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51"/>
        <w:gridCol w:w="1231"/>
        <w:gridCol w:w="1696"/>
        <w:gridCol w:w="1967"/>
        <w:gridCol w:w="1868"/>
      </w:tblGrid>
      <w:tr w14:paraId="029FB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1A78A4E8">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bookmarkStart w:id="558" w:name="_Toc17009"/>
            <w:bookmarkStart w:id="559" w:name="_Toc24801"/>
            <w:bookmarkStart w:id="560" w:name="_Toc20874"/>
            <w:bookmarkStart w:id="561" w:name="_Toc29098"/>
            <w:bookmarkStart w:id="562" w:name="_Toc30667"/>
            <w:bookmarkStart w:id="563" w:name="_Toc26572"/>
            <w:bookmarkStart w:id="564" w:name="_Toc30212"/>
            <w:bookmarkStart w:id="565" w:name="_Toc11704"/>
            <w:bookmarkStart w:id="566" w:name="_Toc25145"/>
            <w:bookmarkStart w:id="567" w:name="_Toc14501"/>
            <w:bookmarkStart w:id="568" w:name="_Toc32254"/>
            <w:r>
              <w:rPr>
                <w:rFonts w:hint="default" w:ascii="Times New Roman" w:hAnsi="Times New Roman" w:cs="Times New Roman"/>
                <w:bCs/>
                <w:color w:val="auto"/>
                <w:sz w:val="21"/>
                <w:szCs w:val="21"/>
              </w:rPr>
              <w:t>样品类型</w:t>
            </w:r>
          </w:p>
        </w:tc>
        <w:tc>
          <w:tcPr>
            <w:tcW w:w="996" w:type="pct"/>
            <w:tcBorders>
              <w:tl2br w:val="nil"/>
              <w:tr2bl w:val="nil"/>
            </w:tcBorders>
            <w:noWrap w:val="0"/>
            <w:vAlign w:val="center"/>
          </w:tcPr>
          <w:p w14:paraId="159CF98A">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土壤</w:t>
            </w:r>
          </w:p>
        </w:tc>
        <w:tc>
          <w:tcPr>
            <w:tcW w:w="1155" w:type="pct"/>
            <w:tcBorders>
              <w:tl2br w:val="nil"/>
              <w:tr2bl w:val="nil"/>
            </w:tcBorders>
            <w:noWrap w:val="0"/>
            <w:vAlign w:val="center"/>
          </w:tcPr>
          <w:p w14:paraId="513E91D1">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样品数量</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个</w:t>
            </w:r>
            <w:r>
              <w:rPr>
                <w:rFonts w:hint="default" w:ascii="Times New Roman" w:hAnsi="Times New Roman" w:cs="Times New Roman"/>
                <w:color w:val="auto"/>
                <w:sz w:val="21"/>
                <w:szCs w:val="21"/>
                <w:lang w:eastAsia="zh-CN"/>
              </w:rPr>
              <w:t>）</w:t>
            </w:r>
          </w:p>
        </w:tc>
        <w:tc>
          <w:tcPr>
            <w:tcW w:w="1097" w:type="pct"/>
            <w:tcBorders>
              <w:tl2br w:val="nil"/>
              <w:tr2bl w:val="nil"/>
            </w:tcBorders>
            <w:noWrap w:val="0"/>
            <w:vAlign w:val="center"/>
          </w:tcPr>
          <w:p w14:paraId="5320BA76">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cs="Times New Roman"/>
                <w:color w:val="auto"/>
                <w:sz w:val="21"/>
                <w:szCs w:val="21"/>
                <w:lang w:val="en-US" w:eastAsia="zh-CN"/>
              </w:rPr>
              <w:t>3</w:t>
            </w:r>
          </w:p>
        </w:tc>
      </w:tr>
      <w:tr w14:paraId="6E9FE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4CCC2305">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sz w:val="21"/>
                <w:szCs w:val="21"/>
              </w:rPr>
              <w:t>采样日期</w:t>
            </w:r>
          </w:p>
        </w:tc>
        <w:tc>
          <w:tcPr>
            <w:tcW w:w="996" w:type="pct"/>
            <w:tcBorders>
              <w:tl2br w:val="nil"/>
              <w:tr2bl w:val="nil"/>
            </w:tcBorders>
            <w:noWrap w:val="0"/>
            <w:vAlign w:val="center"/>
          </w:tcPr>
          <w:p w14:paraId="590FFE84">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Cs/>
                <w:color w:val="auto"/>
                <w:sz w:val="21"/>
                <w:szCs w:val="21"/>
                <w:lang w:val="en-US" w:eastAsia="zh-CN"/>
              </w:rPr>
              <w:t>2026.05.30</w:t>
            </w:r>
          </w:p>
        </w:tc>
        <w:tc>
          <w:tcPr>
            <w:tcW w:w="1155" w:type="pct"/>
            <w:tcBorders>
              <w:tl2br w:val="nil"/>
              <w:tr2bl w:val="nil"/>
            </w:tcBorders>
            <w:noWrap w:val="0"/>
            <w:vAlign w:val="center"/>
          </w:tcPr>
          <w:p w14:paraId="6A054C7C">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b w:val="0"/>
                <w:bCs w:val="0"/>
                <w:color w:val="auto"/>
                <w:sz w:val="21"/>
                <w:szCs w:val="21"/>
                <w:lang w:val="en-US" w:eastAsia="zh-CN"/>
              </w:rPr>
            </w:pPr>
            <w:r>
              <w:rPr>
                <w:rFonts w:hint="default" w:ascii="Times New Roman" w:hAnsi="Times New Roman" w:eastAsia="宋体" w:cs="Times New Roman"/>
                <w:color w:val="auto"/>
                <w:sz w:val="21"/>
                <w:szCs w:val="21"/>
              </w:rPr>
              <w:t>分析日期</w:t>
            </w:r>
          </w:p>
        </w:tc>
        <w:tc>
          <w:tcPr>
            <w:tcW w:w="1097" w:type="pct"/>
            <w:tcBorders>
              <w:tl2br w:val="nil"/>
              <w:tr2bl w:val="nil"/>
            </w:tcBorders>
            <w:noWrap w:val="0"/>
            <w:vAlign w:val="center"/>
          </w:tcPr>
          <w:p w14:paraId="4377BC81">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b w:val="0"/>
                <w:bCs w:val="0"/>
                <w:color w:val="auto"/>
                <w:sz w:val="21"/>
                <w:szCs w:val="21"/>
                <w:lang w:val="en-US" w:eastAsia="zh-CN"/>
              </w:rPr>
            </w:pPr>
            <w:r>
              <w:rPr>
                <w:rFonts w:hint="default" w:ascii="Times New Roman" w:hAnsi="Times New Roman" w:eastAsia="宋体" w:cs="Times New Roman"/>
                <w:bCs/>
                <w:color w:val="auto"/>
                <w:sz w:val="21"/>
                <w:szCs w:val="21"/>
                <w:lang w:val="en-US" w:eastAsia="zh-CN"/>
              </w:rPr>
              <w:t>2026.</w:t>
            </w:r>
            <w:r>
              <w:rPr>
                <w:rFonts w:hint="default" w:ascii="Times New Roman" w:hAnsi="Times New Roman" w:cs="Times New Roman"/>
                <w:bCs/>
                <w:color w:val="auto"/>
                <w:sz w:val="21"/>
                <w:szCs w:val="21"/>
                <w:lang w:val="en-US" w:eastAsia="zh-CN"/>
              </w:rPr>
              <w:t>06.02-06.08</w:t>
            </w:r>
          </w:p>
        </w:tc>
      </w:tr>
      <w:tr w14:paraId="7868A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15AF2507">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sz w:val="21"/>
                <w:szCs w:val="21"/>
              </w:rPr>
              <w:t>采样地点</w:t>
            </w:r>
          </w:p>
        </w:tc>
        <w:tc>
          <w:tcPr>
            <w:tcW w:w="3248" w:type="pct"/>
            <w:gridSpan w:val="3"/>
            <w:tcBorders>
              <w:tl2br w:val="nil"/>
              <w:tr2bl w:val="nil"/>
            </w:tcBorders>
            <w:noWrap w:val="0"/>
            <w:vAlign w:val="center"/>
          </w:tcPr>
          <w:p w14:paraId="45F7C773">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项目区范围内T1</w:t>
            </w:r>
          </w:p>
        </w:tc>
      </w:tr>
      <w:tr w14:paraId="5C560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663D3CFA">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sz w:val="21"/>
                <w:szCs w:val="21"/>
              </w:rPr>
              <w:t>点位坐标</w:t>
            </w:r>
          </w:p>
        </w:tc>
        <w:tc>
          <w:tcPr>
            <w:tcW w:w="3248" w:type="pct"/>
            <w:gridSpan w:val="3"/>
            <w:tcBorders>
              <w:tl2br w:val="nil"/>
              <w:tr2bl w:val="nil"/>
            </w:tcBorders>
            <w:noWrap w:val="0"/>
            <w:vAlign w:val="center"/>
          </w:tcPr>
          <w:p w14:paraId="4F375344">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N:</w:t>
            </w:r>
            <w:r>
              <w:rPr>
                <w:rFonts w:hint="default" w:ascii="Times New Roman" w:hAnsi="Times New Roman" w:cs="Times New Roman"/>
                <w:color w:val="auto"/>
                <w:kern w:val="0"/>
                <w:sz w:val="21"/>
                <w:szCs w:val="21"/>
                <w:lang w:val="en-US" w:eastAsia="zh-CN"/>
              </w:rPr>
              <w:t>41</w:t>
            </w:r>
            <w:r>
              <w:rPr>
                <w:rFonts w:hint="default" w:ascii="Times New Roman" w:hAnsi="Times New Roman" w:cs="Times New Roman"/>
                <w:color w:val="auto"/>
                <w:kern w:val="0"/>
                <w:sz w:val="21"/>
                <w:szCs w:val="21"/>
              </w:rPr>
              <w:t>°</w:t>
            </w:r>
            <w:r>
              <w:rPr>
                <w:rFonts w:hint="default" w:ascii="Times New Roman" w:hAnsi="Times New Roman" w:cs="Times New Roman"/>
                <w:color w:val="auto"/>
                <w:kern w:val="0"/>
                <w:sz w:val="21"/>
                <w:szCs w:val="21"/>
                <w:lang w:val="en-US" w:eastAsia="zh-CN"/>
              </w:rPr>
              <w:t>52</w:t>
            </w:r>
            <w:r>
              <w:rPr>
                <w:rFonts w:hint="default" w:ascii="Times New Roman" w:hAnsi="Times New Roman" w:cs="Times New Roman"/>
                <w:color w:val="auto"/>
                <w:kern w:val="0"/>
                <w:sz w:val="21"/>
                <w:szCs w:val="21"/>
              </w:rPr>
              <w:t>′</w:t>
            </w:r>
            <w:r>
              <w:rPr>
                <w:rFonts w:hint="default" w:ascii="Times New Roman" w:hAnsi="Times New Roman" w:cs="Times New Roman"/>
                <w:color w:val="auto"/>
                <w:kern w:val="0"/>
                <w:sz w:val="21"/>
                <w:szCs w:val="21"/>
                <w:lang w:val="en-US" w:eastAsia="zh-CN"/>
              </w:rPr>
              <w:t>25.70</w:t>
            </w:r>
            <w:r>
              <w:rPr>
                <w:rFonts w:hint="default" w:ascii="Times New Roman" w:hAnsi="Times New Roman" w:cs="Times New Roman"/>
                <w:color w:val="auto"/>
                <w:kern w:val="0"/>
                <w:sz w:val="21"/>
                <w:szCs w:val="21"/>
              </w:rPr>
              <w:t>″</w:t>
            </w:r>
          </w:p>
          <w:p w14:paraId="7832EFC3">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E:</w:t>
            </w:r>
            <w:r>
              <w:rPr>
                <w:rFonts w:hint="default" w:ascii="Times New Roman" w:hAnsi="Times New Roman" w:cs="Times New Roman"/>
                <w:color w:val="auto"/>
                <w:kern w:val="0"/>
                <w:sz w:val="21"/>
                <w:szCs w:val="21"/>
                <w:lang w:val="en-US" w:eastAsia="zh-CN"/>
              </w:rPr>
              <w:t>95</w:t>
            </w:r>
            <w:r>
              <w:rPr>
                <w:rFonts w:hint="default" w:ascii="Times New Roman" w:hAnsi="Times New Roman" w:cs="Times New Roman"/>
                <w:color w:val="auto"/>
                <w:kern w:val="0"/>
                <w:sz w:val="21"/>
                <w:szCs w:val="21"/>
              </w:rPr>
              <w:t>°</w:t>
            </w:r>
            <w:r>
              <w:rPr>
                <w:rFonts w:hint="default" w:ascii="Times New Roman" w:hAnsi="Times New Roman" w:cs="Times New Roman"/>
                <w:color w:val="auto"/>
                <w:kern w:val="0"/>
                <w:sz w:val="21"/>
                <w:szCs w:val="21"/>
                <w:lang w:val="en-US" w:eastAsia="zh-CN"/>
              </w:rPr>
              <w:t>18</w:t>
            </w:r>
            <w:r>
              <w:rPr>
                <w:rFonts w:hint="default" w:ascii="Times New Roman" w:hAnsi="Times New Roman" w:cs="Times New Roman"/>
                <w:color w:val="auto"/>
                <w:kern w:val="0"/>
                <w:sz w:val="21"/>
                <w:szCs w:val="21"/>
              </w:rPr>
              <w:t>′</w:t>
            </w:r>
            <w:r>
              <w:rPr>
                <w:rFonts w:hint="default" w:ascii="Times New Roman" w:hAnsi="Times New Roman" w:cs="Times New Roman"/>
                <w:color w:val="auto"/>
                <w:kern w:val="0"/>
                <w:sz w:val="21"/>
                <w:szCs w:val="21"/>
                <w:lang w:val="en-US" w:eastAsia="zh-CN"/>
              </w:rPr>
              <w:t>29.37</w:t>
            </w:r>
            <w:r>
              <w:rPr>
                <w:rFonts w:hint="default" w:ascii="Times New Roman" w:hAnsi="Times New Roman" w:cs="Times New Roman"/>
                <w:color w:val="auto"/>
                <w:kern w:val="0"/>
                <w:sz w:val="21"/>
                <w:szCs w:val="21"/>
              </w:rPr>
              <w:t>″</w:t>
            </w:r>
          </w:p>
        </w:tc>
      </w:tr>
      <w:tr w14:paraId="649157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2880A90D">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kern w:val="0"/>
                <w:sz w:val="21"/>
                <w:szCs w:val="21"/>
                <w:lang w:bidi="ar"/>
              </w:rPr>
              <w:t>样品编码</w:t>
            </w:r>
          </w:p>
        </w:tc>
        <w:tc>
          <w:tcPr>
            <w:tcW w:w="996" w:type="pct"/>
            <w:tcBorders>
              <w:tl2br w:val="nil"/>
              <w:tr2bl w:val="nil"/>
            </w:tcBorders>
            <w:noWrap w:val="0"/>
            <w:vAlign w:val="center"/>
          </w:tcPr>
          <w:p w14:paraId="224DC39A">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pacing w:val="20"/>
                <w:sz w:val="21"/>
                <w:szCs w:val="21"/>
                <w:lang w:val="en-US" w:eastAsia="zh-CN"/>
              </w:rPr>
              <w:t>T1-1-1</w:t>
            </w:r>
          </w:p>
          <w:p w14:paraId="52807760">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color w:val="auto"/>
                <w:spacing w:val="20"/>
                <w:sz w:val="21"/>
                <w:szCs w:val="21"/>
                <w:lang w:val="en-US" w:eastAsia="zh-CN"/>
              </w:rPr>
              <w:t>（0-0.5m）</w:t>
            </w:r>
          </w:p>
        </w:tc>
        <w:tc>
          <w:tcPr>
            <w:tcW w:w="1155" w:type="pct"/>
            <w:tcBorders>
              <w:tl2br w:val="nil"/>
              <w:tr2bl w:val="nil"/>
            </w:tcBorders>
            <w:noWrap w:val="0"/>
            <w:vAlign w:val="center"/>
          </w:tcPr>
          <w:p w14:paraId="5A0A97C7">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pacing w:val="20"/>
                <w:sz w:val="21"/>
                <w:szCs w:val="21"/>
                <w:lang w:val="en-US" w:eastAsia="zh-CN"/>
              </w:rPr>
              <w:t>T1-1-2</w:t>
            </w:r>
          </w:p>
          <w:p w14:paraId="38A8AFC8">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pacing w:val="20"/>
                <w:sz w:val="21"/>
                <w:szCs w:val="21"/>
                <w:lang w:val="en-US" w:eastAsia="zh-CN"/>
              </w:rPr>
              <w:t>（0.5-1.5m）</w:t>
            </w:r>
          </w:p>
        </w:tc>
        <w:tc>
          <w:tcPr>
            <w:tcW w:w="1097" w:type="pct"/>
            <w:tcBorders>
              <w:tl2br w:val="nil"/>
              <w:tr2bl w:val="nil"/>
            </w:tcBorders>
            <w:noWrap w:val="0"/>
            <w:vAlign w:val="center"/>
          </w:tcPr>
          <w:p w14:paraId="58E21513">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pacing w:val="20"/>
                <w:sz w:val="21"/>
                <w:szCs w:val="21"/>
                <w:lang w:val="en-US" w:eastAsia="zh-CN"/>
              </w:rPr>
              <w:t>T1-1-3</w:t>
            </w:r>
          </w:p>
          <w:p w14:paraId="53BBBFF7">
            <w:pPr>
              <w:keepNext w:val="0"/>
              <w:keepLines w:val="0"/>
              <w:pageBreakBefore w:val="0"/>
              <w:suppressLineNumbers w:val="0"/>
              <w:tabs>
                <w:tab w:val="left" w:pos="4014"/>
              </w:tabs>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pacing w:val="20"/>
                <w:sz w:val="21"/>
                <w:szCs w:val="21"/>
                <w:lang w:val="en-US" w:eastAsia="zh-CN"/>
              </w:rPr>
              <w:t>（1.5-3.0m）</w:t>
            </w:r>
          </w:p>
        </w:tc>
      </w:tr>
      <w:tr w14:paraId="071FC3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51" w:type="pct"/>
            <w:gridSpan w:val="2"/>
            <w:tcBorders>
              <w:tl2br w:val="nil"/>
              <w:tr2bl w:val="nil"/>
            </w:tcBorders>
            <w:noWrap w:val="0"/>
            <w:vAlign w:val="center"/>
          </w:tcPr>
          <w:p w14:paraId="1D601D22">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Cs/>
                <w:color w:val="auto"/>
                <w:kern w:val="0"/>
                <w:sz w:val="21"/>
                <w:szCs w:val="21"/>
                <w:lang w:bidi="ar"/>
              </w:rPr>
              <w:t>样品状态</w:t>
            </w:r>
          </w:p>
        </w:tc>
        <w:tc>
          <w:tcPr>
            <w:tcW w:w="3248" w:type="pct"/>
            <w:gridSpan w:val="3"/>
            <w:tcBorders>
              <w:tl2br w:val="nil"/>
              <w:tr2bl w:val="nil"/>
            </w:tcBorders>
            <w:noWrap w:val="0"/>
            <w:vAlign w:val="center"/>
          </w:tcPr>
          <w:p w14:paraId="543D9261">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cs="Times New Roman"/>
                <w:color w:val="auto"/>
                <w:spacing w:val="20"/>
                <w:sz w:val="21"/>
                <w:szCs w:val="21"/>
                <w:lang w:val="en-US" w:eastAsia="zh-CN"/>
              </w:rPr>
            </w:pPr>
            <w:r>
              <w:rPr>
                <w:rFonts w:hint="default" w:ascii="Times New Roman" w:hAnsi="Times New Roman" w:cs="Times New Roman"/>
                <w:color w:val="auto"/>
                <w:sz w:val="21"/>
                <w:szCs w:val="21"/>
                <w:lang w:val="en-US" w:eastAsia="zh-CN"/>
              </w:rPr>
              <w:t>干、黄棕</w:t>
            </w:r>
          </w:p>
        </w:tc>
      </w:tr>
      <w:tr w14:paraId="00F8F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3520857F">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kern w:val="0"/>
                <w:sz w:val="21"/>
                <w:szCs w:val="21"/>
                <w:lang w:bidi="ar"/>
              </w:rPr>
              <w:t>检测项目</w:t>
            </w:r>
          </w:p>
        </w:tc>
        <w:tc>
          <w:tcPr>
            <w:tcW w:w="722" w:type="pct"/>
            <w:tcBorders>
              <w:tl2br w:val="nil"/>
              <w:tr2bl w:val="nil"/>
            </w:tcBorders>
            <w:noWrap w:val="0"/>
            <w:vAlign w:val="center"/>
          </w:tcPr>
          <w:p w14:paraId="67F8685A">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kern w:val="0"/>
                <w:sz w:val="21"/>
                <w:szCs w:val="21"/>
                <w:lang w:bidi="ar"/>
              </w:rPr>
              <w:t>单位</w:t>
            </w:r>
          </w:p>
        </w:tc>
        <w:tc>
          <w:tcPr>
            <w:tcW w:w="3248" w:type="pct"/>
            <w:gridSpan w:val="3"/>
            <w:tcBorders>
              <w:tl2br w:val="nil"/>
              <w:tr2bl w:val="nil"/>
            </w:tcBorders>
            <w:noWrap w:val="0"/>
            <w:vAlign w:val="center"/>
          </w:tcPr>
          <w:p w14:paraId="30591F73">
            <w:pPr>
              <w:keepNext w:val="0"/>
              <w:keepLines w:val="0"/>
              <w:pageBreakBefore w:val="0"/>
              <w:widowControl/>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1"/>
                <w:szCs w:val="21"/>
              </w:rPr>
            </w:pPr>
            <w:r>
              <w:rPr>
                <w:rFonts w:hint="default" w:ascii="Times New Roman" w:hAnsi="Times New Roman" w:cs="Times New Roman"/>
                <w:bCs/>
                <w:color w:val="auto"/>
                <w:kern w:val="0"/>
                <w:sz w:val="21"/>
                <w:szCs w:val="21"/>
                <w:lang w:bidi="ar"/>
              </w:rPr>
              <w:t>检测结果</w:t>
            </w:r>
          </w:p>
        </w:tc>
      </w:tr>
      <w:tr w14:paraId="0CB890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15FB5717">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阳离子交换量</w:t>
            </w:r>
          </w:p>
        </w:tc>
        <w:tc>
          <w:tcPr>
            <w:tcW w:w="722" w:type="pct"/>
            <w:tcBorders>
              <w:tl2br w:val="nil"/>
              <w:tr2bl w:val="nil"/>
            </w:tcBorders>
            <w:noWrap w:val="0"/>
            <w:vAlign w:val="center"/>
          </w:tcPr>
          <w:p w14:paraId="7BEF4FCF">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cmol</w:t>
            </w:r>
            <w:r>
              <w:rPr>
                <w:rFonts w:hint="default" w:ascii="Times New Roman" w:hAnsi="Times New Roman" w:eastAsia="宋体" w:cs="Times New Roman"/>
                <w:b w:val="0"/>
                <w:bCs w:val="0"/>
                <w:color w:val="auto"/>
                <w:sz w:val="21"/>
                <w:szCs w:val="21"/>
                <w:vertAlign w:val="superscript"/>
              </w:rPr>
              <w:t>+</w:t>
            </w:r>
            <w:r>
              <w:rPr>
                <w:rFonts w:hint="default" w:ascii="Times New Roman" w:hAnsi="Times New Roman" w:eastAsia="宋体" w:cs="Times New Roman"/>
                <w:b w:val="0"/>
                <w:bCs w:val="0"/>
                <w:color w:val="auto"/>
                <w:sz w:val="21"/>
                <w:szCs w:val="21"/>
              </w:rPr>
              <w:t>/kg</w:t>
            </w:r>
          </w:p>
        </w:tc>
        <w:tc>
          <w:tcPr>
            <w:tcW w:w="996" w:type="pct"/>
            <w:tcBorders>
              <w:tl2br w:val="nil"/>
              <w:tr2bl w:val="nil"/>
            </w:tcBorders>
            <w:noWrap w:val="0"/>
            <w:vAlign w:val="center"/>
          </w:tcPr>
          <w:p w14:paraId="2AAB061A">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3.4</w:t>
            </w:r>
          </w:p>
        </w:tc>
        <w:tc>
          <w:tcPr>
            <w:tcW w:w="1155" w:type="pct"/>
            <w:tcBorders>
              <w:tl2br w:val="nil"/>
              <w:tr2bl w:val="nil"/>
            </w:tcBorders>
            <w:noWrap w:val="0"/>
            <w:vAlign w:val="center"/>
          </w:tcPr>
          <w:p w14:paraId="1D1FABBE">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2.8</w:t>
            </w:r>
          </w:p>
        </w:tc>
        <w:tc>
          <w:tcPr>
            <w:tcW w:w="1097" w:type="pct"/>
            <w:tcBorders>
              <w:tl2br w:val="nil"/>
              <w:tr2bl w:val="nil"/>
            </w:tcBorders>
            <w:noWrap w:val="0"/>
            <w:vAlign w:val="center"/>
          </w:tcPr>
          <w:p w14:paraId="6D35756A">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2.0</w:t>
            </w:r>
          </w:p>
        </w:tc>
      </w:tr>
      <w:tr w14:paraId="44CD5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533232DD">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氧化还原电位</w:t>
            </w:r>
          </w:p>
        </w:tc>
        <w:tc>
          <w:tcPr>
            <w:tcW w:w="722" w:type="pct"/>
            <w:tcBorders>
              <w:tl2br w:val="nil"/>
              <w:tr2bl w:val="nil"/>
            </w:tcBorders>
            <w:noWrap w:val="0"/>
            <w:vAlign w:val="center"/>
          </w:tcPr>
          <w:p w14:paraId="30BB5B78">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m</w:t>
            </w:r>
            <w:r>
              <w:rPr>
                <w:rFonts w:hint="default" w:ascii="Times New Roman" w:hAnsi="Times New Roman" w:cs="Times New Roman"/>
                <w:b w:val="0"/>
                <w:bCs w:val="0"/>
                <w:color w:val="auto"/>
                <w:sz w:val="21"/>
                <w:szCs w:val="21"/>
                <w:lang w:val="en-US" w:eastAsia="zh-CN"/>
              </w:rPr>
              <w:t>v</w:t>
            </w:r>
          </w:p>
        </w:tc>
        <w:tc>
          <w:tcPr>
            <w:tcW w:w="996" w:type="pct"/>
            <w:tcBorders>
              <w:tl2br w:val="nil"/>
              <w:tr2bl w:val="nil"/>
            </w:tcBorders>
            <w:noWrap w:val="0"/>
            <w:vAlign w:val="center"/>
          </w:tcPr>
          <w:p w14:paraId="4E53E921">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306</w:t>
            </w:r>
          </w:p>
        </w:tc>
        <w:tc>
          <w:tcPr>
            <w:tcW w:w="1155" w:type="pct"/>
            <w:tcBorders>
              <w:tl2br w:val="nil"/>
              <w:tr2bl w:val="nil"/>
            </w:tcBorders>
            <w:noWrap w:val="0"/>
            <w:vAlign w:val="center"/>
          </w:tcPr>
          <w:p w14:paraId="113A46C5">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290</w:t>
            </w:r>
          </w:p>
        </w:tc>
        <w:tc>
          <w:tcPr>
            <w:tcW w:w="1097" w:type="pct"/>
            <w:tcBorders>
              <w:tl2br w:val="nil"/>
              <w:tr2bl w:val="nil"/>
            </w:tcBorders>
            <w:noWrap w:val="0"/>
            <w:vAlign w:val="center"/>
          </w:tcPr>
          <w:p w14:paraId="6138D718">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284</w:t>
            </w:r>
          </w:p>
        </w:tc>
      </w:tr>
      <w:tr w14:paraId="49B4D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42D35292">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lang w:val="en-US" w:eastAsia="zh-CN"/>
              </w:rPr>
              <w:t>饱和导水率</w:t>
            </w:r>
            <w:r>
              <w:rPr>
                <w:rFonts w:hint="default" w:ascii="Times New Roman" w:hAnsi="Times New Roman" w:cs="Times New Roman"/>
                <w:b w:val="0"/>
                <w:bCs w:val="0"/>
                <w:color w:val="auto"/>
                <w:sz w:val="21"/>
                <w:szCs w:val="21"/>
                <w:lang w:val="en-US" w:eastAsia="zh-CN"/>
              </w:rPr>
              <w:t>K</w:t>
            </w:r>
            <w:r>
              <w:rPr>
                <w:rFonts w:hint="default" w:ascii="Times New Roman" w:hAnsi="Times New Roman" w:cs="Times New Roman"/>
                <w:b w:val="0"/>
                <w:bCs w:val="0"/>
                <w:color w:val="auto"/>
                <w:sz w:val="21"/>
                <w:szCs w:val="21"/>
                <w:vertAlign w:val="subscript"/>
                <w:lang w:val="en-US" w:eastAsia="zh-CN"/>
              </w:rPr>
              <w:t>10</w:t>
            </w:r>
          </w:p>
        </w:tc>
        <w:tc>
          <w:tcPr>
            <w:tcW w:w="722" w:type="pct"/>
            <w:tcBorders>
              <w:tl2br w:val="nil"/>
              <w:tr2bl w:val="nil"/>
            </w:tcBorders>
            <w:noWrap w:val="0"/>
            <w:vAlign w:val="center"/>
          </w:tcPr>
          <w:p w14:paraId="39D8F83E">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cs="Times New Roman"/>
                <w:b w:val="0"/>
                <w:bCs w:val="0"/>
                <w:color w:val="auto"/>
                <w:sz w:val="21"/>
                <w:szCs w:val="21"/>
                <w:lang w:val="en-US" w:eastAsia="zh-CN"/>
              </w:rPr>
              <w:t>mm/min</w:t>
            </w:r>
          </w:p>
        </w:tc>
        <w:tc>
          <w:tcPr>
            <w:tcW w:w="996" w:type="pct"/>
            <w:tcBorders>
              <w:tl2br w:val="nil"/>
              <w:tr2bl w:val="nil"/>
            </w:tcBorders>
            <w:noWrap w:val="0"/>
            <w:vAlign w:val="center"/>
          </w:tcPr>
          <w:p w14:paraId="32AA7AB4">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0.664</w:t>
            </w:r>
          </w:p>
        </w:tc>
        <w:tc>
          <w:tcPr>
            <w:tcW w:w="1155" w:type="pct"/>
            <w:tcBorders>
              <w:tl2br w:val="nil"/>
              <w:tr2bl w:val="nil"/>
            </w:tcBorders>
            <w:noWrap w:val="0"/>
            <w:vAlign w:val="center"/>
          </w:tcPr>
          <w:p w14:paraId="0C1FCF83">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0.632</w:t>
            </w:r>
          </w:p>
        </w:tc>
        <w:tc>
          <w:tcPr>
            <w:tcW w:w="1097" w:type="pct"/>
            <w:tcBorders>
              <w:tl2br w:val="nil"/>
              <w:tr2bl w:val="nil"/>
            </w:tcBorders>
            <w:noWrap w:val="0"/>
            <w:vAlign w:val="center"/>
          </w:tcPr>
          <w:p w14:paraId="62DDD474">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0.654</w:t>
            </w:r>
          </w:p>
        </w:tc>
      </w:tr>
      <w:tr w14:paraId="056BC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1E1474A3">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土壤容重</w:t>
            </w:r>
          </w:p>
        </w:tc>
        <w:tc>
          <w:tcPr>
            <w:tcW w:w="722" w:type="pct"/>
            <w:tcBorders>
              <w:tl2br w:val="nil"/>
              <w:tr2bl w:val="nil"/>
            </w:tcBorders>
            <w:noWrap w:val="0"/>
            <w:vAlign w:val="center"/>
          </w:tcPr>
          <w:p w14:paraId="0F2FBD54">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g/cm</w:t>
            </w:r>
            <w:r>
              <w:rPr>
                <w:rFonts w:hint="default" w:ascii="Times New Roman" w:hAnsi="Times New Roman" w:eastAsia="宋体" w:cs="Times New Roman"/>
                <w:b w:val="0"/>
                <w:bCs w:val="0"/>
                <w:color w:val="auto"/>
                <w:sz w:val="21"/>
                <w:szCs w:val="21"/>
                <w:vertAlign w:val="superscript"/>
              </w:rPr>
              <w:t>3</w:t>
            </w:r>
          </w:p>
        </w:tc>
        <w:tc>
          <w:tcPr>
            <w:tcW w:w="996" w:type="pct"/>
            <w:tcBorders>
              <w:tl2br w:val="nil"/>
              <w:tr2bl w:val="nil"/>
            </w:tcBorders>
            <w:noWrap w:val="0"/>
            <w:vAlign w:val="center"/>
          </w:tcPr>
          <w:p w14:paraId="05D173EA">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1.52</w:t>
            </w:r>
          </w:p>
        </w:tc>
        <w:tc>
          <w:tcPr>
            <w:tcW w:w="1155" w:type="pct"/>
            <w:tcBorders>
              <w:tl2br w:val="nil"/>
              <w:tr2bl w:val="nil"/>
            </w:tcBorders>
            <w:noWrap w:val="0"/>
            <w:vAlign w:val="center"/>
          </w:tcPr>
          <w:p w14:paraId="09DA2BA7">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1.56</w:t>
            </w:r>
          </w:p>
        </w:tc>
        <w:tc>
          <w:tcPr>
            <w:tcW w:w="1097" w:type="pct"/>
            <w:tcBorders>
              <w:tl2br w:val="nil"/>
              <w:tr2bl w:val="nil"/>
            </w:tcBorders>
            <w:noWrap w:val="0"/>
            <w:vAlign w:val="center"/>
          </w:tcPr>
          <w:p w14:paraId="44A23DF6">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1.53</w:t>
            </w:r>
          </w:p>
        </w:tc>
      </w:tr>
      <w:tr w14:paraId="6C4CDF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8" w:type="pct"/>
            <w:tcBorders>
              <w:tl2br w:val="nil"/>
              <w:tr2bl w:val="nil"/>
            </w:tcBorders>
            <w:noWrap w:val="0"/>
            <w:vAlign w:val="center"/>
          </w:tcPr>
          <w:p w14:paraId="4862515C">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孔隙度</w:t>
            </w:r>
          </w:p>
        </w:tc>
        <w:tc>
          <w:tcPr>
            <w:tcW w:w="722" w:type="pct"/>
            <w:tcBorders>
              <w:tl2br w:val="nil"/>
              <w:tr2bl w:val="nil"/>
            </w:tcBorders>
            <w:noWrap w:val="0"/>
            <w:vAlign w:val="center"/>
          </w:tcPr>
          <w:p w14:paraId="619BB120">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w:t>
            </w:r>
          </w:p>
        </w:tc>
        <w:tc>
          <w:tcPr>
            <w:tcW w:w="996" w:type="pct"/>
            <w:tcBorders>
              <w:tl2br w:val="nil"/>
              <w:tr2bl w:val="nil"/>
            </w:tcBorders>
            <w:noWrap w:val="0"/>
            <w:vAlign w:val="center"/>
          </w:tcPr>
          <w:p w14:paraId="684B5DB1">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43.3</w:t>
            </w:r>
          </w:p>
        </w:tc>
        <w:tc>
          <w:tcPr>
            <w:tcW w:w="1155" w:type="pct"/>
            <w:tcBorders>
              <w:tl2br w:val="nil"/>
              <w:tr2bl w:val="nil"/>
            </w:tcBorders>
            <w:noWrap w:val="0"/>
            <w:vAlign w:val="center"/>
          </w:tcPr>
          <w:p w14:paraId="4CAFC5B6">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39.5</w:t>
            </w:r>
          </w:p>
        </w:tc>
        <w:tc>
          <w:tcPr>
            <w:tcW w:w="1097" w:type="pct"/>
            <w:tcBorders>
              <w:tl2br w:val="nil"/>
              <w:tr2bl w:val="nil"/>
            </w:tcBorders>
            <w:noWrap w:val="0"/>
            <w:vAlign w:val="center"/>
          </w:tcPr>
          <w:p w14:paraId="509FB051">
            <w:pPr>
              <w:keepNext w:val="0"/>
              <w:keepLines w:val="0"/>
              <w:pageBreakBefore w:val="0"/>
              <w:suppressLineNumbers w:val="0"/>
              <w:kinsoku/>
              <w:overflowPunct/>
              <w:autoSpaceDE/>
              <w:bidi w:val="0"/>
              <w:adjustRightInd/>
              <w:snapToGrid/>
              <w:spacing w:before="0" w:beforeAutospacing="0" w:after="0" w:afterAutospacing="0" w:line="360" w:lineRule="exact"/>
              <w:ind w:left="0" w:leftChars="0" w:right="0" w:rightChars="0"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37.3</w:t>
            </w:r>
          </w:p>
        </w:tc>
      </w:tr>
    </w:tbl>
    <w:p w14:paraId="6C189940">
      <w:pPr>
        <w:pStyle w:val="3"/>
        <w:numPr>
          <w:ilvl w:val="1"/>
          <w:numId w:val="0"/>
        </w:numPr>
        <w:bidi w:val="0"/>
        <w:ind w:left="0" w:leftChars="0" w:firstLine="0" w:firstLineChars="0"/>
        <w:rPr>
          <w:rFonts w:hint="default" w:ascii="Times New Roman" w:hAnsi="Times New Roman" w:eastAsia="宋体" w:cs="Times New Roman"/>
          <w:color w:val="auto"/>
          <w:highlight w:val="none"/>
          <w:lang w:val="en-US" w:eastAsia="zh-CN"/>
        </w:rPr>
      </w:pPr>
      <w:bookmarkStart w:id="569" w:name="_Toc11849"/>
      <w:bookmarkStart w:id="570" w:name="_Toc31674"/>
      <w:r>
        <w:rPr>
          <w:rFonts w:hint="default" w:ascii="Times New Roman" w:hAnsi="Times New Roman" w:eastAsia="宋体" w:cs="Times New Roman"/>
          <w:color w:val="auto"/>
          <w:highlight w:val="none"/>
          <w:lang w:val="en-US" w:eastAsia="zh-CN"/>
        </w:rPr>
        <w:t>4.3区域生态环境现状调查与评价</w:t>
      </w:r>
      <w:bookmarkEnd w:id="558"/>
      <w:bookmarkEnd w:id="559"/>
      <w:bookmarkEnd w:id="560"/>
      <w:bookmarkEnd w:id="561"/>
      <w:bookmarkEnd w:id="562"/>
      <w:bookmarkEnd w:id="563"/>
      <w:bookmarkEnd w:id="564"/>
      <w:bookmarkEnd w:id="565"/>
      <w:bookmarkEnd w:id="566"/>
      <w:bookmarkEnd w:id="567"/>
      <w:bookmarkEnd w:id="568"/>
      <w:bookmarkEnd w:id="569"/>
      <w:bookmarkEnd w:id="570"/>
    </w:p>
    <w:p w14:paraId="180BF02E">
      <w:pPr>
        <w:pStyle w:val="4"/>
        <w:numPr>
          <w:ilvl w:val="2"/>
          <w:numId w:val="0"/>
        </w:numPr>
        <w:bidi w:val="0"/>
        <w:ind w:left="0" w:leftChars="0" w:firstLine="0" w:firstLineChars="0"/>
        <w:rPr>
          <w:rFonts w:hint="default" w:ascii="Times New Roman" w:hAnsi="Times New Roman" w:eastAsia="宋体" w:cs="Times New Roman"/>
          <w:color w:val="auto"/>
          <w:highlight w:val="none"/>
          <w:lang w:val="en-US" w:eastAsia="zh-CN"/>
        </w:rPr>
      </w:pPr>
      <w:bookmarkStart w:id="571" w:name="_Toc27166"/>
      <w:bookmarkStart w:id="572" w:name="_Toc11149"/>
      <w:bookmarkStart w:id="573" w:name="_Toc31834"/>
      <w:bookmarkStart w:id="574" w:name="_Toc29492"/>
      <w:r>
        <w:rPr>
          <w:rFonts w:hint="default" w:ascii="Times New Roman" w:hAnsi="Times New Roman" w:eastAsia="宋体" w:cs="Times New Roman"/>
          <w:color w:val="auto"/>
          <w:highlight w:val="none"/>
          <w:lang w:eastAsia="zh-CN"/>
        </w:rPr>
        <w:t>4.</w:t>
      </w:r>
      <w:r>
        <w:rPr>
          <w:rFonts w:hint="default" w:ascii="Times New Roman" w:hAnsi="Times New Roman" w:eastAsia="宋体" w:cs="Times New Roman"/>
          <w:color w:val="auto"/>
          <w:highlight w:val="none"/>
          <w:lang w:val="en-US" w:eastAsia="zh-CN"/>
        </w:rPr>
        <w:t>3.1</w:t>
      </w:r>
      <w:r>
        <w:rPr>
          <w:rFonts w:hint="default" w:ascii="Times New Roman" w:hAnsi="Times New Roman" w:eastAsia="宋体" w:cs="Times New Roman"/>
          <w:color w:val="auto"/>
          <w:highlight w:val="none"/>
          <w:lang w:eastAsia="zh-CN"/>
        </w:rPr>
        <w:t>生态</w:t>
      </w:r>
      <w:r>
        <w:rPr>
          <w:rFonts w:hint="default" w:ascii="Times New Roman" w:hAnsi="Times New Roman" w:eastAsia="宋体" w:cs="Times New Roman"/>
          <w:color w:val="auto"/>
          <w:highlight w:val="none"/>
          <w:lang w:val="en-US" w:eastAsia="zh-CN"/>
        </w:rPr>
        <w:t>功能区划</w:t>
      </w:r>
      <w:bookmarkEnd w:id="571"/>
      <w:bookmarkEnd w:id="572"/>
      <w:bookmarkEnd w:id="573"/>
      <w:bookmarkEnd w:id="574"/>
    </w:p>
    <w:p w14:paraId="5FD11EF6">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新疆生态功能区划》，该项目位于Ⅲ天山山地温性草原、森林生态区，Ⅲ₄天山山地温性草原、森林生态区生态亚区中的53嘎顺—南湖戈壁荒漠风蚀敏感生态功能区。主要生态服务功能为荒漠化控制、生物多样性维护和矿产资源开发；存在的主要生态环境问题为风沙危害铁路公路、地表形态破坏；生态敏感因子为生物多样性及其生境高度敏感，土壤侵蚀极度敏感，土地沙漠化轻度敏感；主要保护目标为保护砾幕、保护野生动植物、保护铁路公路、保护戈壁泉眼；主要保护措施为减少公路管道工程破坏地表植被、保护矿区生态、铁路公路沿线防风固沙。</w:t>
      </w:r>
      <w:r>
        <w:rPr>
          <w:rFonts w:hint="default" w:ascii="Times New Roman" w:hAnsi="Times New Roman" w:cs="Times New Roman"/>
          <w:color w:val="auto"/>
          <w:spacing w:val="0"/>
          <w:w w:val="100"/>
          <w:position w:val="0"/>
          <w:sz w:val="24"/>
          <w:szCs w:val="24"/>
          <w:highlight w:val="none"/>
          <w:lang w:val="en-US" w:eastAsia="zh-CN"/>
        </w:rPr>
        <w:t>区域生态系统类型主要为荒漠生态系统和其他，具体见图4.3-1</w:t>
      </w:r>
      <w:r>
        <w:rPr>
          <w:rFonts w:hint="default" w:ascii="Times New Roman" w:hAnsi="Times New Roman" w:eastAsia="宋体" w:cs="Times New Roman"/>
          <w:color w:val="auto"/>
          <w:spacing w:val="0"/>
          <w:w w:val="100"/>
          <w:position w:val="0"/>
          <w:sz w:val="24"/>
          <w:szCs w:val="24"/>
          <w:highlight w:val="none"/>
          <w:lang w:val="en-US" w:eastAsia="zh-CN"/>
        </w:rPr>
        <w:t>。</w:t>
      </w:r>
    </w:p>
    <w:p w14:paraId="04DBD013">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bookmarkStart w:id="575" w:name="_Toc15403"/>
      <w:bookmarkStart w:id="576" w:name="_Toc5575"/>
      <w:bookmarkStart w:id="577" w:name="_Toc6195"/>
      <w:bookmarkStart w:id="578" w:name="_Toc15351"/>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2</w:t>
      </w:r>
      <w:r>
        <w:rPr>
          <w:rFonts w:hint="default" w:ascii="Times New Roman" w:hAnsi="Times New Roman" w:eastAsia="宋体" w:cs="Times New Roman"/>
          <w:b/>
          <w:bCs/>
          <w:color w:val="auto"/>
          <w:spacing w:val="0"/>
          <w:w w:val="100"/>
          <w:position w:val="0"/>
          <w:highlight w:val="none"/>
          <w:lang w:val="en-US" w:eastAsia="zh-CN"/>
        </w:rPr>
        <w:t>区域土地利用现状</w:t>
      </w:r>
      <w:bookmarkEnd w:id="575"/>
      <w:bookmarkEnd w:id="576"/>
      <w:bookmarkEnd w:id="577"/>
      <w:bookmarkEnd w:id="578"/>
    </w:p>
    <w:p w14:paraId="6A5D4286">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根据现场调查，结合收集的资料，</w:t>
      </w:r>
      <w:r>
        <w:rPr>
          <w:rFonts w:hint="default" w:ascii="Times New Roman" w:hAnsi="Times New Roman" w:cs="Times New Roman"/>
          <w:color w:val="auto"/>
          <w:spacing w:val="0"/>
          <w:w w:val="100"/>
          <w:position w:val="0"/>
          <w:sz w:val="24"/>
          <w:szCs w:val="24"/>
          <w:highlight w:val="none"/>
          <w:lang w:val="en-US" w:eastAsia="zh-CN"/>
        </w:rPr>
        <w:t>评价区</w:t>
      </w:r>
      <w:r>
        <w:rPr>
          <w:rFonts w:hint="default" w:ascii="Times New Roman" w:hAnsi="Times New Roman" w:eastAsia="宋体" w:cs="Times New Roman"/>
          <w:color w:val="auto"/>
          <w:spacing w:val="0"/>
          <w:w w:val="100"/>
          <w:position w:val="0"/>
          <w:sz w:val="24"/>
          <w:szCs w:val="24"/>
          <w:highlight w:val="none"/>
          <w:lang w:val="en-US" w:eastAsia="zh-CN"/>
        </w:rPr>
        <w:t>土地利用类型</w:t>
      </w:r>
      <w:r>
        <w:rPr>
          <w:rFonts w:hint="default" w:ascii="Times New Roman" w:hAnsi="Times New Roman" w:cs="Times New Roman"/>
          <w:color w:val="auto"/>
          <w:spacing w:val="0"/>
          <w:w w:val="100"/>
          <w:position w:val="0"/>
          <w:sz w:val="24"/>
          <w:szCs w:val="24"/>
          <w:highlight w:val="none"/>
          <w:lang w:val="en-US" w:eastAsia="zh-CN"/>
        </w:rPr>
        <w:t>主要为戈壁和</w:t>
      </w:r>
      <w:r>
        <w:rPr>
          <w:rFonts w:hint="default" w:ascii="Times New Roman" w:hAnsi="Times New Roman" w:eastAsia="宋体" w:cs="Times New Roman"/>
          <w:color w:val="auto"/>
          <w:spacing w:val="0"/>
          <w:w w:val="100"/>
          <w:position w:val="0"/>
          <w:sz w:val="24"/>
          <w:szCs w:val="24"/>
          <w:highlight w:val="none"/>
          <w:lang w:val="en-US" w:eastAsia="zh-CN"/>
        </w:rPr>
        <w:t>裸岩石砾地。</w:t>
      </w:r>
    </w:p>
    <w:p w14:paraId="51D6773E">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评价区位于南湖戈壁，由于特殊的区位因素形成了恶劣的水、热及土壤条件，致使评价区内地表植物无法自然生长，经过长期的吹蚀作用，大部分地面表层布满了砾石或碎石，形成砾幕层。在无植物覆盖的砾石荒漠地区，砾幕层对在保护土地资源方面具有重要作用，可以保护下部沙土不被吹蚀，从而减少风沙物质来源和保护土壤资源。评价区内裸岩石砾地发育有砾幕覆盖，对评价区内水土保持具有重要意义。</w:t>
      </w:r>
      <w:r>
        <w:rPr>
          <w:rFonts w:hint="default" w:ascii="Times New Roman" w:hAnsi="Times New Roman" w:cs="Times New Roman"/>
          <w:color w:val="auto"/>
          <w:spacing w:val="0"/>
          <w:w w:val="100"/>
          <w:position w:val="0"/>
          <w:sz w:val="24"/>
          <w:szCs w:val="24"/>
          <w:highlight w:val="none"/>
          <w:lang w:val="en-US" w:eastAsia="zh-CN"/>
        </w:rPr>
        <w:t>项目区土地利用类型图见图4.3-2</w:t>
      </w:r>
      <w:r>
        <w:rPr>
          <w:rFonts w:hint="default" w:ascii="Times New Roman" w:hAnsi="Times New Roman" w:eastAsia="宋体" w:cs="Times New Roman"/>
          <w:color w:val="auto"/>
          <w:spacing w:val="0"/>
          <w:w w:val="100"/>
          <w:position w:val="0"/>
          <w:sz w:val="24"/>
          <w:szCs w:val="24"/>
          <w:highlight w:val="none"/>
          <w:lang w:val="en-US" w:eastAsia="zh-CN"/>
        </w:rPr>
        <w:t>。</w:t>
      </w:r>
    </w:p>
    <w:p w14:paraId="54247456">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bookmarkStart w:id="579" w:name="_Toc8676"/>
      <w:bookmarkStart w:id="580" w:name="_Toc27301"/>
      <w:bookmarkStart w:id="581" w:name="_Toc11844"/>
      <w:bookmarkStart w:id="582" w:name="_Toc22136"/>
      <w:bookmarkStart w:id="583" w:name="_Toc22931"/>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3</w:t>
      </w:r>
      <w:r>
        <w:rPr>
          <w:rFonts w:hint="default" w:ascii="Times New Roman" w:hAnsi="Times New Roman" w:eastAsia="宋体" w:cs="Times New Roman"/>
          <w:b/>
          <w:bCs/>
          <w:color w:val="auto"/>
          <w:spacing w:val="0"/>
          <w:w w:val="100"/>
          <w:position w:val="0"/>
          <w:highlight w:val="none"/>
          <w:lang w:val="en-US" w:eastAsia="zh-CN"/>
        </w:rPr>
        <w:t>土壤类型及分布</w:t>
      </w:r>
      <w:bookmarkEnd w:id="579"/>
      <w:bookmarkEnd w:id="580"/>
      <w:bookmarkEnd w:id="581"/>
      <w:bookmarkEnd w:id="582"/>
    </w:p>
    <w:p w14:paraId="7D5A6534">
      <w:pPr>
        <w:pStyle w:val="34"/>
        <w:keepNext w:val="0"/>
        <w:keepLines w:val="0"/>
        <w:pageBreakBefore w:val="0"/>
        <w:widowControl/>
        <w:kinsoku/>
        <w:wordWrap/>
        <w:overflowPunct/>
        <w:topLinePunct w:val="0"/>
        <w:autoSpaceDE/>
        <w:autoSpaceDN/>
        <w:bidi w:val="0"/>
        <w:adjustRightInd w:val="0"/>
        <w:snapToGrid/>
        <w:spacing w:line="480" w:lineRule="exact"/>
        <w:ind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根据“中国土壤数据库”，按照《中国土壤分类与代码》（GB/T17296-2009），评价范围内主要分布</w:t>
      </w:r>
      <w:r>
        <w:rPr>
          <w:rFonts w:hint="default" w:ascii="Times New Roman" w:hAnsi="Times New Roman" w:cs="Times New Roman"/>
          <w:color w:val="auto"/>
          <w:sz w:val="24"/>
          <w:szCs w:val="24"/>
          <w:highlight w:val="none"/>
          <w:lang w:val="en-US" w:eastAsia="zh-CN"/>
        </w:rPr>
        <w:t>石质土+</w:t>
      </w:r>
      <w:r>
        <w:rPr>
          <w:rFonts w:hint="default" w:ascii="Times New Roman" w:hAnsi="Times New Roman" w:eastAsia="宋体" w:cs="Times New Roman"/>
          <w:color w:val="auto"/>
          <w:spacing w:val="0"/>
          <w:w w:val="100"/>
          <w:position w:val="0"/>
          <w:sz w:val="24"/>
          <w:szCs w:val="24"/>
          <w:highlight w:val="none"/>
          <w:lang w:val="en-US" w:eastAsia="zh-CN"/>
        </w:rPr>
        <w:t>石膏棕漠土，土壤类型图见图4.3-</w:t>
      </w:r>
      <w:r>
        <w:rPr>
          <w:rFonts w:hint="default" w:ascii="Times New Roman" w:hAnsi="Times New Roman" w:cs="Times New Roman"/>
          <w:color w:val="auto"/>
          <w:spacing w:val="0"/>
          <w:w w:val="100"/>
          <w:position w:val="0"/>
          <w:sz w:val="24"/>
          <w:szCs w:val="24"/>
          <w:highlight w:val="none"/>
          <w:lang w:val="en-US" w:eastAsia="zh-CN"/>
        </w:rPr>
        <w:t>3</w:t>
      </w:r>
      <w:r>
        <w:rPr>
          <w:rFonts w:hint="default" w:ascii="Times New Roman" w:hAnsi="Times New Roman" w:eastAsia="宋体" w:cs="Times New Roman"/>
          <w:color w:val="auto"/>
          <w:spacing w:val="0"/>
          <w:w w:val="100"/>
          <w:position w:val="0"/>
          <w:sz w:val="24"/>
          <w:szCs w:val="24"/>
          <w:highlight w:val="none"/>
          <w:lang w:val="en-US" w:eastAsia="zh-CN"/>
        </w:rPr>
        <w:t>。</w:t>
      </w:r>
    </w:p>
    <w:p w14:paraId="3D720D25">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bookmarkStart w:id="584" w:name="_Toc30387"/>
      <w:bookmarkStart w:id="585" w:name="_Toc26507"/>
      <w:bookmarkStart w:id="586" w:name="_Toc14392"/>
      <w:bookmarkStart w:id="587" w:name="_Toc5468"/>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4</w:t>
      </w:r>
      <w:r>
        <w:rPr>
          <w:rFonts w:hint="default" w:ascii="Times New Roman" w:hAnsi="Times New Roman" w:eastAsia="宋体" w:cs="Times New Roman"/>
          <w:b/>
          <w:bCs/>
          <w:color w:val="auto"/>
          <w:spacing w:val="0"/>
          <w:w w:val="100"/>
          <w:position w:val="0"/>
          <w:highlight w:val="none"/>
          <w:lang w:val="en-US" w:eastAsia="zh-CN"/>
        </w:rPr>
        <w:t>植物资源现状调查</w:t>
      </w:r>
      <w:bookmarkEnd w:id="584"/>
      <w:bookmarkEnd w:id="585"/>
      <w:bookmarkEnd w:id="586"/>
      <w:bookmarkEnd w:id="587"/>
    </w:p>
    <w:p w14:paraId="130ABE41">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4</w:t>
      </w:r>
      <w:r>
        <w:rPr>
          <w:rFonts w:hint="default" w:ascii="Times New Roman" w:hAnsi="Times New Roman" w:eastAsia="宋体" w:cs="Times New Roman"/>
          <w:b/>
          <w:bCs/>
          <w:color w:val="auto"/>
          <w:spacing w:val="0"/>
          <w:w w:val="100"/>
          <w:position w:val="0"/>
          <w:highlight w:val="none"/>
          <w:lang w:val="en-US" w:eastAsia="zh-CN"/>
        </w:rPr>
        <w:t>.1评价区植被现状调查</w:t>
      </w:r>
    </w:p>
    <w:p w14:paraId="19AD3603">
      <w:pPr>
        <w:pStyle w:val="34"/>
        <w:keepNext w:val="0"/>
        <w:keepLines w:val="0"/>
        <w:pageBreakBefore w:val="0"/>
        <w:widowControl/>
        <w:kinsoku/>
        <w:wordWrap/>
        <w:overflowPunct/>
        <w:topLinePunct w:val="0"/>
        <w:autoSpaceDE/>
        <w:autoSpaceDN/>
        <w:bidi w:val="0"/>
        <w:adjustRightInd w:val="0"/>
        <w:snapToGrid/>
        <w:spacing w:line="480" w:lineRule="exact"/>
        <w:ind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项目区</w:t>
      </w:r>
      <w:r>
        <w:rPr>
          <w:rFonts w:hint="default" w:ascii="Times New Roman" w:hAnsi="Times New Roman" w:cs="Times New Roman"/>
          <w:color w:val="auto"/>
          <w:spacing w:val="0"/>
          <w:w w:val="100"/>
          <w:position w:val="0"/>
          <w:sz w:val="24"/>
          <w:szCs w:val="24"/>
          <w:highlight w:val="none"/>
          <w:lang w:val="en-US" w:eastAsia="zh-CN"/>
        </w:rPr>
        <w:t>植被主要有蒿叶猪毛菜、驼绒藜、沙生针茅等</w:t>
      </w:r>
      <w:r>
        <w:rPr>
          <w:rFonts w:hint="default" w:ascii="Times New Roman" w:hAnsi="Times New Roman" w:eastAsia="宋体" w:cs="Times New Roman"/>
          <w:color w:val="auto"/>
          <w:spacing w:val="0"/>
          <w:w w:val="100"/>
          <w:position w:val="0"/>
          <w:sz w:val="24"/>
          <w:szCs w:val="24"/>
          <w:highlight w:val="none"/>
          <w:lang w:val="en-US" w:eastAsia="zh-CN"/>
        </w:rPr>
        <w:t>。</w:t>
      </w:r>
    </w:p>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8"/>
        <w:gridCol w:w="4258"/>
      </w:tblGrid>
      <w:tr w14:paraId="50FC9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4258" w:type="dxa"/>
            <w:tcBorders>
              <w:tl2br w:val="nil"/>
              <w:tr2bl w:val="nil"/>
            </w:tcBorders>
            <w:vAlign w:val="top"/>
          </w:tcPr>
          <w:p w14:paraId="44EF1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p>
        </w:tc>
        <w:tc>
          <w:tcPr>
            <w:tcW w:w="4258" w:type="dxa"/>
            <w:tcBorders>
              <w:tl2br w:val="nil"/>
              <w:tr2bl w:val="nil"/>
            </w:tcBorders>
            <w:vAlign w:val="top"/>
          </w:tcPr>
          <w:p w14:paraId="37E34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p>
        </w:tc>
      </w:tr>
    </w:tbl>
    <w:p w14:paraId="3AAEA71A">
      <w:pPr>
        <w:pStyle w:val="34"/>
        <w:keepNext w:val="0"/>
        <w:keepLines w:val="0"/>
        <w:pageBreakBefore w:val="0"/>
        <w:widowControl/>
        <w:kinsoku/>
        <w:wordWrap/>
        <w:overflowPunct/>
        <w:topLinePunct w:val="0"/>
        <w:autoSpaceDE/>
        <w:autoSpaceDN/>
        <w:bidi w:val="0"/>
        <w:adjustRightInd w:val="0"/>
        <w:snapToGrid/>
        <w:spacing w:line="480" w:lineRule="exact"/>
        <w:ind w:left="0" w:leftChars="0" w:right="0" w:rightChars="0" w:firstLine="0" w:firstLineChars="0"/>
        <w:jc w:val="center"/>
        <w:textAlignment w:val="baseline"/>
        <w:outlineLvl w:val="9"/>
        <w:rPr>
          <w:rFonts w:hint="default" w:ascii="Times New Roman" w:hAnsi="Times New Roman" w:eastAsia="宋体" w:cs="Times New Roman"/>
          <w:b/>
          <w:bCs/>
          <w:color w:val="auto"/>
          <w:spacing w:val="0"/>
          <w:w w:val="100"/>
          <w:position w:val="0"/>
          <w:sz w:val="24"/>
          <w:szCs w:val="24"/>
          <w:highlight w:val="none"/>
          <w:lang w:val="en-US" w:eastAsia="zh-CN"/>
        </w:rPr>
      </w:pPr>
      <w:r>
        <w:rPr>
          <w:rFonts w:hint="default" w:ascii="Times New Roman" w:hAnsi="Times New Roman" w:eastAsia="宋体" w:cs="Times New Roman"/>
          <w:b/>
          <w:bCs/>
          <w:color w:val="auto"/>
          <w:spacing w:val="0"/>
          <w:w w:val="100"/>
          <w:position w:val="0"/>
          <w:sz w:val="24"/>
          <w:szCs w:val="24"/>
          <w:highlight w:val="none"/>
          <w:lang w:val="en-US" w:eastAsia="zh-CN"/>
        </w:rPr>
        <w:t>图4.3-</w:t>
      </w:r>
      <w:r>
        <w:rPr>
          <w:rFonts w:hint="default" w:ascii="Times New Roman" w:hAnsi="Times New Roman" w:cs="Times New Roman"/>
          <w:b/>
          <w:bCs/>
          <w:color w:val="auto"/>
          <w:spacing w:val="0"/>
          <w:w w:val="100"/>
          <w:position w:val="0"/>
          <w:sz w:val="24"/>
          <w:szCs w:val="24"/>
          <w:highlight w:val="none"/>
          <w:lang w:val="en-US" w:eastAsia="zh-CN"/>
        </w:rPr>
        <w:t xml:space="preserve">4    </w:t>
      </w:r>
      <w:r>
        <w:rPr>
          <w:rFonts w:hint="default" w:ascii="Times New Roman" w:hAnsi="Times New Roman" w:eastAsia="宋体" w:cs="Times New Roman"/>
          <w:b/>
          <w:bCs/>
          <w:color w:val="auto"/>
          <w:spacing w:val="0"/>
          <w:w w:val="100"/>
          <w:position w:val="0"/>
          <w:sz w:val="24"/>
          <w:szCs w:val="24"/>
          <w:highlight w:val="none"/>
          <w:lang w:val="en-US" w:eastAsia="zh-CN"/>
        </w:rPr>
        <w:t>项目区现状</w:t>
      </w:r>
    </w:p>
    <w:p w14:paraId="2C086CC9">
      <w:pPr>
        <w:pStyle w:val="5"/>
        <w:keepNext/>
        <w:keepLines/>
        <w:pageBreakBefore w:val="0"/>
        <w:widowControl w:val="0"/>
        <w:kinsoku/>
        <w:wordWrap/>
        <w:overflowPunct/>
        <w:topLinePunct w:val="0"/>
        <w:autoSpaceDE/>
        <w:autoSpaceDN/>
        <w:bidi w:val="0"/>
        <w:adjustRightInd/>
        <w:snapToGrid/>
        <w:spacing w:before="0" w:after="0"/>
        <w:ind w:firstLine="482"/>
        <w:textAlignment w:val="auto"/>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4</w:t>
      </w:r>
      <w:r>
        <w:rPr>
          <w:rFonts w:hint="default" w:ascii="Times New Roman" w:hAnsi="Times New Roman" w:eastAsia="宋体" w:cs="Times New Roman"/>
          <w:b/>
          <w:bCs/>
          <w:color w:val="auto"/>
          <w:spacing w:val="0"/>
          <w:w w:val="100"/>
          <w:position w:val="0"/>
          <w:highlight w:val="none"/>
          <w:lang w:val="en-US" w:eastAsia="zh-CN"/>
        </w:rPr>
        <w:t>.2植被资源现状调查</w:t>
      </w:r>
    </w:p>
    <w:p w14:paraId="34349066">
      <w:pPr>
        <w:pStyle w:val="34"/>
        <w:keepNext w:val="0"/>
        <w:keepLines w:val="0"/>
        <w:pageBreakBefore w:val="0"/>
        <w:widowControl/>
        <w:kinsoku/>
        <w:wordWrap/>
        <w:overflowPunct/>
        <w:topLinePunct w:val="0"/>
        <w:autoSpaceDE/>
        <w:autoSpaceDN/>
        <w:bidi w:val="0"/>
        <w:adjustRightInd w:val="0"/>
        <w:snapToGrid/>
        <w:spacing w:line="480" w:lineRule="exact"/>
        <w:ind w:firstLine="480" w:firstLineChars="200"/>
        <w:jc w:val="both"/>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项目所处区域属于亚洲中部最干旱、荒漠化最强的核心地段。极端干旱的环境严重限制了植物群落的发育，矿区周围10km×10km范围内，水源稀少，除极少量盐生草存在外</w:t>
      </w:r>
      <w:r>
        <w:rPr>
          <w:rFonts w:hint="default" w:ascii="Times New Roman" w:hAnsi="Times New Roman" w:cs="Times New Roman"/>
          <w:color w:val="auto"/>
          <w:spacing w:val="0"/>
          <w:w w:val="100"/>
          <w:position w:val="0"/>
          <w:sz w:val="24"/>
          <w:szCs w:val="24"/>
          <w:highlight w:val="none"/>
          <w:lang w:val="en-US" w:eastAsia="zh-CN"/>
        </w:rPr>
        <w:t>，无植被生存</w:t>
      </w:r>
      <w:r>
        <w:rPr>
          <w:rFonts w:hint="default" w:ascii="Times New Roman" w:hAnsi="Times New Roman" w:eastAsia="宋体" w:cs="Times New Roman"/>
          <w:color w:val="auto"/>
          <w:spacing w:val="0"/>
          <w:w w:val="100"/>
          <w:position w:val="0"/>
          <w:sz w:val="24"/>
          <w:szCs w:val="24"/>
          <w:highlight w:val="none"/>
          <w:lang w:val="en-US" w:eastAsia="zh-CN"/>
        </w:rPr>
        <w:t>。评价范围内植被类型见图4.3-</w:t>
      </w:r>
      <w:r>
        <w:rPr>
          <w:rFonts w:hint="default" w:ascii="Times New Roman" w:hAnsi="Times New Roman" w:cs="Times New Roman"/>
          <w:color w:val="auto"/>
          <w:spacing w:val="0"/>
          <w:w w:val="100"/>
          <w:position w:val="0"/>
          <w:sz w:val="24"/>
          <w:szCs w:val="24"/>
          <w:highlight w:val="none"/>
          <w:lang w:val="en-US" w:eastAsia="zh-CN"/>
        </w:rPr>
        <w:t>5</w:t>
      </w:r>
      <w:r>
        <w:rPr>
          <w:rFonts w:hint="default" w:ascii="Times New Roman" w:hAnsi="Times New Roman" w:eastAsia="宋体" w:cs="Times New Roman"/>
          <w:color w:val="auto"/>
          <w:spacing w:val="0"/>
          <w:w w:val="100"/>
          <w:position w:val="0"/>
          <w:sz w:val="24"/>
          <w:szCs w:val="24"/>
          <w:highlight w:val="none"/>
          <w:lang w:val="en-US" w:eastAsia="zh-CN"/>
        </w:rPr>
        <w:t>。</w:t>
      </w:r>
    </w:p>
    <w:p w14:paraId="0288B583">
      <w:pPr>
        <w:pStyle w:val="34"/>
        <w:keepNext w:val="0"/>
        <w:keepLines w:val="0"/>
        <w:pageBreakBefore w:val="0"/>
        <w:widowControl/>
        <w:kinsoku/>
        <w:wordWrap/>
        <w:overflowPunct/>
        <w:topLinePunct w:val="0"/>
        <w:autoSpaceDE/>
        <w:autoSpaceDN/>
        <w:bidi w:val="0"/>
        <w:adjustRightInd w:val="0"/>
        <w:snapToGrid/>
        <w:spacing w:line="480" w:lineRule="exact"/>
        <w:ind w:firstLine="480" w:firstLineChars="200"/>
        <w:jc w:val="both"/>
        <w:textAlignment w:val="baseline"/>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在区域踏勘的基础上，本次评价于202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default"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月</w:t>
      </w:r>
      <w:r>
        <w:rPr>
          <w:rFonts w:hint="default" w:ascii="Times New Roman" w:hAnsi="Times New Roman"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日对项目区内的生态植被进行了样方调查，根据普遍性和典型性相结合的原则，结合评价区植被覆盖情况和工程影响情况，在项目区设置样方点，进行了样方调查</w:t>
      </w:r>
      <w:r>
        <w:rPr>
          <w:rFonts w:hint="default" w:ascii="Times New Roman" w:hAnsi="Times New Roman" w:cs="Times New Roman"/>
          <w:color w:val="auto"/>
          <w:sz w:val="24"/>
          <w:szCs w:val="24"/>
          <w:highlight w:val="none"/>
          <w:lang w:val="en-US" w:eastAsia="zh-CN"/>
        </w:rPr>
        <w:t>，设置3处样方。</w:t>
      </w:r>
    </w:p>
    <w:p w14:paraId="0D43F3EB">
      <w:pPr>
        <w:pStyle w:val="34"/>
        <w:keepNext w:val="0"/>
        <w:keepLines w:val="0"/>
        <w:pageBreakBefore w:val="0"/>
        <w:widowControl/>
        <w:kinsoku/>
        <w:wordWrap/>
        <w:overflowPunct/>
        <w:topLinePunct w:val="0"/>
        <w:autoSpaceDE/>
        <w:autoSpaceDN/>
        <w:bidi w:val="0"/>
        <w:adjustRightInd w:val="0"/>
        <w:snapToGrid/>
        <w:spacing w:line="480" w:lineRule="exact"/>
        <w:ind w:firstLine="480" w:firstLineChars="200"/>
        <w:jc w:val="both"/>
        <w:textAlignment w:val="baseline"/>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样方面积</w:t>
      </w:r>
      <w:r>
        <w:rPr>
          <w:rFonts w:hint="default"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m，根据项目区土地类型及植物组成和盖度，统计样方内植被种类、盖度、高度等。典型样方调查见样方表4.3-1。</w:t>
      </w:r>
    </w:p>
    <w:p w14:paraId="6B811884">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5</w:t>
      </w:r>
      <w:r>
        <w:rPr>
          <w:rFonts w:hint="default" w:ascii="Times New Roman" w:hAnsi="Times New Roman" w:eastAsia="宋体" w:cs="Times New Roman"/>
          <w:b/>
          <w:bCs/>
          <w:color w:val="auto"/>
          <w:spacing w:val="0"/>
          <w:w w:val="100"/>
          <w:position w:val="0"/>
          <w:highlight w:val="none"/>
          <w:lang w:val="en-US" w:eastAsia="zh-CN"/>
        </w:rPr>
        <w:t>野生动物资源现状调查</w:t>
      </w:r>
    </w:p>
    <w:p w14:paraId="0CA52C5F">
      <w:pPr>
        <w:pStyle w:val="34"/>
        <w:keepNext w:val="0"/>
        <w:keepLines w:val="0"/>
        <w:pageBreakBefore w:val="0"/>
        <w:widowControl/>
        <w:kinsoku/>
        <w:wordWrap/>
        <w:overflowPunct/>
        <w:topLinePunct w:val="0"/>
        <w:autoSpaceDE/>
        <w:autoSpaceDN/>
        <w:bidi w:val="0"/>
        <w:adjustRightInd w:val="0"/>
        <w:snapToGrid/>
        <w:spacing w:line="360" w:lineRule="auto"/>
        <w:ind w:firstLine="480" w:firstLineChars="200"/>
        <w:jc w:val="left"/>
        <w:textAlignment w:val="baseline"/>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调查和资料统计，项目所处区域在中国动物地理区划中属古北界、中亚亚界、蒙新区、西部荒漠亚区、东疆小区，年降雨量在0~120mm间，年均温约3~8℃，最高气温可达48℃。属于区域极端干旱的大陆性气候控制下的严酷荒漠自然环境，区内动物区系的野生动物种类组成贫乏、简单，有少量的戈壁野生动物，分布较多的有子午沙鼠、三趾跳鼠等啮齿类和东疆沙蜥等爬行类。</w:t>
      </w:r>
      <w:r>
        <w:rPr>
          <w:rFonts w:hint="default" w:ascii="Times New Roman" w:hAnsi="Times New Roman" w:eastAsia="宋体" w:cs="Times New Roman"/>
          <w:color w:val="auto"/>
          <w:sz w:val="24"/>
          <w:szCs w:val="24"/>
          <w:highlight w:val="none"/>
          <w:lang w:val="en-US" w:eastAsia="zh-CN"/>
        </w:rPr>
        <w:t>经过与建设单位沿途踏勘和资料收集</w:t>
      </w:r>
      <w:r>
        <w:rPr>
          <w:rFonts w:hint="default" w:ascii="Times New Roman" w:hAnsi="Times New Roman" w:cs="Times New Roman"/>
          <w:color w:val="auto"/>
          <w:sz w:val="24"/>
          <w:szCs w:val="24"/>
          <w:highlight w:val="none"/>
          <w:lang w:val="en-US" w:eastAsia="zh-CN"/>
        </w:rPr>
        <w:t>，样线调查采取3条路线，调查时长为1天</w:t>
      </w:r>
      <w:r>
        <w:rPr>
          <w:rFonts w:hint="default" w:ascii="Times New Roman" w:hAnsi="Times New Roman" w:eastAsia="宋体" w:cs="Times New Roman"/>
          <w:color w:val="auto"/>
          <w:sz w:val="24"/>
          <w:szCs w:val="24"/>
          <w:highlight w:val="none"/>
          <w:lang w:val="en-US" w:eastAsia="zh-CN"/>
        </w:rPr>
        <w:t>，项目沿线评价范围内，没有国家、地方保护野生动物分布，亦没有大型兽类动物分布。样线调查图</w:t>
      </w:r>
      <w:r>
        <w:rPr>
          <w:rFonts w:hint="default" w:ascii="Times New Roman" w:hAnsi="Times New Roman" w:eastAsia="宋体" w:cs="Times New Roman"/>
          <w:b w:val="0"/>
          <w:bCs w:val="0"/>
          <w:color w:val="auto"/>
          <w:sz w:val="24"/>
          <w:szCs w:val="24"/>
          <w:highlight w:val="none"/>
          <w:lang w:val="en-US" w:eastAsia="zh-CN"/>
        </w:rPr>
        <w:t>见图</w:t>
      </w:r>
      <w:r>
        <w:rPr>
          <w:rFonts w:hint="default" w:ascii="Times New Roman" w:hAnsi="Times New Roman" w:eastAsia="宋体" w:cs="Times New Roman"/>
          <w:b w:val="0"/>
          <w:bCs w:val="0"/>
          <w:color w:val="auto"/>
          <w:spacing w:val="0"/>
          <w:w w:val="100"/>
          <w:position w:val="0"/>
          <w:sz w:val="24"/>
          <w:szCs w:val="24"/>
          <w:highlight w:val="none"/>
          <w:lang w:val="en-US" w:eastAsia="zh-CN"/>
        </w:rPr>
        <w:t>4.3-</w:t>
      </w:r>
      <w:r>
        <w:rPr>
          <w:rFonts w:hint="default" w:ascii="Times New Roman" w:hAnsi="Times New Roman" w:cs="Times New Roman"/>
          <w:b w:val="0"/>
          <w:bCs w:val="0"/>
          <w:color w:val="auto"/>
          <w:spacing w:val="0"/>
          <w:w w:val="100"/>
          <w:position w:val="0"/>
          <w:sz w:val="24"/>
          <w:szCs w:val="24"/>
          <w:highlight w:val="none"/>
          <w:lang w:val="en-US" w:eastAsia="zh-CN"/>
        </w:rPr>
        <w:t>6。</w:t>
      </w:r>
    </w:p>
    <w:bookmarkEnd w:id="583"/>
    <w:p w14:paraId="408D726B">
      <w:pPr>
        <w:pStyle w:val="4"/>
        <w:numPr>
          <w:ilvl w:val="2"/>
          <w:numId w:val="0"/>
        </w:numPr>
        <w:bidi w:val="0"/>
        <w:ind w:left="0" w:leftChars="0" w:firstLine="0" w:firstLineChars="0"/>
        <w:rPr>
          <w:rFonts w:hint="default" w:ascii="Times New Roman" w:hAnsi="Times New Roman" w:eastAsia="宋体" w:cs="Times New Roman"/>
          <w:color w:val="auto"/>
          <w:highlight w:val="none"/>
        </w:rPr>
      </w:pPr>
      <w:bookmarkStart w:id="588" w:name="_Toc31848"/>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val="en-US" w:eastAsia="zh-CN"/>
        </w:rPr>
        <w:t>6</w:t>
      </w:r>
      <w:r>
        <w:rPr>
          <w:rFonts w:hint="default" w:ascii="Times New Roman" w:hAnsi="Times New Roman" w:eastAsia="宋体" w:cs="Times New Roman"/>
          <w:color w:val="auto"/>
          <w:highlight w:val="none"/>
        </w:rPr>
        <w:t>土壤侵蚀</w:t>
      </w:r>
    </w:p>
    <w:p w14:paraId="74610EA3">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土壤侵蚀是指土壤及其母质在水力、风力、冻融或重力等外营力作用下，被破坏、剥蚀、搬运和沉积的过程。评价区的土壤侵蚀类型主要为风力微度侵蚀，按照风力侵蚀是指在气流冲击下沙砾脱离地表被搬运和堆积的过程，风对地表所产生的剪切力和冲击力引起细小的土粒与较大的团粒或土块分离，甚至从岩石表面剥离碎屑，使岩石表面出现擦痕和蜂窝，继之土粒或沙砾被风携带形成风沙流。</w:t>
      </w:r>
    </w:p>
    <w:p w14:paraId="4802855F">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风蚀的发生应具备两个基本条件：一是具备大于起沙风速，二是地面裸露，疏松的土壤或植被覆盖度低的地表。干燥、裸露、细砂及粉质为主的地表，起沙风速在离地2m高处约为4~5m/s。项目区所在区域气候干燥，降水量少，蒸发量大，植被覆盖率较低。土壤质地为粗砂、细砂和粉土，因此，裸露地表一经扰动后，易被风吹起，引起风蚀。综上所述，项目区地表物质质地轻、粒径小，建设活动地表扰动范围较大，会造成工程区发生一定的风蚀现象。</w:t>
      </w:r>
    </w:p>
    <w:p w14:paraId="7577A521">
      <w:pPr>
        <w:pStyle w:val="4"/>
        <w:numPr>
          <w:ilvl w:val="2"/>
          <w:numId w:val="0"/>
        </w:numPr>
        <w:bidi w:val="0"/>
        <w:ind w:left="0" w:leftChars="0"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val="en-US" w:eastAsia="zh-CN"/>
        </w:rPr>
        <w:t>7</w:t>
      </w:r>
      <w:r>
        <w:rPr>
          <w:rFonts w:hint="default" w:ascii="Times New Roman" w:hAnsi="Times New Roman" w:eastAsia="宋体" w:cs="Times New Roman"/>
          <w:color w:val="auto"/>
          <w:highlight w:val="none"/>
        </w:rPr>
        <w:t>土地沙化现状</w:t>
      </w:r>
    </w:p>
    <w:p w14:paraId="0A56CFA5">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结合《关于做好沙区开发建设项目环评中防沙治沙内容评价工作的意见》林沙发〔2013〕136号、《关于加强沙区建设项目环境影响评价工作的通知（新环环评发〔2020〕138号）》等文件要求，针对本项目进行防沙治沙现状分析。</w:t>
      </w:r>
      <w:r>
        <w:rPr>
          <w:rFonts w:hint="default" w:ascii="Times New Roman" w:hAnsi="Times New Roman" w:cs="Times New Roman"/>
          <w:color w:val="auto"/>
          <w:spacing w:val="0"/>
          <w:w w:val="100"/>
          <w:position w:val="0"/>
          <w:sz w:val="24"/>
          <w:szCs w:val="24"/>
          <w:highlight w:val="none"/>
          <w:lang w:val="en-US" w:eastAsia="zh-CN"/>
        </w:rPr>
        <w:t>本项目</w:t>
      </w:r>
      <w:r>
        <w:rPr>
          <w:rFonts w:hint="default" w:ascii="Times New Roman" w:hAnsi="Times New Roman" w:eastAsia="宋体" w:cs="Times New Roman"/>
          <w:color w:val="auto"/>
          <w:spacing w:val="0"/>
          <w:w w:val="100"/>
          <w:position w:val="0"/>
          <w:sz w:val="24"/>
          <w:szCs w:val="24"/>
          <w:highlight w:val="none"/>
          <w:lang w:val="en-US" w:eastAsia="zh-CN"/>
        </w:rPr>
        <w:t>不处在沙漠区域。</w:t>
      </w:r>
    </w:p>
    <w:p w14:paraId="005963FE">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根据《新疆沙漠化防治区划及分区防治技术与模式》，将</w:t>
      </w:r>
      <w:r>
        <w:rPr>
          <w:rFonts w:hint="eastAsia" w:ascii="Times New Roman" w:hAnsi="Times New Roman" w:cs="Times New Roman"/>
          <w:color w:val="auto"/>
          <w:spacing w:val="0"/>
          <w:w w:val="100"/>
          <w:position w:val="0"/>
          <w:sz w:val="24"/>
          <w:szCs w:val="24"/>
          <w:highlight w:val="none"/>
          <w:lang w:val="en-US" w:eastAsia="zh-CN"/>
        </w:rPr>
        <w:t>新疆</w:t>
      </w:r>
      <w:r>
        <w:rPr>
          <w:rFonts w:hint="default" w:ascii="Times New Roman" w:hAnsi="Times New Roman" w:eastAsia="宋体" w:cs="Times New Roman"/>
          <w:color w:val="auto"/>
          <w:spacing w:val="0"/>
          <w:w w:val="100"/>
          <w:position w:val="0"/>
          <w:sz w:val="24"/>
          <w:szCs w:val="24"/>
          <w:highlight w:val="none"/>
          <w:lang w:val="en-US" w:eastAsia="zh-CN"/>
        </w:rPr>
        <w:t>沙漠化防治区划采用三级区划系统。其中一级区的区划，为与全国的防沙治沙治理区划相衔接，将《全国防沙治沙规划》中位于新疆的两个治理亚区作为该区划的一级分区，仅对分区名称作必要调整。在此基础上再进行二级和三级区的划分。鉴于新疆幅员广阔，各地貌区域自然地理环境及沙漠化发生发展条件差异显著，为便于成果应用并考虑到地理单元的完整性，二级区划主要依据大地貌单元进行划分。三级区划是在二级区划的基础上，根据中小自然地理单元、沙漠化成因、土地覆被类型、沙漠植被覆盖状况、风沙活动特征及危害状况、沙漠化防治难易程度、沙漠化防治对策一致性等多种因子中某一项或多项因子的差异进行划定。</w:t>
      </w:r>
    </w:p>
    <w:p w14:paraId="715E7DC1">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本项目区一级区划为南疆暖温带极端干旱沙漠化和潜在沙漠化防治区，二级区划为天山南坡亚区，三级区划为吐鲁番-哈密盆地沙漠化轻度危害</w:t>
      </w:r>
      <w:r>
        <w:rPr>
          <w:rFonts w:hint="default" w:ascii="Times New Roman" w:hAnsi="Times New Roman" w:cs="Times New Roman"/>
          <w:color w:val="auto"/>
          <w:spacing w:val="0"/>
          <w:w w:val="100"/>
          <w:position w:val="0"/>
          <w:sz w:val="24"/>
          <w:szCs w:val="24"/>
          <w:highlight w:val="none"/>
          <w:lang w:val="en-US" w:eastAsia="zh-CN"/>
        </w:rPr>
        <w:t>－</w:t>
      </w:r>
      <w:r>
        <w:rPr>
          <w:rFonts w:hint="default" w:ascii="Times New Roman" w:hAnsi="Times New Roman" w:eastAsia="宋体" w:cs="Times New Roman"/>
          <w:color w:val="auto"/>
          <w:spacing w:val="0"/>
          <w:w w:val="100"/>
          <w:position w:val="0"/>
          <w:sz w:val="24"/>
          <w:szCs w:val="24"/>
          <w:highlight w:val="none"/>
          <w:lang w:val="en-US" w:eastAsia="zh-CN"/>
        </w:rPr>
        <w:t>重要防治小区。</w:t>
      </w:r>
    </w:p>
    <w:p w14:paraId="146A85F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default" w:ascii="Times New Roman" w:hAnsi="Times New Roman" w:eastAsia="宋体" w:cs="Times New Roman"/>
          <w:b/>
          <w:color w:val="auto"/>
          <w:spacing w:val="0"/>
          <w:w w:val="100"/>
          <w:kern w:val="0"/>
          <w:position w:val="0"/>
          <w:sz w:val="21"/>
          <w:szCs w:val="21"/>
          <w:highlight w:val="none"/>
          <w:lang w:val="en-US" w:eastAsia="zh-CN"/>
        </w:rPr>
      </w:pPr>
      <w:r>
        <w:rPr>
          <w:rFonts w:hint="default" w:ascii="Times New Roman" w:hAnsi="Times New Roman" w:cs="Times New Roman"/>
          <w:b/>
          <w:color w:val="auto"/>
          <w:spacing w:val="0"/>
          <w:w w:val="100"/>
          <w:kern w:val="0"/>
          <w:position w:val="0"/>
          <w:sz w:val="21"/>
          <w:szCs w:val="21"/>
          <w:highlight w:val="none"/>
          <w:lang w:val="en-US" w:eastAsia="zh-CN"/>
        </w:rPr>
        <w:t>表</w:t>
      </w:r>
      <w:r>
        <w:rPr>
          <w:rFonts w:hint="default" w:ascii="Times New Roman" w:hAnsi="Times New Roman" w:eastAsia="宋体" w:cs="Times New Roman"/>
          <w:b/>
          <w:color w:val="auto"/>
          <w:spacing w:val="0"/>
          <w:w w:val="100"/>
          <w:kern w:val="0"/>
          <w:position w:val="0"/>
          <w:sz w:val="21"/>
          <w:szCs w:val="21"/>
          <w:highlight w:val="none"/>
          <w:lang w:val="en-US" w:eastAsia="zh-CN"/>
        </w:rPr>
        <w:t>4.3-</w:t>
      </w:r>
      <w:r>
        <w:rPr>
          <w:rFonts w:hint="default" w:ascii="Times New Roman" w:hAnsi="Times New Roman" w:cs="Times New Roman"/>
          <w:b/>
          <w:color w:val="auto"/>
          <w:spacing w:val="0"/>
          <w:w w:val="100"/>
          <w:kern w:val="0"/>
          <w:position w:val="0"/>
          <w:sz w:val="21"/>
          <w:szCs w:val="21"/>
          <w:highlight w:val="none"/>
          <w:lang w:val="en-US" w:eastAsia="zh-CN"/>
        </w:rPr>
        <w:t>3</w:t>
      </w:r>
      <w:r>
        <w:rPr>
          <w:rFonts w:hint="default" w:ascii="Times New Roman" w:hAnsi="Times New Roman" w:eastAsia="宋体" w:cs="Times New Roman"/>
          <w:b/>
          <w:color w:val="auto"/>
          <w:spacing w:val="0"/>
          <w:w w:val="100"/>
          <w:kern w:val="0"/>
          <w:position w:val="0"/>
          <w:sz w:val="21"/>
          <w:szCs w:val="21"/>
          <w:highlight w:val="none"/>
          <w:lang w:val="en-US" w:eastAsia="zh-CN"/>
        </w:rPr>
        <w:t xml:space="preserve">    新疆沙漠化防治区划方案</w:t>
      </w:r>
    </w:p>
    <w:tbl>
      <w:tblPr>
        <w:tblStyle w:val="31"/>
        <w:tblW w:w="503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623"/>
        <w:gridCol w:w="2004"/>
        <w:gridCol w:w="3385"/>
        <w:gridCol w:w="509"/>
        <w:gridCol w:w="866"/>
      </w:tblGrid>
      <w:tr w14:paraId="30884C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967" w:type="pct"/>
            <w:tcBorders>
              <w:tl2br w:val="nil"/>
              <w:tr2bl w:val="nil"/>
            </w:tcBorders>
            <w:vAlign w:val="center"/>
          </w:tcPr>
          <w:p w14:paraId="683C807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一级区</w:t>
            </w:r>
          </w:p>
        </w:tc>
        <w:tc>
          <w:tcPr>
            <w:tcW w:w="1194" w:type="pct"/>
            <w:tcBorders>
              <w:tl2br w:val="nil"/>
              <w:tr2bl w:val="nil"/>
            </w:tcBorders>
            <w:vAlign w:val="center"/>
          </w:tcPr>
          <w:p w14:paraId="4BF2F83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二级区</w:t>
            </w:r>
          </w:p>
        </w:tc>
        <w:tc>
          <w:tcPr>
            <w:tcW w:w="2017" w:type="pct"/>
            <w:tcBorders>
              <w:tl2br w:val="nil"/>
              <w:tr2bl w:val="nil"/>
            </w:tcBorders>
            <w:vAlign w:val="center"/>
          </w:tcPr>
          <w:p w14:paraId="700036B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三级区</w:t>
            </w:r>
          </w:p>
        </w:tc>
        <w:tc>
          <w:tcPr>
            <w:tcW w:w="303" w:type="pct"/>
            <w:tcBorders>
              <w:tl2br w:val="nil"/>
              <w:tr2bl w:val="nil"/>
            </w:tcBorders>
            <w:vAlign w:val="center"/>
          </w:tcPr>
          <w:p w14:paraId="7677098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编号</w:t>
            </w:r>
          </w:p>
        </w:tc>
        <w:tc>
          <w:tcPr>
            <w:tcW w:w="516" w:type="pct"/>
            <w:tcBorders>
              <w:tl2br w:val="nil"/>
              <w:tr2bl w:val="nil"/>
            </w:tcBorders>
            <w:vAlign w:val="center"/>
          </w:tcPr>
          <w:p w14:paraId="30D01E5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面积/km</w:t>
            </w:r>
            <w:r>
              <w:rPr>
                <w:rFonts w:hint="default" w:ascii="Times New Roman" w:hAnsi="Times New Roman" w:eastAsia="宋体" w:cs="Times New Roman"/>
                <w:b w:val="0"/>
                <w:bCs w:val="0"/>
                <w:snapToGrid/>
                <w:color w:val="auto"/>
                <w:spacing w:val="0"/>
                <w:w w:val="100"/>
                <w:position w:val="0"/>
                <w:highlight w:val="none"/>
                <w:vertAlign w:val="superscript"/>
                <w:lang w:val="en-US" w:eastAsia="zh-CN"/>
              </w:rPr>
              <w:t>2</w:t>
            </w:r>
          </w:p>
        </w:tc>
      </w:tr>
      <w:tr w14:paraId="4BDD2F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restart"/>
            <w:tcBorders>
              <w:tl2br w:val="nil"/>
              <w:tr2bl w:val="nil"/>
            </w:tcBorders>
            <w:vAlign w:val="center"/>
          </w:tcPr>
          <w:p w14:paraId="6C1F4B9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北疆温带干旱半干旱沙漠化和潜在沙漠化防治区</w:t>
            </w:r>
          </w:p>
        </w:tc>
        <w:tc>
          <w:tcPr>
            <w:tcW w:w="1194" w:type="pct"/>
            <w:vMerge w:val="restart"/>
            <w:tcBorders>
              <w:tl2br w:val="nil"/>
              <w:tr2bl w:val="nil"/>
            </w:tcBorders>
            <w:vAlign w:val="center"/>
          </w:tcPr>
          <w:p w14:paraId="4FD6243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准噶尔盆地亚区</w:t>
            </w:r>
          </w:p>
        </w:tc>
        <w:tc>
          <w:tcPr>
            <w:tcW w:w="2017" w:type="pct"/>
            <w:tcBorders>
              <w:tl2br w:val="nil"/>
              <w:tr2bl w:val="nil"/>
            </w:tcBorders>
            <w:vAlign w:val="center"/>
          </w:tcPr>
          <w:p w14:paraId="41E86D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准噶尔盆地西缘沙漠化轻微危害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一般防治小区</w:t>
            </w:r>
          </w:p>
        </w:tc>
        <w:tc>
          <w:tcPr>
            <w:tcW w:w="303" w:type="pct"/>
            <w:tcBorders>
              <w:tl2br w:val="nil"/>
              <w:tr2bl w:val="nil"/>
            </w:tcBorders>
            <w:vAlign w:val="center"/>
          </w:tcPr>
          <w:p w14:paraId="1AADB56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4</w:t>
            </w:r>
          </w:p>
        </w:tc>
        <w:tc>
          <w:tcPr>
            <w:tcW w:w="516" w:type="pct"/>
            <w:tcBorders>
              <w:tl2br w:val="nil"/>
              <w:tr2bl w:val="nil"/>
            </w:tcBorders>
            <w:vAlign w:val="center"/>
          </w:tcPr>
          <w:p w14:paraId="1CB8040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20888</w:t>
            </w:r>
          </w:p>
        </w:tc>
      </w:tr>
      <w:tr w14:paraId="57CDEA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2BA7A0A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6DD7412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4492651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准噶尔盆地南缘沙漠化轻度危害-重点防治小区</w:t>
            </w:r>
          </w:p>
        </w:tc>
        <w:tc>
          <w:tcPr>
            <w:tcW w:w="303" w:type="pct"/>
            <w:tcBorders>
              <w:tl2br w:val="nil"/>
              <w:tr2bl w:val="nil"/>
            </w:tcBorders>
            <w:vAlign w:val="center"/>
          </w:tcPr>
          <w:p w14:paraId="7A79FC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7</w:t>
            </w:r>
          </w:p>
        </w:tc>
        <w:tc>
          <w:tcPr>
            <w:tcW w:w="516" w:type="pct"/>
            <w:tcBorders>
              <w:tl2br w:val="nil"/>
              <w:tr2bl w:val="nil"/>
            </w:tcBorders>
            <w:vAlign w:val="center"/>
          </w:tcPr>
          <w:p w14:paraId="514D673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57864</w:t>
            </w:r>
          </w:p>
        </w:tc>
      </w:tr>
      <w:tr w14:paraId="0230D2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4EAAA78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57874C2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392C5FD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准噶尔盆地北部沙漠化轻度危害-重要防治小区</w:t>
            </w:r>
          </w:p>
        </w:tc>
        <w:tc>
          <w:tcPr>
            <w:tcW w:w="303" w:type="pct"/>
            <w:tcBorders>
              <w:tl2br w:val="nil"/>
              <w:tr2bl w:val="nil"/>
            </w:tcBorders>
            <w:vAlign w:val="center"/>
          </w:tcPr>
          <w:p w14:paraId="564B9E7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w:t>
            </w:r>
          </w:p>
        </w:tc>
        <w:tc>
          <w:tcPr>
            <w:tcW w:w="516" w:type="pct"/>
            <w:tcBorders>
              <w:tl2br w:val="nil"/>
              <w:tr2bl w:val="nil"/>
            </w:tcBorders>
            <w:vAlign w:val="center"/>
          </w:tcPr>
          <w:p w14:paraId="1FCE756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26867</w:t>
            </w:r>
          </w:p>
        </w:tc>
      </w:tr>
      <w:tr w14:paraId="7FD03F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7D563E9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45105F9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7681E02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古尔班通古特沙漠内部中度沙漠化-自然保护与人工局部防治小区</w:t>
            </w:r>
          </w:p>
        </w:tc>
        <w:tc>
          <w:tcPr>
            <w:tcW w:w="303" w:type="pct"/>
            <w:tcBorders>
              <w:tl2br w:val="nil"/>
              <w:tr2bl w:val="nil"/>
            </w:tcBorders>
            <w:vAlign w:val="center"/>
          </w:tcPr>
          <w:p w14:paraId="225D9DA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3</w:t>
            </w:r>
          </w:p>
        </w:tc>
        <w:tc>
          <w:tcPr>
            <w:tcW w:w="516" w:type="pct"/>
            <w:tcBorders>
              <w:tl2br w:val="nil"/>
              <w:tr2bl w:val="nil"/>
            </w:tcBorders>
            <w:vAlign w:val="center"/>
          </w:tcPr>
          <w:p w14:paraId="31C2981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62444</w:t>
            </w:r>
          </w:p>
        </w:tc>
      </w:tr>
      <w:tr w14:paraId="1D2169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14DCBE8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1F41A12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1223E3B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三塘湖</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淖毛湖盆地沙漠化轻微危害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一般防治小区</w:t>
            </w:r>
          </w:p>
        </w:tc>
        <w:tc>
          <w:tcPr>
            <w:tcW w:w="303" w:type="pct"/>
            <w:tcBorders>
              <w:tl2br w:val="nil"/>
              <w:tr2bl w:val="nil"/>
            </w:tcBorders>
            <w:vAlign w:val="center"/>
          </w:tcPr>
          <w:p w14:paraId="11D8C9B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10</w:t>
            </w:r>
          </w:p>
        </w:tc>
        <w:tc>
          <w:tcPr>
            <w:tcW w:w="516" w:type="pct"/>
            <w:tcBorders>
              <w:tl2br w:val="nil"/>
              <w:tr2bl w:val="nil"/>
            </w:tcBorders>
            <w:vAlign w:val="center"/>
          </w:tcPr>
          <w:p w14:paraId="7291288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28638</w:t>
            </w:r>
          </w:p>
        </w:tc>
      </w:tr>
      <w:tr w14:paraId="158259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24DF07A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tcBorders>
              <w:tl2br w:val="nil"/>
              <w:tr2bl w:val="nil"/>
            </w:tcBorders>
            <w:vAlign w:val="center"/>
          </w:tcPr>
          <w:p w14:paraId="106207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阿尔泰山及准东丘陵亚区</w:t>
            </w:r>
          </w:p>
        </w:tc>
        <w:tc>
          <w:tcPr>
            <w:tcW w:w="2017" w:type="pct"/>
            <w:tcBorders>
              <w:tl2br w:val="nil"/>
              <w:tr2bl w:val="nil"/>
            </w:tcBorders>
            <w:vAlign w:val="center"/>
          </w:tcPr>
          <w:p w14:paraId="728100D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阿尔泰山及准东丘陵沙漠化无或轻微危害</w:t>
            </w:r>
          </w:p>
          <w:p w14:paraId="18C9856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55AC536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w:t>
            </w:r>
          </w:p>
        </w:tc>
        <w:tc>
          <w:tcPr>
            <w:tcW w:w="516" w:type="pct"/>
            <w:tcBorders>
              <w:tl2br w:val="nil"/>
              <w:tr2bl w:val="nil"/>
            </w:tcBorders>
            <w:vAlign w:val="center"/>
          </w:tcPr>
          <w:p w14:paraId="03F2856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76410</w:t>
            </w:r>
          </w:p>
        </w:tc>
      </w:tr>
      <w:tr w14:paraId="731802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1A10449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restart"/>
            <w:tcBorders>
              <w:tl2br w:val="nil"/>
              <w:tr2bl w:val="nil"/>
            </w:tcBorders>
            <w:vAlign w:val="center"/>
          </w:tcPr>
          <w:p w14:paraId="54F5EA0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准噶尔西部山地亚区</w:t>
            </w:r>
          </w:p>
        </w:tc>
        <w:tc>
          <w:tcPr>
            <w:tcW w:w="2017" w:type="pct"/>
            <w:tcBorders>
              <w:tl2br w:val="nil"/>
              <w:tr2bl w:val="nil"/>
            </w:tcBorders>
            <w:vAlign w:val="center"/>
          </w:tcPr>
          <w:p w14:paraId="7751632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塔城盆地沙漠化轻微危害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一般防治小区</w:t>
            </w:r>
          </w:p>
        </w:tc>
        <w:tc>
          <w:tcPr>
            <w:tcW w:w="303" w:type="pct"/>
            <w:tcBorders>
              <w:tl2br w:val="nil"/>
              <w:tr2bl w:val="nil"/>
            </w:tcBorders>
            <w:vAlign w:val="center"/>
          </w:tcPr>
          <w:p w14:paraId="4A8D4BF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6</w:t>
            </w:r>
          </w:p>
        </w:tc>
        <w:tc>
          <w:tcPr>
            <w:tcW w:w="516" w:type="pct"/>
            <w:tcBorders>
              <w:tl2br w:val="nil"/>
              <w:tr2bl w:val="nil"/>
            </w:tcBorders>
            <w:vAlign w:val="center"/>
          </w:tcPr>
          <w:p w14:paraId="4C81B3B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8015</w:t>
            </w:r>
          </w:p>
        </w:tc>
      </w:tr>
      <w:tr w14:paraId="0BC056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3268E52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12F692E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2420017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准噶尔西部山地沙漠化无或轻微危害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528F35B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5</w:t>
            </w:r>
          </w:p>
        </w:tc>
        <w:tc>
          <w:tcPr>
            <w:tcW w:w="516" w:type="pct"/>
            <w:tcBorders>
              <w:tl2br w:val="nil"/>
              <w:tr2bl w:val="nil"/>
            </w:tcBorders>
            <w:vAlign w:val="center"/>
          </w:tcPr>
          <w:p w14:paraId="09AF9C7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30206</w:t>
            </w:r>
          </w:p>
        </w:tc>
      </w:tr>
      <w:tr w14:paraId="5D6EE4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44916D8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restart"/>
            <w:tcBorders>
              <w:tl2br w:val="nil"/>
              <w:tr2bl w:val="nil"/>
            </w:tcBorders>
            <w:vAlign w:val="center"/>
          </w:tcPr>
          <w:p w14:paraId="0617D15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天山北坡亚区</w:t>
            </w:r>
          </w:p>
        </w:tc>
        <w:tc>
          <w:tcPr>
            <w:tcW w:w="2017" w:type="pct"/>
            <w:tcBorders>
              <w:tl2br w:val="nil"/>
              <w:tr2bl w:val="nil"/>
            </w:tcBorders>
            <w:vAlign w:val="center"/>
          </w:tcPr>
          <w:p w14:paraId="32EC99D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天山北坡山地沙漠化无或轻微危害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17FA739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9</w:t>
            </w:r>
          </w:p>
        </w:tc>
        <w:tc>
          <w:tcPr>
            <w:tcW w:w="516" w:type="pct"/>
            <w:tcBorders>
              <w:tl2br w:val="nil"/>
              <w:tr2bl w:val="nil"/>
            </w:tcBorders>
            <w:vAlign w:val="center"/>
          </w:tcPr>
          <w:p w14:paraId="74D5CAD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136957</w:t>
            </w:r>
          </w:p>
        </w:tc>
      </w:tr>
      <w:tr w14:paraId="544021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0823B45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319364D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609BE0D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伊犁谷地西部沙漠化轻微危害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一般防治小区</w:t>
            </w:r>
          </w:p>
        </w:tc>
        <w:tc>
          <w:tcPr>
            <w:tcW w:w="303" w:type="pct"/>
            <w:tcBorders>
              <w:tl2br w:val="nil"/>
              <w:tr2bl w:val="nil"/>
            </w:tcBorders>
            <w:vAlign w:val="center"/>
          </w:tcPr>
          <w:p w14:paraId="7F5E15C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8</w:t>
            </w:r>
          </w:p>
        </w:tc>
        <w:tc>
          <w:tcPr>
            <w:tcW w:w="516" w:type="pct"/>
            <w:tcBorders>
              <w:tl2br w:val="nil"/>
              <w:tr2bl w:val="nil"/>
            </w:tcBorders>
            <w:vAlign w:val="center"/>
          </w:tcPr>
          <w:p w14:paraId="393E44A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6140</w:t>
            </w:r>
          </w:p>
        </w:tc>
      </w:tr>
      <w:tr w14:paraId="07E14A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restart"/>
            <w:tcBorders>
              <w:tl2br w:val="nil"/>
              <w:tr2bl w:val="nil"/>
            </w:tcBorders>
            <w:vAlign w:val="center"/>
          </w:tcPr>
          <w:p w14:paraId="1BE0323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南疆暖温带极端干旱沙漠化和潜在沙漠化防治区</w:t>
            </w:r>
          </w:p>
        </w:tc>
        <w:tc>
          <w:tcPr>
            <w:tcW w:w="1194" w:type="pct"/>
            <w:vMerge w:val="restart"/>
            <w:tcBorders>
              <w:tl2br w:val="nil"/>
              <w:tr2bl w:val="nil"/>
            </w:tcBorders>
            <w:vAlign w:val="center"/>
          </w:tcPr>
          <w:p w14:paraId="1B97015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塔里木盆地亚区</w:t>
            </w:r>
          </w:p>
        </w:tc>
        <w:tc>
          <w:tcPr>
            <w:tcW w:w="2017" w:type="pct"/>
            <w:tcBorders>
              <w:tl2br w:val="nil"/>
              <w:tr2bl w:val="nil"/>
            </w:tcBorders>
            <w:vAlign w:val="center"/>
          </w:tcPr>
          <w:p w14:paraId="25E245F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喀什噶尔河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叶尔羌河流域沙漠化中度危害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重点防治小区</w:t>
            </w:r>
          </w:p>
        </w:tc>
        <w:tc>
          <w:tcPr>
            <w:tcW w:w="303" w:type="pct"/>
            <w:tcBorders>
              <w:tl2br w:val="nil"/>
              <w:tr2bl w:val="nil"/>
            </w:tcBorders>
            <w:vAlign w:val="center"/>
          </w:tcPr>
          <w:p w14:paraId="0BEEF3D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16</w:t>
            </w:r>
          </w:p>
        </w:tc>
        <w:tc>
          <w:tcPr>
            <w:tcW w:w="516" w:type="pct"/>
            <w:tcBorders>
              <w:tl2br w:val="nil"/>
              <w:tr2bl w:val="nil"/>
            </w:tcBorders>
            <w:vAlign w:val="center"/>
          </w:tcPr>
          <w:p w14:paraId="7425EB7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46934</w:t>
            </w:r>
          </w:p>
        </w:tc>
      </w:tr>
      <w:tr w14:paraId="4F559E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615FC2B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79D0836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493102B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塔里木盆地南缘沙漠化重度危害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重点防治小区</w:t>
            </w:r>
          </w:p>
        </w:tc>
        <w:tc>
          <w:tcPr>
            <w:tcW w:w="303" w:type="pct"/>
            <w:tcBorders>
              <w:tl2br w:val="nil"/>
              <w:tr2bl w:val="nil"/>
            </w:tcBorders>
            <w:vAlign w:val="center"/>
          </w:tcPr>
          <w:p w14:paraId="47F2630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18</w:t>
            </w:r>
          </w:p>
        </w:tc>
        <w:tc>
          <w:tcPr>
            <w:tcW w:w="516" w:type="pct"/>
            <w:tcBorders>
              <w:tl2br w:val="nil"/>
              <w:tr2bl w:val="nil"/>
            </w:tcBorders>
            <w:vAlign w:val="center"/>
          </w:tcPr>
          <w:p w14:paraId="58A57345">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77784</w:t>
            </w:r>
          </w:p>
        </w:tc>
      </w:tr>
      <w:tr w14:paraId="5DEAC8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7D4D82B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069E0BB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4CE4F0D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塔克拉玛干沙漠东缘沙漠化中度危害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重要防治小区</w:t>
            </w:r>
          </w:p>
        </w:tc>
        <w:tc>
          <w:tcPr>
            <w:tcW w:w="303" w:type="pct"/>
            <w:tcBorders>
              <w:tl2br w:val="nil"/>
              <w:tr2bl w:val="nil"/>
            </w:tcBorders>
            <w:vAlign w:val="center"/>
          </w:tcPr>
          <w:p w14:paraId="699D0A9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19</w:t>
            </w:r>
          </w:p>
        </w:tc>
        <w:tc>
          <w:tcPr>
            <w:tcW w:w="516" w:type="pct"/>
            <w:tcBorders>
              <w:tl2br w:val="nil"/>
              <w:tr2bl w:val="nil"/>
            </w:tcBorders>
            <w:vAlign w:val="center"/>
          </w:tcPr>
          <w:p w14:paraId="728B257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52512</w:t>
            </w:r>
          </w:p>
        </w:tc>
      </w:tr>
      <w:tr w14:paraId="6EA0BA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00C4914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7C24D7A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60200D6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塔里木盆地北缘沙漠化中度危害-重要防治小区</w:t>
            </w:r>
          </w:p>
        </w:tc>
        <w:tc>
          <w:tcPr>
            <w:tcW w:w="303" w:type="pct"/>
            <w:tcBorders>
              <w:tl2br w:val="nil"/>
              <w:tr2bl w:val="nil"/>
            </w:tcBorders>
            <w:vAlign w:val="center"/>
          </w:tcPr>
          <w:p w14:paraId="72E784B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14</w:t>
            </w:r>
          </w:p>
        </w:tc>
        <w:tc>
          <w:tcPr>
            <w:tcW w:w="516" w:type="pct"/>
            <w:tcBorders>
              <w:tl2br w:val="nil"/>
              <w:tr2bl w:val="nil"/>
            </w:tcBorders>
            <w:vAlign w:val="center"/>
          </w:tcPr>
          <w:p w14:paraId="74ADB55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72113</w:t>
            </w:r>
          </w:p>
        </w:tc>
      </w:tr>
      <w:tr w14:paraId="4EA579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1E01FE8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4656C48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29A97A5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罗布洼地-库姆塔格沙漠沙漠化轻度危害-自然保护小区</w:t>
            </w:r>
          </w:p>
        </w:tc>
        <w:tc>
          <w:tcPr>
            <w:tcW w:w="303" w:type="pct"/>
            <w:tcBorders>
              <w:tl2br w:val="nil"/>
              <w:tr2bl w:val="nil"/>
            </w:tcBorders>
            <w:vAlign w:val="center"/>
          </w:tcPr>
          <w:p w14:paraId="3FA8235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20</w:t>
            </w:r>
          </w:p>
        </w:tc>
        <w:tc>
          <w:tcPr>
            <w:tcW w:w="516" w:type="pct"/>
            <w:tcBorders>
              <w:tl2br w:val="nil"/>
              <w:tr2bl w:val="nil"/>
            </w:tcBorders>
            <w:vAlign w:val="center"/>
          </w:tcPr>
          <w:p w14:paraId="335B67D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42088</w:t>
            </w:r>
          </w:p>
        </w:tc>
      </w:tr>
      <w:tr w14:paraId="77E894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626E2F8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606AABF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7C25FD9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塔克拉玛干沙漠内部重度沙漠化-人工局部防治小区</w:t>
            </w:r>
          </w:p>
        </w:tc>
        <w:tc>
          <w:tcPr>
            <w:tcW w:w="303" w:type="pct"/>
            <w:tcBorders>
              <w:tl2br w:val="nil"/>
              <w:tr2bl w:val="nil"/>
            </w:tcBorders>
            <w:vAlign w:val="center"/>
          </w:tcPr>
          <w:p w14:paraId="1D21B20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17</w:t>
            </w:r>
          </w:p>
        </w:tc>
        <w:tc>
          <w:tcPr>
            <w:tcW w:w="516" w:type="pct"/>
            <w:tcBorders>
              <w:tl2br w:val="nil"/>
              <w:tr2bl w:val="nil"/>
            </w:tcBorders>
            <w:vAlign w:val="center"/>
          </w:tcPr>
          <w:p w14:paraId="0C427FA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225934</w:t>
            </w:r>
          </w:p>
        </w:tc>
      </w:tr>
      <w:tr w14:paraId="434E08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7837750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1CDCDA4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36878B3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柯坪-图木舒克区域沙漠化重度危害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重点防治小区</w:t>
            </w:r>
          </w:p>
        </w:tc>
        <w:tc>
          <w:tcPr>
            <w:tcW w:w="303" w:type="pct"/>
            <w:tcBorders>
              <w:tl2br w:val="nil"/>
              <w:tr2bl w:val="nil"/>
            </w:tcBorders>
            <w:vAlign w:val="center"/>
          </w:tcPr>
          <w:p w14:paraId="7BECBE7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15</w:t>
            </w:r>
          </w:p>
        </w:tc>
        <w:tc>
          <w:tcPr>
            <w:tcW w:w="516" w:type="pct"/>
            <w:tcBorders>
              <w:tl2br w:val="nil"/>
              <w:tr2bl w:val="nil"/>
            </w:tcBorders>
            <w:vAlign w:val="center"/>
          </w:tcPr>
          <w:p w14:paraId="2F5DAA0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11092</w:t>
            </w:r>
          </w:p>
        </w:tc>
      </w:tr>
      <w:tr w14:paraId="6474AA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0E361FC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restart"/>
            <w:tcBorders>
              <w:tl2br w:val="nil"/>
              <w:tr2bl w:val="nil"/>
            </w:tcBorders>
            <w:vAlign w:val="center"/>
          </w:tcPr>
          <w:p w14:paraId="7407460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天山南坡亚区</w:t>
            </w:r>
          </w:p>
        </w:tc>
        <w:tc>
          <w:tcPr>
            <w:tcW w:w="2017" w:type="pct"/>
            <w:tcBorders>
              <w:tl2br w:val="nil"/>
              <w:tr2bl w:val="nil"/>
            </w:tcBorders>
            <w:vAlign w:val="center"/>
          </w:tcPr>
          <w:p w14:paraId="25CD08C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焉耆盆地沙漠化轻微危害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一般防治小区</w:t>
            </w:r>
          </w:p>
        </w:tc>
        <w:tc>
          <w:tcPr>
            <w:tcW w:w="303" w:type="pct"/>
            <w:tcBorders>
              <w:tl2br w:val="nil"/>
              <w:tr2bl w:val="nil"/>
            </w:tcBorders>
            <w:vAlign w:val="center"/>
          </w:tcPr>
          <w:p w14:paraId="7E7AF33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13</w:t>
            </w:r>
          </w:p>
        </w:tc>
        <w:tc>
          <w:tcPr>
            <w:tcW w:w="516" w:type="pct"/>
            <w:tcBorders>
              <w:tl2br w:val="nil"/>
              <w:tr2bl w:val="nil"/>
            </w:tcBorders>
            <w:vAlign w:val="center"/>
          </w:tcPr>
          <w:p w14:paraId="5F40E5B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10914</w:t>
            </w:r>
          </w:p>
        </w:tc>
      </w:tr>
      <w:tr w14:paraId="280682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0E3D139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5894368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7F0112D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吐鲁番-哈密盆地沙漠化轻度危害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重要防治小区</w:t>
            </w:r>
          </w:p>
        </w:tc>
        <w:tc>
          <w:tcPr>
            <w:tcW w:w="303" w:type="pct"/>
            <w:tcBorders>
              <w:tl2br w:val="nil"/>
              <w:tr2bl w:val="nil"/>
            </w:tcBorders>
            <w:vAlign w:val="center"/>
          </w:tcPr>
          <w:p w14:paraId="70E77FA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11</w:t>
            </w:r>
          </w:p>
        </w:tc>
        <w:tc>
          <w:tcPr>
            <w:tcW w:w="516" w:type="pct"/>
            <w:tcBorders>
              <w:tl2br w:val="nil"/>
              <w:tr2bl w:val="nil"/>
            </w:tcBorders>
            <w:vAlign w:val="center"/>
          </w:tcPr>
          <w:p w14:paraId="283F0F4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52222</w:t>
            </w:r>
          </w:p>
        </w:tc>
      </w:tr>
      <w:tr w14:paraId="7F0C51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2ACD898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5B68751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6DBBCF9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天山南坡山地丘陵沙漠化无或轻微危害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33AD6D0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12</w:t>
            </w:r>
          </w:p>
        </w:tc>
        <w:tc>
          <w:tcPr>
            <w:tcW w:w="516" w:type="pct"/>
            <w:tcBorders>
              <w:tl2br w:val="nil"/>
              <w:tr2bl w:val="nil"/>
            </w:tcBorders>
            <w:vAlign w:val="center"/>
          </w:tcPr>
          <w:p w14:paraId="54B0639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257300</w:t>
            </w:r>
          </w:p>
        </w:tc>
      </w:tr>
      <w:tr w14:paraId="27B838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41D5D1F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restart"/>
            <w:tcBorders>
              <w:tl2br w:val="nil"/>
              <w:tr2bl w:val="nil"/>
            </w:tcBorders>
            <w:vAlign w:val="center"/>
          </w:tcPr>
          <w:p w14:paraId="12ECD75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昆仑</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阿尔金山亚区</w:t>
            </w:r>
          </w:p>
        </w:tc>
        <w:tc>
          <w:tcPr>
            <w:tcW w:w="2017" w:type="pct"/>
            <w:tcBorders>
              <w:tl2br w:val="nil"/>
              <w:tr2bl w:val="nil"/>
            </w:tcBorders>
            <w:vAlign w:val="center"/>
          </w:tcPr>
          <w:p w14:paraId="29CC4BE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昆仑</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阿尔金山沙漠化无或轻微危害</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582CA2C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21</w:t>
            </w:r>
          </w:p>
        </w:tc>
        <w:tc>
          <w:tcPr>
            <w:tcW w:w="516" w:type="pct"/>
            <w:tcBorders>
              <w:tl2br w:val="nil"/>
              <w:tr2bl w:val="nil"/>
            </w:tcBorders>
            <w:vAlign w:val="center"/>
          </w:tcPr>
          <w:p w14:paraId="6DE7A5E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304052</w:t>
            </w:r>
          </w:p>
        </w:tc>
      </w:tr>
      <w:tr w14:paraId="0F54C1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967" w:type="pct"/>
            <w:vMerge w:val="continue"/>
            <w:tcBorders>
              <w:tl2br w:val="nil"/>
              <w:tr2bl w:val="nil"/>
            </w:tcBorders>
            <w:vAlign w:val="center"/>
          </w:tcPr>
          <w:p w14:paraId="1E85007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1194" w:type="pct"/>
            <w:vMerge w:val="continue"/>
            <w:tcBorders>
              <w:tl2br w:val="nil"/>
              <w:tr2bl w:val="nil"/>
            </w:tcBorders>
            <w:vAlign w:val="center"/>
          </w:tcPr>
          <w:p w14:paraId="345379D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2017" w:type="pct"/>
            <w:tcBorders>
              <w:tl2br w:val="nil"/>
              <w:tr2bl w:val="nil"/>
            </w:tcBorders>
            <w:vAlign w:val="center"/>
          </w:tcPr>
          <w:p w14:paraId="6E017CF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库木库里轻度沙漠化</w:t>
            </w:r>
            <w:r>
              <w:rPr>
                <w:rFonts w:hint="default" w:ascii="Times New Roman" w:hAnsi="Times New Roman" w:cs="Times New Roman"/>
                <w:b w:val="0"/>
                <w:bCs w:val="0"/>
                <w:snapToGrid/>
                <w:color w:val="auto"/>
                <w:spacing w:val="0"/>
                <w:w w:val="100"/>
                <w:position w:val="0"/>
                <w:highlight w:val="none"/>
                <w:vertAlign w:val="baseline"/>
                <w:lang w:val="en-US" w:eastAsia="zh-CN"/>
              </w:rPr>
              <w:t>－</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自然保护小区</w:t>
            </w:r>
          </w:p>
        </w:tc>
        <w:tc>
          <w:tcPr>
            <w:tcW w:w="303" w:type="pct"/>
            <w:tcBorders>
              <w:tl2br w:val="nil"/>
              <w:tr2bl w:val="nil"/>
            </w:tcBorders>
            <w:vAlign w:val="center"/>
          </w:tcPr>
          <w:p w14:paraId="6481425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22</w:t>
            </w:r>
          </w:p>
        </w:tc>
        <w:tc>
          <w:tcPr>
            <w:tcW w:w="516" w:type="pct"/>
            <w:tcBorders>
              <w:tl2br w:val="nil"/>
              <w:tr2bl w:val="nil"/>
            </w:tcBorders>
            <w:vAlign w:val="center"/>
          </w:tcPr>
          <w:p w14:paraId="27E5AAAA">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32765</w:t>
            </w:r>
          </w:p>
        </w:tc>
      </w:tr>
    </w:tbl>
    <w:p w14:paraId="39B93512">
      <w:pPr>
        <w:pStyle w:val="4"/>
        <w:numPr>
          <w:ilvl w:val="0"/>
          <w:numId w:val="0"/>
        </w:numPr>
        <w:rPr>
          <w:rFonts w:hint="default" w:ascii="Times New Roman" w:hAnsi="Times New Roman" w:eastAsia="宋体" w:cs="Times New Roman"/>
          <w:b/>
          <w:bCs/>
          <w:color w:val="auto"/>
          <w:spacing w:val="0"/>
          <w:w w:val="100"/>
          <w:position w:val="0"/>
          <w:highlight w:val="none"/>
          <w:lang w:val="en-US" w:eastAsia="zh-CN"/>
        </w:rPr>
      </w:pPr>
      <w:r>
        <w:rPr>
          <w:rFonts w:hint="default" w:ascii="Times New Roman" w:hAnsi="Times New Roman" w:eastAsia="宋体" w:cs="Times New Roman"/>
          <w:b/>
          <w:bCs/>
          <w:color w:val="auto"/>
          <w:spacing w:val="0"/>
          <w:w w:val="100"/>
          <w:position w:val="0"/>
          <w:highlight w:val="none"/>
          <w:lang w:val="en-US" w:eastAsia="zh-CN"/>
        </w:rPr>
        <w:t>4.3.</w:t>
      </w:r>
      <w:r>
        <w:rPr>
          <w:rFonts w:hint="default" w:ascii="Times New Roman" w:hAnsi="Times New Roman" w:cs="Times New Roman"/>
          <w:b/>
          <w:bCs/>
          <w:color w:val="auto"/>
          <w:spacing w:val="0"/>
          <w:w w:val="100"/>
          <w:position w:val="0"/>
          <w:highlight w:val="none"/>
          <w:lang w:val="en-US" w:eastAsia="zh-CN"/>
        </w:rPr>
        <w:t>8</w:t>
      </w:r>
      <w:r>
        <w:rPr>
          <w:rFonts w:hint="default" w:ascii="Times New Roman" w:hAnsi="Times New Roman" w:eastAsia="宋体" w:cs="Times New Roman"/>
          <w:b/>
          <w:bCs/>
          <w:color w:val="auto"/>
          <w:spacing w:val="0"/>
          <w:w w:val="100"/>
          <w:position w:val="0"/>
          <w:highlight w:val="none"/>
          <w:lang w:val="en-US" w:eastAsia="zh-CN"/>
        </w:rPr>
        <w:t>生态现状调查结论</w:t>
      </w:r>
      <w:bookmarkEnd w:id="588"/>
    </w:p>
    <w:p w14:paraId="4810014C">
      <w:pPr>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综上所述，该项目位于Ⅲ天山山地温性草原、森林生态区，Ⅲ₄天山山地温性草原、森林生态区生态亚区中的53嘎顺—南湖戈壁荒漠风蚀敏感生态功能区。评价区内裸岩石砾地发育有砾幕覆盖，对评价区内水土保持具有重要意义。评价范围内主要分布</w:t>
      </w:r>
      <w:r>
        <w:rPr>
          <w:rFonts w:hint="default" w:ascii="Times New Roman" w:hAnsi="Times New Roman" w:cs="Times New Roman"/>
          <w:color w:val="auto"/>
          <w:sz w:val="24"/>
          <w:szCs w:val="24"/>
          <w:highlight w:val="none"/>
          <w:lang w:val="en-US" w:eastAsia="zh-CN"/>
        </w:rPr>
        <w:t>石质土+</w:t>
      </w:r>
      <w:r>
        <w:rPr>
          <w:rFonts w:hint="default" w:ascii="Times New Roman" w:hAnsi="Times New Roman" w:eastAsia="宋体" w:cs="Times New Roman"/>
          <w:color w:val="auto"/>
          <w:spacing w:val="0"/>
          <w:w w:val="100"/>
          <w:position w:val="0"/>
          <w:sz w:val="24"/>
          <w:szCs w:val="24"/>
          <w:highlight w:val="none"/>
          <w:lang w:val="en-US" w:eastAsia="zh-CN"/>
        </w:rPr>
        <w:t>石膏棕漠土，项目区附近为</w:t>
      </w:r>
      <w:r>
        <w:rPr>
          <w:rFonts w:hint="eastAsia" w:ascii="Times New Roman" w:hAnsi="Times New Roman" w:cs="Times New Roman"/>
          <w:color w:val="auto"/>
          <w:sz w:val="24"/>
          <w:szCs w:val="24"/>
          <w:highlight w:val="none"/>
          <w:lang w:val="en-US" w:eastAsia="zh-CN"/>
        </w:rPr>
        <w:t>天然牧草地</w:t>
      </w:r>
      <w:r>
        <w:rPr>
          <w:rFonts w:hint="eastAsia" w:ascii="Times New Roman" w:hAnsi="Times New Roman" w:cs="Times New Roman"/>
          <w:color w:val="auto"/>
          <w:lang w:val="en-US" w:eastAsia="zh-CN"/>
        </w:rPr>
        <w:t>和</w:t>
      </w:r>
      <w:r>
        <w:rPr>
          <w:rFonts w:hint="default" w:ascii="Times New Roman" w:hAnsi="Times New Roman" w:eastAsia="宋体" w:cs="Times New Roman"/>
          <w:color w:val="auto"/>
          <w:spacing w:val="0"/>
          <w:w w:val="100"/>
          <w:position w:val="0"/>
          <w:sz w:val="24"/>
          <w:szCs w:val="24"/>
          <w:highlight w:val="none"/>
          <w:lang w:val="en-US" w:eastAsia="zh-CN"/>
        </w:rPr>
        <w:t>裸岩石砾地，</w:t>
      </w:r>
      <w:r>
        <w:rPr>
          <w:rFonts w:hint="default" w:ascii="Times New Roman" w:hAnsi="Times New Roman" w:cs="Times New Roman"/>
          <w:color w:val="auto"/>
          <w:spacing w:val="0"/>
          <w:w w:val="100"/>
          <w:position w:val="0"/>
          <w:sz w:val="24"/>
          <w:szCs w:val="24"/>
          <w:highlight w:val="none"/>
          <w:lang w:val="en-US" w:eastAsia="zh-CN"/>
        </w:rPr>
        <w:t>仅有稀疏</w:t>
      </w:r>
      <w:r>
        <w:rPr>
          <w:rFonts w:hint="default" w:ascii="Times New Roman" w:hAnsi="Times New Roman" w:eastAsia="宋体" w:cs="Times New Roman"/>
          <w:color w:val="auto"/>
          <w:spacing w:val="0"/>
          <w:w w:val="100"/>
          <w:position w:val="0"/>
          <w:sz w:val="24"/>
          <w:szCs w:val="24"/>
          <w:highlight w:val="none"/>
          <w:lang w:val="en-US" w:eastAsia="zh-CN"/>
        </w:rPr>
        <w:t>植物生存。区内动物区系的野生动物种类组成贫乏、简单，有少量的戈壁野生动物，分布较多的有子午沙鼠、三趾跳鼠等啮齿类和东疆沙蜥等爬行类。</w:t>
      </w:r>
    </w:p>
    <w:p w14:paraId="2F54A162">
      <w:pPr>
        <w:pStyle w:val="3"/>
        <w:numPr>
          <w:ilvl w:val="1"/>
          <w:numId w:val="0"/>
        </w:numPr>
        <w:bidi w:val="0"/>
        <w:ind w:left="0" w:leftChars="0" w:firstLine="0" w:firstLineChars="0"/>
        <w:rPr>
          <w:rFonts w:hint="default" w:ascii="Times New Roman" w:hAnsi="Times New Roman" w:eastAsia="宋体" w:cs="Times New Roman"/>
          <w:color w:val="auto"/>
          <w:highlight w:val="none"/>
          <w:lang w:val="en-US" w:eastAsia="zh-CN"/>
        </w:rPr>
      </w:pPr>
      <w:bookmarkStart w:id="589" w:name="_Toc29420"/>
      <w:bookmarkStart w:id="590" w:name="_Toc9555"/>
      <w:r>
        <w:rPr>
          <w:rFonts w:hint="default" w:ascii="Times New Roman" w:hAnsi="Times New Roman" w:eastAsia="宋体" w:cs="Times New Roman"/>
          <w:color w:val="auto"/>
          <w:highlight w:val="none"/>
          <w:lang w:val="en-US" w:eastAsia="zh-CN"/>
        </w:rPr>
        <w:t>4.4矿石辐射监测结果及评价</w:t>
      </w:r>
      <w:bookmarkEnd w:id="589"/>
      <w:bookmarkEnd w:id="590"/>
    </w:p>
    <w:p w14:paraId="50DE678B">
      <w:pP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根据“关于发布《矿产资源开发利用辐射环境监督管</w:t>
      </w:r>
      <w:r>
        <w:rPr>
          <w:rFonts w:hint="default" w:ascii="Times New Roman" w:hAnsi="Times New Roman" w:eastAsia="宋体" w:cs="Times New Roman"/>
          <w:color w:val="auto"/>
          <w:sz w:val="24"/>
          <w:szCs w:val="24"/>
          <w:highlight w:val="none"/>
        </w:rPr>
        <w:t>理名录》的</w:t>
      </w:r>
      <w:r>
        <w:rPr>
          <w:rFonts w:hint="default" w:ascii="Times New Roman" w:hAnsi="Times New Roman" w:eastAsia="宋体" w:cs="Times New Roman"/>
          <w:color w:val="auto"/>
          <w:spacing w:val="0"/>
          <w:sz w:val="24"/>
          <w:szCs w:val="24"/>
          <w:highlight w:val="none"/>
        </w:rPr>
        <w:t>公告”（2020年第54号</w:t>
      </w:r>
      <w:r>
        <w:rPr>
          <w:rFonts w:hint="default" w:ascii="Times New Roman" w:hAnsi="Times New Roman" w:eastAsia="宋体" w:cs="Times New Roman"/>
          <w:color w:val="auto"/>
          <w:spacing w:val="0"/>
          <w:w w:val="100"/>
          <w:sz w:val="24"/>
          <w:szCs w:val="24"/>
          <w:highlight w:val="none"/>
        </w:rPr>
        <w:t>），</w:t>
      </w:r>
      <w:r>
        <w:rPr>
          <w:rFonts w:hint="default" w:ascii="Times New Roman" w:hAnsi="Times New Roman" w:eastAsia="宋体" w:cs="Times New Roman"/>
          <w:color w:val="auto"/>
          <w:spacing w:val="0"/>
          <w:sz w:val="24"/>
          <w:szCs w:val="24"/>
          <w:highlight w:val="none"/>
        </w:rPr>
        <w:t>本项目原矿、</w:t>
      </w:r>
      <w:r>
        <w:rPr>
          <w:rFonts w:hint="eastAsia" w:ascii="Times New Roman" w:hAnsi="Times New Roman" w:cs="Times New Roman"/>
          <w:color w:val="auto"/>
          <w:spacing w:val="0"/>
          <w:sz w:val="24"/>
          <w:szCs w:val="24"/>
          <w:highlight w:val="none"/>
          <w:lang w:val="en-US" w:eastAsia="zh-CN"/>
        </w:rPr>
        <w:t>废石，或者</w:t>
      </w:r>
      <w:r>
        <w:rPr>
          <w:rFonts w:hint="default" w:ascii="Times New Roman" w:hAnsi="Times New Roman" w:eastAsia="宋体" w:cs="Times New Roman"/>
          <w:color w:val="auto"/>
          <w:spacing w:val="0"/>
          <w:sz w:val="24"/>
          <w:szCs w:val="24"/>
          <w:highlight w:val="none"/>
        </w:rPr>
        <w:t>其他残留物中铀（钍）系单个核素活度浓度委托核工业二一六大队检测研究院</w:t>
      </w:r>
      <w:r>
        <w:rPr>
          <w:rFonts w:hint="default" w:ascii="Times New Roman" w:hAnsi="Times New Roman" w:eastAsia="宋体" w:cs="Times New Roman"/>
          <w:color w:val="auto"/>
          <w:spacing w:val="0"/>
          <w:sz w:val="24"/>
          <w:szCs w:val="24"/>
          <w:highlight w:val="none"/>
          <w:lang w:val="en-US" w:eastAsia="zh-CN"/>
        </w:rPr>
        <w:t>于202</w:t>
      </w:r>
      <w:r>
        <w:rPr>
          <w:rFonts w:hint="default" w:ascii="Times New Roman" w:hAnsi="Times New Roman" w:cs="Times New Roman"/>
          <w:color w:val="auto"/>
          <w:spacing w:val="0"/>
          <w:sz w:val="24"/>
          <w:szCs w:val="24"/>
          <w:highlight w:val="none"/>
          <w:lang w:val="en-US" w:eastAsia="zh-CN"/>
        </w:rPr>
        <w:t>6</w:t>
      </w:r>
      <w:r>
        <w:rPr>
          <w:rFonts w:hint="default" w:ascii="Times New Roman" w:hAnsi="Times New Roman" w:eastAsia="宋体" w:cs="Times New Roman"/>
          <w:color w:val="auto"/>
          <w:spacing w:val="0"/>
          <w:sz w:val="24"/>
          <w:szCs w:val="24"/>
          <w:highlight w:val="none"/>
          <w:lang w:val="en-US" w:eastAsia="zh-CN"/>
        </w:rPr>
        <w:t>年</w:t>
      </w:r>
      <w:r>
        <w:rPr>
          <w:rFonts w:hint="default" w:ascii="Times New Roman" w:hAnsi="Times New Roman" w:cs="Times New Roman"/>
          <w:color w:val="auto"/>
          <w:spacing w:val="0"/>
          <w:sz w:val="24"/>
          <w:szCs w:val="24"/>
          <w:highlight w:val="none"/>
          <w:lang w:val="en-US" w:eastAsia="zh-CN"/>
        </w:rPr>
        <w:t>6</w:t>
      </w:r>
      <w:r>
        <w:rPr>
          <w:rFonts w:hint="default" w:ascii="Times New Roman" w:hAnsi="Times New Roman" w:eastAsia="宋体" w:cs="Times New Roman"/>
          <w:color w:val="auto"/>
          <w:spacing w:val="0"/>
          <w:sz w:val="24"/>
          <w:szCs w:val="24"/>
          <w:highlight w:val="none"/>
          <w:lang w:val="en-US" w:eastAsia="zh-CN"/>
        </w:rPr>
        <w:t>月</w:t>
      </w:r>
      <w:r>
        <w:rPr>
          <w:rFonts w:hint="default" w:ascii="Times New Roman" w:hAnsi="Times New Roman" w:cs="Times New Roman"/>
          <w:color w:val="auto"/>
          <w:spacing w:val="0"/>
          <w:sz w:val="24"/>
          <w:szCs w:val="24"/>
          <w:highlight w:val="none"/>
          <w:lang w:val="en-US" w:eastAsia="zh-CN"/>
        </w:rPr>
        <w:t>10</w:t>
      </w:r>
      <w:r>
        <w:rPr>
          <w:rFonts w:hint="default" w:ascii="Times New Roman" w:hAnsi="Times New Roman" w:eastAsia="宋体" w:cs="Times New Roman"/>
          <w:color w:val="auto"/>
          <w:spacing w:val="0"/>
          <w:sz w:val="24"/>
          <w:szCs w:val="24"/>
          <w:highlight w:val="none"/>
          <w:lang w:val="en-US" w:eastAsia="zh-CN"/>
        </w:rPr>
        <w:t>日</w:t>
      </w:r>
      <w:r>
        <w:rPr>
          <w:rFonts w:hint="default" w:ascii="Times New Roman" w:hAnsi="Times New Roman" w:eastAsia="宋体" w:cs="Times New Roman"/>
          <w:color w:val="auto"/>
          <w:spacing w:val="0"/>
          <w:sz w:val="24"/>
          <w:szCs w:val="24"/>
          <w:highlight w:val="none"/>
        </w:rPr>
        <w:t>进行了检测，</w:t>
      </w:r>
      <w:r>
        <w:rPr>
          <w:rFonts w:hint="default" w:ascii="Times New Roman" w:hAnsi="Times New Roman" w:cs="Times New Roman"/>
          <w:color w:val="auto"/>
          <w:spacing w:val="0"/>
          <w:sz w:val="24"/>
          <w:szCs w:val="24"/>
          <w:highlight w:val="none"/>
          <w:lang w:val="en-US" w:eastAsia="zh-CN"/>
        </w:rPr>
        <w:t>自委托检测至今大红山北铜矿一直未实施，开采矿石性质及组分未发生变化，因此本项目引用放射性核素检测结果可行，本项目放射性核素检测结果</w:t>
      </w:r>
      <w:r>
        <w:rPr>
          <w:rFonts w:hint="default" w:ascii="Times New Roman" w:hAnsi="Times New Roman" w:eastAsia="宋体" w:cs="Times New Roman"/>
          <w:color w:val="auto"/>
          <w:spacing w:val="0"/>
          <w:sz w:val="24"/>
          <w:szCs w:val="24"/>
          <w:highlight w:val="none"/>
        </w:rPr>
        <w:t>表</w:t>
      </w:r>
      <w:r>
        <w:rPr>
          <w:rFonts w:hint="default" w:ascii="Times New Roman" w:hAnsi="Times New Roman" w:eastAsia="宋体" w:cs="Times New Roman"/>
          <w:color w:val="auto"/>
          <w:spacing w:val="0"/>
          <w:sz w:val="24"/>
          <w:szCs w:val="24"/>
          <w:highlight w:val="none"/>
          <w:lang w:eastAsia="zh-CN"/>
        </w:rPr>
        <w:t>4</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eastAsia="zh-CN"/>
        </w:rPr>
        <w:t>4</w:t>
      </w:r>
      <w:r>
        <w:rPr>
          <w:rFonts w:hint="default" w:ascii="Times New Roman" w:hAnsi="Times New Roman" w:eastAsia="宋体" w:cs="Times New Roman"/>
          <w:color w:val="auto"/>
          <w:spacing w:val="0"/>
          <w:sz w:val="24"/>
          <w:szCs w:val="24"/>
          <w:highlight w:val="none"/>
        </w:rPr>
        <w:t>-</w:t>
      </w:r>
      <w:r>
        <w:rPr>
          <w:rFonts w:hint="default" w:ascii="Times New Roman" w:hAnsi="Times New Roman" w:eastAsia="宋体" w:cs="Times New Roman"/>
          <w:color w:val="auto"/>
          <w:spacing w:val="0"/>
          <w:sz w:val="24"/>
          <w:szCs w:val="24"/>
          <w:highlight w:val="none"/>
          <w:lang w:eastAsia="zh-CN"/>
        </w:rPr>
        <w:t>1</w:t>
      </w:r>
      <w:r>
        <w:rPr>
          <w:rFonts w:hint="default" w:ascii="Times New Roman" w:hAnsi="Times New Roman" w:eastAsia="宋体" w:cs="Times New Roman"/>
          <w:color w:val="auto"/>
          <w:spacing w:val="0"/>
          <w:sz w:val="24"/>
          <w:szCs w:val="24"/>
          <w:highlight w:val="none"/>
        </w:rPr>
        <w:t>。</w:t>
      </w:r>
    </w:p>
    <w:p w14:paraId="507E3D8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outlineLvl w:val="9"/>
        <w:rPr>
          <w:rFonts w:hint="default" w:ascii="Times New Roman" w:hAnsi="Times New Roman" w:eastAsia="宋体" w:cs="Times New Roman"/>
          <w:b/>
          <w:color w:val="auto"/>
          <w:spacing w:val="0"/>
          <w:w w:val="100"/>
          <w:kern w:val="0"/>
          <w:position w:val="0"/>
          <w:sz w:val="21"/>
          <w:szCs w:val="21"/>
          <w:highlight w:val="none"/>
          <w:lang w:val="en-US" w:eastAsia="zh-CN"/>
        </w:rPr>
      </w:pPr>
      <w:r>
        <w:rPr>
          <w:rFonts w:hint="default" w:ascii="Times New Roman" w:hAnsi="Times New Roman" w:eastAsia="宋体" w:cs="Times New Roman"/>
          <w:b/>
          <w:color w:val="auto"/>
          <w:spacing w:val="0"/>
          <w:w w:val="100"/>
          <w:kern w:val="0"/>
          <w:position w:val="0"/>
          <w:sz w:val="21"/>
          <w:szCs w:val="21"/>
          <w:highlight w:val="none"/>
          <w:lang w:val="en-US" w:eastAsia="zh-CN"/>
        </w:rPr>
        <w:t>表4.4-1    放射性核素检测结果一览表</w:t>
      </w:r>
    </w:p>
    <w:tbl>
      <w:tblPr>
        <w:tblStyle w:val="31"/>
        <w:tblW w:w="512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40"/>
        <w:gridCol w:w="1351"/>
        <w:gridCol w:w="1228"/>
        <w:gridCol w:w="866"/>
        <w:gridCol w:w="866"/>
        <w:gridCol w:w="866"/>
        <w:gridCol w:w="866"/>
        <w:gridCol w:w="1754"/>
      </w:tblGrid>
      <w:tr w14:paraId="7B83A4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34" w:type="pct"/>
            <w:vMerge w:val="restart"/>
            <w:tcBorders>
              <w:tl2br w:val="nil"/>
              <w:tr2bl w:val="nil"/>
            </w:tcBorders>
            <w:vAlign w:val="center"/>
          </w:tcPr>
          <w:p w14:paraId="61D46DB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序号</w:t>
            </w:r>
          </w:p>
        </w:tc>
        <w:tc>
          <w:tcPr>
            <w:tcW w:w="791" w:type="pct"/>
            <w:vMerge w:val="restart"/>
            <w:tcBorders>
              <w:tl2br w:val="nil"/>
              <w:tr2bl w:val="nil"/>
            </w:tcBorders>
            <w:vAlign w:val="center"/>
          </w:tcPr>
          <w:p w14:paraId="3D251C6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分析编号</w:t>
            </w:r>
          </w:p>
        </w:tc>
        <w:tc>
          <w:tcPr>
            <w:tcW w:w="719" w:type="pct"/>
            <w:vMerge w:val="restart"/>
            <w:tcBorders>
              <w:tl2br w:val="nil"/>
              <w:tr2bl w:val="nil"/>
            </w:tcBorders>
            <w:vAlign w:val="center"/>
          </w:tcPr>
          <w:p w14:paraId="354FF6DB">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样品编号</w:t>
            </w:r>
          </w:p>
        </w:tc>
        <w:tc>
          <w:tcPr>
            <w:tcW w:w="3055" w:type="pct"/>
            <w:gridSpan w:val="5"/>
            <w:tcBorders>
              <w:tl2br w:val="nil"/>
              <w:tr2bl w:val="nil"/>
            </w:tcBorders>
            <w:vAlign w:val="center"/>
          </w:tcPr>
          <w:p w14:paraId="1BE3BC06">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测试项目（单位）</w:t>
            </w:r>
          </w:p>
        </w:tc>
      </w:tr>
      <w:tr w14:paraId="6CD0F2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34" w:type="pct"/>
            <w:vMerge w:val="continue"/>
            <w:tcBorders>
              <w:tl2br w:val="nil"/>
              <w:tr2bl w:val="nil"/>
            </w:tcBorders>
            <w:vAlign w:val="center"/>
          </w:tcPr>
          <w:p w14:paraId="76828F2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791" w:type="pct"/>
            <w:vMerge w:val="continue"/>
            <w:tcBorders>
              <w:tl2br w:val="nil"/>
              <w:tr2bl w:val="nil"/>
            </w:tcBorders>
            <w:vAlign w:val="center"/>
          </w:tcPr>
          <w:p w14:paraId="1E3229F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719" w:type="pct"/>
            <w:vMerge w:val="continue"/>
            <w:tcBorders>
              <w:tl2br w:val="nil"/>
              <w:tr2bl w:val="nil"/>
            </w:tcBorders>
            <w:vAlign w:val="center"/>
          </w:tcPr>
          <w:p w14:paraId="7837B31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507" w:type="pct"/>
            <w:tcBorders>
              <w:tl2br w:val="nil"/>
              <w:tr2bl w:val="nil"/>
            </w:tcBorders>
            <w:vAlign w:val="center"/>
          </w:tcPr>
          <w:p w14:paraId="5BAE78F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superscript"/>
                <w:lang w:val="en-US" w:eastAsia="zh-CN"/>
              </w:rPr>
              <w:t>226</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Ra</w:t>
            </w:r>
          </w:p>
        </w:tc>
        <w:tc>
          <w:tcPr>
            <w:tcW w:w="507" w:type="pct"/>
            <w:tcBorders>
              <w:tl2br w:val="nil"/>
              <w:tr2bl w:val="nil"/>
            </w:tcBorders>
            <w:vAlign w:val="center"/>
          </w:tcPr>
          <w:p w14:paraId="4D1385B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superscript"/>
                <w:lang w:val="en-US" w:eastAsia="zh-CN"/>
              </w:rPr>
              <w:t>232</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Th</w:t>
            </w:r>
          </w:p>
        </w:tc>
        <w:tc>
          <w:tcPr>
            <w:tcW w:w="507" w:type="pct"/>
            <w:tcBorders>
              <w:tl2br w:val="nil"/>
              <w:tr2bl w:val="nil"/>
            </w:tcBorders>
            <w:vAlign w:val="center"/>
          </w:tcPr>
          <w:p w14:paraId="239DF8B4">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superscript"/>
                <w:lang w:val="en-US" w:eastAsia="zh-CN"/>
              </w:rPr>
              <w:t>40</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K</w:t>
            </w:r>
          </w:p>
        </w:tc>
        <w:tc>
          <w:tcPr>
            <w:tcW w:w="507" w:type="pct"/>
            <w:tcBorders>
              <w:tl2br w:val="nil"/>
              <w:tr2bl w:val="nil"/>
            </w:tcBorders>
            <w:vAlign w:val="center"/>
          </w:tcPr>
          <w:p w14:paraId="5FC34DB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superscript"/>
                <w:lang w:val="en-US" w:eastAsia="zh-CN"/>
              </w:rPr>
              <w:t>238</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U</w:t>
            </w:r>
          </w:p>
        </w:tc>
        <w:tc>
          <w:tcPr>
            <w:tcW w:w="1026" w:type="pct"/>
            <w:tcBorders>
              <w:tl2br w:val="nil"/>
              <w:tr2bl w:val="nil"/>
            </w:tcBorders>
            <w:vAlign w:val="center"/>
          </w:tcPr>
          <w:p w14:paraId="271BBBE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检测依据</w:t>
            </w:r>
          </w:p>
        </w:tc>
      </w:tr>
      <w:tr w14:paraId="339C69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34" w:type="pct"/>
            <w:vMerge w:val="continue"/>
            <w:tcBorders>
              <w:tl2br w:val="nil"/>
              <w:tr2bl w:val="nil"/>
            </w:tcBorders>
            <w:vAlign w:val="center"/>
          </w:tcPr>
          <w:p w14:paraId="0B0F2199">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791" w:type="pct"/>
            <w:vMerge w:val="continue"/>
            <w:tcBorders>
              <w:tl2br w:val="nil"/>
              <w:tr2bl w:val="nil"/>
            </w:tcBorders>
            <w:vAlign w:val="center"/>
          </w:tcPr>
          <w:p w14:paraId="56EDFA4C">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719" w:type="pct"/>
            <w:vMerge w:val="continue"/>
            <w:tcBorders>
              <w:tl2br w:val="nil"/>
              <w:tr2bl w:val="nil"/>
            </w:tcBorders>
            <w:vAlign w:val="center"/>
          </w:tcPr>
          <w:p w14:paraId="7457002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c>
          <w:tcPr>
            <w:tcW w:w="507" w:type="pct"/>
            <w:tcBorders>
              <w:tl2br w:val="nil"/>
              <w:tr2bl w:val="nil"/>
            </w:tcBorders>
            <w:vAlign w:val="center"/>
          </w:tcPr>
          <w:p w14:paraId="39830A7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Bq/Kg</w:t>
            </w:r>
          </w:p>
        </w:tc>
        <w:tc>
          <w:tcPr>
            <w:tcW w:w="507" w:type="pct"/>
            <w:tcBorders>
              <w:tl2br w:val="nil"/>
              <w:tr2bl w:val="nil"/>
            </w:tcBorders>
            <w:vAlign w:val="center"/>
          </w:tcPr>
          <w:p w14:paraId="5ADFE078">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Bq/Kg</w:t>
            </w:r>
          </w:p>
        </w:tc>
        <w:tc>
          <w:tcPr>
            <w:tcW w:w="507" w:type="pct"/>
            <w:tcBorders>
              <w:tl2br w:val="nil"/>
              <w:tr2bl w:val="nil"/>
            </w:tcBorders>
            <w:vAlign w:val="center"/>
          </w:tcPr>
          <w:p w14:paraId="05EFC963">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Bq/Kg</w:t>
            </w:r>
          </w:p>
        </w:tc>
        <w:tc>
          <w:tcPr>
            <w:tcW w:w="507" w:type="pct"/>
            <w:tcBorders>
              <w:tl2br w:val="nil"/>
              <w:tr2bl w:val="nil"/>
            </w:tcBorders>
            <w:vAlign w:val="center"/>
          </w:tcPr>
          <w:p w14:paraId="61E9B42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Bq/Kg</w:t>
            </w:r>
          </w:p>
        </w:tc>
        <w:tc>
          <w:tcPr>
            <w:tcW w:w="1026" w:type="pct"/>
            <w:vMerge w:val="restart"/>
            <w:tcBorders>
              <w:tl2br w:val="nil"/>
              <w:tr2bl w:val="nil"/>
            </w:tcBorders>
            <w:vAlign w:val="center"/>
          </w:tcPr>
          <w:p w14:paraId="76B28587">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GB 6566-2010</w:t>
            </w:r>
          </w:p>
        </w:tc>
      </w:tr>
      <w:tr w14:paraId="554C27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434" w:type="pct"/>
            <w:tcBorders>
              <w:tl2br w:val="nil"/>
              <w:tr2bl w:val="nil"/>
            </w:tcBorders>
            <w:vAlign w:val="center"/>
          </w:tcPr>
          <w:p w14:paraId="1671E77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1</w:t>
            </w:r>
          </w:p>
        </w:tc>
        <w:tc>
          <w:tcPr>
            <w:tcW w:w="791" w:type="pct"/>
            <w:tcBorders>
              <w:tl2br w:val="nil"/>
              <w:tr2bl w:val="nil"/>
            </w:tcBorders>
            <w:vAlign w:val="center"/>
          </w:tcPr>
          <w:p w14:paraId="6CECC58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202</w:t>
            </w:r>
            <w:r>
              <w:rPr>
                <w:rFonts w:hint="default" w:ascii="Times New Roman" w:hAnsi="Times New Roman" w:cs="Times New Roman"/>
                <w:b w:val="0"/>
                <w:bCs w:val="0"/>
                <w:snapToGrid/>
                <w:color w:val="auto"/>
                <w:spacing w:val="0"/>
                <w:w w:val="100"/>
                <w:position w:val="0"/>
                <w:highlight w:val="none"/>
                <w:vertAlign w:val="baseline"/>
                <w:lang w:val="en-US" w:eastAsia="zh-CN"/>
              </w:rPr>
              <w:t>6</w:t>
            </w: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Y</w:t>
            </w:r>
            <w:r>
              <w:rPr>
                <w:rFonts w:hint="default" w:ascii="Times New Roman" w:hAnsi="Times New Roman" w:cs="Times New Roman"/>
                <w:b w:val="0"/>
                <w:bCs w:val="0"/>
                <w:snapToGrid/>
                <w:color w:val="auto"/>
                <w:spacing w:val="0"/>
                <w:w w:val="100"/>
                <w:position w:val="0"/>
                <w:highlight w:val="none"/>
                <w:vertAlign w:val="baseline"/>
                <w:lang w:val="en-US" w:eastAsia="zh-CN"/>
              </w:rPr>
              <w:t>2314</w:t>
            </w:r>
          </w:p>
        </w:tc>
        <w:tc>
          <w:tcPr>
            <w:tcW w:w="719" w:type="pct"/>
            <w:tcBorders>
              <w:tl2br w:val="nil"/>
              <w:tr2bl w:val="nil"/>
            </w:tcBorders>
            <w:vAlign w:val="center"/>
          </w:tcPr>
          <w:p w14:paraId="56DA10CD">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eastAsia="宋体" w:cs="Times New Roman"/>
                <w:b w:val="0"/>
                <w:bCs w:val="0"/>
                <w:snapToGrid/>
                <w:color w:val="auto"/>
                <w:spacing w:val="0"/>
                <w:w w:val="100"/>
                <w:position w:val="0"/>
                <w:highlight w:val="none"/>
                <w:vertAlign w:val="baseline"/>
                <w:lang w:val="en-US" w:eastAsia="zh-CN"/>
              </w:rPr>
              <w:t>原矿</w:t>
            </w:r>
            <w:r>
              <w:rPr>
                <w:rFonts w:hint="default" w:ascii="Times New Roman" w:hAnsi="Times New Roman" w:cs="Times New Roman"/>
                <w:b w:val="0"/>
                <w:bCs w:val="0"/>
                <w:snapToGrid/>
                <w:color w:val="auto"/>
                <w:spacing w:val="0"/>
                <w:w w:val="100"/>
                <w:position w:val="0"/>
                <w:highlight w:val="none"/>
                <w:vertAlign w:val="baseline"/>
                <w:lang w:val="en-US" w:eastAsia="zh-CN"/>
              </w:rPr>
              <w:t>、废石混合样</w:t>
            </w:r>
          </w:p>
        </w:tc>
        <w:tc>
          <w:tcPr>
            <w:tcW w:w="507" w:type="pct"/>
            <w:tcBorders>
              <w:tl2br w:val="nil"/>
              <w:tr2bl w:val="nil"/>
            </w:tcBorders>
            <w:vAlign w:val="center"/>
          </w:tcPr>
          <w:p w14:paraId="178FD071">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cs="Times New Roman"/>
                <w:b w:val="0"/>
                <w:bCs w:val="0"/>
                <w:snapToGrid/>
                <w:color w:val="auto"/>
                <w:spacing w:val="0"/>
                <w:w w:val="100"/>
                <w:position w:val="0"/>
                <w:highlight w:val="none"/>
                <w:vertAlign w:val="baseline"/>
                <w:lang w:val="en-US" w:eastAsia="zh-CN"/>
              </w:rPr>
              <w:t>276</w:t>
            </w:r>
          </w:p>
        </w:tc>
        <w:tc>
          <w:tcPr>
            <w:tcW w:w="507" w:type="pct"/>
            <w:tcBorders>
              <w:tl2br w:val="nil"/>
              <w:tr2bl w:val="nil"/>
            </w:tcBorders>
            <w:vAlign w:val="center"/>
          </w:tcPr>
          <w:p w14:paraId="6DA0218F">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cs="Times New Roman"/>
                <w:b w:val="0"/>
                <w:bCs w:val="0"/>
                <w:snapToGrid/>
                <w:color w:val="auto"/>
                <w:spacing w:val="0"/>
                <w:w w:val="100"/>
                <w:position w:val="0"/>
                <w:highlight w:val="none"/>
                <w:vertAlign w:val="baseline"/>
                <w:lang w:val="en-US" w:eastAsia="zh-CN"/>
              </w:rPr>
              <w:t>40.7</w:t>
            </w:r>
          </w:p>
        </w:tc>
        <w:tc>
          <w:tcPr>
            <w:tcW w:w="507" w:type="pct"/>
            <w:tcBorders>
              <w:tl2br w:val="nil"/>
              <w:tr2bl w:val="nil"/>
            </w:tcBorders>
            <w:vAlign w:val="center"/>
          </w:tcPr>
          <w:p w14:paraId="1956C62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cs="Times New Roman"/>
                <w:b w:val="0"/>
                <w:bCs w:val="0"/>
                <w:snapToGrid/>
                <w:color w:val="auto"/>
                <w:spacing w:val="0"/>
                <w:w w:val="100"/>
                <w:position w:val="0"/>
                <w:highlight w:val="none"/>
                <w:vertAlign w:val="baseline"/>
                <w:lang w:val="en-US" w:eastAsia="zh-CN"/>
              </w:rPr>
              <w:t>19.3</w:t>
            </w:r>
          </w:p>
        </w:tc>
        <w:tc>
          <w:tcPr>
            <w:tcW w:w="507" w:type="pct"/>
            <w:tcBorders>
              <w:tl2br w:val="nil"/>
              <w:tr2bl w:val="nil"/>
            </w:tcBorders>
            <w:vAlign w:val="center"/>
          </w:tcPr>
          <w:p w14:paraId="0900A190">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r>
              <w:rPr>
                <w:rFonts w:hint="default" w:ascii="Times New Roman" w:hAnsi="Times New Roman" w:cs="Times New Roman"/>
                <w:b w:val="0"/>
                <w:bCs w:val="0"/>
                <w:snapToGrid/>
                <w:color w:val="auto"/>
                <w:spacing w:val="0"/>
                <w:w w:val="100"/>
                <w:position w:val="0"/>
                <w:highlight w:val="none"/>
                <w:vertAlign w:val="baseline"/>
                <w:lang w:val="en-US" w:eastAsia="zh-CN"/>
              </w:rPr>
              <w:t>40.7</w:t>
            </w:r>
          </w:p>
        </w:tc>
        <w:tc>
          <w:tcPr>
            <w:tcW w:w="1026" w:type="pct"/>
            <w:vMerge w:val="continue"/>
            <w:tcBorders>
              <w:tl2br w:val="nil"/>
              <w:tr2bl w:val="nil"/>
            </w:tcBorders>
            <w:vAlign w:val="center"/>
          </w:tcPr>
          <w:p w14:paraId="49667972">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snapToGrid/>
                <w:color w:val="auto"/>
                <w:spacing w:val="0"/>
                <w:w w:val="100"/>
                <w:position w:val="0"/>
                <w:highlight w:val="none"/>
                <w:vertAlign w:val="baseline"/>
                <w:lang w:val="en-US" w:eastAsia="zh-CN"/>
              </w:rPr>
            </w:pPr>
          </w:p>
        </w:tc>
      </w:tr>
    </w:tbl>
    <w:p w14:paraId="093127B1">
      <w:pPr>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cs="Times New Roman"/>
          <w:color w:val="auto"/>
          <w:sz w:val="24"/>
          <w:szCs w:val="24"/>
          <w:highlight w:val="none"/>
          <w:lang w:val="en-US" w:eastAsia="zh-CN"/>
        </w:rPr>
        <w:t>结果显示</w:t>
      </w:r>
      <w:r>
        <w:rPr>
          <w:rFonts w:hint="default" w:ascii="Times New Roman" w:hAnsi="Times New Roman" w:cs="Times New Roman"/>
          <w:color w:val="auto"/>
          <w:sz w:val="24"/>
          <w:szCs w:val="24"/>
          <w:highlight w:val="none"/>
          <w:vertAlign w:val="superscript"/>
          <w:lang w:val="en-US" w:eastAsia="zh-CN"/>
        </w:rPr>
        <w:t>238</w:t>
      </w:r>
      <w:r>
        <w:rPr>
          <w:rFonts w:hint="default" w:ascii="Times New Roman" w:hAnsi="Times New Roman" w:cs="Times New Roman"/>
          <w:color w:val="auto"/>
          <w:sz w:val="24"/>
          <w:szCs w:val="24"/>
          <w:highlight w:val="none"/>
          <w:lang w:val="en-US" w:eastAsia="zh-CN"/>
        </w:rPr>
        <w:t>U、</w:t>
      </w:r>
      <w:r>
        <w:rPr>
          <w:rFonts w:hint="default" w:ascii="Times New Roman" w:hAnsi="Times New Roman" w:cs="Times New Roman"/>
          <w:color w:val="auto"/>
          <w:sz w:val="24"/>
          <w:szCs w:val="24"/>
          <w:highlight w:val="none"/>
          <w:vertAlign w:val="superscript"/>
          <w:lang w:val="en-US" w:eastAsia="zh-CN"/>
        </w:rPr>
        <w:t>226</w:t>
      </w:r>
      <w:r>
        <w:rPr>
          <w:rFonts w:hint="default" w:ascii="Times New Roman" w:hAnsi="Times New Roman" w:cs="Times New Roman"/>
          <w:color w:val="auto"/>
          <w:sz w:val="24"/>
          <w:szCs w:val="24"/>
          <w:highlight w:val="none"/>
          <w:lang w:val="en-US" w:eastAsia="zh-CN"/>
        </w:rPr>
        <w:t>Ra、</w:t>
      </w:r>
      <w:r>
        <w:rPr>
          <w:rFonts w:hint="default" w:ascii="Times New Roman" w:hAnsi="Times New Roman" w:cs="Times New Roman"/>
          <w:color w:val="auto"/>
          <w:sz w:val="24"/>
          <w:szCs w:val="24"/>
          <w:highlight w:val="none"/>
          <w:vertAlign w:val="superscript"/>
          <w:lang w:val="en-US" w:eastAsia="zh-CN"/>
        </w:rPr>
        <w:t>232</w:t>
      </w:r>
      <w:r>
        <w:rPr>
          <w:rFonts w:hint="default" w:ascii="Times New Roman" w:hAnsi="Times New Roman" w:cs="Times New Roman"/>
          <w:color w:val="auto"/>
          <w:sz w:val="24"/>
          <w:szCs w:val="24"/>
          <w:highlight w:val="none"/>
          <w:lang w:val="en-US" w:eastAsia="zh-CN"/>
        </w:rPr>
        <w:t>Th、</w:t>
      </w:r>
      <w:r>
        <w:rPr>
          <w:rFonts w:hint="default" w:ascii="Times New Roman" w:hAnsi="Times New Roman" w:cs="Times New Roman"/>
          <w:color w:val="auto"/>
          <w:sz w:val="24"/>
          <w:szCs w:val="24"/>
          <w:highlight w:val="none"/>
          <w:vertAlign w:val="superscript"/>
          <w:lang w:val="en-US" w:eastAsia="zh-CN"/>
        </w:rPr>
        <w:t>40</w:t>
      </w:r>
      <w:r>
        <w:rPr>
          <w:rFonts w:hint="default" w:ascii="Times New Roman" w:hAnsi="Times New Roman" w:cs="Times New Roman"/>
          <w:color w:val="auto"/>
          <w:sz w:val="24"/>
          <w:szCs w:val="24"/>
          <w:highlight w:val="none"/>
          <w:lang w:val="en-US" w:eastAsia="zh-CN"/>
        </w:rPr>
        <w:t>K等元素活度浓度均未超过1贝克/克（Bq/g），检测报告详见附件。</w:t>
      </w:r>
    </w:p>
    <w:p w14:paraId="0A3B5883">
      <w:pPr>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lang w:val="en-US" w:eastAsia="zh-CN"/>
        </w:rPr>
        <w:br w:type="page"/>
      </w:r>
    </w:p>
    <w:p w14:paraId="16A2713D">
      <w:pPr>
        <w:pStyle w:val="2"/>
        <w:bidi w:val="0"/>
        <w:rPr>
          <w:rFonts w:hint="default" w:ascii="Times New Roman" w:hAnsi="Times New Roman" w:cs="Times New Roman"/>
          <w:color w:val="auto"/>
          <w:lang w:val="en-US" w:eastAsia="zh-CN"/>
        </w:rPr>
      </w:pPr>
      <w:bookmarkStart w:id="591" w:name="_Toc1877"/>
      <w:bookmarkStart w:id="592" w:name="_Toc7786"/>
      <w:bookmarkStart w:id="593" w:name="_Toc17118"/>
      <w:r>
        <w:rPr>
          <w:rFonts w:hint="default" w:ascii="Times New Roman" w:hAnsi="Times New Roman" w:cs="Times New Roman"/>
          <w:color w:val="auto"/>
          <w:lang w:val="en-US" w:eastAsia="zh-CN"/>
        </w:rPr>
        <w:t>环境影响预测与评价</w:t>
      </w:r>
      <w:bookmarkEnd w:id="405"/>
      <w:bookmarkEnd w:id="406"/>
      <w:bookmarkEnd w:id="407"/>
      <w:bookmarkEnd w:id="591"/>
      <w:bookmarkEnd w:id="592"/>
      <w:bookmarkEnd w:id="593"/>
    </w:p>
    <w:bookmarkEnd w:id="408"/>
    <w:bookmarkEnd w:id="409"/>
    <w:bookmarkEnd w:id="410"/>
    <w:bookmarkEnd w:id="411"/>
    <w:p w14:paraId="46FC0A92">
      <w:pPr>
        <w:pStyle w:val="3"/>
        <w:bidi w:val="0"/>
        <w:rPr>
          <w:rFonts w:hint="default" w:ascii="Times New Roman" w:hAnsi="Times New Roman" w:cs="Times New Roman"/>
          <w:color w:val="auto"/>
          <w:lang w:val="en-US" w:eastAsia="zh-CN"/>
        </w:rPr>
      </w:pPr>
      <w:bookmarkStart w:id="594" w:name="_Toc26589"/>
      <w:bookmarkStart w:id="595" w:name="_Toc30251"/>
      <w:bookmarkStart w:id="596" w:name="_Toc2702"/>
      <w:bookmarkStart w:id="597" w:name="_Toc18837"/>
      <w:bookmarkStart w:id="598" w:name="_Toc15696"/>
      <w:bookmarkStart w:id="599" w:name="_Toc16549"/>
      <w:bookmarkStart w:id="600" w:name="_Toc7333"/>
      <w:bookmarkStart w:id="601" w:name="_Toc973"/>
      <w:bookmarkStart w:id="602" w:name="_Toc4212"/>
      <w:bookmarkStart w:id="603" w:name="_Toc20751"/>
      <w:bookmarkStart w:id="604" w:name="_Toc16285"/>
      <w:bookmarkStart w:id="605" w:name="_Toc18743"/>
      <w:bookmarkStart w:id="606" w:name="_Toc7558"/>
      <w:bookmarkStart w:id="607" w:name="_Toc22126250"/>
      <w:r>
        <w:rPr>
          <w:rFonts w:hint="default" w:ascii="Times New Roman" w:hAnsi="Times New Roman" w:cs="Times New Roman"/>
          <w:color w:val="auto"/>
          <w:lang w:val="en-US" w:eastAsia="zh-CN"/>
        </w:rPr>
        <w:t>施工期环境影响分析</w:t>
      </w:r>
      <w:bookmarkEnd w:id="594"/>
      <w:bookmarkEnd w:id="595"/>
    </w:p>
    <w:p w14:paraId="0BCF287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拟建工程施工概况</w:t>
      </w:r>
    </w:p>
    <w:p w14:paraId="1B63771D">
      <w:pPr>
        <w:pStyle w:val="5"/>
        <w:keepNext/>
        <w:keepLines/>
        <w:pageBreakBefore w:val="0"/>
        <w:widowControl w:val="0"/>
        <w:kinsoku/>
        <w:wordWrap/>
        <w:overflowPunct/>
        <w:topLinePunct w:val="0"/>
        <w:autoSpaceDE/>
        <w:autoSpaceDN/>
        <w:bidi w:val="0"/>
        <w:adjustRightInd/>
        <w:snapToGrid/>
        <w:spacing w:before="0" w:after="0" w:line="480" w:lineRule="exact"/>
        <w:ind w:left="0" w:firstLine="542"/>
        <w:textAlignment w:val="auto"/>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"5.1.1.1"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5.1.1.1</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建设施工的主要内容</w:t>
      </w:r>
    </w:p>
    <w:p w14:paraId="1EE635FE">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该项目为铜矿</w:t>
      </w: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建设项目，施工工程</w:t>
      </w:r>
      <w:r>
        <w:rPr>
          <w:rFonts w:hint="default" w:ascii="Times New Roman" w:hAnsi="Times New Roman" w:cs="Times New Roman"/>
          <w:color w:val="auto"/>
          <w:spacing w:val="0"/>
          <w:w w:val="100"/>
          <w:position w:val="0"/>
          <w:sz w:val="24"/>
          <w:szCs w:val="24"/>
          <w:lang w:eastAsia="zh-CN"/>
        </w:rPr>
        <w:t>包括</w:t>
      </w:r>
      <w:r>
        <w:rPr>
          <w:rFonts w:hint="default" w:ascii="Times New Roman" w:hAnsi="Times New Roman" w:eastAsia="宋体" w:cs="Times New Roman"/>
          <w:color w:val="auto"/>
          <w:spacing w:val="0"/>
          <w:w w:val="100"/>
          <w:position w:val="0"/>
          <w:sz w:val="24"/>
          <w:szCs w:val="24"/>
        </w:rPr>
        <w:t>采矿工程</w:t>
      </w:r>
      <w:r>
        <w:rPr>
          <w:rFonts w:hint="default" w:ascii="Times New Roman" w:hAnsi="Times New Roman" w:eastAsia="宋体" w:cs="Times New Roman"/>
          <w:color w:val="auto"/>
          <w:spacing w:val="0"/>
          <w:w w:val="100"/>
          <w:position w:val="0"/>
          <w:sz w:val="24"/>
          <w:szCs w:val="24"/>
          <w:lang w:val="en-US" w:eastAsia="zh-CN"/>
        </w:rPr>
        <w:t>等</w:t>
      </w:r>
      <w:r>
        <w:rPr>
          <w:rFonts w:hint="default" w:ascii="Times New Roman" w:hAnsi="Times New Roman" w:eastAsia="宋体" w:cs="Times New Roman"/>
          <w:color w:val="auto"/>
          <w:spacing w:val="0"/>
          <w:w w:val="100"/>
          <w:position w:val="0"/>
          <w:sz w:val="24"/>
          <w:szCs w:val="24"/>
        </w:rPr>
        <w:t>。井下工程建设主要涉及钻孔凿岩、爆破</w:t>
      </w:r>
      <w:r>
        <w:rPr>
          <w:rFonts w:hint="eastAsia" w:ascii="Times New Roman" w:hAnsi="Times New Roman" w:cs="Times New Roman"/>
          <w:color w:val="auto"/>
          <w:spacing w:val="0"/>
          <w:w w:val="100"/>
          <w:position w:val="0"/>
          <w:sz w:val="24"/>
          <w:szCs w:val="24"/>
          <w:lang w:eastAsia="zh-CN"/>
        </w:rPr>
        <w:t>、运输和</w:t>
      </w:r>
      <w:r>
        <w:rPr>
          <w:rFonts w:hint="default" w:ascii="Times New Roman" w:hAnsi="Times New Roman" w:eastAsia="宋体" w:cs="Times New Roman"/>
          <w:color w:val="auto"/>
          <w:spacing w:val="0"/>
          <w:w w:val="100"/>
          <w:position w:val="0"/>
          <w:sz w:val="24"/>
          <w:szCs w:val="24"/>
        </w:rPr>
        <w:t>巷道工程建设。井口工业场地建设包括清基、基础施工、构筑物建设、设备安装等。</w:t>
      </w:r>
    </w:p>
    <w:p w14:paraId="0D1139DD">
      <w:pPr>
        <w:pStyle w:val="5"/>
        <w:keepNext/>
        <w:keepLines/>
        <w:pageBreakBefore w:val="0"/>
        <w:widowControl w:val="0"/>
        <w:kinsoku/>
        <w:wordWrap/>
        <w:overflowPunct/>
        <w:topLinePunct w:val="0"/>
        <w:autoSpaceDE/>
        <w:autoSpaceDN/>
        <w:bidi w:val="0"/>
        <w:adjustRightInd/>
        <w:snapToGrid/>
        <w:spacing w:before="0" w:after="0" w:line="480" w:lineRule="exact"/>
        <w:ind w:left="0" w:firstLine="482"/>
        <w:textAlignment w:val="auto"/>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"5.1.1.2"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5.1.1.2</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施工场地布置</w:t>
      </w:r>
    </w:p>
    <w:p w14:paraId="00F09D5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根据矿区总平面布置图，施工场地主要包括：采</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工业场地、</w:t>
      </w:r>
      <w:r>
        <w:rPr>
          <w:rFonts w:hint="default" w:ascii="Times New Roman" w:hAnsi="Times New Roman" w:cs="Times New Roman"/>
          <w:color w:val="auto"/>
          <w:spacing w:val="0"/>
          <w:w w:val="100"/>
          <w:position w:val="0"/>
          <w:sz w:val="24"/>
          <w:szCs w:val="24"/>
          <w:lang w:val="en-US" w:eastAsia="zh-CN"/>
        </w:rPr>
        <w:t>充填站</w:t>
      </w:r>
      <w:r>
        <w:rPr>
          <w:rFonts w:hint="default" w:ascii="Times New Roman" w:hAnsi="Times New Roman" w:eastAsia="宋体"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rPr>
        <w:t>废石场</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办公生活区等。</w:t>
      </w:r>
    </w:p>
    <w:p w14:paraId="07FFF2B2">
      <w:pPr>
        <w:pStyle w:val="5"/>
        <w:pageBreakBefore w:val="0"/>
        <w:widowControl w:val="0"/>
        <w:kinsoku/>
        <w:wordWrap/>
        <w:overflowPunct/>
        <w:topLinePunct w:val="0"/>
        <w:autoSpaceDE/>
        <w:autoSpaceDN/>
        <w:bidi w:val="0"/>
        <w:adjustRightInd/>
        <w:snapToGrid/>
        <w:spacing w:before="0" w:after="0" w:line="480" w:lineRule="exact"/>
        <w:ind w:left="0" w:firstLine="542"/>
        <w:textAlignment w:val="auto"/>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"5.1.1.4"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5.1.1.3</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施工机械与施工方式</w:t>
      </w:r>
    </w:p>
    <w:p w14:paraId="551A81BE">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不同的建设工程采用不同的施工机械，井巷施工机械主要包括钻机、凿岩机、空压机、通风机等；地面工程施工机械主要包括：推土机、挖土机、打桩机、钻机、混凝土搅拌机、振捣机、压路机、汽车、切割、打磨、吊装、卷扬等。</w:t>
      </w:r>
    </w:p>
    <w:p w14:paraId="4E4687DC">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（1）井筒施工方式</w:t>
      </w:r>
    </w:p>
    <w:p w14:paraId="4A8286B0">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常规井筒施工工序为凿岩、爆破、通风、出渣、支护、设施安装等工序。</w:t>
      </w:r>
    </w:p>
    <w:p w14:paraId="1BE9B670">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（2）建构筑物施工方式</w:t>
      </w:r>
    </w:p>
    <w:p w14:paraId="21D9D946">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建构筑物主要施工程序包括场地平整、地基基础施工、地上建筑、设备安装等工序，主要采用推土机、挖土机、混凝土搅拌机、振捣机、卷扬机、吊车等施工机械。</w:t>
      </w:r>
    </w:p>
    <w:p w14:paraId="2BD86472">
      <w:pPr>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"5.1.1.5"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5.1.1.4</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施工期与施工组织</w:t>
      </w:r>
    </w:p>
    <w:p w14:paraId="443A63CA">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w:t>
      </w:r>
      <w:r>
        <w:rPr>
          <w:rFonts w:hint="default" w:ascii="Times New Roman" w:hAnsi="Times New Roman" w:cs="Times New Roman"/>
          <w:color w:val="auto"/>
          <w:spacing w:val="0"/>
          <w:w w:val="100"/>
          <w:position w:val="0"/>
          <w:sz w:val="24"/>
          <w:szCs w:val="24"/>
          <w:lang w:val="en-US" w:eastAsia="zh-CN"/>
        </w:rPr>
        <w:t>初步设计方案</w:t>
      </w:r>
      <w:r>
        <w:rPr>
          <w:rFonts w:hint="default" w:ascii="Times New Roman" w:hAnsi="Times New Roman" w:eastAsia="宋体" w:cs="Times New Roman"/>
          <w:color w:val="auto"/>
          <w:spacing w:val="0"/>
          <w:w w:val="100"/>
          <w:position w:val="0"/>
          <w:sz w:val="24"/>
          <w:szCs w:val="24"/>
        </w:rPr>
        <w:t>，基建工程主要包括主平硐、南斜坡道、</w:t>
      </w:r>
      <w:r>
        <w:rPr>
          <w:rFonts w:hint="default" w:ascii="Times New Roman" w:hAnsi="Times New Roman" w:eastAsia="宋体" w:cs="Times New Roman"/>
          <w:color w:val="auto"/>
          <w:spacing w:val="0"/>
          <w:w w:val="100"/>
          <w:position w:val="0"/>
          <w:sz w:val="24"/>
          <w:szCs w:val="24"/>
          <w:lang w:eastAsia="zh-CN"/>
        </w:rPr>
        <w:t>Ⅳ</w:t>
      </w:r>
      <w:r>
        <w:rPr>
          <w:rFonts w:hint="default" w:ascii="Times New Roman" w:hAnsi="Times New Roman" w:eastAsia="宋体" w:cs="Times New Roman"/>
          <w:color w:val="auto"/>
          <w:spacing w:val="0"/>
          <w:w w:val="100"/>
          <w:position w:val="0"/>
          <w:sz w:val="24"/>
          <w:szCs w:val="24"/>
        </w:rPr>
        <w:t>-1号矿体回风井、</w:t>
      </w:r>
      <w:r>
        <w:rPr>
          <w:rFonts w:hint="default" w:ascii="Times New Roman" w:hAnsi="Times New Roman" w:eastAsia="宋体" w:cs="Times New Roman"/>
          <w:color w:val="auto"/>
          <w:spacing w:val="0"/>
          <w:w w:val="100"/>
          <w:position w:val="0"/>
          <w:sz w:val="24"/>
          <w:szCs w:val="24"/>
          <w:lang w:eastAsia="zh-CN"/>
        </w:rPr>
        <w:t>Ⅵ</w:t>
      </w:r>
      <w:r>
        <w:rPr>
          <w:rFonts w:hint="default" w:ascii="Times New Roman" w:hAnsi="Times New Roman" w:eastAsia="宋体" w:cs="Times New Roman"/>
          <w:color w:val="auto"/>
          <w:spacing w:val="0"/>
          <w:w w:val="100"/>
          <w:position w:val="0"/>
          <w:sz w:val="24"/>
          <w:szCs w:val="24"/>
        </w:rPr>
        <w:t>号矿体回风井、</w:t>
      </w:r>
      <w:r>
        <w:rPr>
          <w:rFonts w:hint="default" w:ascii="Times New Roman" w:hAnsi="Times New Roman" w:eastAsia="宋体" w:cs="Times New Roman"/>
          <w:color w:val="auto"/>
          <w:spacing w:val="0"/>
          <w:w w:val="100"/>
          <w:position w:val="0"/>
          <w:sz w:val="24"/>
          <w:szCs w:val="24"/>
          <w:lang w:eastAsia="zh-CN"/>
        </w:rPr>
        <w:t>Ⅲ</w:t>
      </w:r>
      <w:r>
        <w:rPr>
          <w:rFonts w:hint="default" w:ascii="Times New Roman" w:hAnsi="Times New Roman" w:eastAsia="宋体" w:cs="Times New Roman"/>
          <w:color w:val="auto"/>
          <w:spacing w:val="0"/>
          <w:w w:val="100"/>
          <w:position w:val="0"/>
          <w:sz w:val="24"/>
          <w:szCs w:val="24"/>
          <w:lang w:val="en-US" w:eastAsia="zh-CN"/>
        </w:rPr>
        <w:t>号回风井延深、</w:t>
      </w:r>
      <w:r>
        <w:rPr>
          <w:rFonts w:hint="default" w:ascii="Times New Roman" w:hAnsi="Times New Roman" w:eastAsia="宋体" w:cs="Times New Roman"/>
          <w:color w:val="auto"/>
          <w:spacing w:val="0"/>
          <w:w w:val="100"/>
          <w:position w:val="0"/>
          <w:sz w:val="24"/>
          <w:szCs w:val="24"/>
        </w:rPr>
        <w:t>入风管缆井、（</w:t>
      </w:r>
      <w:r>
        <w:rPr>
          <w:rFonts w:hint="default" w:ascii="Times New Roman" w:hAnsi="Times New Roman" w:eastAsia="宋体" w:cs="Times New Roman"/>
          <w:color w:val="auto"/>
          <w:spacing w:val="0"/>
          <w:w w:val="100"/>
          <w:position w:val="0"/>
          <w:sz w:val="24"/>
          <w:szCs w:val="24"/>
          <w:lang w:eastAsia="zh-CN"/>
        </w:rPr>
        <w:t>Ⅲ</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eastAsia="zh-CN"/>
        </w:rPr>
        <w:t>Ⅳ</w:t>
      </w:r>
      <w:r>
        <w:rPr>
          <w:rFonts w:hint="default" w:ascii="Times New Roman" w:hAnsi="Times New Roman" w:eastAsia="宋体" w:cs="Times New Roman"/>
          <w:color w:val="auto"/>
          <w:spacing w:val="0"/>
          <w:w w:val="100"/>
          <w:position w:val="0"/>
          <w:sz w:val="24"/>
          <w:szCs w:val="24"/>
        </w:rPr>
        <w:t>-1）号矿体2000m水平回风巷道、</w:t>
      </w:r>
      <w:r>
        <w:rPr>
          <w:rFonts w:hint="default" w:ascii="Times New Roman" w:hAnsi="Times New Roman" w:eastAsia="宋体" w:cs="Times New Roman"/>
          <w:color w:val="auto"/>
          <w:spacing w:val="0"/>
          <w:w w:val="100"/>
          <w:position w:val="0"/>
          <w:sz w:val="24"/>
          <w:szCs w:val="24"/>
          <w:lang w:eastAsia="zh-CN"/>
        </w:rPr>
        <w:t>Ⅳ</w:t>
      </w:r>
      <w:r>
        <w:rPr>
          <w:rFonts w:hint="default" w:ascii="Times New Roman" w:hAnsi="Times New Roman" w:eastAsia="宋体" w:cs="Times New Roman"/>
          <w:color w:val="auto"/>
          <w:spacing w:val="0"/>
          <w:w w:val="100"/>
          <w:position w:val="0"/>
          <w:sz w:val="24"/>
          <w:szCs w:val="24"/>
        </w:rPr>
        <w:t>-1号矿体1980m水平运输巷道、</w:t>
      </w:r>
      <w:r>
        <w:rPr>
          <w:rFonts w:hint="default" w:ascii="Times New Roman" w:hAnsi="Times New Roman" w:eastAsia="宋体" w:cs="Times New Roman"/>
          <w:color w:val="auto"/>
          <w:spacing w:val="0"/>
          <w:w w:val="100"/>
          <w:position w:val="0"/>
          <w:sz w:val="24"/>
          <w:szCs w:val="24"/>
          <w:lang w:eastAsia="zh-CN"/>
        </w:rPr>
        <w:t>Ⅵ</w:t>
      </w:r>
      <w:r>
        <w:rPr>
          <w:rFonts w:hint="default" w:ascii="Times New Roman" w:hAnsi="Times New Roman" w:eastAsia="宋体" w:cs="Times New Roman"/>
          <w:color w:val="auto"/>
          <w:spacing w:val="0"/>
          <w:w w:val="100"/>
          <w:position w:val="0"/>
          <w:sz w:val="24"/>
          <w:szCs w:val="24"/>
        </w:rPr>
        <w:t>号矿体1980m水平回风巷道、（</w:t>
      </w:r>
      <w:r>
        <w:rPr>
          <w:rFonts w:hint="default" w:ascii="Times New Roman" w:hAnsi="Times New Roman" w:eastAsia="宋体" w:cs="Times New Roman"/>
          <w:color w:val="auto"/>
          <w:spacing w:val="0"/>
          <w:w w:val="100"/>
          <w:position w:val="0"/>
          <w:sz w:val="24"/>
          <w:szCs w:val="24"/>
          <w:lang w:eastAsia="zh-CN"/>
        </w:rPr>
        <w:t>Ⅲ</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eastAsia="zh-CN"/>
        </w:rPr>
        <w:t>Ⅵ</w:t>
      </w:r>
      <w:r>
        <w:rPr>
          <w:rFonts w:hint="default" w:ascii="Times New Roman" w:hAnsi="Times New Roman" w:eastAsia="宋体" w:cs="Times New Roman"/>
          <w:color w:val="auto"/>
          <w:spacing w:val="0"/>
          <w:w w:val="100"/>
          <w:position w:val="0"/>
          <w:sz w:val="24"/>
          <w:szCs w:val="24"/>
        </w:rPr>
        <w:t>）号矿体1960m水平运输巷道、1800m水平巷道、北斜坡道、（I、</w:t>
      </w:r>
      <w:r>
        <w:rPr>
          <w:rFonts w:hint="default" w:ascii="Times New Roman" w:hAnsi="Times New Roman" w:eastAsia="宋体" w:cs="Times New Roman"/>
          <w:color w:val="auto"/>
          <w:spacing w:val="0"/>
          <w:w w:val="100"/>
          <w:position w:val="0"/>
          <w:sz w:val="24"/>
          <w:szCs w:val="24"/>
          <w:lang w:eastAsia="zh-CN"/>
        </w:rPr>
        <w:t>Ⅱ</w:t>
      </w:r>
      <w:r>
        <w:rPr>
          <w:rFonts w:hint="default" w:ascii="Times New Roman" w:hAnsi="Times New Roman" w:eastAsia="宋体" w:cs="Times New Roman"/>
          <w:color w:val="auto"/>
          <w:spacing w:val="0"/>
          <w:w w:val="100"/>
          <w:position w:val="0"/>
          <w:sz w:val="24"/>
          <w:szCs w:val="24"/>
        </w:rPr>
        <w:t>）号矿体回风井、施工措施井、（I、</w:t>
      </w:r>
      <w:r>
        <w:rPr>
          <w:rFonts w:hint="default" w:ascii="Times New Roman" w:hAnsi="Times New Roman" w:eastAsia="宋体" w:cs="Times New Roman"/>
          <w:color w:val="auto"/>
          <w:spacing w:val="0"/>
          <w:w w:val="100"/>
          <w:position w:val="0"/>
          <w:sz w:val="24"/>
          <w:szCs w:val="24"/>
          <w:lang w:eastAsia="zh-CN"/>
        </w:rPr>
        <w:t>Ⅱ</w:t>
      </w:r>
      <w:r>
        <w:rPr>
          <w:rFonts w:hint="default" w:ascii="Times New Roman" w:hAnsi="Times New Roman" w:eastAsia="宋体" w:cs="Times New Roman"/>
          <w:color w:val="auto"/>
          <w:spacing w:val="0"/>
          <w:w w:val="100"/>
          <w:position w:val="0"/>
          <w:sz w:val="24"/>
          <w:szCs w:val="24"/>
        </w:rPr>
        <w:t>）号矿体2000m水平回风巷道、</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I、</w:t>
      </w:r>
      <w:r>
        <w:rPr>
          <w:rFonts w:hint="default" w:ascii="Times New Roman" w:hAnsi="Times New Roman" w:eastAsia="宋体" w:cs="Times New Roman"/>
          <w:color w:val="auto"/>
          <w:spacing w:val="0"/>
          <w:w w:val="100"/>
          <w:position w:val="0"/>
          <w:sz w:val="24"/>
          <w:szCs w:val="24"/>
          <w:lang w:eastAsia="zh-CN"/>
        </w:rPr>
        <w:t>Ⅱ</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号矿体1960m水平运输巷道、</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I、</w:t>
      </w:r>
      <w:r>
        <w:rPr>
          <w:rFonts w:hint="default" w:ascii="Times New Roman" w:hAnsi="Times New Roman" w:eastAsia="宋体" w:cs="Times New Roman"/>
          <w:color w:val="auto"/>
          <w:spacing w:val="0"/>
          <w:w w:val="100"/>
          <w:position w:val="0"/>
          <w:sz w:val="24"/>
          <w:szCs w:val="24"/>
          <w:lang w:eastAsia="zh-CN"/>
        </w:rPr>
        <w:t>Ⅱ</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号矿体1840m水平运输巷道、</w:t>
      </w:r>
      <w:r>
        <w:rPr>
          <w:rFonts w:hint="default" w:ascii="Times New Roman" w:hAnsi="Times New Roman" w:eastAsia="宋体" w:cs="Times New Roman"/>
          <w:color w:val="auto"/>
          <w:spacing w:val="0"/>
          <w:w w:val="100"/>
          <w:position w:val="0"/>
          <w:sz w:val="24"/>
          <w:szCs w:val="24"/>
          <w:lang w:eastAsia="zh-CN"/>
        </w:rPr>
        <w:t>Ⅳ</w:t>
      </w:r>
      <w:r>
        <w:rPr>
          <w:rFonts w:hint="default" w:ascii="Times New Roman" w:hAnsi="Times New Roman" w:eastAsia="宋体" w:cs="Times New Roman"/>
          <w:color w:val="auto"/>
          <w:spacing w:val="0"/>
          <w:w w:val="100"/>
          <w:position w:val="0"/>
          <w:sz w:val="24"/>
          <w:szCs w:val="24"/>
        </w:rPr>
        <w:t>号矿体1980m水平回风巷道、</w:t>
      </w:r>
      <w:r>
        <w:rPr>
          <w:rFonts w:hint="default" w:ascii="Times New Roman" w:hAnsi="Times New Roman" w:eastAsia="宋体" w:cs="Times New Roman"/>
          <w:color w:val="auto"/>
          <w:spacing w:val="0"/>
          <w:w w:val="100"/>
          <w:position w:val="0"/>
          <w:sz w:val="24"/>
          <w:szCs w:val="24"/>
          <w:lang w:eastAsia="zh-CN"/>
        </w:rPr>
        <w:t>Ⅳ</w:t>
      </w:r>
      <w:r>
        <w:rPr>
          <w:rFonts w:hint="default" w:ascii="Times New Roman" w:hAnsi="Times New Roman" w:eastAsia="宋体" w:cs="Times New Roman"/>
          <w:color w:val="auto"/>
          <w:spacing w:val="0"/>
          <w:w w:val="100"/>
          <w:position w:val="0"/>
          <w:sz w:val="24"/>
          <w:szCs w:val="24"/>
        </w:rPr>
        <w:t>号矿体1940m水平运输巷道、V号矿体2040m水平回风巷道、V号矿体2000m水平运输巷道、V号矿体</w:t>
      </w:r>
      <w:r>
        <w:rPr>
          <w:rFonts w:hint="default" w:ascii="Times New Roman" w:hAnsi="Times New Roman" w:eastAsia="宋体" w:cs="Times New Roman"/>
          <w:color w:val="auto"/>
          <w:spacing w:val="0"/>
          <w:w w:val="100"/>
          <w:position w:val="0"/>
          <w:sz w:val="24"/>
          <w:szCs w:val="24"/>
          <w:lang w:val="en-US" w:eastAsia="zh-CN"/>
        </w:rPr>
        <w:t>盲</w:t>
      </w:r>
      <w:r>
        <w:rPr>
          <w:rFonts w:hint="default" w:ascii="Times New Roman" w:hAnsi="Times New Roman" w:eastAsia="宋体" w:cs="Times New Roman"/>
          <w:color w:val="auto"/>
          <w:spacing w:val="0"/>
          <w:w w:val="100"/>
          <w:position w:val="0"/>
          <w:sz w:val="24"/>
          <w:szCs w:val="24"/>
        </w:rPr>
        <w:t>风井（2040-2000m）</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采切工程及服务性硐室。</w:t>
      </w:r>
    </w:p>
    <w:p w14:paraId="67B0824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完成上述工程后，可以使矿山形成完整的开拓、运输、通风、排水等系统，基建工程总量</w:t>
      </w:r>
      <w:r>
        <w:rPr>
          <w:rFonts w:hint="default" w:ascii="Times New Roman" w:hAnsi="Times New Roman" w:eastAsia="宋体" w:cs="Times New Roman"/>
          <w:color w:val="auto"/>
          <w:spacing w:val="0"/>
          <w:w w:val="100"/>
          <w:position w:val="0"/>
          <w:sz w:val="24"/>
          <w:szCs w:val="24"/>
          <w:lang w:val="en-US" w:eastAsia="zh-CN"/>
        </w:rPr>
        <w:t>142050.65</w:t>
      </w:r>
      <w:r>
        <w:rPr>
          <w:rFonts w:hint="default" w:ascii="Times New Roman" w:hAnsi="Times New Roman" w:eastAsia="宋体" w:cs="Times New Roman"/>
          <w:color w:val="auto"/>
          <w:spacing w:val="0"/>
          <w:w w:val="100"/>
          <w:position w:val="0"/>
          <w:sz w:val="24"/>
          <w:szCs w:val="24"/>
        </w:rPr>
        <w:t>m</w:t>
      </w:r>
      <w:r>
        <w:rPr>
          <w:rFonts w:hint="default" w:ascii="Times New Roman" w:hAnsi="Times New Roman" w:eastAsia="宋体" w:cs="Times New Roman"/>
          <w:color w:val="auto"/>
          <w:spacing w:val="0"/>
          <w:w w:val="100"/>
          <w:position w:val="0"/>
          <w:sz w:val="24"/>
          <w:szCs w:val="24"/>
          <w:vertAlign w:val="superscript"/>
        </w:rPr>
        <w:t>3</w:t>
      </w:r>
      <w:r>
        <w:rPr>
          <w:rFonts w:hint="default" w:ascii="Times New Roman" w:hAnsi="Times New Roman" w:eastAsia="宋体" w:cs="Times New Roman"/>
          <w:color w:val="auto"/>
          <w:spacing w:val="0"/>
          <w:w w:val="100"/>
          <w:position w:val="0"/>
          <w:sz w:val="24"/>
          <w:szCs w:val="24"/>
        </w:rPr>
        <w:t>。基建期3.0年。</w:t>
      </w:r>
    </w:p>
    <w:p w14:paraId="2199048B">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施工包括施工前期准备、施工准备和施工等三个阶段。</w:t>
      </w:r>
    </w:p>
    <w:p w14:paraId="6CFD2F4A">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施工前期准备期间完成工作包括组建现场管理机构；编制施工组织设计；建设用地的征地和实测、定位工作；单项工程的招标和投标；工程地质详勘；部分施工图设计。</w:t>
      </w:r>
    </w:p>
    <w:p w14:paraId="66E75492">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准备期间完成如下工作：工业场地“四通一平”、措施工程和辅助生产设施，职工生活必须的设施和基本条件、必要的物资和器材准备，永久建筑设施和临时设施等工程。该阶段主要完成包括“四通一平”条件和施工所必须的工业设施的准备，使开工后能够连续、快速施工，同时又为施工队伍创造基本的生活环境和居住条件。</w:t>
      </w:r>
    </w:p>
    <w:p w14:paraId="3ADC4A6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施工期主要完成采矿工业场地、</w:t>
      </w:r>
      <w:r>
        <w:rPr>
          <w:rFonts w:hint="default" w:ascii="Times New Roman" w:hAnsi="Times New Roman" w:cs="Times New Roman"/>
          <w:color w:val="auto"/>
          <w:spacing w:val="0"/>
          <w:w w:val="100"/>
          <w:position w:val="0"/>
          <w:sz w:val="24"/>
          <w:szCs w:val="24"/>
          <w:lang w:val="en-US" w:eastAsia="zh-CN"/>
        </w:rPr>
        <w:t>充填站、</w:t>
      </w:r>
      <w:r>
        <w:rPr>
          <w:rFonts w:hint="default" w:ascii="Times New Roman" w:hAnsi="Times New Roman" w:eastAsia="宋体" w:cs="Times New Roman"/>
          <w:color w:val="auto"/>
          <w:spacing w:val="0"/>
          <w:w w:val="100"/>
          <w:position w:val="0"/>
          <w:sz w:val="24"/>
          <w:szCs w:val="24"/>
        </w:rPr>
        <w:t>废石场、办公生活区等工程，同时完成运输、给排水、供电、通讯等系统。</w:t>
      </w:r>
    </w:p>
    <w:p w14:paraId="3C556560">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施工期环境影响因素与控制措施</w:t>
      </w:r>
    </w:p>
    <w:p w14:paraId="31E45067">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lang w:val="en-US" w:eastAsia="zh-CN"/>
        </w:rPr>
        <w:fldChar w:fldCharType="begin"/>
      </w:r>
      <w:r>
        <w:rPr>
          <w:rFonts w:hint="default" w:ascii="Times New Roman" w:hAnsi="Times New Roman" w:eastAsia="宋体" w:cs="Times New Roman"/>
          <w:b/>
          <w:bCs/>
          <w:color w:val="auto"/>
          <w:spacing w:val="0"/>
          <w:w w:val="100"/>
          <w:position w:val="0"/>
          <w:highlight w:val="none"/>
          <w:lang w:val="en-US" w:eastAsia="zh-CN"/>
        </w:rPr>
        <w:instrText xml:space="preserve"> HYPERLINK "5.1.2.1" </w:instrText>
      </w:r>
      <w:r>
        <w:rPr>
          <w:rFonts w:hint="default" w:ascii="Times New Roman" w:hAnsi="Times New Roman" w:eastAsia="宋体" w:cs="Times New Roman"/>
          <w:b/>
          <w:bCs/>
          <w:color w:val="auto"/>
          <w:spacing w:val="0"/>
          <w:w w:val="100"/>
          <w:position w:val="0"/>
          <w:highlight w:val="none"/>
          <w:lang w:val="en-US" w:eastAsia="zh-CN"/>
        </w:rPr>
        <w:fldChar w:fldCharType="separate"/>
      </w:r>
      <w:r>
        <w:rPr>
          <w:rFonts w:hint="default" w:ascii="Times New Roman" w:hAnsi="Times New Roman" w:eastAsia="宋体" w:cs="Times New Roman"/>
          <w:b/>
          <w:bCs/>
          <w:color w:val="auto"/>
          <w:spacing w:val="0"/>
          <w:w w:val="100"/>
          <w:position w:val="0"/>
          <w:highlight w:val="none"/>
          <w:lang w:val="en-US" w:eastAsia="zh-CN"/>
        </w:rPr>
        <w:t>5.1.2.1</w:t>
      </w:r>
      <w:r>
        <w:rPr>
          <w:rFonts w:hint="default" w:ascii="Times New Roman" w:hAnsi="Times New Roman" w:eastAsia="宋体" w:cs="Times New Roman"/>
          <w:b/>
          <w:bCs/>
          <w:color w:val="auto"/>
          <w:spacing w:val="0"/>
          <w:w w:val="100"/>
          <w:position w:val="0"/>
          <w:highlight w:val="none"/>
          <w:lang w:val="en-US" w:eastAsia="zh-CN"/>
        </w:rPr>
        <w:fldChar w:fldCharType="end"/>
      </w:r>
      <w:r>
        <w:rPr>
          <w:rFonts w:hint="default" w:ascii="Times New Roman" w:hAnsi="Times New Roman" w:eastAsia="宋体" w:cs="Times New Roman"/>
          <w:b/>
          <w:bCs/>
          <w:color w:val="auto"/>
          <w:spacing w:val="0"/>
          <w:w w:val="100"/>
          <w:position w:val="0"/>
          <w:highlight w:val="none"/>
          <w:lang w:val="en-US" w:eastAsia="zh-CN"/>
        </w:rPr>
        <w:t>施工期影响因素</w:t>
      </w:r>
    </w:p>
    <w:p w14:paraId="6894FB1D">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（1）废水</w:t>
      </w:r>
    </w:p>
    <w:p w14:paraId="74B8738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施工期水污染源主要为：井下工程施工时产生的井下施工排水、基础建设和构筑物建设时产生的施工废水、施工队产生的生活污水。</w:t>
      </w:r>
    </w:p>
    <w:p w14:paraId="2DD8FC53">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（2）大气污染</w:t>
      </w:r>
    </w:p>
    <w:p w14:paraId="0E54B410">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工业场地施工活动中，对环境空气的影响因素主要为：施工作业扬尘、机械尾气、三材运输卸载粉尘、临时堆场扬尘等。</w:t>
      </w:r>
    </w:p>
    <w:p w14:paraId="08C04376">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（3）噪声</w:t>
      </w:r>
    </w:p>
    <w:p w14:paraId="6BA666D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场地噪声主要是施工机械噪声、物料装卸碰撞噪声及车辆运输噪声，其中施工机械噪声为主要噪声。在施工过程中，使用的施工机械有推土机、挖掘机、装载机、压路机、搅拌机、移动式吊车、液压起重机、振捣棒等，这些设施使用过程中产生噪声。</w:t>
      </w:r>
    </w:p>
    <w:p w14:paraId="797892FB">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（4）固体废物</w:t>
      </w:r>
    </w:p>
    <w:p w14:paraId="1CDEC3B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施工期产生的固体废物有基建期废石、施工作业产生的渣土、施工队生活产生的生活垃圾。</w:t>
      </w:r>
    </w:p>
    <w:p w14:paraId="23428B33">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"5.1.2.2"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5.1.2.2</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施工期影响控制措施</w:t>
      </w:r>
    </w:p>
    <w:p w14:paraId="73ADD89A">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（1）施工期废水污染防治措施</w:t>
      </w:r>
    </w:p>
    <w:p w14:paraId="424600A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施工现场必须建造沉淀池、排水沟等临时性水处理构筑物。一般冲洗废水经沉淀处理后应用于地面洒水、搅拌砂浆等环节；</w:t>
      </w:r>
      <w:r>
        <w:rPr>
          <w:rFonts w:hint="default" w:ascii="Times New Roman" w:hAnsi="Times New Roman" w:eastAsia="宋体" w:cs="Times New Roman"/>
          <w:color w:val="auto"/>
          <w:spacing w:val="0"/>
          <w:w w:val="100"/>
          <w:position w:val="0"/>
          <w:sz w:val="24"/>
          <w:szCs w:val="24"/>
          <w:lang w:val="en-US" w:eastAsia="zh-CN"/>
        </w:rPr>
        <w:t>生产废水经沉淀处理后回用，不外排</w:t>
      </w:r>
      <w:r>
        <w:rPr>
          <w:rFonts w:hint="default" w:ascii="Times New Roman" w:hAnsi="Times New Roman" w:eastAsia="宋体" w:cs="Times New Roman"/>
          <w:color w:val="auto"/>
          <w:spacing w:val="0"/>
          <w:w w:val="100"/>
          <w:position w:val="0"/>
          <w:sz w:val="24"/>
          <w:szCs w:val="24"/>
        </w:rPr>
        <w:t>。</w:t>
      </w:r>
    </w:p>
    <w:p w14:paraId="5F7D98B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rPr>
        <w:t>施工人员生活污水，要提前建设生活污水处理系统进行处理。</w:t>
      </w:r>
      <w:r>
        <w:rPr>
          <w:rFonts w:hint="default" w:ascii="Times New Roman" w:hAnsi="Times New Roman" w:eastAsia="宋体" w:cs="Times New Roman"/>
          <w:color w:val="auto"/>
          <w:spacing w:val="0"/>
          <w:w w:val="100"/>
          <w:position w:val="0"/>
          <w:sz w:val="24"/>
          <w:szCs w:val="24"/>
          <w:lang w:val="en-US" w:eastAsia="zh-CN"/>
        </w:rPr>
        <w:t>未建成前采用环保厕所。</w:t>
      </w:r>
    </w:p>
    <w:p w14:paraId="27CF6BD5">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（2）施工期大气污染防治措施</w:t>
      </w:r>
    </w:p>
    <w:p w14:paraId="4984D53E">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运输道路扬尘采用洒水治理措施，配置洒水车，定时对运输道路进行洒水；合理选择施工运输路线，车速应适当控制，以减少道路扬尘。</w:t>
      </w:r>
    </w:p>
    <w:p w14:paraId="73896D99">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散状建材应设置简易材料棚。在天气干燥、风速较大时，易扬尘物料应采用帆布或物料布覆盖。</w:t>
      </w:r>
    </w:p>
    <w:p w14:paraId="0A781330">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扬尘防治措施：土石方开挖避免在大风天气进行，完工后及时回填、平整场地；易产生扬尘的建筑材料采用封闭车辆运输；禁止物料高空抛撒，设置围布、挡板，防止运输物料撒落；混凝土搅拌机应设在专门的场地内，建立混凝土搅拌站，散落在地上的水泥等建筑材料要经常清理，混凝土搅拌站四周应设置围护结构，并应对施工人员加强劳动保护。</w:t>
      </w:r>
    </w:p>
    <w:p w14:paraId="08DDE722">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施工中的混凝土搅拌站、材料堆放场地尽量利用工业场地。</w:t>
      </w:r>
    </w:p>
    <w:p w14:paraId="71DF0D63">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（3）施工期噪声控制措施</w:t>
      </w:r>
    </w:p>
    <w:p w14:paraId="46AB8F5D">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选用低噪声的施工设备、合理安排施工计划：尽量选用低噪音设备，设备要定期维修；安排施工计划时避免同一地点集中使用过多高噪声设备。</w:t>
      </w:r>
    </w:p>
    <w:p w14:paraId="584EB68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合理安排运输路线和运输时间：施工运输的大型车辆严格按照规定的运输路线和运输时间进行运输。</w:t>
      </w:r>
    </w:p>
    <w:p w14:paraId="1B34B29C">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高噪声机械设备操作人员采取轮流工作制，减少工人接触高噪声的时间，并要求</w:t>
      </w:r>
      <w:r>
        <w:rPr>
          <w:rFonts w:hint="default" w:ascii="Times New Roman" w:hAnsi="Times New Roman" w:cs="Times New Roman"/>
          <w:color w:val="auto"/>
          <w:spacing w:val="0"/>
          <w:w w:val="100"/>
          <w:position w:val="0"/>
          <w:sz w:val="24"/>
          <w:szCs w:val="24"/>
          <w:lang w:eastAsia="zh-CN"/>
        </w:rPr>
        <w:t>佩戴</w:t>
      </w:r>
      <w:r>
        <w:rPr>
          <w:rFonts w:hint="default" w:ascii="Times New Roman" w:hAnsi="Times New Roman" w:eastAsia="宋体" w:cs="Times New Roman"/>
          <w:color w:val="auto"/>
          <w:spacing w:val="0"/>
          <w:w w:val="100"/>
          <w:position w:val="0"/>
          <w:sz w:val="24"/>
          <w:szCs w:val="24"/>
        </w:rPr>
        <w:t>防护耳塞。</w:t>
      </w:r>
    </w:p>
    <w:p w14:paraId="1C4503A8">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建设单位在进行工程承包时，应将有关施工噪声控制纳入承包内容，并在施工和工程监理过程中设专人负责，施工单位应主动接受环保部门的监督管理和检查。</w:t>
      </w:r>
    </w:p>
    <w:p w14:paraId="15DE307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（4）施工期生态保护措施</w:t>
      </w:r>
    </w:p>
    <w:p w14:paraId="7593B8A9">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表土保存措施：施工前将各场地表土全部剥离，</w:t>
      </w:r>
      <w:r>
        <w:rPr>
          <w:rFonts w:hint="default" w:ascii="Times New Roman" w:hAnsi="Times New Roman" w:eastAsia="宋体" w:cs="Times New Roman"/>
          <w:color w:val="auto"/>
          <w:spacing w:val="0"/>
          <w:w w:val="100"/>
          <w:position w:val="0"/>
          <w:sz w:val="24"/>
          <w:szCs w:val="24"/>
          <w:lang w:val="en-US" w:eastAsia="zh-CN"/>
        </w:rPr>
        <w:t>单独</w:t>
      </w:r>
      <w:r>
        <w:rPr>
          <w:rFonts w:hint="default" w:ascii="Times New Roman" w:hAnsi="Times New Roman" w:eastAsia="宋体" w:cs="Times New Roman"/>
          <w:color w:val="auto"/>
          <w:spacing w:val="0"/>
          <w:w w:val="100"/>
          <w:position w:val="0"/>
          <w:sz w:val="24"/>
          <w:szCs w:val="24"/>
        </w:rPr>
        <w:t>堆存，用做各场地的复垦土源。</w:t>
      </w:r>
    </w:p>
    <w:p w14:paraId="322AA25F">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地表保护措施：施工期包括矿区道路、矿山开采区、废石场等的建设，弃土的堆放和施工期各类机械人员扰动及工程占地等都将不同程度地造成裸露地表的破坏，还对地表结皮有较大范围的扰动、破坏。项目区原地表呈现砾漠，其下还有近10cm厚的盐碱层土壤可有效的防止风蚀，但由于人为的扰动，使地表保护层破坏。施工期间，应提前设计规划表土临时堆放场地位置和机械、人员活动范围，避免对项目占地外的地表结皮进行扰动。</w:t>
      </w:r>
    </w:p>
    <w:p w14:paraId="1FF2CD7B">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管理措施：在场地施工过程必须确保建筑工地“六个百分百”，即施工工地周边100%围挡；物料堆放100%覆盖；出入车辆100%冲洗；施工现场地面100%硬化；拆迁工地100%湿法作业；渣土车辆100%密闭运输。</w:t>
      </w:r>
    </w:p>
    <w:p w14:paraId="175E3639">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过程中尽量减少临时占地，完成三通一平建设后，利用建设完工的道路，所有的大型建设机械均在道路上进行操作，减少施工时破坏地表结皮的面积，禁止随意在未征用的土地内开设运输通道或作临时占用地。基建期间，尽量保护征地范围内的植被。施工中及时洒水降尘，施工结束后及时清除施工临时占地和临时工程中的废弃物，不留有碍</w:t>
      </w:r>
      <w:r>
        <w:rPr>
          <w:rFonts w:hint="default" w:ascii="Times New Roman" w:hAnsi="Times New Roman" w:cs="Times New Roman"/>
          <w:color w:val="auto"/>
          <w:spacing w:val="0"/>
          <w:w w:val="100"/>
          <w:position w:val="0"/>
          <w:sz w:val="24"/>
          <w:szCs w:val="24"/>
          <w:lang w:eastAsia="zh-CN"/>
        </w:rPr>
        <w:t>自然景观</w:t>
      </w:r>
      <w:r>
        <w:rPr>
          <w:rFonts w:hint="default" w:ascii="Times New Roman" w:hAnsi="Times New Roman" w:eastAsia="宋体" w:cs="Times New Roman"/>
          <w:color w:val="auto"/>
          <w:spacing w:val="0"/>
          <w:w w:val="100"/>
          <w:position w:val="0"/>
          <w:sz w:val="24"/>
          <w:szCs w:val="24"/>
        </w:rPr>
        <w:t>的施工痕迹。</w:t>
      </w:r>
    </w:p>
    <w:p w14:paraId="3ED3C7C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复垦措施：施工结束后，及时开展临时占地范围内的复垦工作。基建期结束后，对矿山建设过程中所破坏永久占地采取复垦措施。</w:t>
      </w:r>
    </w:p>
    <w:p w14:paraId="1C0CB28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）固体废物处置</w:t>
      </w:r>
    </w:p>
    <w:p w14:paraId="62099B3F">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color w:val="auto"/>
          <w:spacing w:val="0"/>
          <w:w w:val="100"/>
          <w:position w:val="0"/>
          <w:sz w:val="24"/>
          <w:szCs w:val="24"/>
          <w:highlight w:val="yellow"/>
        </w:rPr>
      </w:pPr>
      <w:r>
        <w:rPr>
          <w:rFonts w:hint="default" w:ascii="Times New Roman" w:hAnsi="Times New Roman" w:eastAsia="宋体" w:cs="Times New Roman"/>
          <w:color w:val="auto"/>
          <w:spacing w:val="0"/>
          <w:w w:val="100"/>
          <w:position w:val="0"/>
          <w:sz w:val="24"/>
          <w:szCs w:val="24"/>
        </w:rPr>
        <w:t>基建废石</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b w:val="0"/>
          <w:bCs w:val="0"/>
          <w:color w:val="auto"/>
          <w:spacing w:val="0"/>
          <w:w w:val="100"/>
          <w:position w:val="0"/>
          <w:sz w:val="24"/>
          <w:szCs w:val="24"/>
        </w:rPr>
        <w:t>施工期基建固废主要来自场地平整、道路工程以及井巷工程等基建工程中产生的废石</w:t>
      </w:r>
      <w:r>
        <w:rPr>
          <w:rFonts w:hint="default" w:ascii="Times New Roman" w:hAnsi="Times New Roman" w:eastAsia="宋体" w:cs="Times New Roman"/>
          <w:b w:val="0"/>
          <w:bCs w:val="0"/>
          <w:color w:val="auto"/>
          <w:spacing w:val="0"/>
          <w:w w:val="100"/>
          <w:position w:val="0"/>
          <w:sz w:val="24"/>
          <w:szCs w:val="24"/>
          <w:highlight w:val="none"/>
        </w:rPr>
        <w:t>等，其产生量约为</w:t>
      </w:r>
      <w:r>
        <w:rPr>
          <w:rFonts w:hint="default" w:ascii="Times New Roman" w:hAnsi="Times New Roman" w:eastAsia="宋体" w:cs="Times New Roman"/>
          <w:b w:val="0"/>
          <w:bCs w:val="0"/>
          <w:color w:val="auto"/>
          <w:spacing w:val="0"/>
          <w:w w:val="100"/>
          <w:position w:val="0"/>
          <w:sz w:val="24"/>
          <w:szCs w:val="24"/>
          <w:highlight w:val="none"/>
          <w:lang w:val="en-US" w:eastAsia="zh-CN"/>
        </w:rPr>
        <w:t>2</w:t>
      </w:r>
      <w:r>
        <w:rPr>
          <w:rFonts w:hint="default" w:ascii="Times New Roman" w:hAnsi="Times New Roman" w:cs="Times New Roman"/>
          <w:b w:val="0"/>
          <w:bCs w:val="0"/>
          <w:color w:val="auto"/>
          <w:spacing w:val="0"/>
          <w:w w:val="100"/>
          <w:position w:val="0"/>
          <w:sz w:val="24"/>
          <w:szCs w:val="24"/>
          <w:highlight w:val="none"/>
          <w:lang w:val="en-US" w:eastAsia="zh-CN"/>
        </w:rPr>
        <w:t>2.61</w:t>
      </w:r>
      <w:r>
        <w:rPr>
          <w:rFonts w:hint="default" w:ascii="Times New Roman" w:hAnsi="Times New Roman" w:eastAsia="宋体" w:cs="Times New Roman"/>
          <w:b w:val="0"/>
          <w:bCs w:val="0"/>
          <w:color w:val="auto"/>
          <w:spacing w:val="0"/>
          <w:w w:val="100"/>
          <w:position w:val="0"/>
          <w:sz w:val="24"/>
          <w:szCs w:val="24"/>
          <w:highlight w:val="none"/>
        </w:rPr>
        <w:t>×10</w:t>
      </w:r>
      <w:r>
        <w:rPr>
          <w:rFonts w:hint="default" w:ascii="Times New Roman" w:hAnsi="Times New Roman" w:eastAsia="宋体" w:cs="Times New Roman"/>
          <w:b w:val="0"/>
          <w:bCs w:val="0"/>
          <w:color w:val="auto"/>
          <w:spacing w:val="0"/>
          <w:w w:val="100"/>
          <w:position w:val="0"/>
          <w:sz w:val="24"/>
          <w:szCs w:val="24"/>
          <w:highlight w:val="none"/>
          <w:vertAlign w:val="superscript"/>
        </w:rPr>
        <w:t>4</w:t>
      </w:r>
      <w:r>
        <w:rPr>
          <w:rFonts w:hint="default" w:ascii="Times New Roman" w:hAnsi="Times New Roman" w:eastAsia="宋体" w:cs="Times New Roman"/>
          <w:b w:val="0"/>
          <w:bCs w:val="0"/>
          <w:color w:val="auto"/>
          <w:spacing w:val="0"/>
          <w:w w:val="100"/>
          <w:position w:val="0"/>
          <w:sz w:val="24"/>
          <w:szCs w:val="24"/>
          <w:highlight w:val="none"/>
          <w:lang w:val="en-US" w:eastAsia="zh-CN"/>
        </w:rPr>
        <w:t>t</w:t>
      </w:r>
      <w:r>
        <w:rPr>
          <w:rFonts w:hint="default" w:ascii="Times New Roman" w:hAnsi="Times New Roman" w:eastAsia="宋体" w:cs="Times New Roman"/>
          <w:b w:val="0"/>
          <w:bCs w:val="0"/>
          <w:color w:val="auto"/>
          <w:spacing w:val="0"/>
          <w:w w:val="100"/>
          <w:position w:val="0"/>
          <w:sz w:val="24"/>
          <w:szCs w:val="24"/>
          <w:highlight w:val="none"/>
        </w:rPr>
        <w:t>。该部分</w:t>
      </w:r>
      <w:r>
        <w:rPr>
          <w:rFonts w:hint="default" w:ascii="Times New Roman" w:hAnsi="Times New Roman" w:cs="Times New Roman"/>
          <w:b w:val="0"/>
          <w:bCs w:val="0"/>
          <w:color w:val="auto"/>
          <w:spacing w:val="0"/>
          <w:w w:val="100"/>
          <w:position w:val="0"/>
          <w:sz w:val="24"/>
          <w:szCs w:val="24"/>
          <w:highlight w:val="none"/>
          <w:lang w:val="en-US" w:eastAsia="zh-CN"/>
        </w:rPr>
        <w:t>废石</w:t>
      </w:r>
      <w:r>
        <w:rPr>
          <w:rFonts w:hint="default" w:ascii="Times New Roman" w:hAnsi="Times New Roman" w:eastAsia="宋体" w:cs="Times New Roman"/>
          <w:b w:val="0"/>
          <w:bCs w:val="0"/>
          <w:color w:val="auto"/>
          <w:spacing w:val="0"/>
          <w:w w:val="100"/>
          <w:position w:val="0"/>
          <w:sz w:val="24"/>
          <w:szCs w:val="24"/>
          <w:highlight w:val="none"/>
        </w:rPr>
        <w:t>主要</w:t>
      </w:r>
      <w:r>
        <w:rPr>
          <w:rFonts w:hint="default" w:ascii="Times New Roman" w:hAnsi="Times New Roman" w:cs="Times New Roman"/>
          <w:b w:val="0"/>
          <w:bCs w:val="0"/>
          <w:color w:val="auto"/>
          <w:spacing w:val="0"/>
          <w:w w:val="100"/>
          <w:position w:val="0"/>
          <w:sz w:val="24"/>
          <w:szCs w:val="24"/>
          <w:highlight w:val="none"/>
          <w:lang w:val="en-US" w:eastAsia="zh-CN"/>
        </w:rPr>
        <w:t>作为充填原料</w:t>
      </w:r>
      <w:r>
        <w:rPr>
          <w:rFonts w:hint="default" w:ascii="Times New Roman" w:hAnsi="Times New Roman" w:eastAsia="宋体" w:cs="Times New Roman"/>
          <w:b w:val="0"/>
          <w:bCs w:val="0"/>
          <w:color w:val="auto"/>
          <w:spacing w:val="0"/>
          <w:w w:val="100"/>
          <w:position w:val="0"/>
          <w:sz w:val="24"/>
          <w:szCs w:val="24"/>
          <w:highlight w:val="none"/>
        </w:rPr>
        <w:t>。</w:t>
      </w:r>
    </w:p>
    <w:p w14:paraId="77F330E1">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生活垃圾：施工期施工人员预计年每天100人，产生的生活垃圾按每人每天0.5kg计，则每天产生的生活垃圾约50kg，施工期按年250天计算，则施工期年产生生活垃圾12.5t。</w:t>
      </w:r>
    </w:p>
    <w:p w14:paraId="0F5C638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施工期环境影响分析</w:t>
      </w:r>
    </w:p>
    <w:p w14:paraId="0A9AD878">
      <w:pPr>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"5.1.3.1"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5.1.3.1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施工期地表水影响分析</w:t>
      </w:r>
    </w:p>
    <w:p w14:paraId="57F649BD">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（1）冲洗废水</w:t>
      </w:r>
    </w:p>
    <w:p w14:paraId="74AEEF0E">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施工中的冲洗废水主要来源于石料等的洗涤及施工机械的冲洗，主要污染物为SS等</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沉淀后回用于施工活动</w:t>
      </w:r>
      <w:r>
        <w:rPr>
          <w:rFonts w:hint="default" w:ascii="Times New Roman" w:hAnsi="Times New Roman" w:eastAsia="宋体" w:cs="Times New Roman"/>
          <w:color w:val="auto"/>
          <w:spacing w:val="0"/>
          <w:w w:val="100"/>
          <w:position w:val="0"/>
          <w:sz w:val="24"/>
          <w:szCs w:val="24"/>
        </w:rPr>
        <w:t>。</w:t>
      </w:r>
    </w:p>
    <w:p w14:paraId="6F0C86FF">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（2）生活污水</w:t>
      </w:r>
    </w:p>
    <w:p w14:paraId="72FAEB06">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b w:val="0"/>
          <w:bCs w:val="0"/>
          <w:color w:val="auto"/>
          <w:spacing w:val="0"/>
          <w:w w:val="100"/>
          <w:position w:val="0"/>
          <w:sz w:val="24"/>
          <w:szCs w:val="24"/>
        </w:rPr>
      </w:pPr>
      <w:r>
        <w:rPr>
          <w:rFonts w:hint="default" w:ascii="Times New Roman" w:hAnsi="Times New Roman" w:eastAsia="宋体" w:cs="Times New Roman"/>
          <w:b w:val="0"/>
          <w:bCs w:val="0"/>
          <w:color w:val="auto"/>
          <w:spacing w:val="0"/>
          <w:w w:val="100"/>
          <w:position w:val="0"/>
          <w:sz w:val="24"/>
          <w:szCs w:val="24"/>
        </w:rPr>
        <w:t>施工现场按最大施工人员100人/天、用水指标按60L/人.d计算，污水排放量按用水的80%计，则生活污水排放量约4.8m</w:t>
      </w:r>
      <w:r>
        <w:rPr>
          <w:rFonts w:hint="default" w:ascii="Times New Roman" w:hAnsi="Times New Roman" w:eastAsia="宋体" w:cs="Times New Roman"/>
          <w:b w:val="0"/>
          <w:bCs w:val="0"/>
          <w:color w:val="auto"/>
          <w:spacing w:val="0"/>
          <w:w w:val="100"/>
          <w:position w:val="0"/>
          <w:sz w:val="24"/>
          <w:szCs w:val="24"/>
          <w:vertAlign w:val="superscript"/>
        </w:rPr>
        <w:t>3</w:t>
      </w:r>
      <w:r>
        <w:rPr>
          <w:rFonts w:hint="default" w:ascii="Times New Roman" w:hAnsi="Times New Roman" w:eastAsia="宋体" w:cs="Times New Roman"/>
          <w:b w:val="0"/>
          <w:bCs w:val="0"/>
          <w:color w:val="auto"/>
          <w:spacing w:val="0"/>
          <w:w w:val="100"/>
          <w:position w:val="0"/>
          <w:sz w:val="24"/>
          <w:szCs w:val="24"/>
        </w:rPr>
        <w:t>/d，主要污染物为COD、BOD</w:t>
      </w:r>
      <w:r>
        <w:rPr>
          <w:rFonts w:hint="default" w:ascii="Times New Roman" w:hAnsi="Times New Roman" w:eastAsia="宋体" w:cs="Times New Roman"/>
          <w:b w:val="0"/>
          <w:bCs w:val="0"/>
          <w:color w:val="auto"/>
          <w:spacing w:val="0"/>
          <w:w w:val="100"/>
          <w:position w:val="0"/>
          <w:sz w:val="24"/>
          <w:szCs w:val="24"/>
          <w:vertAlign w:val="subscript"/>
        </w:rPr>
        <w:t>5</w:t>
      </w:r>
      <w:r>
        <w:rPr>
          <w:rFonts w:hint="default" w:ascii="Times New Roman" w:hAnsi="Times New Roman" w:eastAsia="宋体" w:cs="Times New Roman"/>
          <w:b w:val="0"/>
          <w:bCs w:val="0"/>
          <w:color w:val="auto"/>
          <w:spacing w:val="0"/>
          <w:w w:val="100"/>
          <w:position w:val="0"/>
          <w:sz w:val="24"/>
          <w:szCs w:val="24"/>
        </w:rPr>
        <w:t>、SS等。生活污水采用移动式卫生厕所对施工人员产生的粪便水进行收集，由环卫部门集中处置。</w:t>
      </w:r>
    </w:p>
    <w:p w14:paraId="2F8D921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综上所述，该项目施工期废水不会对地表水环境产生明显不利影响。</w:t>
      </w:r>
    </w:p>
    <w:p w14:paraId="643BA5E6">
      <w:pPr>
        <w:pStyle w:val="5"/>
        <w:pageBreakBefore w:val="0"/>
        <w:widowControl w:val="0"/>
        <w:kinsoku/>
        <w:wordWrap/>
        <w:overflowPunct/>
        <w:topLinePunct w:val="0"/>
        <w:autoSpaceDE/>
        <w:autoSpaceDN/>
        <w:bidi w:val="0"/>
        <w:adjustRightInd/>
        <w:snapToGrid/>
        <w:spacing w:before="0" w:after="0" w:line="480" w:lineRule="exact"/>
        <w:ind w:left="0" w:firstLine="542"/>
        <w:textAlignment w:val="auto"/>
        <w:rPr>
          <w:rFonts w:hint="default" w:ascii="Times New Roman" w:hAnsi="Times New Roman" w:eastAsia="宋体" w:cs="Times New Roman"/>
          <w:b/>
          <w:bCs/>
          <w:color w:val="auto"/>
          <w:spacing w:val="0"/>
          <w:w w:val="100"/>
          <w:position w:val="0"/>
          <w:highlight w:val="none"/>
        </w:rPr>
      </w:pPr>
      <w:bookmarkStart w:id="608" w:name="bookmark82"/>
      <w:bookmarkEnd w:id="608"/>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"5.1.3.2"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5.1.3.2</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施工期环境空气影响分析</w:t>
      </w:r>
    </w:p>
    <w:p w14:paraId="2C36161C">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（1）运输车辆扬尘与尾气</w:t>
      </w:r>
    </w:p>
    <w:p w14:paraId="0D5CE6CF">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需要运进大量的建筑材料、设备等，行驶在施工现场的主要运输通道上的车辆来往频繁，特别在土建施工期产生的扬尘量较大，是影响区域大气环境的最不利时段。施工点具有一定的流动性，每段施工的周期较短，这些不利影响的持续时间也较短。根据有关监测资料，行车道路两侧的扬尘浓度可达8～10mg/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但道路扬尘随离扬尘点的距离增加而迅速下降，影响范围一般在道路两侧200m内，对环境空气的影响范围相对较小。</w:t>
      </w:r>
    </w:p>
    <w:p w14:paraId="0D0DFDE2">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（2）裸露地面和土石方风蚀扬尘</w:t>
      </w:r>
    </w:p>
    <w:p w14:paraId="5A05DF3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工业场地在施工阶段会造成地表裸露，在长期干燥无雨及大风天气条件下，裸露地面和堆置的土石方极易产生风蚀扬尘，风蚀扬尘影响范围通常不超过200m。</w:t>
      </w:r>
    </w:p>
    <w:p w14:paraId="614B1F79">
      <w:pPr>
        <w:pStyle w:val="5"/>
        <w:pageBreakBefore w:val="0"/>
        <w:widowControl w:val="0"/>
        <w:kinsoku/>
        <w:wordWrap/>
        <w:overflowPunct/>
        <w:topLinePunct w:val="0"/>
        <w:autoSpaceDE/>
        <w:autoSpaceDN/>
        <w:bidi w:val="0"/>
        <w:adjustRightInd/>
        <w:snapToGrid/>
        <w:spacing w:before="0" w:after="0" w:line="480" w:lineRule="exact"/>
        <w:ind w:left="0" w:firstLine="542"/>
        <w:textAlignment w:val="auto"/>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"5.1.3.3"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5.1.3.3</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施工期噪声环境影响分析</w:t>
      </w:r>
    </w:p>
    <w:p w14:paraId="7097853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（1）施工期噪声特征</w:t>
      </w:r>
    </w:p>
    <w:p w14:paraId="77EDD557">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本项目施工噪声主要是地面施工噪声影响，地面施工阶段主要包括土石方施工阶段、结构施工阶段、设备安装施工阶段。</w:t>
      </w:r>
    </w:p>
    <w:p w14:paraId="42F9D1EF">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施工土石方工程阶段：主要噪声源是挖掘机、推土机、装载机以及各种运输车辆。这类施工机械绝大部分是移动性声源，但位移区域较小。噪声排放属间歇性排放，无明显的指向性。</w:t>
      </w:r>
    </w:p>
    <w:p w14:paraId="6DEF6006">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施工结构施工阶段：使用的设备品种较多。结构工程设备如混凝土搅拌机、振捣机、水泥搅拌机和吊车等。</w:t>
      </w:r>
    </w:p>
    <w:p w14:paraId="55BACED0">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施工设备安装阶段：一般占总施工时间比例较长，但声源数量较少，主要噪声源为起重机。</w:t>
      </w:r>
    </w:p>
    <w:p w14:paraId="5E66BD85">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rPr>
        <w:t>不同的施工阶段所使用的机械不同，产生的噪声强度也不同。施工机械噪声源强依据《环境噪声与振动工程技术导则》（HJ2034-2013）附录A表A2的常见施工机械噪声源强按照平均值取值</w:t>
      </w:r>
      <w:r>
        <w:rPr>
          <w:rFonts w:hint="default" w:ascii="Times New Roman" w:hAnsi="Times New Roman" w:eastAsia="宋体" w:cs="Times New Roman"/>
          <w:color w:val="auto"/>
          <w:spacing w:val="0"/>
          <w:w w:val="100"/>
          <w:position w:val="0"/>
          <w:sz w:val="24"/>
          <w:szCs w:val="24"/>
          <w:highlight w:val="none"/>
        </w:rPr>
        <w:t>。主要施工设备噪声级见</w:t>
      </w:r>
      <w:r>
        <w:rPr>
          <w:rFonts w:hint="default" w:ascii="Times New Roman" w:hAnsi="Times New Roman" w:eastAsia="宋体" w:cs="Times New Roman"/>
          <w:color w:val="auto"/>
          <w:spacing w:val="0"/>
          <w:w w:val="100"/>
          <w:position w:val="0"/>
          <w:sz w:val="24"/>
          <w:szCs w:val="24"/>
          <w:highlight w:val="none"/>
          <w:lang w:val="en-US" w:eastAsia="zh-CN"/>
        </w:rPr>
        <w:t>前文</w:t>
      </w:r>
      <w:r>
        <w:rPr>
          <w:rFonts w:hint="default" w:ascii="Times New Roman" w:hAnsi="Times New Roman" w:eastAsia="宋体" w:cs="Times New Roman"/>
          <w:color w:val="auto"/>
          <w:spacing w:val="0"/>
          <w:w w:val="100"/>
          <w:position w:val="0"/>
          <w:sz w:val="24"/>
          <w:szCs w:val="24"/>
          <w:highlight w:val="none"/>
        </w:rPr>
        <w:t>表3.3-</w:t>
      </w:r>
      <w:r>
        <w:rPr>
          <w:rFonts w:hint="default" w:ascii="Times New Roman" w:hAnsi="Times New Roman" w:eastAsia="宋体" w:cs="Times New Roman"/>
          <w:color w:val="auto"/>
          <w:spacing w:val="0"/>
          <w:w w:val="100"/>
          <w:position w:val="0"/>
          <w:sz w:val="24"/>
          <w:szCs w:val="24"/>
          <w:highlight w:val="none"/>
          <w:lang w:val="en-US" w:eastAsia="zh-CN"/>
        </w:rPr>
        <w:t>15</w:t>
      </w:r>
      <w:r>
        <w:rPr>
          <w:rFonts w:hint="default" w:ascii="Times New Roman" w:hAnsi="Times New Roman" w:eastAsia="宋体" w:cs="Times New Roman"/>
          <w:color w:val="auto"/>
          <w:spacing w:val="0"/>
          <w:w w:val="100"/>
          <w:position w:val="0"/>
          <w:sz w:val="24"/>
          <w:szCs w:val="24"/>
          <w:highlight w:val="none"/>
        </w:rPr>
        <w:t>。</w:t>
      </w:r>
    </w:p>
    <w:p w14:paraId="1283CB14">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（2）有关噪声限值及标准</w:t>
      </w:r>
    </w:p>
    <w:p w14:paraId="2389D6BC">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施工噪声对环境的影响，采用《建筑施工噪声排放标准》（GB12523-20</w:t>
      </w:r>
      <w:r>
        <w:rPr>
          <w:rFonts w:hint="default" w:ascii="Times New Roman" w:hAnsi="Times New Roman" w:cs="Times New Roman"/>
          <w:color w:val="auto"/>
          <w:spacing w:val="0"/>
          <w:w w:val="100"/>
          <w:position w:val="0"/>
          <w:sz w:val="24"/>
          <w:szCs w:val="24"/>
          <w:lang w:val="en-US" w:eastAsia="zh-CN"/>
        </w:rPr>
        <w:t>25</w:t>
      </w:r>
      <w:r>
        <w:rPr>
          <w:rFonts w:hint="default" w:ascii="Times New Roman" w:hAnsi="Times New Roman" w:eastAsia="宋体" w:cs="Times New Roman"/>
          <w:color w:val="auto"/>
          <w:spacing w:val="0"/>
          <w:w w:val="100"/>
          <w:position w:val="0"/>
          <w:sz w:val="24"/>
          <w:szCs w:val="24"/>
        </w:rPr>
        <w:t>）进行评价，相应噪声限值见表5.1-</w:t>
      </w: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w:t>
      </w:r>
    </w:p>
    <w:p w14:paraId="0D759C1C">
      <w:pPr>
        <w:spacing w:before="186" w:line="219" w:lineRule="auto"/>
        <w:ind w:left="0" w:leftChars="0" w:firstLine="0" w:firstLineChars="0"/>
        <w:jc w:val="center"/>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表5.1-</w:t>
      </w:r>
      <w:r>
        <w:rPr>
          <w:rFonts w:hint="default" w:ascii="Times New Roman" w:hAnsi="Times New Roman" w:cs="Times New Roman"/>
          <w:b/>
          <w:bCs/>
          <w:color w:val="auto"/>
          <w:spacing w:val="0"/>
          <w:w w:val="100"/>
          <w:position w:val="0"/>
          <w:sz w:val="21"/>
          <w:szCs w:val="21"/>
          <w:lang w:val="en-US" w:eastAsia="zh-CN"/>
        </w:rPr>
        <w:t>1</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建筑施工噪声排放限值</w:t>
      </w:r>
    </w:p>
    <w:tbl>
      <w:tblPr>
        <w:tblStyle w:val="31"/>
        <w:tblW w:w="4999"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469"/>
        <w:gridCol w:w="3105"/>
        <w:gridCol w:w="2754"/>
      </w:tblGrid>
      <w:tr w14:paraId="1CF4E0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482" w:type="pct"/>
            <w:vMerge w:val="restart"/>
            <w:tcBorders>
              <w:tl2br w:val="nil"/>
              <w:tr2bl w:val="nil"/>
            </w:tcBorders>
            <w:vAlign w:val="center"/>
          </w:tcPr>
          <w:p w14:paraId="2DEB939F">
            <w:pPr>
              <w:pStyle w:val="30"/>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声环境类别</w:t>
            </w:r>
          </w:p>
        </w:tc>
        <w:tc>
          <w:tcPr>
            <w:tcW w:w="3517" w:type="pct"/>
            <w:gridSpan w:val="2"/>
            <w:tcBorders>
              <w:tl2br w:val="nil"/>
              <w:tr2bl w:val="nil"/>
            </w:tcBorders>
            <w:vAlign w:val="center"/>
          </w:tcPr>
          <w:p w14:paraId="148FE85E">
            <w:pPr>
              <w:pStyle w:val="30"/>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标准值dB</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A</w:t>
            </w:r>
            <w:r>
              <w:rPr>
                <w:rFonts w:hint="default" w:ascii="Times New Roman" w:hAnsi="Times New Roman" w:eastAsia="宋体" w:cs="Times New Roman"/>
                <w:color w:val="auto"/>
                <w:spacing w:val="0"/>
                <w:w w:val="100"/>
                <w:position w:val="0"/>
                <w:lang w:eastAsia="zh-CN"/>
              </w:rPr>
              <w:t>）</w:t>
            </w:r>
          </w:p>
        </w:tc>
      </w:tr>
      <w:tr w14:paraId="50C8E8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482" w:type="pct"/>
            <w:vMerge w:val="continue"/>
            <w:tcBorders>
              <w:tl2br w:val="nil"/>
              <w:tr2bl w:val="nil"/>
            </w:tcBorders>
            <w:vAlign w:val="center"/>
          </w:tcPr>
          <w:p w14:paraId="7EF583C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sz w:val="21"/>
              </w:rPr>
            </w:pPr>
          </w:p>
        </w:tc>
        <w:tc>
          <w:tcPr>
            <w:tcW w:w="1864" w:type="pct"/>
            <w:tcBorders>
              <w:tl2br w:val="nil"/>
              <w:tr2bl w:val="nil"/>
            </w:tcBorders>
            <w:vAlign w:val="center"/>
          </w:tcPr>
          <w:p w14:paraId="1F071D73">
            <w:pPr>
              <w:pStyle w:val="30"/>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昼间</w:t>
            </w:r>
          </w:p>
        </w:tc>
        <w:tc>
          <w:tcPr>
            <w:tcW w:w="1653" w:type="pct"/>
            <w:tcBorders>
              <w:tl2br w:val="nil"/>
              <w:tr2bl w:val="nil"/>
            </w:tcBorders>
            <w:vAlign w:val="center"/>
          </w:tcPr>
          <w:p w14:paraId="383662D0">
            <w:pPr>
              <w:pStyle w:val="30"/>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夜间</w:t>
            </w:r>
          </w:p>
        </w:tc>
      </w:tr>
      <w:tr w14:paraId="094A09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482" w:type="pct"/>
            <w:tcBorders>
              <w:tl2br w:val="nil"/>
              <w:tr2bl w:val="nil"/>
            </w:tcBorders>
            <w:vAlign w:val="center"/>
          </w:tcPr>
          <w:p w14:paraId="5BE38D3D">
            <w:pPr>
              <w:pStyle w:val="30"/>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建筑施工场界</w:t>
            </w:r>
          </w:p>
        </w:tc>
        <w:tc>
          <w:tcPr>
            <w:tcW w:w="1864" w:type="pct"/>
            <w:tcBorders>
              <w:tl2br w:val="nil"/>
              <w:tr2bl w:val="nil"/>
            </w:tcBorders>
            <w:vAlign w:val="center"/>
          </w:tcPr>
          <w:p w14:paraId="0849F839">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1653" w:type="pct"/>
            <w:tcBorders>
              <w:tl2br w:val="nil"/>
              <w:tr2bl w:val="nil"/>
            </w:tcBorders>
            <w:vAlign w:val="center"/>
          </w:tcPr>
          <w:p w14:paraId="67A846AE">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r>
    </w:tbl>
    <w:p w14:paraId="6068BC16">
      <w:pPr>
        <w:keepNext w:val="0"/>
        <w:keepLines w:val="0"/>
        <w:pageBreakBefore w:val="0"/>
        <w:widowControl w:val="0"/>
        <w:kinsoku/>
        <w:wordWrap/>
        <w:overflowPunct/>
        <w:topLinePunct w:val="0"/>
        <w:autoSpaceDE/>
        <w:autoSpaceDN/>
        <w:bidi w:val="0"/>
        <w:adjustRightInd/>
        <w:snapToGrid/>
        <w:spacing w:line="480" w:lineRule="exact"/>
        <w:ind w:left="0" w:right="0"/>
        <w:jc w:val="left"/>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（3）施工期噪声预测</w:t>
      </w:r>
    </w:p>
    <w:p w14:paraId="645E1B45">
      <w:pPr>
        <w:keepNext w:val="0"/>
        <w:keepLines w:val="0"/>
        <w:pageBreakBefore w:val="0"/>
        <w:widowControl w:val="0"/>
        <w:kinsoku/>
        <w:wordWrap/>
        <w:overflowPunct/>
        <w:topLinePunct w:val="0"/>
        <w:autoSpaceDE/>
        <w:autoSpaceDN/>
        <w:bidi w:val="0"/>
        <w:adjustRightInd/>
        <w:snapToGrid/>
        <w:spacing w:line="480" w:lineRule="exact"/>
        <w:ind w:left="0" w:right="0" w:firstLine="485"/>
        <w:jc w:val="left"/>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噪声预测是根据已知设备噪声声级计算出评价点的噪声级。鉴于施工噪声的复杂性，以及施工噪声影响的区域性和阶段性，本评价仅根据国家《建筑施工厂界环境噪声排放标准》</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GB12523-2011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，针对不同施工阶段计算出不同施工设备的噪声污染范围。噪声预测模式使用无指向性点声源几何发散衰减的基本公式：</w:t>
      </w:r>
    </w:p>
    <w:p w14:paraId="65C955EF">
      <w:pPr>
        <w:keepNext w:val="0"/>
        <w:keepLines w:val="0"/>
        <w:pageBreakBefore w:val="0"/>
        <w:widowControl w:val="0"/>
        <w:kinsoku/>
        <w:wordWrap/>
        <w:overflowPunct/>
        <w:topLinePunct w:val="0"/>
        <w:autoSpaceDE/>
        <w:autoSpaceDN/>
        <w:bidi w:val="0"/>
        <w:adjustRightInd/>
        <w:snapToGrid/>
        <w:spacing w:line="480" w:lineRule="exact"/>
        <w:ind w:left="0" w:right="0"/>
        <w:jc w:val="center"/>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LA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r</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=LA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r₀</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-20lg</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r/r₀</w:t>
      </w:r>
      <w:r>
        <w:rPr>
          <w:rFonts w:hint="default" w:ascii="Times New Roman" w:hAnsi="Times New Roman" w:eastAsia="宋体" w:cs="Times New Roman"/>
          <w:color w:val="auto"/>
          <w:spacing w:val="0"/>
          <w:w w:val="100"/>
          <w:position w:val="0"/>
          <w:sz w:val="24"/>
          <w:szCs w:val="24"/>
          <w:lang w:eastAsia="zh-CN"/>
        </w:rPr>
        <w:t>）</w:t>
      </w:r>
    </w:p>
    <w:p w14:paraId="6E7F5244">
      <w:pPr>
        <w:keepNext w:val="0"/>
        <w:keepLines w:val="0"/>
        <w:pageBreakBefore w:val="0"/>
        <w:widowControl w:val="0"/>
        <w:kinsoku/>
        <w:wordWrap/>
        <w:overflowPunct/>
        <w:topLinePunct w:val="0"/>
        <w:autoSpaceDE/>
        <w:autoSpaceDN/>
        <w:bidi w:val="0"/>
        <w:adjustRightInd/>
        <w:snapToGrid/>
        <w:spacing w:line="480" w:lineRule="exact"/>
        <w:ind w:left="0" w:right="0"/>
        <w:jc w:val="left"/>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式中：LA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r</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、LA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r₀</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分别为距声源r、r₀处的A声级</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dB</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w:t>
      </w:r>
    </w:p>
    <w:p w14:paraId="043DA16B">
      <w:pPr>
        <w:keepNext w:val="0"/>
        <w:keepLines w:val="0"/>
        <w:pageBreakBefore w:val="0"/>
        <w:widowControl w:val="0"/>
        <w:kinsoku/>
        <w:wordWrap/>
        <w:overflowPunct/>
        <w:topLinePunct w:val="0"/>
        <w:autoSpaceDE/>
        <w:autoSpaceDN/>
        <w:bidi w:val="0"/>
        <w:adjustRightInd/>
        <w:snapToGrid/>
        <w:spacing w:line="480" w:lineRule="exact"/>
        <w:ind w:left="0" w:right="0"/>
        <w:jc w:val="left"/>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项目施工过程中，多台设备同时运行，噪声预测模式采用以下模式：</w:t>
      </w:r>
    </w:p>
    <w:p w14:paraId="55DA295A">
      <w:pPr>
        <w:spacing w:before="192" w:line="704" w:lineRule="exact"/>
        <w:jc w:val="center"/>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drawing>
          <wp:inline distT="0" distB="0" distL="0" distR="0">
            <wp:extent cx="1654175" cy="447040"/>
            <wp:effectExtent l="0" t="0" r="3175" b="10160"/>
            <wp:docPr id="580" name="IM 580"/>
            <wp:cNvGraphicFramePr/>
            <a:graphic xmlns:a="http://schemas.openxmlformats.org/drawingml/2006/main">
              <a:graphicData uri="http://schemas.openxmlformats.org/drawingml/2006/picture">
                <pic:pic xmlns:pic="http://schemas.openxmlformats.org/drawingml/2006/picture">
                  <pic:nvPicPr>
                    <pic:cNvPr id="580" name="IM 580"/>
                    <pic:cNvPicPr/>
                  </pic:nvPicPr>
                  <pic:blipFill>
                    <a:blip r:embed="rId70"/>
                    <a:stretch>
                      <a:fillRect/>
                    </a:stretch>
                  </pic:blipFill>
                  <pic:spPr>
                    <a:xfrm>
                      <a:off x="0" y="0"/>
                      <a:ext cx="1654651" cy="447198"/>
                    </a:xfrm>
                    <a:prstGeom prst="rect">
                      <a:avLst/>
                    </a:prstGeom>
                  </pic:spPr>
                </pic:pic>
              </a:graphicData>
            </a:graphic>
          </wp:inline>
        </w:drawing>
      </w:r>
    </w:p>
    <w:p w14:paraId="691AE41E">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式中：Leqg—建设项目声源在预测点的等效声级贡献值，dB</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w:t>
      </w:r>
    </w:p>
    <w:p w14:paraId="6CCFA15B">
      <w:pPr>
        <w:keepNext w:val="0"/>
        <w:keepLines w:val="0"/>
        <w:pageBreakBefore w:val="0"/>
        <w:widowControl w:val="0"/>
        <w:kinsoku/>
        <w:wordWrap/>
        <w:overflowPunct/>
        <w:topLinePunct w:val="0"/>
        <w:autoSpaceDE/>
        <w:autoSpaceDN/>
        <w:bidi w:val="0"/>
        <w:adjustRightInd/>
        <w:snapToGrid/>
        <w:spacing w:line="480" w:lineRule="exact"/>
        <w:ind w:left="0" w:righ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LAi—i声源在预测点产生的A声级，dB</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；T—预测计算的时间段。本项目取16h。</w:t>
      </w:r>
    </w:p>
    <w:p w14:paraId="52A81D65">
      <w:pPr>
        <w:keepNext w:val="0"/>
        <w:keepLines w:val="0"/>
        <w:pageBreakBefore w:val="0"/>
        <w:widowControl w:val="0"/>
        <w:kinsoku/>
        <w:wordWrap/>
        <w:overflowPunct/>
        <w:topLinePunct w:val="0"/>
        <w:autoSpaceDE/>
        <w:autoSpaceDN/>
        <w:bidi w:val="0"/>
        <w:adjustRightInd/>
        <w:snapToGrid/>
        <w:spacing w:line="480" w:lineRule="exact"/>
        <w:ind w:left="0" w:righ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ti—i声源在T时段内的运行时间。本项目取16h。</w:t>
      </w:r>
    </w:p>
    <w:p w14:paraId="0C8C2681">
      <w:pPr>
        <w:keepNext w:val="0"/>
        <w:keepLines w:val="0"/>
        <w:pageBreakBefore w:val="0"/>
        <w:widowControl w:val="0"/>
        <w:kinsoku/>
        <w:wordWrap/>
        <w:overflowPunct/>
        <w:topLinePunct w:val="0"/>
        <w:autoSpaceDE/>
        <w:autoSpaceDN/>
        <w:bidi w:val="0"/>
        <w:adjustRightInd/>
        <w:snapToGrid/>
        <w:spacing w:line="480" w:lineRule="exact"/>
        <w:ind w:left="0" w:right="0" w:firstLine="48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由预测模式可得出施工过程中各种设备满负荷运行时在不同距离下的噪声值及影响范围，见表5.1-</w:t>
      </w: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w:t>
      </w:r>
    </w:p>
    <w:p w14:paraId="632BED17">
      <w:pPr>
        <w:spacing w:before="186" w:line="219" w:lineRule="auto"/>
        <w:ind w:left="0" w:leftChars="0" w:firstLine="0" w:firstLineChars="0"/>
        <w:jc w:val="center"/>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表5.1-</w:t>
      </w:r>
      <w:r>
        <w:rPr>
          <w:rFonts w:hint="default" w:ascii="Times New Roman" w:hAnsi="Times New Roman" w:eastAsia="宋体" w:cs="Times New Roman"/>
          <w:b/>
          <w:bCs/>
          <w:color w:val="auto"/>
          <w:spacing w:val="0"/>
          <w:w w:val="100"/>
          <w:position w:val="0"/>
          <w:sz w:val="21"/>
          <w:szCs w:val="21"/>
          <w:lang w:val="en-US" w:eastAsia="zh-CN"/>
        </w:rPr>
        <w:t xml:space="preserve">2    </w:t>
      </w:r>
      <w:r>
        <w:rPr>
          <w:rFonts w:hint="default" w:ascii="Times New Roman" w:hAnsi="Times New Roman" w:eastAsia="宋体" w:cs="Times New Roman"/>
          <w:b/>
          <w:bCs/>
          <w:color w:val="auto"/>
          <w:spacing w:val="0"/>
          <w:w w:val="100"/>
          <w:position w:val="0"/>
          <w:sz w:val="21"/>
          <w:szCs w:val="21"/>
        </w:rPr>
        <w:t>主要施工机械不同距离处的噪声值</w:t>
      </w:r>
    </w:p>
    <w:tbl>
      <w:tblPr>
        <w:tblStyle w:val="31"/>
        <w:tblW w:w="8301" w:type="dxa"/>
        <w:tblInd w:w="3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01"/>
        <w:gridCol w:w="1271"/>
        <w:gridCol w:w="2023"/>
        <w:gridCol w:w="827"/>
        <w:gridCol w:w="827"/>
        <w:gridCol w:w="708"/>
        <w:gridCol w:w="944"/>
      </w:tblGrid>
      <w:tr w14:paraId="7C9EB0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701" w:type="dxa"/>
            <w:vMerge w:val="restart"/>
            <w:tcBorders>
              <w:tl2br w:val="nil"/>
              <w:tr2bl w:val="nil"/>
            </w:tcBorders>
            <w:vAlign w:val="center"/>
          </w:tcPr>
          <w:p w14:paraId="6731A05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施工机械的分类</w:t>
            </w:r>
          </w:p>
        </w:tc>
        <w:tc>
          <w:tcPr>
            <w:tcW w:w="1271" w:type="dxa"/>
            <w:vMerge w:val="restart"/>
            <w:tcBorders>
              <w:tl2br w:val="nil"/>
              <w:tr2bl w:val="nil"/>
            </w:tcBorders>
            <w:vAlign w:val="center"/>
          </w:tcPr>
          <w:p w14:paraId="146F844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噪声机械</w:t>
            </w:r>
          </w:p>
        </w:tc>
        <w:tc>
          <w:tcPr>
            <w:tcW w:w="2023" w:type="dxa"/>
            <w:vMerge w:val="restart"/>
            <w:tcBorders>
              <w:tl2br w:val="nil"/>
              <w:tr2bl w:val="nil"/>
            </w:tcBorders>
            <w:vAlign w:val="center"/>
          </w:tcPr>
          <w:p w14:paraId="3D90BA3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声级/距离</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dB</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A</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/m</w:t>
            </w:r>
            <w:r>
              <w:rPr>
                <w:rFonts w:hint="default" w:ascii="Times New Roman" w:hAnsi="Times New Roman" w:eastAsia="宋体" w:cs="Times New Roman"/>
                <w:color w:val="auto"/>
                <w:spacing w:val="0"/>
                <w:w w:val="100"/>
                <w:position w:val="0"/>
                <w:lang w:eastAsia="zh-CN"/>
              </w:rPr>
              <w:t>〕</w:t>
            </w:r>
          </w:p>
        </w:tc>
        <w:tc>
          <w:tcPr>
            <w:tcW w:w="1654" w:type="dxa"/>
            <w:gridSpan w:val="2"/>
            <w:tcBorders>
              <w:tl2br w:val="nil"/>
              <w:tr2bl w:val="nil"/>
            </w:tcBorders>
            <w:vAlign w:val="center"/>
          </w:tcPr>
          <w:p w14:paraId="6951173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噪声限值dB</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A</w:t>
            </w:r>
            <w:r>
              <w:rPr>
                <w:rFonts w:hint="default" w:ascii="Times New Roman" w:hAnsi="Times New Roman" w:eastAsia="宋体" w:cs="Times New Roman"/>
                <w:color w:val="auto"/>
                <w:spacing w:val="0"/>
                <w:w w:val="100"/>
                <w:position w:val="0"/>
                <w:lang w:eastAsia="zh-CN"/>
              </w:rPr>
              <w:t>）</w:t>
            </w:r>
          </w:p>
        </w:tc>
        <w:tc>
          <w:tcPr>
            <w:tcW w:w="1652" w:type="dxa"/>
            <w:gridSpan w:val="2"/>
            <w:tcBorders>
              <w:tl2br w:val="nil"/>
              <w:tr2bl w:val="nil"/>
            </w:tcBorders>
            <w:vAlign w:val="center"/>
          </w:tcPr>
          <w:p w14:paraId="48466FA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达标距离（m）</w:t>
            </w:r>
          </w:p>
        </w:tc>
      </w:tr>
      <w:tr w14:paraId="16C04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701" w:type="dxa"/>
            <w:vMerge w:val="continue"/>
            <w:tcBorders>
              <w:tl2br w:val="nil"/>
              <w:tr2bl w:val="nil"/>
            </w:tcBorders>
            <w:vAlign w:val="center"/>
          </w:tcPr>
          <w:p w14:paraId="6FA71B7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vMerge w:val="continue"/>
            <w:tcBorders>
              <w:tl2br w:val="nil"/>
              <w:tr2bl w:val="nil"/>
            </w:tcBorders>
            <w:vAlign w:val="center"/>
          </w:tcPr>
          <w:p w14:paraId="4238E2C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2023" w:type="dxa"/>
            <w:vMerge w:val="continue"/>
            <w:tcBorders>
              <w:tl2br w:val="nil"/>
              <w:tr2bl w:val="nil"/>
            </w:tcBorders>
            <w:vAlign w:val="center"/>
          </w:tcPr>
          <w:p w14:paraId="3AB6028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827" w:type="dxa"/>
            <w:tcBorders>
              <w:tl2br w:val="nil"/>
              <w:tr2bl w:val="nil"/>
            </w:tcBorders>
            <w:vAlign w:val="center"/>
          </w:tcPr>
          <w:p w14:paraId="5FBDF37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昼间</w:t>
            </w:r>
          </w:p>
        </w:tc>
        <w:tc>
          <w:tcPr>
            <w:tcW w:w="827" w:type="dxa"/>
            <w:tcBorders>
              <w:tl2br w:val="nil"/>
              <w:tr2bl w:val="nil"/>
            </w:tcBorders>
            <w:vAlign w:val="center"/>
          </w:tcPr>
          <w:p w14:paraId="0362E3E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夜间</w:t>
            </w:r>
          </w:p>
        </w:tc>
        <w:tc>
          <w:tcPr>
            <w:tcW w:w="708" w:type="dxa"/>
            <w:tcBorders>
              <w:tl2br w:val="nil"/>
              <w:tr2bl w:val="nil"/>
            </w:tcBorders>
            <w:vAlign w:val="center"/>
          </w:tcPr>
          <w:p w14:paraId="470B7A0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昼间</w:t>
            </w:r>
          </w:p>
        </w:tc>
        <w:tc>
          <w:tcPr>
            <w:tcW w:w="944" w:type="dxa"/>
            <w:tcBorders>
              <w:tl2br w:val="nil"/>
              <w:tr2bl w:val="nil"/>
            </w:tcBorders>
            <w:vAlign w:val="center"/>
          </w:tcPr>
          <w:p w14:paraId="1CBBCDD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夜间</w:t>
            </w:r>
          </w:p>
        </w:tc>
      </w:tr>
      <w:tr w14:paraId="1B1260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701" w:type="dxa"/>
            <w:vMerge w:val="restart"/>
            <w:tcBorders>
              <w:tl2br w:val="nil"/>
              <w:tr2bl w:val="nil"/>
            </w:tcBorders>
            <w:vAlign w:val="center"/>
          </w:tcPr>
          <w:p w14:paraId="30A96F2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土石方机械</w:t>
            </w:r>
          </w:p>
        </w:tc>
        <w:tc>
          <w:tcPr>
            <w:tcW w:w="1271" w:type="dxa"/>
            <w:tcBorders>
              <w:tl2br w:val="nil"/>
              <w:tr2bl w:val="nil"/>
            </w:tcBorders>
            <w:vAlign w:val="center"/>
          </w:tcPr>
          <w:p w14:paraId="7873234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推土机</w:t>
            </w:r>
          </w:p>
        </w:tc>
        <w:tc>
          <w:tcPr>
            <w:tcW w:w="2023" w:type="dxa"/>
            <w:tcBorders>
              <w:tl2br w:val="nil"/>
              <w:tr2bl w:val="nil"/>
            </w:tcBorders>
            <w:vAlign w:val="center"/>
          </w:tcPr>
          <w:p w14:paraId="6AB2DD5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83-88/5</w:t>
            </w:r>
          </w:p>
        </w:tc>
        <w:tc>
          <w:tcPr>
            <w:tcW w:w="827" w:type="dxa"/>
            <w:tcBorders>
              <w:tl2br w:val="nil"/>
              <w:tr2bl w:val="nil"/>
            </w:tcBorders>
            <w:vAlign w:val="center"/>
          </w:tcPr>
          <w:p w14:paraId="29CE554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49918E1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6835060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39.7</w:t>
            </w:r>
          </w:p>
        </w:tc>
        <w:tc>
          <w:tcPr>
            <w:tcW w:w="944" w:type="dxa"/>
            <w:vMerge w:val="restart"/>
            <w:tcBorders>
              <w:tl2br w:val="nil"/>
              <w:tr2bl w:val="nil"/>
            </w:tcBorders>
            <w:vAlign w:val="center"/>
          </w:tcPr>
          <w:p w14:paraId="5A6D336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夜间不施工</w:t>
            </w:r>
          </w:p>
        </w:tc>
      </w:tr>
      <w:tr w14:paraId="33973E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701" w:type="dxa"/>
            <w:vMerge w:val="continue"/>
            <w:tcBorders>
              <w:tl2br w:val="nil"/>
              <w:tr2bl w:val="nil"/>
            </w:tcBorders>
            <w:vAlign w:val="center"/>
          </w:tcPr>
          <w:p w14:paraId="345C9AB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tcBorders>
              <w:tl2br w:val="nil"/>
              <w:tr2bl w:val="nil"/>
            </w:tcBorders>
            <w:vAlign w:val="center"/>
          </w:tcPr>
          <w:p w14:paraId="700720D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挖掘机</w:t>
            </w:r>
          </w:p>
        </w:tc>
        <w:tc>
          <w:tcPr>
            <w:tcW w:w="2023" w:type="dxa"/>
            <w:tcBorders>
              <w:tl2br w:val="nil"/>
              <w:tr2bl w:val="nil"/>
            </w:tcBorders>
            <w:vAlign w:val="center"/>
          </w:tcPr>
          <w:p w14:paraId="3546988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82-90/5</w:t>
            </w:r>
          </w:p>
        </w:tc>
        <w:tc>
          <w:tcPr>
            <w:tcW w:w="827" w:type="dxa"/>
            <w:tcBorders>
              <w:tl2br w:val="nil"/>
              <w:tr2bl w:val="nil"/>
            </w:tcBorders>
            <w:vAlign w:val="center"/>
          </w:tcPr>
          <w:p w14:paraId="4C8CED9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6486C3C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2851053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50.0</w:t>
            </w:r>
          </w:p>
        </w:tc>
        <w:tc>
          <w:tcPr>
            <w:tcW w:w="944" w:type="dxa"/>
            <w:vMerge w:val="continue"/>
            <w:tcBorders>
              <w:tl2br w:val="nil"/>
              <w:tr2bl w:val="nil"/>
            </w:tcBorders>
            <w:vAlign w:val="center"/>
          </w:tcPr>
          <w:p w14:paraId="712788A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03DE0B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701" w:type="dxa"/>
            <w:vMerge w:val="continue"/>
            <w:tcBorders>
              <w:tl2br w:val="nil"/>
              <w:tr2bl w:val="nil"/>
            </w:tcBorders>
            <w:vAlign w:val="center"/>
          </w:tcPr>
          <w:p w14:paraId="0FC2D96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tcBorders>
              <w:tl2br w:val="nil"/>
              <w:tr2bl w:val="nil"/>
            </w:tcBorders>
            <w:vAlign w:val="center"/>
          </w:tcPr>
          <w:p w14:paraId="6E0F06A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装载机</w:t>
            </w:r>
          </w:p>
        </w:tc>
        <w:tc>
          <w:tcPr>
            <w:tcW w:w="2023" w:type="dxa"/>
            <w:tcBorders>
              <w:tl2br w:val="nil"/>
              <w:tr2bl w:val="nil"/>
            </w:tcBorders>
            <w:vAlign w:val="center"/>
          </w:tcPr>
          <w:p w14:paraId="1D7AFB3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90-95/5</w:t>
            </w:r>
          </w:p>
        </w:tc>
        <w:tc>
          <w:tcPr>
            <w:tcW w:w="827" w:type="dxa"/>
            <w:tcBorders>
              <w:tl2br w:val="nil"/>
              <w:tr2bl w:val="nil"/>
            </w:tcBorders>
            <w:vAlign w:val="center"/>
          </w:tcPr>
          <w:p w14:paraId="7D2FAC9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04C89C8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56A974C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88.9</w:t>
            </w:r>
          </w:p>
        </w:tc>
        <w:tc>
          <w:tcPr>
            <w:tcW w:w="944" w:type="dxa"/>
            <w:vMerge w:val="continue"/>
            <w:tcBorders>
              <w:tl2br w:val="nil"/>
              <w:tr2bl w:val="nil"/>
            </w:tcBorders>
            <w:vAlign w:val="center"/>
          </w:tcPr>
          <w:p w14:paraId="70229DF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0EAAB2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701" w:type="dxa"/>
            <w:vMerge w:val="continue"/>
            <w:tcBorders>
              <w:tl2br w:val="nil"/>
              <w:tr2bl w:val="nil"/>
            </w:tcBorders>
            <w:vAlign w:val="center"/>
          </w:tcPr>
          <w:p w14:paraId="2400B3D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tcBorders>
              <w:tl2br w:val="nil"/>
              <w:tr2bl w:val="nil"/>
            </w:tcBorders>
            <w:vAlign w:val="center"/>
          </w:tcPr>
          <w:p w14:paraId="6D334F1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压路机</w:t>
            </w:r>
          </w:p>
        </w:tc>
        <w:tc>
          <w:tcPr>
            <w:tcW w:w="2023" w:type="dxa"/>
            <w:tcBorders>
              <w:tl2br w:val="nil"/>
              <w:tr2bl w:val="nil"/>
            </w:tcBorders>
            <w:vAlign w:val="center"/>
          </w:tcPr>
          <w:p w14:paraId="7E59476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80-90/5</w:t>
            </w:r>
          </w:p>
        </w:tc>
        <w:tc>
          <w:tcPr>
            <w:tcW w:w="827" w:type="dxa"/>
            <w:tcBorders>
              <w:tl2br w:val="nil"/>
              <w:tr2bl w:val="nil"/>
            </w:tcBorders>
            <w:vAlign w:val="center"/>
          </w:tcPr>
          <w:p w14:paraId="7F80C17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09DA4FF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0AAD1A3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28.1</w:t>
            </w:r>
          </w:p>
        </w:tc>
        <w:tc>
          <w:tcPr>
            <w:tcW w:w="944" w:type="dxa"/>
            <w:vMerge w:val="continue"/>
            <w:tcBorders>
              <w:tl2br w:val="nil"/>
              <w:tr2bl w:val="nil"/>
            </w:tcBorders>
            <w:vAlign w:val="center"/>
          </w:tcPr>
          <w:p w14:paraId="28E37B6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044BA7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701" w:type="dxa"/>
            <w:vMerge w:val="restart"/>
            <w:tcBorders>
              <w:tl2br w:val="nil"/>
              <w:tr2bl w:val="nil"/>
            </w:tcBorders>
            <w:vAlign w:val="center"/>
          </w:tcPr>
          <w:p w14:paraId="5489D98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结构机械</w:t>
            </w:r>
          </w:p>
        </w:tc>
        <w:tc>
          <w:tcPr>
            <w:tcW w:w="1271" w:type="dxa"/>
            <w:tcBorders>
              <w:tl2br w:val="nil"/>
              <w:tr2bl w:val="nil"/>
            </w:tcBorders>
            <w:vAlign w:val="center"/>
          </w:tcPr>
          <w:p w14:paraId="26F4AC1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搅拌机</w:t>
            </w:r>
          </w:p>
        </w:tc>
        <w:tc>
          <w:tcPr>
            <w:tcW w:w="2023" w:type="dxa"/>
            <w:tcBorders>
              <w:tl2br w:val="nil"/>
              <w:tr2bl w:val="nil"/>
            </w:tcBorders>
            <w:vAlign w:val="center"/>
          </w:tcPr>
          <w:p w14:paraId="431DC06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85-90/5</w:t>
            </w:r>
          </w:p>
        </w:tc>
        <w:tc>
          <w:tcPr>
            <w:tcW w:w="827" w:type="dxa"/>
            <w:tcBorders>
              <w:tl2br w:val="nil"/>
              <w:tr2bl w:val="nil"/>
            </w:tcBorders>
            <w:vAlign w:val="center"/>
          </w:tcPr>
          <w:p w14:paraId="3CBCE0B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41929C4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40F4BFA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50.0</w:t>
            </w:r>
          </w:p>
        </w:tc>
        <w:tc>
          <w:tcPr>
            <w:tcW w:w="944" w:type="dxa"/>
            <w:vMerge w:val="continue"/>
            <w:tcBorders>
              <w:tl2br w:val="nil"/>
              <w:tr2bl w:val="nil"/>
            </w:tcBorders>
            <w:vAlign w:val="center"/>
          </w:tcPr>
          <w:p w14:paraId="7A85C97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141140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701" w:type="dxa"/>
            <w:vMerge w:val="continue"/>
            <w:tcBorders>
              <w:tl2br w:val="nil"/>
              <w:tr2bl w:val="nil"/>
            </w:tcBorders>
            <w:vAlign w:val="center"/>
          </w:tcPr>
          <w:p w14:paraId="0950500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tcBorders>
              <w:tl2br w:val="nil"/>
              <w:tr2bl w:val="nil"/>
            </w:tcBorders>
            <w:vAlign w:val="center"/>
          </w:tcPr>
          <w:p w14:paraId="7BE76D2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移动式吊车</w:t>
            </w:r>
          </w:p>
        </w:tc>
        <w:tc>
          <w:tcPr>
            <w:tcW w:w="2023" w:type="dxa"/>
            <w:tcBorders>
              <w:tl2br w:val="nil"/>
              <w:tr2bl w:val="nil"/>
            </w:tcBorders>
            <w:vAlign w:val="center"/>
          </w:tcPr>
          <w:p w14:paraId="3B640DB2">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82-88/5</w:t>
            </w:r>
          </w:p>
        </w:tc>
        <w:tc>
          <w:tcPr>
            <w:tcW w:w="827" w:type="dxa"/>
            <w:tcBorders>
              <w:tl2br w:val="nil"/>
              <w:tr2bl w:val="nil"/>
            </w:tcBorders>
            <w:vAlign w:val="center"/>
          </w:tcPr>
          <w:p w14:paraId="4C317C0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3524611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47A0BF1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39.7</w:t>
            </w:r>
          </w:p>
        </w:tc>
        <w:tc>
          <w:tcPr>
            <w:tcW w:w="944" w:type="dxa"/>
            <w:vMerge w:val="continue"/>
            <w:tcBorders>
              <w:tl2br w:val="nil"/>
              <w:tr2bl w:val="nil"/>
            </w:tcBorders>
            <w:vAlign w:val="center"/>
          </w:tcPr>
          <w:p w14:paraId="51F96BE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206012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701" w:type="dxa"/>
            <w:vMerge w:val="continue"/>
            <w:tcBorders>
              <w:tl2br w:val="nil"/>
              <w:tr2bl w:val="nil"/>
            </w:tcBorders>
            <w:vAlign w:val="center"/>
          </w:tcPr>
          <w:p w14:paraId="5C522F9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c>
          <w:tcPr>
            <w:tcW w:w="1271" w:type="dxa"/>
            <w:tcBorders>
              <w:tl2br w:val="nil"/>
              <w:tr2bl w:val="nil"/>
            </w:tcBorders>
            <w:vAlign w:val="center"/>
          </w:tcPr>
          <w:p w14:paraId="62C6ECF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振捣机</w:t>
            </w:r>
          </w:p>
        </w:tc>
        <w:tc>
          <w:tcPr>
            <w:tcW w:w="2023" w:type="dxa"/>
            <w:tcBorders>
              <w:tl2br w:val="nil"/>
              <w:tr2bl w:val="nil"/>
            </w:tcBorders>
            <w:vAlign w:val="center"/>
          </w:tcPr>
          <w:p w14:paraId="494728F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80-88/5</w:t>
            </w:r>
          </w:p>
        </w:tc>
        <w:tc>
          <w:tcPr>
            <w:tcW w:w="827" w:type="dxa"/>
            <w:tcBorders>
              <w:tl2br w:val="nil"/>
              <w:tr2bl w:val="nil"/>
            </w:tcBorders>
            <w:vAlign w:val="center"/>
          </w:tcPr>
          <w:p w14:paraId="6ACDA07B">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270001A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5957EA9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39.7</w:t>
            </w:r>
          </w:p>
        </w:tc>
        <w:tc>
          <w:tcPr>
            <w:tcW w:w="944" w:type="dxa"/>
            <w:vMerge w:val="continue"/>
            <w:tcBorders>
              <w:tl2br w:val="nil"/>
              <w:tr2bl w:val="nil"/>
            </w:tcBorders>
            <w:vAlign w:val="center"/>
          </w:tcPr>
          <w:p w14:paraId="6C201CE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r w14:paraId="7BBA40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701" w:type="dxa"/>
            <w:tcBorders>
              <w:tl2br w:val="nil"/>
              <w:tr2bl w:val="nil"/>
            </w:tcBorders>
            <w:vAlign w:val="center"/>
          </w:tcPr>
          <w:p w14:paraId="62D89E8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设备安装机械</w:t>
            </w:r>
          </w:p>
        </w:tc>
        <w:tc>
          <w:tcPr>
            <w:tcW w:w="1271" w:type="dxa"/>
            <w:tcBorders>
              <w:tl2br w:val="nil"/>
              <w:tr2bl w:val="nil"/>
            </w:tcBorders>
            <w:vAlign w:val="center"/>
          </w:tcPr>
          <w:p w14:paraId="7EA0EDC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液压起重机</w:t>
            </w:r>
          </w:p>
        </w:tc>
        <w:tc>
          <w:tcPr>
            <w:tcW w:w="2023" w:type="dxa"/>
            <w:tcBorders>
              <w:tl2br w:val="nil"/>
              <w:tr2bl w:val="nil"/>
            </w:tcBorders>
            <w:vAlign w:val="center"/>
          </w:tcPr>
          <w:p w14:paraId="1F89C0FA">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82-90/5</w:t>
            </w:r>
          </w:p>
        </w:tc>
        <w:tc>
          <w:tcPr>
            <w:tcW w:w="827" w:type="dxa"/>
            <w:tcBorders>
              <w:tl2br w:val="nil"/>
              <w:tr2bl w:val="nil"/>
            </w:tcBorders>
            <w:vAlign w:val="center"/>
          </w:tcPr>
          <w:p w14:paraId="2220FDA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w:t>
            </w:r>
          </w:p>
        </w:tc>
        <w:tc>
          <w:tcPr>
            <w:tcW w:w="827" w:type="dxa"/>
            <w:tcBorders>
              <w:tl2br w:val="nil"/>
              <w:tr2bl w:val="nil"/>
            </w:tcBorders>
            <w:vAlign w:val="center"/>
          </w:tcPr>
          <w:p w14:paraId="65AEB6C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w:t>
            </w:r>
          </w:p>
        </w:tc>
        <w:tc>
          <w:tcPr>
            <w:tcW w:w="708" w:type="dxa"/>
            <w:tcBorders>
              <w:tl2br w:val="nil"/>
              <w:tr2bl w:val="nil"/>
            </w:tcBorders>
            <w:vAlign w:val="center"/>
          </w:tcPr>
          <w:p w14:paraId="02F99157">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50.0</w:t>
            </w:r>
          </w:p>
        </w:tc>
        <w:tc>
          <w:tcPr>
            <w:tcW w:w="944" w:type="dxa"/>
            <w:vMerge w:val="continue"/>
            <w:tcBorders>
              <w:tl2br w:val="nil"/>
              <w:tr2bl w:val="nil"/>
            </w:tcBorders>
            <w:vAlign w:val="center"/>
          </w:tcPr>
          <w:p w14:paraId="68BDEF1D">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p>
        </w:tc>
      </w:tr>
    </w:tbl>
    <w:p w14:paraId="7B14759D">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施工设备同时运行时，噪声预测结果见表5.1-</w:t>
      </w:r>
      <w:r>
        <w:rPr>
          <w:rFonts w:hint="default" w:ascii="Times New Roman" w:hAnsi="Times New Roman"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w:t>
      </w:r>
    </w:p>
    <w:p w14:paraId="3EA9E653">
      <w:pPr>
        <w:spacing w:before="186" w:line="219" w:lineRule="auto"/>
        <w:ind w:left="0" w:leftChars="0" w:firstLine="0" w:firstLineChars="0"/>
        <w:jc w:val="center"/>
        <w:rPr>
          <w:rFonts w:hint="default" w:ascii="Times New Roman" w:hAnsi="Times New Roman" w:eastAsia="宋体" w:cs="Times New Roman"/>
          <w:b/>
          <w:bCs/>
          <w:color w:val="auto"/>
          <w:spacing w:val="0"/>
          <w:w w:val="100"/>
          <w:position w:val="0"/>
          <w:sz w:val="21"/>
          <w:szCs w:val="21"/>
          <w:lang w:eastAsia="zh-CN"/>
        </w:rPr>
      </w:pPr>
      <w:r>
        <w:rPr>
          <w:rFonts w:hint="default" w:ascii="Times New Roman" w:hAnsi="Times New Roman" w:eastAsia="宋体" w:cs="Times New Roman"/>
          <w:b/>
          <w:bCs/>
          <w:color w:val="auto"/>
          <w:spacing w:val="0"/>
          <w:w w:val="100"/>
          <w:position w:val="0"/>
          <w:sz w:val="21"/>
          <w:szCs w:val="21"/>
        </w:rPr>
        <w:t>表5.1-</w:t>
      </w:r>
      <w:r>
        <w:rPr>
          <w:rFonts w:hint="default" w:ascii="Times New Roman" w:hAnsi="Times New Roman" w:eastAsia="宋体" w:cs="Times New Roman"/>
          <w:b/>
          <w:bCs/>
          <w:color w:val="auto"/>
          <w:spacing w:val="0"/>
          <w:w w:val="100"/>
          <w:position w:val="0"/>
          <w:sz w:val="21"/>
          <w:szCs w:val="21"/>
          <w:lang w:val="en-US" w:eastAsia="zh-CN"/>
        </w:rPr>
        <w:t xml:space="preserve">3    </w:t>
      </w:r>
      <w:r>
        <w:rPr>
          <w:rFonts w:hint="default" w:ascii="Times New Roman" w:hAnsi="Times New Roman" w:eastAsia="宋体" w:cs="Times New Roman"/>
          <w:b/>
          <w:bCs/>
          <w:color w:val="auto"/>
          <w:spacing w:val="0"/>
          <w:w w:val="100"/>
          <w:position w:val="0"/>
          <w:sz w:val="21"/>
          <w:szCs w:val="21"/>
        </w:rPr>
        <w:t>设备同时运行时噪声预测结果单位：dB</w:t>
      </w:r>
      <w:r>
        <w:rPr>
          <w:rFonts w:hint="default" w:ascii="Times New Roman" w:hAnsi="Times New Roman" w:eastAsia="宋体" w:cs="Times New Roman"/>
          <w:b/>
          <w:bCs/>
          <w:color w:val="auto"/>
          <w:spacing w:val="0"/>
          <w:w w:val="100"/>
          <w:position w:val="0"/>
          <w:sz w:val="21"/>
          <w:szCs w:val="21"/>
          <w:lang w:eastAsia="zh-CN"/>
        </w:rPr>
        <w:t>（</w:t>
      </w:r>
      <w:r>
        <w:rPr>
          <w:rFonts w:hint="default" w:ascii="Times New Roman" w:hAnsi="Times New Roman" w:eastAsia="宋体" w:cs="Times New Roman"/>
          <w:b/>
          <w:bCs/>
          <w:color w:val="auto"/>
          <w:spacing w:val="0"/>
          <w:w w:val="100"/>
          <w:position w:val="0"/>
          <w:sz w:val="21"/>
          <w:szCs w:val="21"/>
        </w:rPr>
        <w:t>A</w:t>
      </w:r>
      <w:r>
        <w:rPr>
          <w:rFonts w:hint="default" w:ascii="Times New Roman" w:hAnsi="Times New Roman" w:eastAsia="宋体" w:cs="Times New Roman"/>
          <w:b/>
          <w:bCs/>
          <w:color w:val="auto"/>
          <w:spacing w:val="0"/>
          <w:w w:val="100"/>
          <w:position w:val="0"/>
          <w:sz w:val="21"/>
          <w:szCs w:val="21"/>
          <w:lang w:eastAsia="zh-CN"/>
        </w:rPr>
        <w:t>）</w:t>
      </w:r>
    </w:p>
    <w:tbl>
      <w:tblPr>
        <w:tblStyle w:val="31"/>
        <w:tblW w:w="8301" w:type="dxa"/>
        <w:tblInd w:w="3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060"/>
        <w:gridCol w:w="724"/>
        <w:gridCol w:w="723"/>
        <w:gridCol w:w="723"/>
        <w:gridCol w:w="724"/>
        <w:gridCol w:w="723"/>
        <w:gridCol w:w="723"/>
        <w:gridCol w:w="725"/>
        <w:gridCol w:w="723"/>
        <w:gridCol w:w="725"/>
        <w:gridCol w:w="728"/>
      </w:tblGrid>
      <w:tr w14:paraId="52BE47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060" w:type="dxa"/>
            <w:tcBorders>
              <w:tl2br w:val="nil"/>
              <w:tr2bl w:val="nil"/>
            </w:tcBorders>
            <w:vAlign w:val="center"/>
          </w:tcPr>
          <w:p w14:paraId="403D5F0A">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距离</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m</w:t>
            </w:r>
            <w:r>
              <w:rPr>
                <w:rFonts w:hint="default" w:ascii="Times New Roman" w:hAnsi="Times New Roman" w:eastAsia="宋体" w:cs="Times New Roman"/>
                <w:color w:val="auto"/>
                <w:spacing w:val="0"/>
                <w:w w:val="100"/>
                <w:position w:val="0"/>
                <w:lang w:eastAsia="zh-CN"/>
              </w:rPr>
              <w:t>）</w:t>
            </w:r>
          </w:p>
        </w:tc>
        <w:tc>
          <w:tcPr>
            <w:tcW w:w="724" w:type="dxa"/>
            <w:tcBorders>
              <w:tl2br w:val="nil"/>
              <w:tr2bl w:val="nil"/>
            </w:tcBorders>
            <w:vAlign w:val="center"/>
          </w:tcPr>
          <w:p w14:paraId="00946B7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w:t>
            </w:r>
          </w:p>
        </w:tc>
        <w:tc>
          <w:tcPr>
            <w:tcW w:w="723" w:type="dxa"/>
            <w:tcBorders>
              <w:tl2br w:val="nil"/>
              <w:tr2bl w:val="nil"/>
            </w:tcBorders>
            <w:vAlign w:val="center"/>
          </w:tcPr>
          <w:p w14:paraId="315CB67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30</w:t>
            </w:r>
          </w:p>
        </w:tc>
        <w:tc>
          <w:tcPr>
            <w:tcW w:w="723" w:type="dxa"/>
            <w:tcBorders>
              <w:tl2br w:val="nil"/>
              <w:tr2bl w:val="nil"/>
            </w:tcBorders>
            <w:vAlign w:val="center"/>
          </w:tcPr>
          <w:p w14:paraId="48996DB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40</w:t>
            </w:r>
          </w:p>
        </w:tc>
        <w:tc>
          <w:tcPr>
            <w:tcW w:w="724" w:type="dxa"/>
            <w:tcBorders>
              <w:tl2br w:val="nil"/>
              <w:tr2bl w:val="nil"/>
            </w:tcBorders>
            <w:vAlign w:val="center"/>
          </w:tcPr>
          <w:p w14:paraId="7809428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23" w:type="dxa"/>
            <w:tcBorders>
              <w:tl2br w:val="nil"/>
              <w:tr2bl w:val="nil"/>
            </w:tcBorders>
            <w:vAlign w:val="center"/>
          </w:tcPr>
          <w:p w14:paraId="6EFD079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60</w:t>
            </w:r>
          </w:p>
        </w:tc>
        <w:tc>
          <w:tcPr>
            <w:tcW w:w="723" w:type="dxa"/>
            <w:tcBorders>
              <w:tl2br w:val="nil"/>
              <w:tr2bl w:val="nil"/>
            </w:tcBorders>
            <w:vAlign w:val="center"/>
          </w:tcPr>
          <w:p w14:paraId="6A1A0A0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w:t>
            </w:r>
          </w:p>
        </w:tc>
        <w:tc>
          <w:tcPr>
            <w:tcW w:w="725" w:type="dxa"/>
            <w:tcBorders>
              <w:tl2br w:val="nil"/>
              <w:tr2bl w:val="nil"/>
            </w:tcBorders>
            <w:vAlign w:val="center"/>
          </w:tcPr>
          <w:p w14:paraId="67D2FD7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100</w:t>
            </w:r>
          </w:p>
        </w:tc>
        <w:tc>
          <w:tcPr>
            <w:tcW w:w="723" w:type="dxa"/>
            <w:tcBorders>
              <w:tl2br w:val="nil"/>
              <w:tr2bl w:val="nil"/>
            </w:tcBorders>
            <w:vAlign w:val="center"/>
          </w:tcPr>
          <w:p w14:paraId="7C191BF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150</w:t>
            </w:r>
          </w:p>
        </w:tc>
        <w:tc>
          <w:tcPr>
            <w:tcW w:w="725" w:type="dxa"/>
            <w:tcBorders>
              <w:tl2br w:val="nil"/>
              <w:tr2bl w:val="nil"/>
            </w:tcBorders>
            <w:vAlign w:val="center"/>
          </w:tcPr>
          <w:p w14:paraId="580A9F4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200</w:t>
            </w:r>
          </w:p>
        </w:tc>
        <w:tc>
          <w:tcPr>
            <w:tcW w:w="728" w:type="dxa"/>
            <w:tcBorders>
              <w:tl2br w:val="nil"/>
              <w:tr2bl w:val="nil"/>
            </w:tcBorders>
            <w:vAlign w:val="center"/>
          </w:tcPr>
          <w:p w14:paraId="33B14AF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300</w:t>
            </w:r>
          </w:p>
        </w:tc>
      </w:tr>
      <w:tr w14:paraId="74ABAF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060" w:type="dxa"/>
            <w:tcBorders>
              <w:tl2br w:val="nil"/>
              <w:tr2bl w:val="nil"/>
            </w:tcBorders>
            <w:vAlign w:val="center"/>
          </w:tcPr>
          <w:p w14:paraId="6C4C555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土石方</w:t>
            </w:r>
          </w:p>
        </w:tc>
        <w:tc>
          <w:tcPr>
            <w:tcW w:w="724" w:type="dxa"/>
            <w:tcBorders>
              <w:tl2br w:val="nil"/>
              <w:tr2bl w:val="nil"/>
            </w:tcBorders>
            <w:vAlign w:val="center"/>
          </w:tcPr>
          <w:p w14:paraId="2D7723A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85.0</w:t>
            </w:r>
          </w:p>
        </w:tc>
        <w:tc>
          <w:tcPr>
            <w:tcW w:w="723" w:type="dxa"/>
            <w:tcBorders>
              <w:tl2br w:val="nil"/>
              <w:tr2bl w:val="nil"/>
            </w:tcBorders>
            <w:vAlign w:val="center"/>
          </w:tcPr>
          <w:p w14:paraId="183AEDA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81.5</w:t>
            </w:r>
          </w:p>
        </w:tc>
        <w:tc>
          <w:tcPr>
            <w:tcW w:w="723" w:type="dxa"/>
            <w:tcBorders>
              <w:tl2br w:val="nil"/>
              <w:tr2bl w:val="nil"/>
            </w:tcBorders>
            <w:vAlign w:val="center"/>
          </w:tcPr>
          <w:p w14:paraId="6A3C46A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79.0</w:t>
            </w:r>
          </w:p>
        </w:tc>
        <w:tc>
          <w:tcPr>
            <w:tcW w:w="724" w:type="dxa"/>
            <w:tcBorders>
              <w:tl2br w:val="nil"/>
              <w:tr2bl w:val="nil"/>
            </w:tcBorders>
            <w:vAlign w:val="center"/>
          </w:tcPr>
          <w:p w14:paraId="5DF317A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77.1</w:t>
            </w:r>
          </w:p>
        </w:tc>
        <w:tc>
          <w:tcPr>
            <w:tcW w:w="723" w:type="dxa"/>
            <w:tcBorders>
              <w:tl2br w:val="nil"/>
              <w:tr2bl w:val="nil"/>
            </w:tcBorders>
            <w:vAlign w:val="center"/>
          </w:tcPr>
          <w:p w14:paraId="137746F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75.5</w:t>
            </w:r>
          </w:p>
        </w:tc>
        <w:tc>
          <w:tcPr>
            <w:tcW w:w="723" w:type="dxa"/>
            <w:tcBorders>
              <w:tl2br w:val="nil"/>
              <w:tr2bl w:val="nil"/>
            </w:tcBorders>
            <w:vAlign w:val="center"/>
          </w:tcPr>
          <w:p w14:paraId="3AAED22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73.0</w:t>
            </w:r>
          </w:p>
        </w:tc>
        <w:tc>
          <w:tcPr>
            <w:tcW w:w="725" w:type="dxa"/>
            <w:tcBorders>
              <w:tl2br w:val="nil"/>
              <w:tr2bl w:val="nil"/>
            </w:tcBorders>
            <w:vAlign w:val="center"/>
          </w:tcPr>
          <w:p w14:paraId="6F67D3C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71.1</w:t>
            </w:r>
          </w:p>
        </w:tc>
        <w:tc>
          <w:tcPr>
            <w:tcW w:w="723" w:type="dxa"/>
            <w:tcBorders>
              <w:tl2br w:val="nil"/>
              <w:tr2bl w:val="nil"/>
            </w:tcBorders>
            <w:vAlign w:val="center"/>
          </w:tcPr>
          <w:p w14:paraId="2E889E3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67.5</w:t>
            </w:r>
          </w:p>
        </w:tc>
        <w:tc>
          <w:tcPr>
            <w:tcW w:w="725" w:type="dxa"/>
            <w:tcBorders>
              <w:tl2br w:val="nil"/>
              <w:tr2bl w:val="nil"/>
            </w:tcBorders>
            <w:vAlign w:val="center"/>
          </w:tcPr>
          <w:p w14:paraId="3115A48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65.0</w:t>
            </w:r>
          </w:p>
        </w:tc>
        <w:tc>
          <w:tcPr>
            <w:tcW w:w="728" w:type="dxa"/>
            <w:tcBorders>
              <w:tl2br w:val="nil"/>
              <w:tr2bl w:val="nil"/>
            </w:tcBorders>
            <w:vAlign w:val="center"/>
          </w:tcPr>
          <w:p w14:paraId="26C1D17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61.5</w:t>
            </w:r>
          </w:p>
        </w:tc>
      </w:tr>
      <w:tr w14:paraId="6D74C8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060" w:type="dxa"/>
            <w:tcBorders>
              <w:tl2br w:val="nil"/>
              <w:tr2bl w:val="nil"/>
            </w:tcBorders>
            <w:vAlign w:val="center"/>
          </w:tcPr>
          <w:p w14:paraId="2CEFAF8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结构机械</w:t>
            </w:r>
          </w:p>
        </w:tc>
        <w:tc>
          <w:tcPr>
            <w:tcW w:w="724" w:type="dxa"/>
            <w:tcBorders>
              <w:tl2br w:val="nil"/>
              <w:tr2bl w:val="nil"/>
            </w:tcBorders>
            <w:vAlign w:val="center"/>
          </w:tcPr>
          <w:p w14:paraId="68A7465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81.5</w:t>
            </w:r>
          </w:p>
        </w:tc>
        <w:tc>
          <w:tcPr>
            <w:tcW w:w="723" w:type="dxa"/>
            <w:tcBorders>
              <w:tl2br w:val="nil"/>
              <w:tr2bl w:val="nil"/>
            </w:tcBorders>
            <w:vAlign w:val="center"/>
          </w:tcPr>
          <w:p w14:paraId="25949F9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78.0</w:t>
            </w:r>
          </w:p>
        </w:tc>
        <w:tc>
          <w:tcPr>
            <w:tcW w:w="723" w:type="dxa"/>
            <w:tcBorders>
              <w:tl2br w:val="nil"/>
              <w:tr2bl w:val="nil"/>
            </w:tcBorders>
            <w:vAlign w:val="center"/>
          </w:tcPr>
          <w:p w14:paraId="1B79138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75.5</w:t>
            </w:r>
          </w:p>
        </w:tc>
        <w:tc>
          <w:tcPr>
            <w:tcW w:w="724" w:type="dxa"/>
            <w:tcBorders>
              <w:tl2br w:val="nil"/>
              <w:tr2bl w:val="nil"/>
            </w:tcBorders>
            <w:vAlign w:val="center"/>
          </w:tcPr>
          <w:p w14:paraId="06D8C2A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73.5</w:t>
            </w:r>
          </w:p>
        </w:tc>
        <w:tc>
          <w:tcPr>
            <w:tcW w:w="723" w:type="dxa"/>
            <w:tcBorders>
              <w:tl2br w:val="nil"/>
              <w:tr2bl w:val="nil"/>
            </w:tcBorders>
            <w:vAlign w:val="center"/>
          </w:tcPr>
          <w:p w14:paraId="69F646D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72.0</w:t>
            </w:r>
          </w:p>
        </w:tc>
        <w:tc>
          <w:tcPr>
            <w:tcW w:w="723" w:type="dxa"/>
            <w:tcBorders>
              <w:tl2br w:val="nil"/>
              <w:tr2bl w:val="nil"/>
            </w:tcBorders>
            <w:vAlign w:val="center"/>
          </w:tcPr>
          <w:p w14:paraId="157FD8E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69.5</w:t>
            </w:r>
          </w:p>
        </w:tc>
        <w:tc>
          <w:tcPr>
            <w:tcW w:w="725" w:type="dxa"/>
            <w:tcBorders>
              <w:tl2br w:val="nil"/>
              <w:tr2bl w:val="nil"/>
            </w:tcBorders>
            <w:vAlign w:val="center"/>
          </w:tcPr>
          <w:p w14:paraId="5AC3725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67.5</w:t>
            </w:r>
          </w:p>
        </w:tc>
        <w:tc>
          <w:tcPr>
            <w:tcW w:w="723" w:type="dxa"/>
            <w:tcBorders>
              <w:tl2br w:val="nil"/>
              <w:tr2bl w:val="nil"/>
            </w:tcBorders>
            <w:vAlign w:val="center"/>
          </w:tcPr>
          <w:p w14:paraId="6138B7D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64.0</w:t>
            </w:r>
          </w:p>
        </w:tc>
        <w:tc>
          <w:tcPr>
            <w:tcW w:w="725" w:type="dxa"/>
            <w:tcBorders>
              <w:tl2br w:val="nil"/>
              <w:tr2bl w:val="nil"/>
            </w:tcBorders>
            <w:vAlign w:val="center"/>
          </w:tcPr>
          <w:p w14:paraId="7B954D6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61.5</w:t>
            </w:r>
          </w:p>
        </w:tc>
        <w:tc>
          <w:tcPr>
            <w:tcW w:w="728" w:type="dxa"/>
            <w:tcBorders>
              <w:tl2br w:val="nil"/>
              <w:tr2bl w:val="nil"/>
            </w:tcBorders>
            <w:vAlign w:val="center"/>
          </w:tcPr>
          <w:p w14:paraId="01BC904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58.0</w:t>
            </w:r>
          </w:p>
        </w:tc>
      </w:tr>
      <w:tr w14:paraId="73E292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060" w:type="dxa"/>
            <w:tcBorders>
              <w:tl2br w:val="nil"/>
              <w:tr2bl w:val="nil"/>
            </w:tcBorders>
            <w:vAlign w:val="center"/>
          </w:tcPr>
          <w:p w14:paraId="74964C27">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设备安装</w:t>
            </w:r>
          </w:p>
        </w:tc>
        <w:tc>
          <w:tcPr>
            <w:tcW w:w="724" w:type="dxa"/>
            <w:tcBorders>
              <w:tl2br w:val="nil"/>
              <w:tr2bl w:val="nil"/>
            </w:tcBorders>
            <w:vAlign w:val="center"/>
          </w:tcPr>
          <w:p w14:paraId="799CABE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78.0</w:t>
            </w:r>
          </w:p>
        </w:tc>
        <w:tc>
          <w:tcPr>
            <w:tcW w:w="723" w:type="dxa"/>
            <w:tcBorders>
              <w:tl2br w:val="nil"/>
              <w:tr2bl w:val="nil"/>
            </w:tcBorders>
            <w:vAlign w:val="center"/>
          </w:tcPr>
          <w:p w14:paraId="4780844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74.4</w:t>
            </w:r>
          </w:p>
        </w:tc>
        <w:tc>
          <w:tcPr>
            <w:tcW w:w="723" w:type="dxa"/>
            <w:tcBorders>
              <w:tl2br w:val="nil"/>
              <w:tr2bl w:val="nil"/>
            </w:tcBorders>
            <w:vAlign w:val="center"/>
          </w:tcPr>
          <w:p w14:paraId="3275DEC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71.9</w:t>
            </w:r>
          </w:p>
        </w:tc>
        <w:tc>
          <w:tcPr>
            <w:tcW w:w="724" w:type="dxa"/>
            <w:tcBorders>
              <w:tl2br w:val="nil"/>
              <w:tr2bl w:val="nil"/>
            </w:tcBorders>
            <w:vAlign w:val="center"/>
          </w:tcPr>
          <w:p w14:paraId="703CDD3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70.0</w:t>
            </w:r>
          </w:p>
        </w:tc>
        <w:tc>
          <w:tcPr>
            <w:tcW w:w="723" w:type="dxa"/>
            <w:tcBorders>
              <w:tl2br w:val="nil"/>
              <w:tr2bl w:val="nil"/>
            </w:tcBorders>
            <w:vAlign w:val="center"/>
          </w:tcPr>
          <w:p w14:paraId="5F98CDC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68.4</w:t>
            </w:r>
          </w:p>
        </w:tc>
        <w:tc>
          <w:tcPr>
            <w:tcW w:w="723" w:type="dxa"/>
            <w:tcBorders>
              <w:tl2br w:val="nil"/>
              <w:tr2bl w:val="nil"/>
            </w:tcBorders>
            <w:vAlign w:val="center"/>
          </w:tcPr>
          <w:p w14:paraId="2DF21B1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65.9</w:t>
            </w:r>
          </w:p>
        </w:tc>
        <w:tc>
          <w:tcPr>
            <w:tcW w:w="725" w:type="dxa"/>
            <w:tcBorders>
              <w:tl2br w:val="nil"/>
              <w:tr2bl w:val="nil"/>
            </w:tcBorders>
            <w:vAlign w:val="center"/>
          </w:tcPr>
          <w:p w14:paraId="106571B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64.0</w:t>
            </w:r>
          </w:p>
        </w:tc>
        <w:tc>
          <w:tcPr>
            <w:tcW w:w="723" w:type="dxa"/>
            <w:tcBorders>
              <w:tl2br w:val="nil"/>
              <w:tr2bl w:val="nil"/>
            </w:tcBorders>
            <w:vAlign w:val="center"/>
          </w:tcPr>
          <w:p w14:paraId="0BD9E26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60.5</w:t>
            </w:r>
          </w:p>
        </w:tc>
        <w:tc>
          <w:tcPr>
            <w:tcW w:w="725" w:type="dxa"/>
            <w:tcBorders>
              <w:tl2br w:val="nil"/>
              <w:tr2bl w:val="nil"/>
            </w:tcBorders>
            <w:vAlign w:val="center"/>
          </w:tcPr>
          <w:p w14:paraId="297C0F9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58.0</w:t>
            </w:r>
          </w:p>
        </w:tc>
        <w:tc>
          <w:tcPr>
            <w:tcW w:w="728" w:type="dxa"/>
            <w:tcBorders>
              <w:tl2br w:val="nil"/>
              <w:tr2bl w:val="nil"/>
            </w:tcBorders>
            <w:vAlign w:val="center"/>
          </w:tcPr>
          <w:p w14:paraId="5795818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54.4</w:t>
            </w:r>
          </w:p>
        </w:tc>
      </w:tr>
      <w:tr w14:paraId="682FAF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8301" w:type="dxa"/>
            <w:gridSpan w:val="11"/>
            <w:tcBorders>
              <w:tl2br w:val="nil"/>
              <w:tr2bl w:val="nil"/>
            </w:tcBorders>
            <w:vAlign w:val="center"/>
          </w:tcPr>
          <w:p w14:paraId="6D012AB4">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施工场界噪声达标：昼间70，夜间55</w:t>
            </w:r>
          </w:p>
        </w:tc>
      </w:tr>
    </w:tbl>
    <w:p w14:paraId="2DDEAAAB">
      <w:pPr>
        <w:spacing w:before="52" w:line="219" w:lineRule="auto"/>
        <w:ind w:left="458"/>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注：按噪声源最大声级预测。</w:t>
      </w:r>
    </w:p>
    <w:p w14:paraId="75F54A77">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本评价要求在施工区采取围挡措施。通过以上隔声噪声衰减，预计可降噪20dB</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A</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。采取措施后噪声预测结果见</w:t>
      </w:r>
      <w:r>
        <w:rPr>
          <w:rFonts w:hint="default" w:ascii="Times New Roman" w:hAnsi="Times New Roman" w:eastAsia="宋体" w:cs="Times New Roman"/>
          <w:b w:val="0"/>
          <w:bCs w:val="0"/>
          <w:color w:val="auto"/>
          <w:spacing w:val="0"/>
          <w:w w:val="100"/>
          <w:position w:val="0"/>
          <w:sz w:val="24"/>
          <w:szCs w:val="24"/>
        </w:rPr>
        <w:t>表5.1-</w:t>
      </w:r>
      <w:r>
        <w:rPr>
          <w:rFonts w:hint="default" w:ascii="Times New Roman" w:hAnsi="Times New Roman" w:cs="Times New Roman"/>
          <w:b w:val="0"/>
          <w:bCs w:val="0"/>
          <w:color w:val="auto"/>
          <w:spacing w:val="0"/>
          <w:w w:val="100"/>
          <w:position w:val="0"/>
          <w:sz w:val="24"/>
          <w:szCs w:val="24"/>
          <w:lang w:val="en-US" w:eastAsia="zh-CN"/>
        </w:rPr>
        <w:t>4</w:t>
      </w:r>
      <w:r>
        <w:rPr>
          <w:rFonts w:hint="default" w:ascii="Times New Roman" w:hAnsi="Times New Roman" w:eastAsia="宋体" w:cs="Times New Roman"/>
          <w:b w:val="0"/>
          <w:bCs w:val="0"/>
          <w:color w:val="auto"/>
          <w:spacing w:val="0"/>
          <w:w w:val="100"/>
          <w:position w:val="0"/>
          <w:sz w:val="24"/>
          <w:szCs w:val="24"/>
        </w:rPr>
        <w:t>。</w:t>
      </w:r>
    </w:p>
    <w:p w14:paraId="1DD1C463">
      <w:pPr>
        <w:spacing w:before="186" w:line="219" w:lineRule="auto"/>
        <w:ind w:left="0" w:leftChars="0" w:firstLine="0" w:firstLineChars="0"/>
        <w:jc w:val="center"/>
        <w:rPr>
          <w:rFonts w:hint="default" w:ascii="Times New Roman" w:hAnsi="Times New Roman" w:eastAsia="宋体" w:cs="Times New Roman"/>
          <w:b/>
          <w:bCs/>
          <w:color w:val="auto"/>
          <w:spacing w:val="0"/>
          <w:w w:val="100"/>
          <w:position w:val="0"/>
          <w:sz w:val="21"/>
          <w:szCs w:val="21"/>
          <w:lang w:eastAsia="zh-CN"/>
        </w:rPr>
      </w:pPr>
      <w:r>
        <w:rPr>
          <w:rFonts w:hint="default" w:ascii="Times New Roman" w:hAnsi="Times New Roman" w:eastAsia="宋体" w:cs="Times New Roman"/>
          <w:b/>
          <w:bCs/>
          <w:color w:val="auto"/>
          <w:spacing w:val="0"/>
          <w:w w:val="100"/>
          <w:position w:val="0"/>
          <w:sz w:val="21"/>
          <w:szCs w:val="21"/>
        </w:rPr>
        <w:t>表5.1-</w:t>
      </w:r>
      <w:r>
        <w:rPr>
          <w:rFonts w:hint="default" w:ascii="Times New Roman" w:hAnsi="Times New Roman" w:eastAsia="宋体" w:cs="Times New Roman"/>
          <w:b/>
          <w:bCs/>
          <w:color w:val="auto"/>
          <w:spacing w:val="0"/>
          <w:w w:val="100"/>
          <w:position w:val="0"/>
          <w:sz w:val="21"/>
          <w:szCs w:val="21"/>
          <w:lang w:val="en-US" w:eastAsia="zh-CN"/>
        </w:rPr>
        <w:t xml:space="preserve">4    </w:t>
      </w:r>
      <w:r>
        <w:rPr>
          <w:rFonts w:hint="default" w:ascii="Times New Roman" w:hAnsi="Times New Roman" w:eastAsia="宋体" w:cs="Times New Roman"/>
          <w:b/>
          <w:bCs/>
          <w:color w:val="auto"/>
          <w:spacing w:val="0"/>
          <w:w w:val="100"/>
          <w:position w:val="0"/>
          <w:sz w:val="21"/>
          <w:szCs w:val="21"/>
        </w:rPr>
        <w:t>采取措施后噪声预测结果单位：dB</w:t>
      </w:r>
      <w:r>
        <w:rPr>
          <w:rFonts w:hint="default" w:ascii="Times New Roman" w:hAnsi="Times New Roman" w:eastAsia="宋体" w:cs="Times New Roman"/>
          <w:b/>
          <w:bCs/>
          <w:color w:val="auto"/>
          <w:spacing w:val="0"/>
          <w:w w:val="100"/>
          <w:position w:val="0"/>
          <w:sz w:val="21"/>
          <w:szCs w:val="21"/>
          <w:lang w:eastAsia="zh-CN"/>
        </w:rPr>
        <w:t>（</w:t>
      </w:r>
      <w:r>
        <w:rPr>
          <w:rFonts w:hint="default" w:ascii="Times New Roman" w:hAnsi="Times New Roman" w:eastAsia="宋体" w:cs="Times New Roman"/>
          <w:b/>
          <w:bCs/>
          <w:color w:val="auto"/>
          <w:spacing w:val="0"/>
          <w:w w:val="100"/>
          <w:position w:val="0"/>
          <w:sz w:val="21"/>
          <w:szCs w:val="21"/>
        </w:rPr>
        <w:t>A</w:t>
      </w:r>
      <w:r>
        <w:rPr>
          <w:rFonts w:hint="default" w:ascii="Times New Roman" w:hAnsi="Times New Roman" w:eastAsia="宋体" w:cs="Times New Roman"/>
          <w:b/>
          <w:bCs/>
          <w:color w:val="auto"/>
          <w:spacing w:val="0"/>
          <w:w w:val="100"/>
          <w:position w:val="0"/>
          <w:sz w:val="21"/>
          <w:szCs w:val="21"/>
          <w:lang w:eastAsia="zh-CN"/>
        </w:rPr>
        <w:t>）</w:t>
      </w:r>
    </w:p>
    <w:tbl>
      <w:tblPr>
        <w:tblStyle w:val="31"/>
        <w:tblW w:w="8301" w:type="dxa"/>
        <w:tblInd w:w="3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060"/>
        <w:gridCol w:w="723"/>
        <w:gridCol w:w="722"/>
        <w:gridCol w:w="723"/>
        <w:gridCol w:w="722"/>
        <w:gridCol w:w="723"/>
        <w:gridCol w:w="722"/>
        <w:gridCol w:w="723"/>
        <w:gridCol w:w="722"/>
        <w:gridCol w:w="823"/>
        <w:gridCol w:w="638"/>
      </w:tblGrid>
      <w:tr w14:paraId="5F3AB8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060" w:type="dxa"/>
            <w:tcBorders>
              <w:tl2br w:val="nil"/>
              <w:tr2bl w:val="nil"/>
            </w:tcBorders>
            <w:vAlign w:val="center"/>
          </w:tcPr>
          <w:p w14:paraId="6325EF33">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距离</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m</w:t>
            </w:r>
            <w:r>
              <w:rPr>
                <w:rFonts w:hint="default" w:ascii="Times New Roman" w:hAnsi="Times New Roman" w:eastAsia="宋体" w:cs="Times New Roman"/>
                <w:color w:val="auto"/>
                <w:spacing w:val="0"/>
                <w:w w:val="100"/>
                <w:position w:val="0"/>
                <w:lang w:eastAsia="zh-CN"/>
              </w:rPr>
              <w:t>）</w:t>
            </w:r>
          </w:p>
        </w:tc>
        <w:tc>
          <w:tcPr>
            <w:tcW w:w="723" w:type="dxa"/>
            <w:tcBorders>
              <w:tl2br w:val="nil"/>
              <w:tr2bl w:val="nil"/>
            </w:tcBorders>
            <w:vAlign w:val="center"/>
          </w:tcPr>
          <w:p w14:paraId="21537C8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w:t>
            </w:r>
          </w:p>
        </w:tc>
        <w:tc>
          <w:tcPr>
            <w:tcW w:w="722" w:type="dxa"/>
            <w:tcBorders>
              <w:tl2br w:val="nil"/>
              <w:tr2bl w:val="nil"/>
            </w:tcBorders>
            <w:vAlign w:val="center"/>
          </w:tcPr>
          <w:p w14:paraId="582E27F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30</w:t>
            </w:r>
          </w:p>
        </w:tc>
        <w:tc>
          <w:tcPr>
            <w:tcW w:w="723" w:type="dxa"/>
            <w:tcBorders>
              <w:tl2br w:val="nil"/>
              <w:tr2bl w:val="nil"/>
            </w:tcBorders>
            <w:vAlign w:val="center"/>
          </w:tcPr>
          <w:p w14:paraId="503BE4D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40</w:t>
            </w:r>
          </w:p>
        </w:tc>
        <w:tc>
          <w:tcPr>
            <w:tcW w:w="722" w:type="dxa"/>
            <w:tcBorders>
              <w:tl2br w:val="nil"/>
              <w:tr2bl w:val="nil"/>
            </w:tcBorders>
            <w:vAlign w:val="center"/>
          </w:tcPr>
          <w:p w14:paraId="22F8D82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23" w:type="dxa"/>
            <w:tcBorders>
              <w:tl2br w:val="nil"/>
              <w:tr2bl w:val="nil"/>
            </w:tcBorders>
            <w:vAlign w:val="center"/>
          </w:tcPr>
          <w:p w14:paraId="4B0771F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60</w:t>
            </w:r>
          </w:p>
        </w:tc>
        <w:tc>
          <w:tcPr>
            <w:tcW w:w="722" w:type="dxa"/>
            <w:tcBorders>
              <w:tl2br w:val="nil"/>
              <w:tr2bl w:val="nil"/>
            </w:tcBorders>
            <w:vAlign w:val="center"/>
          </w:tcPr>
          <w:p w14:paraId="39D57BB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80</w:t>
            </w:r>
          </w:p>
        </w:tc>
        <w:tc>
          <w:tcPr>
            <w:tcW w:w="723" w:type="dxa"/>
            <w:tcBorders>
              <w:tl2br w:val="nil"/>
              <w:tr2bl w:val="nil"/>
            </w:tcBorders>
            <w:vAlign w:val="center"/>
          </w:tcPr>
          <w:p w14:paraId="0AD2A8E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100</w:t>
            </w:r>
          </w:p>
        </w:tc>
        <w:tc>
          <w:tcPr>
            <w:tcW w:w="722" w:type="dxa"/>
            <w:tcBorders>
              <w:tl2br w:val="nil"/>
              <w:tr2bl w:val="nil"/>
            </w:tcBorders>
            <w:vAlign w:val="center"/>
          </w:tcPr>
          <w:p w14:paraId="76F9481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150</w:t>
            </w:r>
          </w:p>
        </w:tc>
        <w:tc>
          <w:tcPr>
            <w:tcW w:w="823" w:type="dxa"/>
            <w:tcBorders>
              <w:tl2br w:val="nil"/>
              <w:tr2bl w:val="nil"/>
            </w:tcBorders>
            <w:vAlign w:val="center"/>
          </w:tcPr>
          <w:p w14:paraId="1D80A5F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200</w:t>
            </w:r>
          </w:p>
        </w:tc>
        <w:tc>
          <w:tcPr>
            <w:tcW w:w="638" w:type="dxa"/>
            <w:tcBorders>
              <w:tl2br w:val="nil"/>
              <w:tr2bl w:val="nil"/>
            </w:tcBorders>
            <w:vAlign w:val="center"/>
          </w:tcPr>
          <w:p w14:paraId="692109F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300</w:t>
            </w:r>
          </w:p>
        </w:tc>
      </w:tr>
      <w:tr w14:paraId="7F0008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060" w:type="dxa"/>
            <w:tcBorders>
              <w:tl2br w:val="nil"/>
              <w:tr2bl w:val="nil"/>
            </w:tcBorders>
            <w:vAlign w:val="center"/>
          </w:tcPr>
          <w:p w14:paraId="18641435">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土石方</w:t>
            </w:r>
          </w:p>
        </w:tc>
        <w:tc>
          <w:tcPr>
            <w:tcW w:w="723" w:type="dxa"/>
            <w:tcBorders>
              <w:tl2br w:val="nil"/>
              <w:tr2bl w:val="nil"/>
            </w:tcBorders>
            <w:vAlign w:val="center"/>
          </w:tcPr>
          <w:p w14:paraId="7756E88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65</w:t>
            </w:r>
          </w:p>
        </w:tc>
        <w:tc>
          <w:tcPr>
            <w:tcW w:w="722" w:type="dxa"/>
            <w:tcBorders>
              <w:tl2br w:val="nil"/>
              <w:tr2bl w:val="nil"/>
            </w:tcBorders>
            <w:vAlign w:val="center"/>
          </w:tcPr>
          <w:p w14:paraId="1FDB386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61.5</w:t>
            </w:r>
          </w:p>
        </w:tc>
        <w:tc>
          <w:tcPr>
            <w:tcW w:w="723" w:type="dxa"/>
            <w:tcBorders>
              <w:tl2br w:val="nil"/>
              <w:tr2bl w:val="nil"/>
            </w:tcBorders>
            <w:vAlign w:val="center"/>
          </w:tcPr>
          <w:p w14:paraId="3CD3BA9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59</w:t>
            </w:r>
          </w:p>
        </w:tc>
        <w:tc>
          <w:tcPr>
            <w:tcW w:w="722" w:type="dxa"/>
            <w:tcBorders>
              <w:tl2br w:val="nil"/>
              <w:tr2bl w:val="nil"/>
            </w:tcBorders>
            <w:vAlign w:val="center"/>
          </w:tcPr>
          <w:p w14:paraId="713A7A2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57.1</w:t>
            </w:r>
          </w:p>
        </w:tc>
        <w:tc>
          <w:tcPr>
            <w:tcW w:w="723" w:type="dxa"/>
            <w:tcBorders>
              <w:tl2br w:val="nil"/>
              <w:tr2bl w:val="nil"/>
            </w:tcBorders>
            <w:vAlign w:val="center"/>
          </w:tcPr>
          <w:p w14:paraId="25D2BFC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55.5</w:t>
            </w:r>
          </w:p>
        </w:tc>
        <w:tc>
          <w:tcPr>
            <w:tcW w:w="722" w:type="dxa"/>
            <w:tcBorders>
              <w:tl2br w:val="nil"/>
              <w:tr2bl w:val="nil"/>
            </w:tcBorders>
            <w:vAlign w:val="center"/>
          </w:tcPr>
          <w:p w14:paraId="2F2F725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53</w:t>
            </w:r>
          </w:p>
        </w:tc>
        <w:tc>
          <w:tcPr>
            <w:tcW w:w="723" w:type="dxa"/>
            <w:tcBorders>
              <w:tl2br w:val="nil"/>
              <w:tr2bl w:val="nil"/>
            </w:tcBorders>
            <w:vAlign w:val="center"/>
          </w:tcPr>
          <w:p w14:paraId="665DCC2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51.1</w:t>
            </w:r>
          </w:p>
        </w:tc>
        <w:tc>
          <w:tcPr>
            <w:tcW w:w="722" w:type="dxa"/>
            <w:tcBorders>
              <w:tl2br w:val="nil"/>
              <w:tr2bl w:val="nil"/>
            </w:tcBorders>
            <w:vAlign w:val="center"/>
          </w:tcPr>
          <w:p w14:paraId="6A9CA21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47.5</w:t>
            </w:r>
          </w:p>
        </w:tc>
        <w:tc>
          <w:tcPr>
            <w:tcW w:w="823" w:type="dxa"/>
            <w:tcBorders>
              <w:tl2br w:val="nil"/>
              <w:tr2bl w:val="nil"/>
            </w:tcBorders>
            <w:vAlign w:val="center"/>
          </w:tcPr>
          <w:p w14:paraId="6136684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45</w:t>
            </w:r>
          </w:p>
        </w:tc>
        <w:tc>
          <w:tcPr>
            <w:tcW w:w="638" w:type="dxa"/>
            <w:tcBorders>
              <w:tl2br w:val="nil"/>
              <w:tr2bl w:val="nil"/>
            </w:tcBorders>
            <w:vAlign w:val="center"/>
          </w:tcPr>
          <w:p w14:paraId="290B9A8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41.5</w:t>
            </w:r>
          </w:p>
        </w:tc>
      </w:tr>
      <w:tr w14:paraId="4B5163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060" w:type="dxa"/>
            <w:tcBorders>
              <w:tl2br w:val="nil"/>
              <w:tr2bl w:val="nil"/>
            </w:tcBorders>
            <w:vAlign w:val="center"/>
          </w:tcPr>
          <w:p w14:paraId="3CB392FB">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结构机械</w:t>
            </w:r>
          </w:p>
        </w:tc>
        <w:tc>
          <w:tcPr>
            <w:tcW w:w="723" w:type="dxa"/>
            <w:tcBorders>
              <w:tl2br w:val="nil"/>
              <w:tr2bl w:val="nil"/>
            </w:tcBorders>
            <w:vAlign w:val="center"/>
          </w:tcPr>
          <w:p w14:paraId="3DBB5A6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61.5</w:t>
            </w:r>
          </w:p>
        </w:tc>
        <w:tc>
          <w:tcPr>
            <w:tcW w:w="722" w:type="dxa"/>
            <w:tcBorders>
              <w:tl2br w:val="nil"/>
              <w:tr2bl w:val="nil"/>
            </w:tcBorders>
            <w:vAlign w:val="center"/>
          </w:tcPr>
          <w:p w14:paraId="6BA3C6F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58.0</w:t>
            </w:r>
          </w:p>
        </w:tc>
        <w:tc>
          <w:tcPr>
            <w:tcW w:w="723" w:type="dxa"/>
            <w:tcBorders>
              <w:tl2br w:val="nil"/>
              <w:tr2bl w:val="nil"/>
            </w:tcBorders>
            <w:vAlign w:val="center"/>
          </w:tcPr>
          <w:p w14:paraId="07EA517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55.5</w:t>
            </w:r>
          </w:p>
        </w:tc>
        <w:tc>
          <w:tcPr>
            <w:tcW w:w="722" w:type="dxa"/>
            <w:tcBorders>
              <w:tl2br w:val="nil"/>
              <w:tr2bl w:val="nil"/>
            </w:tcBorders>
            <w:vAlign w:val="center"/>
          </w:tcPr>
          <w:p w14:paraId="4A557E0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53.5</w:t>
            </w:r>
          </w:p>
        </w:tc>
        <w:tc>
          <w:tcPr>
            <w:tcW w:w="723" w:type="dxa"/>
            <w:tcBorders>
              <w:tl2br w:val="nil"/>
              <w:tr2bl w:val="nil"/>
            </w:tcBorders>
            <w:vAlign w:val="center"/>
          </w:tcPr>
          <w:p w14:paraId="38343AA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52</w:t>
            </w:r>
          </w:p>
        </w:tc>
        <w:tc>
          <w:tcPr>
            <w:tcW w:w="722" w:type="dxa"/>
            <w:tcBorders>
              <w:tl2br w:val="nil"/>
              <w:tr2bl w:val="nil"/>
            </w:tcBorders>
            <w:vAlign w:val="center"/>
          </w:tcPr>
          <w:p w14:paraId="4B31995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49.5</w:t>
            </w:r>
          </w:p>
        </w:tc>
        <w:tc>
          <w:tcPr>
            <w:tcW w:w="723" w:type="dxa"/>
            <w:tcBorders>
              <w:tl2br w:val="nil"/>
              <w:tr2bl w:val="nil"/>
            </w:tcBorders>
            <w:vAlign w:val="center"/>
          </w:tcPr>
          <w:p w14:paraId="643C5B5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47.5</w:t>
            </w:r>
          </w:p>
        </w:tc>
        <w:tc>
          <w:tcPr>
            <w:tcW w:w="722" w:type="dxa"/>
            <w:tcBorders>
              <w:tl2br w:val="nil"/>
              <w:tr2bl w:val="nil"/>
            </w:tcBorders>
            <w:vAlign w:val="center"/>
          </w:tcPr>
          <w:p w14:paraId="4F2A80D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44</w:t>
            </w:r>
          </w:p>
        </w:tc>
        <w:tc>
          <w:tcPr>
            <w:tcW w:w="823" w:type="dxa"/>
            <w:tcBorders>
              <w:tl2br w:val="nil"/>
              <w:tr2bl w:val="nil"/>
            </w:tcBorders>
            <w:vAlign w:val="center"/>
          </w:tcPr>
          <w:p w14:paraId="112DF52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41.5</w:t>
            </w:r>
          </w:p>
        </w:tc>
        <w:tc>
          <w:tcPr>
            <w:tcW w:w="638" w:type="dxa"/>
            <w:tcBorders>
              <w:tl2br w:val="nil"/>
              <w:tr2bl w:val="nil"/>
            </w:tcBorders>
            <w:vAlign w:val="center"/>
          </w:tcPr>
          <w:p w14:paraId="62BD627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38</w:t>
            </w:r>
          </w:p>
        </w:tc>
      </w:tr>
      <w:tr w14:paraId="586C63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060" w:type="dxa"/>
            <w:tcBorders>
              <w:tl2br w:val="nil"/>
              <w:tr2bl w:val="nil"/>
            </w:tcBorders>
            <w:vAlign w:val="center"/>
          </w:tcPr>
          <w:p w14:paraId="17B16226">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设备安装</w:t>
            </w:r>
          </w:p>
        </w:tc>
        <w:tc>
          <w:tcPr>
            <w:tcW w:w="723" w:type="dxa"/>
            <w:tcBorders>
              <w:tl2br w:val="nil"/>
              <w:tr2bl w:val="nil"/>
            </w:tcBorders>
            <w:vAlign w:val="center"/>
          </w:tcPr>
          <w:p w14:paraId="4774765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58</w:t>
            </w:r>
          </w:p>
        </w:tc>
        <w:tc>
          <w:tcPr>
            <w:tcW w:w="722" w:type="dxa"/>
            <w:tcBorders>
              <w:tl2br w:val="nil"/>
              <w:tr2bl w:val="nil"/>
            </w:tcBorders>
            <w:vAlign w:val="center"/>
          </w:tcPr>
          <w:p w14:paraId="63B880F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54.4</w:t>
            </w:r>
          </w:p>
        </w:tc>
        <w:tc>
          <w:tcPr>
            <w:tcW w:w="723" w:type="dxa"/>
            <w:tcBorders>
              <w:tl2br w:val="nil"/>
              <w:tr2bl w:val="nil"/>
            </w:tcBorders>
            <w:vAlign w:val="center"/>
          </w:tcPr>
          <w:p w14:paraId="4C9F226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51.9</w:t>
            </w:r>
          </w:p>
        </w:tc>
        <w:tc>
          <w:tcPr>
            <w:tcW w:w="722" w:type="dxa"/>
            <w:tcBorders>
              <w:tl2br w:val="nil"/>
              <w:tr2bl w:val="nil"/>
            </w:tcBorders>
            <w:vAlign w:val="center"/>
          </w:tcPr>
          <w:p w14:paraId="535DDB1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23" w:type="dxa"/>
            <w:tcBorders>
              <w:tl2br w:val="nil"/>
              <w:tr2bl w:val="nil"/>
            </w:tcBorders>
            <w:vAlign w:val="center"/>
          </w:tcPr>
          <w:p w14:paraId="3254F00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48.4</w:t>
            </w:r>
          </w:p>
        </w:tc>
        <w:tc>
          <w:tcPr>
            <w:tcW w:w="722" w:type="dxa"/>
            <w:tcBorders>
              <w:tl2br w:val="nil"/>
              <w:tr2bl w:val="nil"/>
            </w:tcBorders>
            <w:vAlign w:val="center"/>
          </w:tcPr>
          <w:p w14:paraId="1C60B53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45.9</w:t>
            </w:r>
          </w:p>
        </w:tc>
        <w:tc>
          <w:tcPr>
            <w:tcW w:w="723" w:type="dxa"/>
            <w:tcBorders>
              <w:tl2br w:val="nil"/>
              <w:tr2bl w:val="nil"/>
            </w:tcBorders>
            <w:vAlign w:val="center"/>
          </w:tcPr>
          <w:p w14:paraId="39C144D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44</w:t>
            </w:r>
          </w:p>
        </w:tc>
        <w:tc>
          <w:tcPr>
            <w:tcW w:w="722" w:type="dxa"/>
            <w:tcBorders>
              <w:tl2br w:val="nil"/>
              <w:tr2bl w:val="nil"/>
            </w:tcBorders>
            <w:vAlign w:val="center"/>
          </w:tcPr>
          <w:p w14:paraId="2BE3C2E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40.5</w:t>
            </w:r>
          </w:p>
        </w:tc>
        <w:tc>
          <w:tcPr>
            <w:tcW w:w="823" w:type="dxa"/>
            <w:tcBorders>
              <w:tl2br w:val="nil"/>
              <w:tr2bl w:val="nil"/>
            </w:tcBorders>
            <w:vAlign w:val="center"/>
          </w:tcPr>
          <w:p w14:paraId="120E647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38</w:t>
            </w:r>
          </w:p>
        </w:tc>
        <w:tc>
          <w:tcPr>
            <w:tcW w:w="638" w:type="dxa"/>
            <w:tcBorders>
              <w:tl2br w:val="nil"/>
              <w:tr2bl w:val="nil"/>
            </w:tcBorders>
            <w:vAlign w:val="center"/>
          </w:tcPr>
          <w:p w14:paraId="24A9143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34.4</w:t>
            </w:r>
          </w:p>
        </w:tc>
      </w:tr>
      <w:tr w14:paraId="46137A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8301" w:type="dxa"/>
            <w:gridSpan w:val="11"/>
            <w:tcBorders>
              <w:tl2br w:val="nil"/>
              <w:tr2bl w:val="nil"/>
            </w:tcBorders>
            <w:vAlign w:val="center"/>
          </w:tcPr>
          <w:p w14:paraId="3D551952">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施工场界噪声达标：昼间70，夜间55</w:t>
            </w:r>
          </w:p>
        </w:tc>
      </w:tr>
    </w:tbl>
    <w:p w14:paraId="276EC5B5">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由表5.1-</w:t>
      </w:r>
      <w:r>
        <w:rPr>
          <w:rFonts w:hint="default" w:ascii="Times New Roman" w:hAnsi="Times New Roman"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可以看出，施工场界噪声能够达标。</w:t>
      </w:r>
    </w:p>
    <w:p w14:paraId="5E556A75">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评价认为施工期噪声对周边敏感点不会造成明显影响，并且声环境影响是暂时的、阶段性的和局部的，施工结束，影响随之终止。</w:t>
      </w:r>
    </w:p>
    <w:p w14:paraId="79C4F6BB">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"5.1.3.4"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5.1.3.4</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固体废物环境影响分析</w:t>
      </w:r>
    </w:p>
    <w:p w14:paraId="1CEC6126">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（1）建筑垃圾</w:t>
      </w:r>
    </w:p>
    <w:p w14:paraId="7095772B">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施工产生的渣土和建筑垃圾用于建筑填方。</w:t>
      </w:r>
    </w:p>
    <w:p w14:paraId="2C7FF524">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（2）生活垃圾</w:t>
      </w:r>
    </w:p>
    <w:p w14:paraId="3A53EC5D">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施工期生活垃圾产生量约为50kg/d，生活垃圾全部集中外运。因此施工固体废物对周围的环境影响很小。</w:t>
      </w:r>
    </w:p>
    <w:p w14:paraId="4F86DC99">
      <w:pPr>
        <w:pStyle w:val="5"/>
        <w:pageBreakBefore w:val="0"/>
        <w:kinsoku/>
        <w:wordWrap/>
        <w:overflowPunct/>
        <w:topLinePunct w:val="0"/>
        <w:bidi w:val="0"/>
        <w:snapToGrid/>
        <w:spacing w:before="0" w:after="0"/>
        <w:ind w:firstLine="542"/>
        <w:rPr>
          <w:rFonts w:hint="default" w:ascii="Times New Roman" w:hAnsi="Times New Roman" w:eastAsia="宋体" w:cs="Times New Roman"/>
          <w:b/>
          <w:bCs/>
          <w:color w:val="auto"/>
          <w:spacing w:val="0"/>
          <w:w w:val="100"/>
          <w:position w:val="0"/>
          <w:highlight w:val="none"/>
        </w:rPr>
      </w:pPr>
      <w:r>
        <w:rPr>
          <w:rFonts w:hint="default" w:ascii="Times New Roman" w:hAnsi="Times New Roman" w:eastAsia="宋体" w:cs="Times New Roman"/>
          <w:b/>
          <w:bCs/>
          <w:color w:val="auto"/>
          <w:spacing w:val="0"/>
          <w:w w:val="100"/>
          <w:position w:val="0"/>
          <w:highlight w:val="none"/>
        </w:rPr>
        <w:fldChar w:fldCharType="begin"/>
      </w:r>
      <w:r>
        <w:rPr>
          <w:rFonts w:hint="default" w:ascii="Times New Roman" w:hAnsi="Times New Roman" w:eastAsia="宋体" w:cs="Times New Roman"/>
          <w:b/>
          <w:bCs/>
          <w:color w:val="auto"/>
          <w:spacing w:val="0"/>
          <w:w w:val="100"/>
          <w:position w:val="0"/>
          <w:highlight w:val="none"/>
        </w:rPr>
        <w:instrText xml:space="preserve"> HYPERLINK "5.1.3.5" </w:instrText>
      </w:r>
      <w:r>
        <w:rPr>
          <w:rFonts w:hint="default" w:ascii="Times New Roman" w:hAnsi="Times New Roman" w:eastAsia="宋体" w:cs="Times New Roman"/>
          <w:b/>
          <w:bCs/>
          <w:color w:val="auto"/>
          <w:spacing w:val="0"/>
          <w:w w:val="100"/>
          <w:position w:val="0"/>
          <w:highlight w:val="none"/>
        </w:rPr>
        <w:fldChar w:fldCharType="separate"/>
      </w:r>
      <w:r>
        <w:rPr>
          <w:rFonts w:hint="default" w:ascii="Times New Roman" w:hAnsi="Times New Roman" w:eastAsia="宋体" w:cs="Times New Roman"/>
          <w:b/>
          <w:bCs/>
          <w:color w:val="auto"/>
          <w:spacing w:val="0"/>
          <w:w w:val="100"/>
          <w:position w:val="0"/>
          <w:highlight w:val="none"/>
        </w:rPr>
        <w:t>5.1.3.5</w:t>
      </w:r>
      <w:r>
        <w:rPr>
          <w:rFonts w:hint="default" w:ascii="Times New Roman" w:hAnsi="Times New Roman" w:eastAsia="宋体" w:cs="Times New Roman"/>
          <w:b/>
          <w:bCs/>
          <w:color w:val="auto"/>
          <w:spacing w:val="0"/>
          <w:w w:val="100"/>
          <w:position w:val="0"/>
          <w:highlight w:val="none"/>
        </w:rPr>
        <w:fldChar w:fldCharType="end"/>
      </w:r>
      <w:r>
        <w:rPr>
          <w:rFonts w:hint="default" w:ascii="Times New Roman" w:hAnsi="Times New Roman" w:eastAsia="宋体" w:cs="Times New Roman"/>
          <w:b/>
          <w:bCs/>
          <w:color w:val="auto"/>
          <w:spacing w:val="0"/>
          <w:w w:val="100"/>
          <w:position w:val="0"/>
          <w:highlight w:val="none"/>
        </w:rPr>
        <w:t>施工期生态环境影响分析</w:t>
      </w:r>
    </w:p>
    <w:p w14:paraId="2EA8688B">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在</w:t>
      </w: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工业场地施工过程中破坏其用地范围内原有砾石覆盖的土地形貌，增加裸露地面，并可能引起局部的水土流失，从而对区内生态系统产生一定的不利影响，但是相对项目所在的整体区域而言，工业场地占地面积不大，不会对区域生态环境产生明显的不利影响。</w:t>
      </w:r>
    </w:p>
    <w:p w14:paraId="7248CBC9">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本项目施工对环境的不利影响，是暂时的、阶段性的和局部的；所造成的各种不利影响持续时间较短，影响程度较轻，随工程施工结束，各种不利影响将随之终止或逐步得到改善和恢复。</w:t>
      </w:r>
    </w:p>
    <w:p w14:paraId="67DF3BF1">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（1）对土地利用结构的影响</w:t>
      </w:r>
    </w:p>
    <w:p w14:paraId="671E9C0B">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本工程为新建项目</w:t>
      </w:r>
      <w:r>
        <w:rPr>
          <w:rFonts w:hint="default" w:ascii="Times New Roman" w:hAnsi="Times New Roman" w:eastAsia="宋体" w:cs="Times New Roman"/>
          <w:color w:val="auto"/>
          <w:spacing w:val="0"/>
          <w:w w:val="100"/>
          <w:position w:val="0"/>
          <w:sz w:val="24"/>
          <w:szCs w:val="24"/>
          <w:highlight w:val="none"/>
        </w:rPr>
        <w:t>，原有</w:t>
      </w:r>
      <w:r>
        <w:rPr>
          <w:rFonts w:hint="default" w:ascii="Times New Roman" w:hAnsi="Times New Roman" w:eastAsia="宋体" w:cs="Times New Roman"/>
          <w:color w:val="auto"/>
          <w:spacing w:val="0"/>
          <w:w w:val="100"/>
          <w:position w:val="0"/>
          <w:sz w:val="24"/>
          <w:szCs w:val="24"/>
        </w:rPr>
        <w:t>土地类型为裸岩石砾地，项目建成后用地性质转变为采矿用地。</w:t>
      </w:r>
    </w:p>
    <w:p w14:paraId="6B048AA2">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（2）景观格局影响分析</w:t>
      </w:r>
    </w:p>
    <w:p w14:paraId="577A0842">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山工业场区的建设对原有地形地貌不会引起太明显的变化，只是将原有的荒漠景观改变为工矿用地景观。对于整个评价区，局部单个斑块面积的改变不会引起整体景观格局和功能的改变，评价区内系统的稳定性和协调性受此处变动的影响比较微弱。</w:t>
      </w:r>
    </w:p>
    <w:p w14:paraId="01A5280D">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人工景观在区域内的作用开始凸显，但新增的人工景观较小，对整体景观影响不是很大，对于景观内部功能的发挥阻碍作用较小。</w:t>
      </w:r>
    </w:p>
    <w:p w14:paraId="26DBBC36">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①采</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工业场地：采</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工业场地所在位置的土地被永久压占，形成永久性工矿建筑景观。要求在工业场地内部及周边加强绿化、防止风蚀，减少景观影响。</w:t>
      </w:r>
    </w:p>
    <w:p w14:paraId="7569500B">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②废石场</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废石</w:t>
      </w:r>
      <w:r>
        <w:rPr>
          <w:rFonts w:hint="default" w:ascii="Times New Roman" w:hAnsi="Times New Roman" w:eastAsia="宋体" w:cs="Times New Roman"/>
          <w:color w:val="auto"/>
          <w:spacing w:val="0"/>
          <w:w w:val="100"/>
          <w:position w:val="0"/>
          <w:sz w:val="24"/>
          <w:szCs w:val="24"/>
        </w:rPr>
        <w:t>堆存期，形成临时性人工堆积山，</w:t>
      </w:r>
      <w:r>
        <w:rPr>
          <w:rFonts w:hint="default" w:ascii="Times New Roman" w:hAnsi="Times New Roman" w:eastAsia="宋体" w:cs="Times New Roman"/>
          <w:color w:val="auto"/>
          <w:spacing w:val="0"/>
          <w:w w:val="100"/>
          <w:position w:val="0"/>
          <w:sz w:val="24"/>
          <w:szCs w:val="24"/>
          <w:lang w:val="en-US" w:eastAsia="zh-CN"/>
        </w:rPr>
        <w:t>废石综合利用回填采坑后</w:t>
      </w:r>
      <w:r>
        <w:rPr>
          <w:rFonts w:hint="default" w:ascii="Times New Roman" w:hAnsi="Times New Roman" w:eastAsia="宋体" w:cs="Times New Roman"/>
          <w:color w:val="auto"/>
          <w:spacing w:val="0"/>
          <w:w w:val="100"/>
          <w:position w:val="0"/>
          <w:sz w:val="24"/>
          <w:szCs w:val="24"/>
        </w:rPr>
        <w:t>，恢复为原地形地貌，景观改变是临时性的，可恢复的。</w:t>
      </w:r>
    </w:p>
    <w:p w14:paraId="357BAD9C">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③</w:t>
      </w:r>
      <w:r>
        <w:rPr>
          <w:rFonts w:hint="default" w:ascii="Times New Roman" w:hAnsi="Times New Roman" w:eastAsia="宋体" w:cs="Times New Roman"/>
          <w:color w:val="auto"/>
          <w:spacing w:val="0"/>
          <w:w w:val="100"/>
          <w:position w:val="0"/>
          <w:sz w:val="24"/>
          <w:szCs w:val="24"/>
        </w:rPr>
        <w:t>回风井：回风井所在位置的土地被永久压占，形成永久性工矿建筑景观。</w:t>
      </w:r>
    </w:p>
    <w:p w14:paraId="28617746">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（3）水土流失影响分析</w:t>
      </w:r>
    </w:p>
    <w:p w14:paraId="3BBA8CEA">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采矿工业场地、回风井工业场地</w:t>
      </w:r>
      <w:r>
        <w:rPr>
          <w:rFonts w:hint="default" w:ascii="Times New Roman" w:hAnsi="Times New Roman" w:eastAsia="宋体" w:cs="Times New Roman"/>
          <w:color w:val="auto"/>
          <w:spacing w:val="0"/>
          <w:w w:val="100"/>
          <w:position w:val="0"/>
          <w:sz w:val="24"/>
          <w:szCs w:val="24"/>
          <w:lang w:val="en-US" w:eastAsia="zh-CN"/>
        </w:rPr>
        <w:t>等</w:t>
      </w:r>
      <w:r>
        <w:rPr>
          <w:rFonts w:hint="default" w:ascii="Times New Roman" w:hAnsi="Times New Roman" w:eastAsia="宋体" w:cs="Times New Roman"/>
          <w:color w:val="auto"/>
          <w:spacing w:val="0"/>
          <w:w w:val="100"/>
          <w:position w:val="0"/>
          <w:sz w:val="24"/>
          <w:szCs w:val="24"/>
        </w:rPr>
        <w:t>建设将不可避免的破坏原来相对稳定的地表，使土壤变得疏松，产生一定面积的裸露地面，引起一定程度的水土流失。施工期造成的水土流失，待施工结束后基本消除。施工结束后，随着采矿工业区植被的恢复与土地的硬化，土壤侵蚀量也逐渐减小。</w:t>
      </w:r>
    </w:p>
    <w:p w14:paraId="4696785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施工期的环境管理</w:t>
      </w:r>
    </w:p>
    <w:p w14:paraId="696D8778">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为贯彻《</w:t>
      </w:r>
      <w:r>
        <w:rPr>
          <w:rFonts w:hint="default" w:ascii="Times New Roman" w:hAnsi="Times New Roman" w:cs="Times New Roman"/>
          <w:color w:val="auto"/>
          <w:spacing w:val="0"/>
          <w:w w:val="100"/>
          <w:position w:val="0"/>
          <w:sz w:val="24"/>
          <w:szCs w:val="24"/>
          <w:lang w:eastAsia="zh-CN"/>
        </w:rPr>
        <w:t>建设项目环境保护管理条例</w:t>
      </w:r>
      <w:r>
        <w:rPr>
          <w:rFonts w:hint="default" w:ascii="Times New Roman" w:hAnsi="Times New Roman" w:eastAsia="宋体" w:cs="Times New Roman"/>
          <w:color w:val="auto"/>
          <w:spacing w:val="0"/>
          <w:w w:val="100"/>
          <w:position w:val="0"/>
          <w:sz w:val="24"/>
          <w:szCs w:val="24"/>
        </w:rPr>
        <w:t>》，严格执行环境保护“三同时”制度，进一步加强建设项目设计和施工阶段的环境管理，控制施工阶段的环境污染和生态破坏，建设单位应开展施工期环境管理工作，建立全过程监督管理机制，使环境管理工作融入工程实施中，以实现建设项目经济效益，社会效益和环境效益的统一。</w:t>
      </w:r>
    </w:p>
    <w:p w14:paraId="4A4049F3">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建设单位</w:t>
      </w:r>
      <w:r>
        <w:rPr>
          <w:rFonts w:hint="default" w:ascii="Times New Roman" w:hAnsi="Times New Roman" w:eastAsia="宋体" w:cs="Times New Roman"/>
          <w:color w:val="auto"/>
          <w:spacing w:val="0"/>
          <w:w w:val="100"/>
          <w:position w:val="0"/>
          <w:sz w:val="24"/>
          <w:szCs w:val="24"/>
        </w:rPr>
        <w:t>应与施工单位联合组建施工期的环境保护机构，其职责是组织实施环保设施的“三同时”和施工引起的各类污染防治，监督和检查工程施工进度和质量。</w:t>
      </w:r>
    </w:p>
    <w:p w14:paraId="166F9161">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建设工程筹备处应加强施工监督管理，对施工单位进行经常性的检查，监督施工单位环境保护措施的落实情况，督促、检查施工单位工程竣工后剩余弃土、建筑垃圾等的清运，保证处置和清运率达到100%的要求，发现环境问题及时解决、改正，确保本项目“三同时”制度的贯彻落实。</w:t>
      </w:r>
    </w:p>
    <w:p w14:paraId="6A862E85">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施工单位应按照《建设项目环境管理办法》等有关法律法规中有关内容，加强施工中的环境管理，尽可能减少或避免施工阶段对区域环境的影响。</w:t>
      </w:r>
    </w:p>
    <w:p w14:paraId="0CE29F09">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在场地施工过程必须确保建筑工地“六个百分百”，即施工工地周边100%围挡；物料堆放100%覆盖；出入车辆100%冲洗；施工现场地面100%硬化；拆迁工地100%湿法作业；渣土车辆100%密闭运输。</w:t>
      </w:r>
    </w:p>
    <w:p w14:paraId="6732D757">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综上所述，归纳施工期各项环保措施及其预期效果详见表5.1</w:t>
      </w:r>
      <w:r>
        <w:rPr>
          <w:rFonts w:hint="default" w:ascii="Times New Roman" w:hAnsi="Times New Roman"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w:t>
      </w:r>
    </w:p>
    <w:p w14:paraId="4094C87C">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施工单位和</w:t>
      </w:r>
      <w:r>
        <w:rPr>
          <w:rFonts w:hint="default" w:ascii="Times New Roman" w:hAnsi="Times New Roman" w:eastAsia="宋体" w:cs="Times New Roman"/>
          <w:color w:val="auto"/>
          <w:spacing w:val="0"/>
          <w:w w:val="100"/>
          <w:position w:val="0"/>
          <w:sz w:val="24"/>
          <w:szCs w:val="24"/>
          <w:lang w:val="en-US" w:eastAsia="zh-CN"/>
        </w:rPr>
        <w:t>建设单位</w:t>
      </w:r>
      <w:r>
        <w:rPr>
          <w:rFonts w:hint="default" w:ascii="Times New Roman" w:hAnsi="Times New Roman" w:eastAsia="宋体" w:cs="Times New Roman"/>
          <w:color w:val="auto"/>
          <w:spacing w:val="0"/>
          <w:w w:val="100"/>
          <w:position w:val="0"/>
          <w:sz w:val="24"/>
          <w:szCs w:val="24"/>
        </w:rPr>
        <w:t>应遵守《中华人民共和国野生动物保护法》，不得破坏保护野生动物及其栖息地，做好日常管理，极力避免发生重大环境污染事故等突发事件威胁野生动物，禁止猎捕、杀害国家重点保护野生动物。</w:t>
      </w:r>
    </w:p>
    <w:p w14:paraId="1DDEE7C1">
      <w:pPr>
        <w:keepNext w:val="0"/>
        <w:keepLines w:val="0"/>
        <w:pageBreakBefore w:val="0"/>
        <w:widowControl w:val="0"/>
        <w:kinsoku/>
        <w:wordWrap/>
        <w:overflowPunct/>
        <w:topLinePunct w:val="0"/>
        <w:autoSpaceDE/>
        <w:autoSpaceDN/>
        <w:bidi w:val="0"/>
        <w:adjustRightInd/>
        <w:snapToGrid/>
        <w:spacing w:line="480" w:lineRule="exact"/>
        <w:ind w:left="0" w:right="0" w:firstLine="485"/>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施工期在采取以上措施的同时还应加强外部管理，聘用现代化水平较高、技术装备较好的工程承包单位进行文明施工。</w:t>
      </w:r>
    </w:p>
    <w:p w14:paraId="5BC0D6E9">
      <w:pPr>
        <w:pStyle w:val="9"/>
        <w:spacing w:line="295" w:lineRule="auto"/>
        <w:rPr>
          <w:rFonts w:hint="default" w:ascii="Times New Roman" w:hAnsi="Times New Roman" w:eastAsia="宋体" w:cs="Times New Roman"/>
          <w:color w:val="auto"/>
          <w:spacing w:val="0"/>
          <w:w w:val="100"/>
          <w:position w:val="0"/>
        </w:rPr>
        <w:sectPr>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338AFDA7">
      <w:pPr>
        <w:spacing w:before="186" w:line="219" w:lineRule="auto"/>
        <w:ind w:left="0" w:leftChars="0" w:firstLine="0" w:firstLineChars="0"/>
        <w:jc w:val="center"/>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表5.1-</w:t>
      </w:r>
      <w:r>
        <w:rPr>
          <w:rFonts w:hint="default" w:ascii="Times New Roman" w:hAnsi="Times New Roman" w:eastAsia="宋体" w:cs="Times New Roman"/>
          <w:b/>
          <w:bCs/>
          <w:color w:val="auto"/>
          <w:spacing w:val="0"/>
          <w:w w:val="100"/>
          <w:position w:val="0"/>
          <w:sz w:val="21"/>
          <w:szCs w:val="21"/>
          <w:lang w:val="en-US" w:eastAsia="zh-CN"/>
        </w:rPr>
        <w:t xml:space="preserve">5   </w:t>
      </w:r>
      <w:r>
        <w:rPr>
          <w:rFonts w:hint="default" w:ascii="Times New Roman" w:hAnsi="Times New Roman" w:eastAsia="宋体" w:cs="Times New Roman"/>
          <w:b/>
          <w:bCs/>
          <w:color w:val="auto"/>
          <w:spacing w:val="0"/>
          <w:w w:val="100"/>
          <w:position w:val="0"/>
          <w:sz w:val="21"/>
          <w:szCs w:val="21"/>
        </w:rPr>
        <w:t>施工期环保措施一览表及预期效果</w:t>
      </w:r>
    </w:p>
    <w:tbl>
      <w:tblPr>
        <w:tblStyle w:val="31"/>
        <w:tblW w:w="5086"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24"/>
        <w:gridCol w:w="921"/>
        <w:gridCol w:w="3366"/>
        <w:gridCol w:w="2291"/>
        <w:gridCol w:w="1018"/>
        <w:gridCol w:w="1802"/>
        <w:gridCol w:w="1540"/>
        <w:gridCol w:w="1934"/>
      </w:tblGrid>
      <w:tr w14:paraId="54DED2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blHeader/>
        </w:trPr>
        <w:tc>
          <w:tcPr>
            <w:tcW w:w="231" w:type="pct"/>
            <w:tcBorders>
              <w:tl2br w:val="nil"/>
              <w:tr2bl w:val="nil"/>
            </w:tcBorders>
            <w:vAlign w:val="center"/>
          </w:tcPr>
          <w:p w14:paraId="33FB17D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序号</w:t>
            </w:r>
          </w:p>
        </w:tc>
        <w:tc>
          <w:tcPr>
            <w:tcW w:w="341" w:type="pct"/>
            <w:tcBorders>
              <w:tl2br w:val="nil"/>
              <w:tr2bl w:val="nil"/>
            </w:tcBorders>
            <w:vAlign w:val="center"/>
          </w:tcPr>
          <w:p w14:paraId="1479F2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项目</w:t>
            </w:r>
          </w:p>
        </w:tc>
        <w:tc>
          <w:tcPr>
            <w:tcW w:w="1246" w:type="pct"/>
            <w:tcBorders>
              <w:tl2br w:val="nil"/>
              <w:tr2bl w:val="nil"/>
            </w:tcBorders>
            <w:vAlign w:val="center"/>
          </w:tcPr>
          <w:p w14:paraId="4ED1B2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环保设施或措施内容</w:t>
            </w:r>
          </w:p>
        </w:tc>
        <w:tc>
          <w:tcPr>
            <w:tcW w:w="848" w:type="pct"/>
            <w:tcBorders>
              <w:tl2br w:val="nil"/>
              <w:tr2bl w:val="nil"/>
            </w:tcBorders>
            <w:vAlign w:val="center"/>
          </w:tcPr>
          <w:p w14:paraId="26AB40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实施部位</w:t>
            </w:r>
          </w:p>
        </w:tc>
        <w:tc>
          <w:tcPr>
            <w:tcW w:w="377" w:type="pct"/>
            <w:tcBorders>
              <w:tl2br w:val="nil"/>
              <w:tr2bl w:val="nil"/>
            </w:tcBorders>
            <w:vAlign w:val="center"/>
          </w:tcPr>
          <w:p w14:paraId="2963F6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实施时间</w:t>
            </w:r>
          </w:p>
        </w:tc>
        <w:tc>
          <w:tcPr>
            <w:tcW w:w="667" w:type="pct"/>
            <w:tcBorders>
              <w:tl2br w:val="nil"/>
              <w:tr2bl w:val="nil"/>
            </w:tcBorders>
            <w:vAlign w:val="center"/>
          </w:tcPr>
          <w:p w14:paraId="37ECB94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保护对象</w:t>
            </w:r>
          </w:p>
        </w:tc>
        <w:tc>
          <w:tcPr>
            <w:tcW w:w="570" w:type="pct"/>
            <w:tcBorders>
              <w:tl2br w:val="nil"/>
              <w:tr2bl w:val="nil"/>
            </w:tcBorders>
            <w:vAlign w:val="center"/>
          </w:tcPr>
          <w:p w14:paraId="08CFE54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保证措施</w:t>
            </w:r>
          </w:p>
        </w:tc>
        <w:tc>
          <w:tcPr>
            <w:tcW w:w="716" w:type="pct"/>
            <w:tcBorders>
              <w:tl2br w:val="nil"/>
              <w:tr2bl w:val="nil"/>
            </w:tcBorders>
            <w:vAlign w:val="center"/>
          </w:tcPr>
          <w:p w14:paraId="66BFEA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预期效果</w:t>
            </w:r>
          </w:p>
        </w:tc>
      </w:tr>
      <w:tr w14:paraId="297C1F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231" w:type="pct"/>
            <w:tcBorders>
              <w:tl2br w:val="nil"/>
              <w:tr2bl w:val="nil"/>
            </w:tcBorders>
            <w:vAlign w:val="center"/>
          </w:tcPr>
          <w:p w14:paraId="16B010D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341" w:type="pct"/>
            <w:tcBorders>
              <w:tl2br w:val="nil"/>
              <w:tr2bl w:val="nil"/>
            </w:tcBorders>
            <w:vAlign w:val="center"/>
          </w:tcPr>
          <w:p w14:paraId="349AE6E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施工扬尘防治</w:t>
            </w:r>
          </w:p>
        </w:tc>
        <w:tc>
          <w:tcPr>
            <w:tcW w:w="1246" w:type="pct"/>
            <w:tcBorders>
              <w:tl2br w:val="nil"/>
              <w:tr2bl w:val="nil"/>
            </w:tcBorders>
            <w:vAlign w:val="center"/>
          </w:tcPr>
          <w:p w14:paraId="40B9B6A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（1）施工工地周边100%围挡；</w:t>
            </w:r>
          </w:p>
          <w:p w14:paraId="30FBEDC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（2）物料堆放100%覆盖；</w:t>
            </w:r>
          </w:p>
          <w:p w14:paraId="6F6EDF1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（3）出入车辆100%冲洗；</w:t>
            </w:r>
          </w:p>
          <w:p w14:paraId="158192B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（4）施工现场地面100%硬化；</w:t>
            </w:r>
          </w:p>
          <w:p w14:paraId="5922B0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（5）拆迁工地100%湿法作业；</w:t>
            </w:r>
          </w:p>
          <w:p w14:paraId="6B0E25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（6）渣土车辆100%密闭运输</w:t>
            </w:r>
          </w:p>
        </w:tc>
        <w:tc>
          <w:tcPr>
            <w:tcW w:w="848" w:type="pct"/>
            <w:tcBorders>
              <w:tl2br w:val="nil"/>
              <w:tr2bl w:val="nil"/>
            </w:tcBorders>
            <w:vAlign w:val="center"/>
          </w:tcPr>
          <w:p w14:paraId="0357B3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（1）材料堆放场周围；</w:t>
            </w:r>
          </w:p>
          <w:p w14:paraId="69C3BA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（2）施工场地及道路；</w:t>
            </w:r>
          </w:p>
          <w:p w14:paraId="6EE3DE7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（3）运输车辆。</w:t>
            </w:r>
          </w:p>
        </w:tc>
        <w:tc>
          <w:tcPr>
            <w:tcW w:w="377" w:type="pct"/>
            <w:tcBorders>
              <w:tl2br w:val="nil"/>
              <w:tr2bl w:val="nil"/>
            </w:tcBorders>
            <w:vAlign w:val="center"/>
          </w:tcPr>
          <w:p w14:paraId="75F4B05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全部施工期</w:t>
            </w:r>
          </w:p>
        </w:tc>
        <w:tc>
          <w:tcPr>
            <w:tcW w:w="667" w:type="pct"/>
            <w:tcBorders>
              <w:tl2br w:val="nil"/>
              <w:tr2bl w:val="nil"/>
            </w:tcBorders>
            <w:vAlign w:val="center"/>
          </w:tcPr>
          <w:p w14:paraId="4A6042D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施工场地周围空气环境、施工人员及周围植被</w:t>
            </w:r>
          </w:p>
        </w:tc>
        <w:tc>
          <w:tcPr>
            <w:tcW w:w="570" w:type="pct"/>
            <w:vMerge w:val="restart"/>
            <w:tcBorders>
              <w:tl2br w:val="nil"/>
              <w:tr2bl w:val="nil"/>
            </w:tcBorders>
            <w:vAlign w:val="center"/>
          </w:tcPr>
          <w:p w14:paraId="25A048D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（1）建立环境管理机构，配备专职或兼职环保管理人员；</w:t>
            </w:r>
          </w:p>
          <w:p w14:paraId="2DED2AE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（2）制定相关环境管理条例、质量管理规定；</w:t>
            </w:r>
          </w:p>
          <w:p w14:paraId="13DFE34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（3）环境监理人员经常检查、监督并定期向有关部门作书面汇报，发现问题及时解决。</w:t>
            </w:r>
          </w:p>
        </w:tc>
        <w:tc>
          <w:tcPr>
            <w:tcW w:w="716" w:type="pct"/>
            <w:tcBorders>
              <w:tl2br w:val="nil"/>
              <w:tr2bl w:val="nil"/>
            </w:tcBorders>
            <w:vAlign w:val="center"/>
          </w:tcPr>
          <w:p w14:paraId="2C3B09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周围环境空气质量达到《环境空气质量标准》（GB3095-20</w:t>
            </w:r>
            <w:r>
              <w:rPr>
                <w:rFonts w:hint="default" w:ascii="Times New Roman" w:hAnsi="Times New Roman" w:cs="Times New Roman"/>
                <w:color w:val="auto"/>
                <w:spacing w:val="0"/>
                <w:w w:val="100"/>
                <w:position w:val="0"/>
                <w:sz w:val="21"/>
                <w:szCs w:val="21"/>
                <w:lang w:val="en-US" w:eastAsia="zh-CN"/>
              </w:rPr>
              <w:t>26</w:t>
            </w:r>
            <w:r>
              <w:rPr>
                <w:rFonts w:hint="default" w:ascii="Times New Roman" w:hAnsi="Times New Roman" w:eastAsia="宋体" w:cs="Times New Roman"/>
                <w:color w:val="auto"/>
                <w:spacing w:val="0"/>
                <w:w w:val="100"/>
                <w:position w:val="0"/>
                <w:sz w:val="21"/>
                <w:szCs w:val="21"/>
              </w:rPr>
              <w:t>）二级标准。</w:t>
            </w:r>
          </w:p>
        </w:tc>
      </w:tr>
      <w:tr w14:paraId="6D266B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365" w:hRule="atLeast"/>
        </w:trPr>
        <w:tc>
          <w:tcPr>
            <w:tcW w:w="231" w:type="pct"/>
            <w:tcBorders>
              <w:tl2br w:val="nil"/>
              <w:tr2bl w:val="nil"/>
            </w:tcBorders>
            <w:vAlign w:val="center"/>
          </w:tcPr>
          <w:p w14:paraId="2D772E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341" w:type="pct"/>
            <w:tcBorders>
              <w:tl2br w:val="nil"/>
              <w:tr2bl w:val="nil"/>
            </w:tcBorders>
            <w:vAlign w:val="center"/>
          </w:tcPr>
          <w:p w14:paraId="2B135D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施工废水处理</w:t>
            </w:r>
          </w:p>
        </w:tc>
        <w:tc>
          <w:tcPr>
            <w:tcW w:w="1246" w:type="pct"/>
            <w:tcBorders>
              <w:tl2br w:val="nil"/>
              <w:tr2bl w:val="nil"/>
            </w:tcBorders>
            <w:vAlign w:val="center"/>
          </w:tcPr>
          <w:p w14:paraId="508BD0E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施工产生的废水集中收集，沉淀后回用；</w:t>
            </w:r>
          </w:p>
        </w:tc>
        <w:tc>
          <w:tcPr>
            <w:tcW w:w="848" w:type="pct"/>
            <w:tcBorders>
              <w:tl2br w:val="nil"/>
              <w:tr2bl w:val="nil"/>
            </w:tcBorders>
            <w:vAlign w:val="center"/>
          </w:tcPr>
          <w:p w14:paraId="4DC7A9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施工区</w:t>
            </w:r>
          </w:p>
        </w:tc>
        <w:tc>
          <w:tcPr>
            <w:tcW w:w="377" w:type="pct"/>
            <w:tcBorders>
              <w:tl2br w:val="nil"/>
              <w:tr2bl w:val="nil"/>
            </w:tcBorders>
            <w:vAlign w:val="center"/>
          </w:tcPr>
          <w:p w14:paraId="02DD5C9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施工准备期</w:t>
            </w:r>
          </w:p>
        </w:tc>
        <w:tc>
          <w:tcPr>
            <w:tcW w:w="667" w:type="pct"/>
            <w:tcBorders>
              <w:tl2br w:val="nil"/>
              <w:tr2bl w:val="nil"/>
            </w:tcBorders>
            <w:vAlign w:val="center"/>
          </w:tcPr>
          <w:p w14:paraId="7DF8D3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施工场地周围土壤、施工人员及周围植被</w:t>
            </w:r>
          </w:p>
        </w:tc>
        <w:tc>
          <w:tcPr>
            <w:tcW w:w="570" w:type="pct"/>
            <w:vMerge w:val="continue"/>
            <w:tcBorders>
              <w:tl2br w:val="nil"/>
              <w:tr2bl w:val="nil"/>
            </w:tcBorders>
            <w:vAlign w:val="center"/>
          </w:tcPr>
          <w:p w14:paraId="241F821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16" w:type="pct"/>
            <w:tcBorders>
              <w:tl2br w:val="nil"/>
              <w:tr2bl w:val="nil"/>
            </w:tcBorders>
            <w:vAlign w:val="center"/>
          </w:tcPr>
          <w:p w14:paraId="61CB4A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土壤、水体不受污染。</w:t>
            </w:r>
          </w:p>
        </w:tc>
      </w:tr>
      <w:tr w14:paraId="2AC24C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366" w:hRule="atLeast"/>
        </w:trPr>
        <w:tc>
          <w:tcPr>
            <w:tcW w:w="231" w:type="pct"/>
            <w:tcBorders>
              <w:tl2br w:val="nil"/>
              <w:tr2bl w:val="nil"/>
            </w:tcBorders>
            <w:vAlign w:val="center"/>
          </w:tcPr>
          <w:p w14:paraId="1906EB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w:t>
            </w:r>
          </w:p>
        </w:tc>
        <w:tc>
          <w:tcPr>
            <w:tcW w:w="341" w:type="pct"/>
            <w:tcBorders>
              <w:tl2br w:val="nil"/>
              <w:tr2bl w:val="nil"/>
            </w:tcBorders>
            <w:vAlign w:val="center"/>
          </w:tcPr>
          <w:p w14:paraId="2C53D7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施工噪声防治</w:t>
            </w:r>
          </w:p>
        </w:tc>
        <w:tc>
          <w:tcPr>
            <w:tcW w:w="1246" w:type="pct"/>
            <w:tcBorders>
              <w:tl2br w:val="nil"/>
              <w:tr2bl w:val="nil"/>
            </w:tcBorders>
            <w:vAlign w:val="center"/>
          </w:tcPr>
          <w:p w14:paraId="562B8E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（1）选用低噪设备；</w:t>
            </w:r>
          </w:p>
          <w:p w14:paraId="72DFDFD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（2）减少操作人员接触时间，戴防护耳塞等；</w:t>
            </w:r>
          </w:p>
          <w:p w14:paraId="13C80A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（3）地表工程禁止夜间施工。</w:t>
            </w:r>
          </w:p>
        </w:tc>
        <w:tc>
          <w:tcPr>
            <w:tcW w:w="848" w:type="pct"/>
            <w:tcBorders>
              <w:tl2br w:val="nil"/>
              <w:tr2bl w:val="nil"/>
            </w:tcBorders>
            <w:vAlign w:val="center"/>
          </w:tcPr>
          <w:p w14:paraId="697713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（1）施工场地强噪设备；</w:t>
            </w:r>
          </w:p>
          <w:p w14:paraId="68CA3D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（2）强噪设备操作人员；</w:t>
            </w:r>
          </w:p>
          <w:p w14:paraId="2DECE64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（3）施工场地。</w:t>
            </w:r>
          </w:p>
        </w:tc>
        <w:tc>
          <w:tcPr>
            <w:tcW w:w="377" w:type="pct"/>
            <w:tcBorders>
              <w:tl2br w:val="nil"/>
              <w:tr2bl w:val="nil"/>
            </w:tcBorders>
            <w:vAlign w:val="center"/>
          </w:tcPr>
          <w:p w14:paraId="51F346C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施工准备期全部施工期</w:t>
            </w:r>
          </w:p>
        </w:tc>
        <w:tc>
          <w:tcPr>
            <w:tcW w:w="667" w:type="pct"/>
            <w:tcBorders>
              <w:tl2br w:val="nil"/>
              <w:tr2bl w:val="nil"/>
            </w:tcBorders>
            <w:vAlign w:val="center"/>
          </w:tcPr>
          <w:p w14:paraId="4362038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施工人员</w:t>
            </w:r>
          </w:p>
        </w:tc>
        <w:tc>
          <w:tcPr>
            <w:tcW w:w="570" w:type="pct"/>
            <w:vMerge w:val="continue"/>
            <w:tcBorders>
              <w:tl2br w:val="nil"/>
              <w:tr2bl w:val="nil"/>
            </w:tcBorders>
            <w:vAlign w:val="center"/>
          </w:tcPr>
          <w:p w14:paraId="1D05840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16" w:type="pct"/>
            <w:tcBorders>
              <w:tl2br w:val="nil"/>
              <w:tr2bl w:val="nil"/>
            </w:tcBorders>
            <w:vAlign w:val="center"/>
          </w:tcPr>
          <w:p w14:paraId="76D5E1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符合《建筑施工噪声排放标准》（GB12523-20</w:t>
            </w:r>
            <w:r>
              <w:rPr>
                <w:rFonts w:hint="default" w:ascii="Times New Roman" w:hAnsi="Times New Roman" w:cs="Times New Roman"/>
                <w:color w:val="auto"/>
                <w:spacing w:val="0"/>
                <w:w w:val="100"/>
                <w:position w:val="0"/>
                <w:sz w:val="21"/>
                <w:szCs w:val="21"/>
                <w:lang w:val="en-US" w:eastAsia="zh-CN"/>
              </w:rPr>
              <w:t>25</w:t>
            </w:r>
            <w:r>
              <w:rPr>
                <w:rFonts w:hint="default" w:ascii="Times New Roman" w:hAnsi="Times New Roman" w:eastAsia="宋体" w:cs="Times New Roman"/>
                <w:color w:val="auto"/>
                <w:spacing w:val="0"/>
                <w:w w:val="100"/>
                <w:position w:val="0"/>
                <w:sz w:val="21"/>
                <w:szCs w:val="21"/>
              </w:rPr>
              <w:t>）要求</w:t>
            </w:r>
          </w:p>
        </w:tc>
      </w:tr>
      <w:tr w14:paraId="1F0403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31" w:type="pct"/>
            <w:tcBorders>
              <w:tl2br w:val="nil"/>
              <w:tr2bl w:val="nil"/>
            </w:tcBorders>
            <w:vAlign w:val="center"/>
          </w:tcPr>
          <w:p w14:paraId="3FAB0A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w:t>
            </w:r>
          </w:p>
        </w:tc>
        <w:tc>
          <w:tcPr>
            <w:tcW w:w="341" w:type="pct"/>
            <w:tcBorders>
              <w:tl2br w:val="nil"/>
              <w:tr2bl w:val="nil"/>
            </w:tcBorders>
            <w:vAlign w:val="center"/>
          </w:tcPr>
          <w:p w14:paraId="03484A4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表土</w:t>
            </w:r>
          </w:p>
        </w:tc>
        <w:tc>
          <w:tcPr>
            <w:tcW w:w="1246" w:type="pct"/>
            <w:tcBorders>
              <w:tl2br w:val="nil"/>
              <w:tr2bl w:val="nil"/>
            </w:tcBorders>
            <w:vAlign w:val="center"/>
          </w:tcPr>
          <w:p w14:paraId="7D01271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清基剥离表土堆存于表土堆场</w:t>
            </w:r>
          </w:p>
        </w:tc>
        <w:tc>
          <w:tcPr>
            <w:tcW w:w="848" w:type="pct"/>
            <w:tcBorders>
              <w:tl2br w:val="nil"/>
              <w:tr2bl w:val="nil"/>
            </w:tcBorders>
            <w:vAlign w:val="center"/>
          </w:tcPr>
          <w:p w14:paraId="44E85F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采</w:t>
            </w:r>
            <w:r>
              <w:rPr>
                <w:rFonts w:hint="default" w:ascii="Times New Roman" w:hAnsi="Times New Roman" w:eastAsia="宋体" w:cs="Times New Roman"/>
                <w:color w:val="auto"/>
                <w:spacing w:val="0"/>
                <w:w w:val="100"/>
                <w:position w:val="0"/>
                <w:sz w:val="21"/>
                <w:szCs w:val="21"/>
                <w:lang w:val="en-US" w:eastAsia="zh-CN"/>
              </w:rPr>
              <w:t>矿</w:t>
            </w:r>
            <w:r>
              <w:rPr>
                <w:rFonts w:hint="default" w:ascii="Times New Roman" w:hAnsi="Times New Roman" w:eastAsia="宋体" w:cs="Times New Roman"/>
                <w:color w:val="auto"/>
                <w:spacing w:val="0"/>
                <w:w w:val="100"/>
                <w:position w:val="0"/>
                <w:sz w:val="21"/>
                <w:szCs w:val="21"/>
              </w:rPr>
              <w:t>工业场地、废石场等。</w:t>
            </w:r>
          </w:p>
        </w:tc>
        <w:tc>
          <w:tcPr>
            <w:tcW w:w="377" w:type="pct"/>
            <w:tcBorders>
              <w:tl2br w:val="nil"/>
              <w:tr2bl w:val="nil"/>
            </w:tcBorders>
            <w:vAlign w:val="center"/>
          </w:tcPr>
          <w:p w14:paraId="77854A7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施工准备期</w:t>
            </w:r>
          </w:p>
        </w:tc>
        <w:tc>
          <w:tcPr>
            <w:tcW w:w="667" w:type="pct"/>
            <w:tcBorders>
              <w:tl2br w:val="nil"/>
              <w:tr2bl w:val="nil"/>
            </w:tcBorders>
            <w:vAlign w:val="center"/>
          </w:tcPr>
          <w:p w14:paraId="7E2AB0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表土</w:t>
            </w:r>
          </w:p>
        </w:tc>
        <w:tc>
          <w:tcPr>
            <w:tcW w:w="570" w:type="pct"/>
            <w:vMerge w:val="continue"/>
            <w:tcBorders>
              <w:tl2br w:val="nil"/>
              <w:tr2bl w:val="nil"/>
            </w:tcBorders>
            <w:vAlign w:val="center"/>
          </w:tcPr>
          <w:p w14:paraId="08E612C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16" w:type="pct"/>
            <w:tcBorders>
              <w:tl2br w:val="nil"/>
              <w:tr2bl w:val="nil"/>
            </w:tcBorders>
            <w:vAlign w:val="center"/>
          </w:tcPr>
          <w:p w14:paraId="43E47E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表土单独剥离、单独堆存。</w:t>
            </w:r>
          </w:p>
        </w:tc>
      </w:tr>
      <w:tr w14:paraId="583D34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231" w:type="pct"/>
            <w:tcBorders>
              <w:tl2br w:val="nil"/>
              <w:tr2bl w:val="nil"/>
            </w:tcBorders>
            <w:vAlign w:val="center"/>
          </w:tcPr>
          <w:p w14:paraId="045AAA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w:t>
            </w:r>
          </w:p>
        </w:tc>
        <w:tc>
          <w:tcPr>
            <w:tcW w:w="341" w:type="pct"/>
            <w:tcBorders>
              <w:tl2br w:val="nil"/>
              <w:tr2bl w:val="nil"/>
            </w:tcBorders>
            <w:vAlign w:val="center"/>
          </w:tcPr>
          <w:p w14:paraId="68EAD9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固体废物处置</w:t>
            </w:r>
          </w:p>
        </w:tc>
        <w:tc>
          <w:tcPr>
            <w:tcW w:w="1246" w:type="pct"/>
            <w:tcBorders>
              <w:tl2br w:val="nil"/>
              <w:tr2bl w:val="nil"/>
            </w:tcBorders>
            <w:vAlign w:val="center"/>
          </w:tcPr>
          <w:p w14:paraId="6590A9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（1）施工产生的渣土用于建筑填方。</w:t>
            </w:r>
          </w:p>
          <w:p w14:paraId="03F280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（2）生活垃圾集中堆放，定期清运。</w:t>
            </w:r>
          </w:p>
        </w:tc>
        <w:tc>
          <w:tcPr>
            <w:tcW w:w="848" w:type="pct"/>
            <w:tcBorders>
              <w:tl2br w:val="nil"/>
              <w:tr2bl w:val="nil"/>
            </w:tcBorders>
            <w:vAlign w:val="center"/>
          </w:tcPr>
          <w:p w14:paraId="374087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w:t>
            </w:r>
          </w:p>
        </w:tc>
        <w:tc>
          <w:tcPr>
            <w:tcW w:w="377" w:type="pct"/>
            <w:tcBorders>
              <w:tl2br w:val="nil"/>
              <w:tr2bl w:val="nil"/>
            </w:tcBorders>
            <w:vAlign w:val="center"/>
          </w:tcPr>
          <w:p w14:paraId="260A957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施工准备期</w:t>
            </w:r>
          </w:p>
        </w:tc>
        <w:tc>
          <w:tcPr>
            <w:tcW w:w="667" w:type="pct"/>
            <w:tcBorders>
              <w:tl2br w:val="nil"/>
              <w:tr2bl w:val="nil"/>
            </w:tcBorders>
            <w:vAlign w:val="center"/>
          </w:tcPr>
          <w:p w14:paraId="13C26A8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施工场地、周围空气、土壤</w:t>
            </w:r>
          </w:p>
        </w:tc>
        <w:tc>
          <w:tcPr>
            <w:tcW w:w="570" w:type="pct"/>
            <w:vMerge w:val="continue"/>
            <w:tcBorders>
              <w:tl2br w:val="nil"/>
              <w:tr2bl w:val="nil"/>
            </w:tcBorders>
            <w:vAlign w:val="center"/>
          </w:tcPr>
          <w:p w14:paraId="22521A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16" w:type="pct"/>
            <w:tcBorders>
              <w:tl2br w:val="nil"/>
              <w:tr2bl w:val="nil"/>
            </w:tcBorders>
            <w:vAlign w:val="center"/>
          </w:tcPr>
          <w:p w14:paraId="52D275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符合《一般工业固体废物贮存</w:t>
            </w:r>
            <w:r>
              <w:rPr>
                <w:rFonts w:hint="default" w:ascii="Times New Roman" w:hAnsi="Times New Roman" w:eastAsia="宋体" w:cs="Times New Roman"/>
                <w:color w:val="auto"/>
                <w:spacing w:val="0"/>
                <w:w w:val="100"/>
                <w:position w:val="0"/>
                <w:sz w:val="21"/>
                <w:szCs w:val="21"/>
                <w:lang w:val="en-US" w:eastAsia="zh-CN"/>
              </w:rPr>
              <w:t>和填埋</w:t>
            </w:r>
            <w:r>
              <w:rPr>
                <w:rFonts w:hint="default" w:ascii="Times New Roman" w:hAnsi="Times New Roman" w:eastAsia="宋体" w:cs="Times New Roman"/>
                <w:color w:val="auto"/>
                <w:spacing w:val="0"/>
                <w:w w:val="100"/>
                <w:position w:val="0"/>
                <w:sz w:val="21"/>
                <w:szCs w:val="21"/>
              </w:rPr>
              <w:t>污染控制标准》要求。</w:t>
            </w:r>
          </w:p>
        </w:tc>
      </w:tr>
      <w:tr w14:paraId="01E910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31" w:type="pct"/>
            <w:tcBorders>
              <w:tl2br w:val="nil"/>
              <w:tr2bl w:val="nil"/>
            </w:tcBorders>
            <w:vAlign w:val="center"/>
          </w:tcPr>
          <w:p w14:paraId="186AD9B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w:t>
            </w:r>
          </w:p>
        </w:tc>
        <w:tc>
          <w:tcPr>
            <w:tcW w:w="341" w:type="pct"/>
            <w:tcBorders>
              <w:tl2br w:val="nil"/>
              <w:tr2bl w:val="nil"/>
            </w:tcBorders>
            <w:vAlign w:val="center"/>
          </w:tcPr>
          <w:p w14:paraId="2C399E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生态环境保护</w:t>
            </w:r>
          </w:p>
        </w:tc>
        <w:tc>
          <w:tcPr>
            <w:tcW w:w="1246" w:type="pct"/>
            <w:tcBorders>
              <w:tl2br w:val="nil"/>
              <w:tr2bl w:val="nil"/>
            </w:tcBorders>
            <w:vAlign w:val="center"/>
          </w:tcPr>
          <w:p w14:paraId="2310DC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控制施工场地占地。</w:t>
            </w:r>
          </w:p>
        </w:tc>
        <w:tc>
          <w:tcPr>
            <w:tcW w:w="848" w:type="pct"/>
            <w:tcBorders>
              <w:tl2br w:val="nil"/>
              <w:tr2bl w:val="nil"/>
            </w:tcBorders>
            <w:vAlign w:val="center"/>
          </w:tcPr>
          <w:p w14:paraId="1475B3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施工场地边界及临时</w:t>
            </w:r>
          </w:p>
          <w:p w14:paraId="2AD64C5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占地。</w:t>
            </w:r>
          </w:p>
        </w:tc>
        <w:tc>
          <w:tcPr>
            <w:tcW w:w="377" w:type="pct"/>
            <w:tcBorders>
              <w:tl2br w:val="nil"/>
              <w:tr2bl w:val="nil"/>
            </w:tcBorders>
            <w:vAlign w:val="center"/>
          </w:tcPr>
          <w:p w14:paraId="0FF27C2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全部施工期</w:t>
            </w:r>
          </w:p>
        </w:tc>
        <w:tc>
          <w:tcPr>
            <w:tcW w:w="667" w:type="pct"/>
            <w:tcBorders>
              <w:tl2br w:val="nil"/>
              <w:tr2bl w:val="nil"/>
            </w:tcBorders>
            <w:vAlign w:val="center"/>
          </w:tcPr>
          <w:p w14:paraId="2943D00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场地周围土壤</w:t>
            </w:r>
          </w:p>
        </w:tc>
        <w:tc>
          <w:tcPr>
            <w:tcW w:w="570" w:type="pct"/>
            <w:vMerge w:val="continue"/>
            <w:tcBorders>
              <w:tl2br w:val="nil"/>
              <w:tr2bl w:val="nil"/>
            </w:tcBorders>
            <w:vAlign w:val="center"/>
          </w:tcPr>
          <w:p w14:paraId="1C0032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16" w:type="pct"/>
            <w:tcBorders>
              <w:tl2br w:val="nil"/>
              <w:tr2bl w:val="nil"/>
            </w:tcBorders>
            <w:vAlign w:val="center"/>
          </w:tcPr>
          <w:p w14:paraId="167BB4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施工场地周边土壤不被破坏。</w:t>
            </w:r>
          </w:p>
        </w:tc>
      </w:tr>
    </w:tbl>
    <w:p w14:paraId="12832365">
      <w:pPr>
        <w:pStyle w:val="9"/>
        <w:spacing w:line="295" w:lineRule="auto"/>
        <w:rPr>
          <w:rFonts w:hint="default" w:ascii="Times New Roman" w:hAnsi="Times New Roman" w:eastAsia="宋体" w:cs="Times New Roman"/>
          <w:color w:val="auto"/>
          <w:spacing w:val="0"/>
          <w:w w:val="100"/>
          <w:position w:val="0"/>
        </w:rPr>
        <w:sectPr>
          <w:pgSz w:w="16838" w:h="11906" w:orient="landscape"/>
          <w:pgMar w:top="1440" w:right="1800" w:bottom="1440" w:left="1800" w:header="680" w:footer="850" w:gutter="0"/>
          <w:pgBorders>
            <w:top w:val="none" w:sz="0" w:space="0"/>
            <w:left w:val="none" w:sz="0" w:space="0"/>
            <w:bottom w:val="none" w:sz="0" w:space="0"/>
            <w:right w:val="none" w:sz="0" w:space="0"/>
          </w:pgBorders>
          <w:pgNumType w:fmt="decimal"/>
          <w:cols w:space="720" w:num="1"/>
          <w:rtlGutter w:val="0"/>
          <w:docGrid w:linePitch="312" w:charSpace="0"/>
        </w:sectPr>
      </w:pPr>
    </w:p>
    <w:bookmarkEnd w:id="596"/>
    <w:bookmarkEnd w:id="597"/>
    <w:bookmarkEnd w:id="598"/>
    <w:bookmarkEnd w:id="599"/>
    <w:bookmarkEnd w:id="600"/>
    <w:bookmarkEnd w:id="601"/>
    <w:bookmarkEnd w:id="602"/>
    <w:bookmarkEnd w:id="603"/>
    <w:bookmarkEnd w:id="604"/>
    <w:bookmarkEnd w:id="605"/>
    <w:bookmarkEnd w:id="606"/>
    <w:bookmarkEnd w:id="607"/>
    <w:p w14:paraId="360C0911">
      <w:pPr>
        <w:pStyle w:val="3"/>
        <w:bidi w:val="0"/>
        <w:rPr>
          <w:rFonts w:hint="default" w:ascii="Times New Roman" w:hAnsi="Times New Roman" w:cs="Times New Roman"/>
          <w:color w:val="auto"/>
          <w:lang w:val="en-US" w:eastAsia="zh-CN"/>
        </w:rPr>
      </w:pPr>
      <w:bookmarkStart w:id="609" w:name="_Toc2512"/>
      <w:bookmarkStart w:id="610" w:name="_Toc4743"/>
      <w:r>
        <w:rPr>
          <w:rFonts w:hint="default" w:ascii="Times New Roman" w:hAnsi="Times New Roman" w:cs="Times New Roman"/>
          <w:color w:val="auto"/>
          <w:lang w:val="en-US" w:eastAsia="zh-CN"/>
        </w:rPr>
        <w:t>大气环境影响预测与评价</w:t>
      </w:r>
      <w:bookmarkEnd w:id="609"/>
      <w:bookmarkEnd w:id="610"/>
    </w:p>
    <w:p w14:paraId="61776C53">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大气污染物排放量核算</w:t>
      </w:r>
    </w:p>
    <w:p w14:paraId="30C7368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本工程大气环境影响评价等级为二级，根据《环境影响评价技术导则大气环境》（HJ2.2-2018），二级评价项目可不进行进一步预测与评价，只对污染物排放量进行核算。本工程大气污染物排放量核算情况如下：</w:t>
      </w:r>
    </w:p>
    <w:p w14:paraId="76932307">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无组织排放量核算</w:t>
      </w:r>
    </w:p>
    <w:p w14:paraId="6318201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本工程大气污染物无组织排放情况见表5.2-2。</w:t>
      </w:r>
    </w:p>
    <w:p w14:paraId="52A06088">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表5.2-</w:t>
      </w:r>
      <w:r>
        <w:rPr>
          <w:rFonts w:hint="default" w:ascii="Times New Roman" w:hAnsi="Times New Roman" w:eastAsia="宋体" w:cs="Times New Roman"/>
          <w:b/>
          <w:color w:val="auto"/>
          <w:sz w:val="21"/>
          <w:szCs w:val="21"/>
          <w:highlight w:val="none"/>
          <w:lang w:val="en-US" w:eastAsia="zh-CN" w:bidi="ar"/>
        </w:rPr>
        <w:t>2</w:t>
      </w:r>
      <w:r>
        <w:rPr>
          <w:rFonts w:hint="default" w:ascii="Times New Roman" w:hAnsi="Times New Roman" w:eastAsia="宋体" w:cs="Times New Roman"/>
          <w:b/>
          <w:color w:val="auto"/>
          <w:sz w:val="21"/>
          <w:szCs w:val="21"/>
          <w:highlight w:val="none"/>
          <w:lang w:bidi="ar"/>
        </w:rPr>
        <w:t xml:space="preserve">    大气污染物无组织排放量核算表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17"/>
        <w:gridCol w:w="1785"/>
        <w:gridCol w:w="1032"/>
        <w:gridCol w:w="3549"/>
        <w:gridCol w:w="1430"/>
      </w:tblGrid>
      <w:tr w14:paraId="340F576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tblHeader/>
          <w:jc w:val="center"/>
        </w:trPr>
        <w:tc>
          <w:tcPr>
            <w:tcW w:w="717" w:type="dxa"/>
            <w:vMerge w:val="restart"/>
            <w:vAlign w:val="center"/>
          </w:tcPr>
          <w:p w14:paraId="38C8F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auto"/>
                <w:kern w:val="28"/>
                <w:szCs w:val="21"/>
              </w:rPr>
            </w:pPr>
            <w:r>
              <w:rPr>
                <w:rFonts w:hint="default" w:ascii="Times New Roman" w:hAnsi="Times New Roman" w:eastAsia="宋体" w:cs="Times New Roman"/>
                <w:b w:val="0"/>
                <w:bCs w:val="0"/>
                <w:color w:val="auto"/>
                <w:kern w:val="28"/>
                <w:szCs w:val="21"/>
              </w:rPr>
              <w:t>序号</w:t>
            </w:r>
          </w:p>
        </w:tc>
        <w:tc>
          <w:tcPr>
            <w:tcW w:w="1785" w:type="dxa"/>
            <w:vMerge w:val="restart"/>
            <w:vAlign w:val="center"/>
          </w:tcPr>
          <w:p w14:paraId="436CC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auto"/>
                <w:kern w:val="28"/>
                <w:szCs w:val="21"/>
              </w:rPr>
            </w:pPr>
            <w:r>
              <w:rPr>
                <w:rFonts w:hint="default" w:ascii="Times New Roman" w:hAnsi="Times New Roman" w:eastAsia="宋体" w:cs="Times New Roman"/>
                <w:b w:val="0"/>
                <w:bCs w:val="0"/>
                <w:color w:val="auto"/>
                <w:kern w:val="28"/>
                <w:szCs w:val="21"/>
              </w:rPr>
              <w:t>产污环节</w:t>
            </w:r>
          </w:p>
        </w:tc>
        <w:tc>
          <w:tcPr>
            <w:tcW w:w="1032" w:type="dxa"/>
            <w:vMerge w:val="restart"/>
            <w:vAlign w:val="center"/>
          </w:tcPr>
          <w:p w14:paraId="01F8E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auto"/>
                <w:kern w:val="28"/>
                <w:szCs w:val="21"/>
              </w:rPr>
            </w:pPr>
            <w:r>
              <w:rPr>
                <w:rFonts w:hint="default" w:ascii="Times New Roman" w:hAnsi="Times New Roman" w:eastAsia="宋体" w:cs="Times New Roman"/>
                <w:b w:val="0"/>
                <w:bCs w:val="0"/>
                <w:color w:val="auto"/>
                <w:kern w:val="28"/>
                <w:szCs w:val="21"/>
              </w:rPr>
              <w:t>污染物</w:t>
            </w:r>
          </w:p>
        </w:tc>
        <w:tc>
          <w:tcPr>
            <w:tcW w:w="3549" w:type="dxa"/>
            <w:vMerge w:val="restart"/>
            <w:vAlign w:val="center"/>
          </w:tcPr>
          <w:p w14:paraId="0D6AA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auto"/>
                <w:kern w:val="28"/>
                <w:szCs w:val="21"/>
              </w:rPr>
            </w:pPr>
            <w:r>
              <w:rPr>
                <w:rFonts w:hint="default" w:ascii="Times New Roman" w:hAnsi="Times New Roman" w:eastAsia="宋体" w:cs="Times New Roman"/>
                <w:b w:val="0"/>
                <w:bCs w:val="0"/>
                <w:color w:val="auto"/>
                <w:kern w:val="28"/>
                <w:szCs w:val="21"/>
              </w:rPr>
              <w:t>主要污染防治措施</w:t>
            </w:r>
          </w:p>
        </w:tc>
        <w:tc>
          <w:tcPr>
            <w:tcW w:w="1430" w:type="dxa"/>
            <w:vMerge w:val="restart"/>
            <w:vAlign w:val="center"/>
          </w:tcPr>
          <w:p w14:paraId="43D25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b w:val="0"/>
                <w:bCs w:val="0"/>
                <w:color w:val="auto"/>
                <w:kern w:val="28"/>
                <w:szCs w:val="21"/>
              </w:rPr>
            </w:pPr>
            <w:r>
              <w:rPr>
                <w:rFonts w:hint="default" w:ascii="Times New Roman" w:hAnsi="Times New Roman" w:eastAsia="宋体" w:cs="Times New Roman"/>
                <w:b w:val="0"/>
                <w:bCs w:val="0"/>
                <w:color w:val="auto"/>
                <w:kern w:val="28"/>
                <w:szCs w:val="21"/>
              </w:rPr>
              <w:t>核算年排放量（t/a）</w:t>
            </w:r>
          </w:p>
        </w:tc>
      </w:tr>
      <w:tr w14:paraId="7BF8C1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tblHeader/>
          <w:jc w:val="center"/>
        </w:trPr>
        <w:tc>
          <w:tcPr>
            <w:tcW w:w="717" w:type="dxa"/>
            <w:vMerge w:val="continue"/>
            <w:vAlign w:val="center"/>
          </w:tcPr>
          <w:p w14:paraId="76B66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p>
        </w:tc>
        <w:tc>
          <w:tcPr>
            <w:tcW w:w="1785" w:type="dxa"/>
            <w:vMerge w:val="continue"/>
            <w:vAlign w:val="center"/>
          </w:tcPr>
          <w:p w14:paraId="1AFA7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p>
        </w:tc>
        <w:tc>
          <w:tcPr>
            <w:tcW w:w="1032" w:type="dxa"/>
            <w:vMerge w:val="continue"/>
            <w:vAlign w:val="center"/>
          </w:tcPr>
          <w:p w14:paraId="248BB3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p>
        </w:tc>
        <w:tc>
          <w:tcPr>
            <w:tcW w:w="3549" w:type="dxa"/>
            <w:vMerge w:val="continue"/>
            <w:vAlign w:val="center"/>
          </w:tcPr>
          <w:p w14:paraId="24E0F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p>
        </w:tc>
        <w:tc>
          <w:tcPr>
            <w:tcW w:w="1430" w:type="dxa"/>
            <w:vMerge w:val="continue"/>
            <w:vAlign w:val="center"/>
          </w:tcPr>
          <w:p w14:paraId="4AF10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p>
        </w:tc>
      </w:tr>
      <w:tr w14:paraId="1E1CD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717" w:type="dxa"/>
            <w:vAlign w:val="center"/>
          </w:tcPr>
          <w:p w14:paraId="0341A4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1</w:t>
            </w:r>
          </w:p>
        </w:tc>
        <w:tc>
          <w:tcPr>
            <w:tcW w:w="1785" w:type="dxa"/>
            <w:vAlign w:val="center"/>
          </w:tcPr>
          <w:p w14:paraId="178942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r>
              <w:rPr>
                <w:rFonts w:hint="default" w:ascii="Times New Roman" w:hAnsi="Times New Roman" w:eastAsia="宋体" w:cs="Times New Roman"/>
                <w:color w:val="auto"/>
                <w:kern w:val="28"/>
                <w:szCs w:val="21"/>
              </w:rPr>
              <w:t>采矿扬尘</w:t>
            </w:r>
          </w:p>
        </w:tc>
        <w:tc>
          <w:tcPr>
            <w:tcW w:w="1032" w:type="dxa"/>
            <w:vAlign w:val="center"/>
          </w:tcPr>
          <w:p w14:paraId="690FB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颗粒物</w:t>
            </w:r>
          </w:p>
        </w:tc>
        <w:tc>
          <w:tcPr>
            <w:tcW w:w="3549" w:type="dxa"/>
            <w:vAlign w:val="center"/>
          </w:tcPr>
          <w:p w14:paraId="5EB0DB18">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w:t>
            </w:r>
          </w:p>
        </w:tc>
        <w:tc>
          <w:tcPr>
            <w:tcW w:w="1430" w:type="dxa"/>
            <w:vAlign w:val="center"/>
          </w:tcPr>
          <w:p w14:paraId="600AD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0.228</w:t>
            </w:r>
          </w:p>
        </w:tc>
      </w:tr>
      <w:tr w14:paraId="2DAC7D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717" w:type="dxa"/>
            <w:vAlign w:val="center"/>
          </w:tcPr>
          <w:p w14:paraId="774D9C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2</w:t>
            </w:r>
          </w:p>
        </w:tc>
        <w:tc>
          <w:tcPr>
            <w:tcW w:w="1785" w:type="dxa"/>
            <w:shd w:val="clear" w:color="auto" w:fill="auto"/>
            <w:vAlign w:val="center"/>
          </w:tcPr>
          <w:p w14:paraId="6B4AE46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运输扬尘</w:t>
            </w:r>
          </w:p>
        </w:tc>
        <w:tc>
          <w:tcPr>
            <w:tcW w:w="1032" w:type="dxa"/>
            <w:vAlign w:val="center"/>
          </w:tcPr>
          <w:p w14:paraId="615EE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r>
              <w:rPr>
                <w:rFonts w:hint="default" w:ascii="Times New Roman" w:hAnsi="Times New Roman" w:cs="Times New Roman"/>
                <w:color w:val="auto"/>
                <w:kern w:val="28"/>
                <w:szCs w:val="21"/>
                <w:lang w:val="en-US" w:eastAsia="zh-CN"/>
              </w:rPr>
              <w:t>颗粒物</w:t>
            </w:r>
          </w:p>
        </w:tc>
        <w:tc>
          <w:tcPr>
            <w:tcW w:w="3549" w:type="dxa"/>
            <w:vAlign w:val="center"/>
          </w:tcPr>
          <w:p w14:paraId="116AED1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w:t>
            </w:r>
          </w:p>
        </w:tc>
        <w:tc>
          <w:tcPr>
            <w:tcW w:w="1430" w:type="dxa"/>
            <w:shd w:val="clear" w:color="auto" w:fill="auto"/>
            <w:vAlign w:val="center"/>
          </w:tcPr>
          <w:p w14:paraId="4C00B1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kern w:val="2"/>
                <w:position w:val="0"/>
                <w:sz w:val="21"/>
                <w:szCs w:val="21"/>
                <w:lang w:val="en-US" w:eastAsia="zh-CN" w:bidi="ar-SA"/>
              </w:rPr>
              <w:t>13.75</w:t>
            </w:r>
          </w:p>
        </w:tc>
      </w:tr>
      <w:tr w14:paraId="53F068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717" w:type="dxa"/>
            <w:vAlign w:val="center"/>
          </w:tcPr>
          <w:p w14:paraId="441A01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3</w:t>
            </w:r>
          </w:p>
        </w:tc>
        <w:tc>
          <w:tcPr>
            <w:tcW w:w="1785" w:type="dxa"/>
            <w:shd w:val="clear" w:color="auto" w:fill="auto"/>
            <w:vAlign w:val="center"/>
          </w:tcPr>
          <w:p w14:paraId="15B51F6C">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1号</w:t>
            </w:r>
            <w:r>
              <w:rPr>
                <w:rFonts w:hint="default" w:ascii="Times New Roman" w:hAnsi="Times New Roman" w:eastAsia="宋体" w:cs="Times New Roman"/>
                <w:color w:val="auto"/>
                <w:spacing w:val="0"/>
                <w:w w:val="100"/>
                <w:position w:val="0"/>
                <w:sz w:val="21"/>
                <w:szCs w:val="21"/>
              </w:rPr>
              <w:t>废石场</w:t>
            </w:r>
          </w:p>
        </w:tc>
        <w:tc>
          <w:tcPr>
            <w:tcW w:w="1032" w:type="dxa"/>
            <w:shd w:val="clear" w:color="auto" w:fill="auto"/>
            <w:vAlign w:val="center"/>
          </w:tcPr>
          <w:p w14:paraId="6EC3F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 w:val="21"/>
                <w:szCs w:val="21"/>
                <w:lang w:val="en-US" w:eastAsia="zh-CN" w:bidi="ar-SA"/>
              </w:rPr>
            </w:pPr>
            <w:r>
              <w:rPr>
                <w:rFonts w:hint="default" w:ascii="Times New Roman" w:hAnsi="Times New Roman" w:cs="Times New Roman"/>
                <w:color w:val="auto"/>
                <w:kern w:val="28"/>
                <w:szCs w:val="21"/>
                <w:lang w:val="en-US" w:eastAsia="zh-CN"/>
              </w:rPr>
              <w:t>颗粒物</w:t>
            </w:r>
          </w:p>
        </w:tc>
        <w:tc>
          <w:tcPr>
            <w:tcW w:w="3549" w:type="dxa"/>
            <w:shd w:val="clear" w:color="auto" w:fill="auto"/>
            <w:vAlign w:val="center"/>
          </w:tcPr>
          <w:p w14:paraId="013C4ED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w:t>
            </w:r>
          </w:p>
        </w:tc>
        <w:tc>
          <w:tcPr>
            <w:tcW w:w="1430" w:type="dxa"/>
            <w:shd w:val="clear" w:color="auto" w:fill="auto"/>
            <w:vAlign w:val="center"/>
          </w:tcPr>
          <w:p w14:paraId="0EBCF49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0.40</w:t>
            </w:r>
          </w:p>
        </w:tc>
      </w:tr>
      <w:tr w14:paraId="750AD5F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717" w:type="dxa"/>
            <w:vAlign w:val="center"/>
          </w:tcPr>
          <w:p w14:paraId="72350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4</w:t>
            </w:r>
          </w:p>
        </w:tc>
        <w:tc>
          <w:tcPr>
            <w:tcW w:w="1785" w:type="dxa"/>
            <w:shd w:val="clear" w:color="auto" w:fill="auto"/>
            <w:vAlign w:val="center"/>
          </w:tcPr>
          <w:p w14:paraId="579531A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2号</w:t>
            </w:r>
            <w:r>
              <w:rPr>
                <w:rFonts w:hint="default" w:ascii="Times New Roman" w:hAnsi="Times New Roman" w:eastAsia="宋体" w:cs="Times New Roman"/>
                <w:color w:val="auto"/>
                <w:spacing w:val="0"/>
                <w:w w:val="100"/>
                <w:position w:val="0"/>
                <w:sz w:val="21"/>
                <w:szCs w:val="21"/>
              </w:rPr>
              <w:t>废石场</w:t>
            </w:r>
          </w:p>
        </w:tc>
        <w:tc>
          <w:tcPr>
            <w:tcW w:w="1032" w:type="dxa"/>
            <w:shd w:val="clear" w:color="auto" w:fill="auto"/>
            <w:vAlign w:val="center"/>
          </w:tcPr>
          <w:p w14:paraId="64530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rPr>
            </w:pPr>
            <w:r>
              <w:rPr>
                <w:rFonts w:hint="default" w:ascii="Times New Roman" w:hAnsi="Times New Roman" w:cs="Times New Roman"/>
                <w:color w:val="auto"/>
                <w:kern w:val="28"/>
                <w:szCs w:val="21"/>
                <w:lang w:val="en-US" w:eastAsia="zh-CN"/>
              </w:rPr>
              <w:t>颗粒物</w:t>
            </w:r>
          </w:p>
        </w:tc>
        <w:tc>
          <w:tcPr>
            <w:tcW w:w="3549" w:type="dxa"/>
            <w:shd w:val="clear" w:color="auto" w:fill="auto"/>
            <w:vAlign w:val="center"/>
          </w:tcPr>
          <w:p w14:paraId="4D37D307">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w:t>
            </w:r>
          </w:p>
        </w:tc>
        <w:tc>
          <w:tcPr>
            <w:tcW w:w="1430" w:type="dxa"/>
            <w:shd w:val="clear" w:color="auto" w:fill="auto"/>
            <w:vAlign w:val="center"/>
          </w:tcPr>
          <w:p w14:paraId="7D936C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0.02</w:t>
            </w:r>
          </w:p>
        </w:tc>
      </w:tr>
      <w:tr w14:paraId="09BFC2E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717" w:type="dxa"/>
            <w:vAlign w:val="center"/>
          </w:tcPr>
          <w:p w14:paraId="7F5A93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5</w:t>
            </w:r>
          </w:p>
        </w:tc>
        <w:tc>
          <w:tcPr>
            <w:tcW w:w="1785" w:type="dxa"/>
            <w:shd w:val="clear" w:color="auto" w:fill="auto"/>
            <w:vAlign w:val="center"/>
          </w:tcPr>
          <w:p w14:paraId="09F3B3B3">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3号</w:t>
            </w:r>
            <w:r>
              <w:rPr>
                <w:rFonts w:hint="default" w:ascii="Times New Roman" w:hAnsi="Times New Roman" w:eastAsia="宋体" w:cs="Times New Roman"/>
                <w:color w:val="auto"/>
                <w:spacing w:val="0"/>
                <w:w w:val="100"/>
                <w:position w:val="0"/>
                <w:sz w:val="21"/>
                <w:szCs w:val="21"/>
              </w:rPr>
              <w:t>废石场</w:t>
            </w:r>
          </w:p>
        </w:tc>
        <w:tc>
          <w:tcPr>
            <w:tcW w:w="1032" w:type="dxa"/>
            <w:vAlign w:val="center"/>
          </w:tcPr>
          <w:p w14:paraId="5D7100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8"/>
                <w:sz w:val="21"/>
                <w:szCs w:val="21"/>
              </w:rPr>
            </w:pPr>
            <w:r>
              <w:rPr>
                <w:rFonts w:hint="default" w:ascii="Times New Roman" w:hAnsi="Times New Roman" w:cs="Times New Roman"/>
                <w:color w:val="auto"/>
                <w:kern w:val="28"/>
                <w:szCs w:val="21"/>
                <w:lang w:val="en-US" w:eastAsia="zh-CN"/>
              </w:rPr>
              <w:t>颗粒物</w:t>
            </w:r>
          </w:p>
        </w:tc>
        <w:tc>
          <w:tcPr>
            <w:tcW w:w="3549" w:type="dxa"/>
            <w:vAlign w:val="center"/>
          </w:tcPr>
          <w:p w14:paraId="290ABA8C">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w:t>
            </w:r>
          </w:p>
        </w:tc>
        <w:tc>
          <w:tcPr>
            <w:tcW w:w="1430" w:type="dxa"/>
            <w:shd w:val="clear" w:color="auto" w:fill="auto"/>
            <w:vAlign w:val="center"/>
          </w:tcPr>
          <w:p w14:paraId="60EB2C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0.50</w:t>
            </w:r>
          </w:p>
        </w:tc>
      </w:tr>
      <w:tr w14:paraId="72B8825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0" w:type="auto"/>
            <w:vAlign w:val="center"/>
          </w:tcPr>
          <w:p w14:paraId="76AB3C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6</w:t>
            </w:r>
          </w:p>
        </w:tc>
        <w:tc>
          <w:tcPr>
            <w:tcW w:w="0" w:type="auto"/>
            <w:shd w:val="clear" w:color="auto" w:fill="auto"/>
            <w:vAlign w:val="center"/>
          </w:tcPr>
          <w:p w14:paraId="1ACC581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矿石堆场</w:t>
            </w:r>
          </w:p>
        </w:tc>
        <w:tc>
          <w:tcPr>
            <w:tcW w:w="0" w:type="auto"/>
            <w:vAlign w:val="center"/>
          </w:tcPr>
          <w:p w14:paraId="3D3E6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8"/>
                <w:sz w:val="21"/>
                <w:szCs w:val="21"/>
              </w:rPr>
            </w:pPr>
            <w:r>
              <w:rPr>
                <w:rFonts w:hint="default" w:ascii="Times New Roman" w:hAnsi="Times New Roman" w:cs="Times New Roman"/>
                <w:color w:val="auto"/>
                <w:kern w:val="28"/>
                <w:szCs w:val="21"/>
                <w:lang w:val="en-US" w:eastAsia="zh-CN"/>
              </w:rPr>
              <w:t>颗粒物</w:t>
            </w:r>
          </w:p>
        </w:tc>
        <w:tc>
          <w:tcPr>
            <w:tcW w:w="0" w:type="auto"/>
            <w:vAlign w:val="center"/>
          </w:tcPr>
          <w:p w14:paraId="5191AF58">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洒水降尘、半敞开式设置</w:t>
            </w:r>
          </w:p>
        </w:tc>
        <w:tc>
          <w:tcPr>
            <w:tcW w:w="0" w:type="auto"/>
            <w:shd w:val="clear" w:color="auto" w:fill="auto"/>
            <w:vAlign w:val="center"/>
          </w:tcPr>
          <w:p w14:paraId="60D97B3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4.64</w:t>
            </w:r>
          </w:p>
        </w:tc>
      </w:tr>
      <w:tr w14:paraId="495DAB0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0" w:type="auto"/>
            <w:vAlign w:val="center"/>
          </w:tcPr>
          <w:p w14:paraId="71CF4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7</w:t>
            </w:r>
          </w:p>
        </w:tc>
        <w:tc>
          <w:tcPr>
            <w:tcW w:w="0" w:type="auto"/>
            <w:shd w:val="clear" w:color="auto" w:fill="auto"/>
            <w:vAlign w:val="center"/>
          </w:tcPr>
          <w:p w14:paraId="2A14B3A0">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水泥筒仓</w:t>
            </w:r>
          </w:p>
        </w:tc>
        <w:tc>
          <w:tcPr>
            <w:tcW w:w="0" w:type="auto"/>
            <w:vAlign w:val="center"/>
          </w:tcPr>
          <w:p w14:paraId="465E8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8"/>
                <w:sz w:val="21"/>
                <w:szCs w:val="21"/>
              </w:rPr>
            </w:pPr>
            <w:r>
              <w:rPr>
                <w:rFonts w:hint="default" w:ascii="Times New Roman" w:hAnsi="Times New Roman" w:cs="Times New Roman"/>
                <w:color w:val="auto"/>
                <w:kern w:val="28"/>
                <w:szCs w:val="21"/>
                <w:lang w:val="en-US" w:eastAsia="zh-CN"/>
              </w:rPr>
              <w:t>颗粒物</w:t>
            </w:r>
          </w:p>
        </w:tc>
        <w:tc>
          <w:tcPr>
            <w:tcW w:w="0" w:type="auto"/>
            <w:vAlign w:val="center"/>
          </w:tcPr>
          <w:p w14:paraId="5D53E666">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仓顶除尘器</w:t>
            </w:r>
          </w:p>
        </w:tc>
        <w:tc>
          <w:tcPr>
            <w:tcW w:w="0" w:type="auto"/>
            <w:shd w:val="clear" w:color="auto" w:fill="auto"/>
            <w:vAlign w:val="center"/>
          </w:tcPr>
          <w:p w14:paraId="5EEA0D9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0.003</w:t>
            </w:r>
          </w:p>
        </w:tc>
      </w:tr>
      <w:tr w14:paraId="618757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0" w:type="auto"/>
            <w:vAlign w:val="center"/>
          </w:tcPr>
          <w:p w14:paraId="4DCA5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center"/>
              <w:outlineLvl w:val="9"/>
              <w:rPr>
                <w:rFonts w:hint="default" w:ascii="Times New Roman" w:hAnsi="Times New Roman" w:eastAsia="宋体" w:cs="Times New Roman"/>
                <w:color w:val="auto"/>
                <w:kern w:val="28"/>
                <w:szCs w:val="21"/>
                <w:lang w:val="en-US" w:eastAsia="zh-CN"/>
              </w:rPr>
            </w:pPr>
            <w:r>
              <w:rPr>
                <w:rFonts w:hint="default" w:ascii="Times New Roman" w:hAnsi="Times New Roman" w:cs="Times New Roman"/>
                <w:color w:val="auto"/>
                <w:kern w:val="28"/>
                <w:szCs w:val="21"/>
                <w:lang w:val="en-US" w:eastAsia="zh-CN"/>
              </w:rPr>
              <w:t>8</w:t>
            </w:r>
          </w:p>
        </w:tc>
        <w:tc>
          <w:tcPr>
            <w:tcW w:w="0" w:type="auto"/>
            <w:shd w:val="clear" w:color="auto" w:fill="auto"/>
            <w:vAlign w:val="center"/>
          </w:tcPr>
          <w:p w14:paraId="0BD9E484">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破碎车间</w:t>
            </w:r>
          </w:p>
        </w:tc>
        <w:tc>
          <w:tcPr>
            <w:tcW w:w="0" w:type="auto"/>
            <w:vAlign w:val="center"/>
          </w:tcPr>
          <w:p w14:paraId="6BA31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8"/>
                <w:sz w:val="21"/>
                <w:szCs w:val="21"/>
              </w:rPr>
            </w:pPr>
            <w:r>
              <w:rPr>
                <w:rFonts w:hint="default" w:ascii="Times New Roman" w:hAnsi="Times New Roman" w:cs="Times New Roman"/>
                <w:color w:val="auto"/>
                <w:kern w:val="28"/>
                <w:szCs w:val="21"/>
                <w:lang w:val="en-US" w:eastAsia="zh-CN"/>
              </w:rPr>
              <w:t>颗粒物</w:t>
            </w:r>
          </w:p>
        </w:tc>
        <w:tc>
          <w:tcPr>
            <w:tcW w:w="0" w:type="auto"/>
            <w:vAlign w:val="center"/>
          </w:tcPr>
          <w:p w14:paraId="4EA58081">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封闭式车间+布袋收尘</w:t>
            </w:r>
          </w:p>
        </w:tc>
        <w:tc>
          <w:tcPr>
            <w:tcW w:w="0" w:type="auto"/>
            <w:shd w:val="clear" w:color="auto" w:fill="auto"/>
            <w:vAlign w:val="center"/>
          </w:tcPr>
          <w:p w14:paraId="1F05C5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eastAsia" w:ascii="Times New Roman" w:hAnsi="Times New Roman" w:cs="Times New Roman"/>
                <w:color w:val="auto"/>
                <w:spacing w:val="0"/>
                <w:w w:val="100"/>
                <w:kern w:val="2"/>
                <w:position w:val="0"/>
                <w:sz w:val="21"/>
                <w:szCs w:val="21"/>
                <w:lang w:val="en-US" w:eastAsia="zh-CN" w:bidi="ar-SA"/>
              </w:rPr>
              <w:t>0.06</w:t>
            </w:r>
          </w:p>
        </w:tc>
      </w:tr>
    </w:tbl>
    <w:p w14:paraId="38D397AD">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）项目大气污染物年排放量核算</w:t>
      </w:r>
    </w:p>
    <w:p w14:paraId="75861A28">
      <w:pP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本工程大气污染物年排放情况见表5.2-3。</w:t>
      </w:r>
    </w:p>
    <w:p w14:paraId="3BEB2CDB">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color w:val="auto"/>
          <w:sz w:val="21"/>
          <w:szCs w:val="21"/>
          <w:highlight w:val="none"/>
          <w:lang w:bidi="ar"/>
        </w:rPr>
      </w:pPr>
      <w:r>
        <w:rPr>
          <w:rFonts w:hint="default" w:ascii="Times New Roman" w:hAnsi="Times New Roman" w:eastAsia="宋体" w:cs="Times New Roman"/>
          <w:b/>
          <w:color w:val="auto"/>
          <w:sz w:val="21"/>
          <w:szCs w:val="21"/>
          <w:highlight w:val="none"/>
          <w:lang w:bidi="ar"/>
        </w:rPr>
        <w:t>表5.2-</w:t>
      </w:r>
      <w:r>
        <w:rPr>
          <w:rFonts w:hint="default" w:ascii="Times New Roman" w:hAnsi="Times New Roman" w:eastAsia="宋体" w:cs="Times New Roman"/>
          <w:b/>
          <w:color w:val="auto"/>
          <w:sz w:val="21"/>
          <w:szCs w:val="21"/>
          <w:highlight w:val="none"/>
          <w:lang w:val="en-US" w:eastAsia="zh-CN" w:bidi="ar"/>
        </w:rPr>
        <w:t>3</w:t>
      </w:r>
      <w:r>
        <w:rPr>
          <w:rFonts w:hint="default" w:ascii="Times New Roman" w:hAnsi="Times New Roman" w:eastAsia="宋体" w:cs="Times New Roman"/>
          <w:b/>
          <w:color w:val="auto"/>
          <w:sz w:val="21"/>
          <w:szCs w:val="21"/>
          <w:highlight w:val="none"/>
          <w:lang w:bidi="ar"/>
        </w:rPr>
        <w:t xml:space="preserve">    大气污染物年排放量核算表</w:t>
      </w:r>
    </w:p>
    <w:tbl>
      <w:tblPr>
        <w:tblStyle w:val="21"/>
        <w:tblW w:w="851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38"/>
        <w:gridCol w:w="2838"/>
        <w:gridCol w:w="2838"/>
      </w:tblGrid>
      <w:tr w14:paraId="004D7A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2838" w:type="dxa"/>
            <w:vAlign w:val="top"/>
          </w:tcPr>
          <w:p w14:paraId="0212E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28"/>
              </w:rPr>
            </w:pPr>
            <w:r>
              <w:rPr>
                <w:rFonts w:hint="default" w:ascii="Times New Roman" w:hAnsi="Times New Roman" w:eastAsia="宋体" w:cs="Times New Roman"/>
                <w:b w:val="0"/>
                <w:bCs w:val="0"/>
                <w:color w:val="auto"/>
                <w:kern w:val="28"/>
              </w:rPr>
              <w:t>序号</w:t>
            </w:r>
          </w:p>
        </w:tc>
        <w:tc>
          <w:tcPr>
            <w:tcW w:w="2838" w:type="dxa"/>
            <w:vAlign w:val="top"/>
          </w:tcPr>
          <w:p w14:paraId="08F49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28"/>
              </w:rPr>
            </w:pPr>
            <w:r>
              <w:rPr>
                <w:rFonts w:hint="default" w:ascii="Times New Roman" w:hAnsi="Times New Roman" w:eastAsia="宋体" w:cs="Times New Roman"/>
                <w:b w:val="0"/>
                <w:bCs w:val="0"/>
                <w:color w:val="auto"/>
                <w:kern w:val="28"/>
              </w:rPr>
              <w:t>污染物</w:t>
            </w:r>
          </w:p>
        </w:tc>
        <w:tc>
          <w:tcPr>
            <w:tcW w:w="2838" w:type="dxa"/>
            <w:vAlign w:val="top"/>
          </w:tcPr>
          <w:p w14:paraId="2CB61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b w:val="0"/>
                <w:bCs w:val="0"/>
                <w:color w:val="auto"/>
                <w:kern w:val="28"/>
              </w:rPr>
            </w:pPr>
            <w:r>
              <w:rPr>
                <w:rFonts w:hint="default" w:ascii="Times New Roman" w:hAnsi="Times New Roman" w:eastAsia="宋体" w:cs="Times New Roman"/>
                <w:b w:val="0"/>
                <w:bCs w:val="0"/>
                <w:color w:val="auto"/>
                <w:kern w:val="28"/>
              </w:rPr>
              <w:t>年排放量（t/a）</w:t>
            </w:r>
          </w:p>
        </w:tc>
      </w:tr>
      <w:tr w14:paraId="28AE42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2838" w:type="dxa"/>
            <w:vAlign w:val="top"/>
          </w:tcPr>
          <w:p w14:paraId="7329C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28"/>
                <w:lang w:eastAsia="zh-CN"/>
              </w:rPr>
            </w:pPr>
            <w:r>
              <w:rPr>
                <w:rFonts w:hint="eastAsia" w:ascii="Times New Roman" w:hAnsi="Times New Roman" w:cs="Times New Roman"/>
                <w:color w:val="auto"/>
                <w:kern w:val="28"/>
                <w:lang w:val="en-US" w:eastAsia="zh-CN"/>
              </w:rPr>
              <w:t>1</w:t>
            </w:r>
          </w:p>
        </w:tc>
        <w:tc>
          <w:tcPr>
            <w:tcW w:w="2838" w:type="dxa"/>
            <w:vAlign w:val="top"/>
          </w:tcPr>
          <w:p w14:paraId="15FE3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eastAsia="宋体" w:cs="Times New Roman"/>
                <w:color w:val="auto"/>
                <w:kern w:val="28"/>
                <w:lang w:val="en-US" w:eastAsia="zh-CN"/>
              </w:rPr>
            </w:pPr>
            <w:r>
              <w:rPr>
                <w:rFonts w:hint="default" w:ascii="Times New Roman" w:hAnsi="Times New Roman" w:eastAsia="宋体" w:cs="Times New Roman"/>
                <w:color w:val="auto"/>
                <w:kern w:val="28"/>
                <w:lang w:val="en-US" w:eastAsia="zh-CN"/>
              </w:rPr>
              <w:t>TSP</w:t>
            </w:r>
          </w:p>
        </w:tc>
        <w:tc>
          <w:tcPr>
            <w:tcW w:w="2838" w:type="dxa"/>
            <w:vAlign w:val="top"/>
          </w:tcPr>
          <w:p w14:paraId="411EE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19.601</w:t>
            </w:r>
          </w:p>
        </w:tc>
      </w:tr>
    </w:tbl>
    <w:p w14:paraId="264DB197">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环境空气影响预测与评价</w:t>
      </w:r>
    </w:p>
    <w:p w14:paraId="19BE148F">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（1）凿岩、爆破废气影响分析</w:t>
      </w:r>
    </w:p>
    <w:p w14:paraId="5B04C18E">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rPr>
        <w:t>地下</w:t>
      </w:r>
      <w:r>
        <w:rPr>
          <w:rFonts w:hint="default" w:ascii="Times New Roman" w:hAnsi="Times New Roman" w:eastAsia="宋体" w:cs="Times New Roman"/>
          <w:color w:val="auto"/>
          <w:sz w:val="24"/>
          <w:highlight w:val="none"/>
          <w:lang w:val="en-US" w:eastAsia="zh-CN"/>
        </w:rPr>
        <w:t>开采期</w:t>
      </w:r>
      <w:r>
        <w:rPr>
          <w:rFonts w:hint="default" w:ascii="Times New Roman" w:hAnsi="Times New Roman" w:eastAsia="宋体" w:cs="Times New Roman"/>
          <w:color w:val="auto"/>
          <w:sz w:val="24"/>
          <w:highlight w:val="none"/>
        </w:rPr>
        <w:t>采掘废气经喷雾洒水除尘后通过轴流风机排出，废气从井下到达地面之前，要经过巷道，废气经巷道沉降后，浓度较低。该项目采用湿式凿岩方式，微差爆破，强制机械通风，装卸作业点经常进行喷雾洒水，定期清洗岩壁，降低空气中粉尘的浓度，通风井出口处粉尘浓度约2.0mg/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，经扩散稀释后场界TSP浓度可达到</w:t>
      </w:r>
      <w:r>
        <w:rPr>
          <w:rFonts w:hint="default" w:ascii="Times New Roman" w:hAnsi="Times New Roman" w:cs="Times New Roman"/>
          <w:color w:val="auto"/>
          <w:sz w:val="24"/>
          <w:szCs w:val="24"/>
          <w:highlight w:val="none"/>
          <w:lang w:eastAsia="zh-CN"/>
        </w:rPr>
        <w:t>《铜、镍、钴工业污染物排放标准》（GB25467-2010）及其修改单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color w:val="auto"/>
          <w:sz w:val="24"/>
          <w:highlight w:val="none"/>
        </w:rPr>
        <w:t>大气污染物无组织排放浓度限值，对外部环境影响较小</w:t>
      </w:r>
      <w:r>
        <w:rPr>
          <w:rFonts w:hint="default" w:ascii="Times New Roman" w:hAnsi="Times New Roman" w:eastAsia="宋体" w:cs="Times New Roman"/>
          <w:color w:val="auto"/>
          <w:sz w:val="24"/>
          <w:highlight w:val="none"/>
          <w:lang w:eastAsia="zh-CN"/>
        </w:rPr>
        <w:t>。</w:t>
      </w:r>
    </w:p>
    <w:p w14:paraId="65216855">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综上所述矿区</w:t>
      </w:r>
      <w:r>
        <w:rPr>
          <w:rFonts w:hint="default" w:ascii="Times New Roman" w:hAnsi="Times New Roman" w:eastAsia="宋体" w:cs="Times New Roman"/>
          <w:color w:val="auto"/>
          <w:sz w:val="24"/>
          <w:szCs w:val="24"/>
        </w:rPr>
        <w:t>开采产生的废气量少，且经空气稀释净化后对周围大气环境影响不大。运营期工程对环境空气的影响随着采矿的结束，其对环境的影响也将随之消失，环境空气质量可以恢复至原有水平。项目区地表外环境相对较开阔，有利于废气扩散，在进入大气后能很快沉降于地面，巷道内工作人员在做好个体防护、巷道定期洒水抑尘等措施后，污染物对巷道内环境及工作人员的影响不大。</w:t>
      </w:r>
    </w:p>
    <w:p w14:paraId="32CCCCF9">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（2）运输扬尘分析</w:t>
      </w:r>
    </w:p>
    <w:p w14:paraId="598FAB9B">
      <w:pP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val="en-US" w:eastAsia="zh-CN"/>
        </w:rPr>
        <w:t>本工程服务期主要运输扬尘产生于矿石外运，本环评要求在运输道路路面定期洒水降尘，保证路面适当湿度、可有效减轻运输扬尘的产生，减少对周边环境的影响。</w:t>
      </w:r>
    </w:p>
    <w:p w14:paraId="4E7CED38">
      <w:pPr>
        <w:numPr>
          <w:ilvl w:val="0"/>
          <w:numId w:val="7"/>
        </w:numP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废石场扬尘分析</w:t>
      </w:r>
    </w:p>
    <w:p w14:paraId="1ED241E1">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矿区必须根据开采情况实施具体的降尘方案，定期对</w:t>
      </w:r>
      <w:r>
        <w:rPr>
          <w:rFonts w:hint="default" w:ascii="Times New Roman" w:hAnsi="Times New Roman" w:eastAsia="宋体" w:cs="Times New Roman"/>
          <w:color w:val="auto"/>
          <w:sz w:val="24"/>
          <w:szCs w:val="24"/>
          <w:lang w:val="en-US" w:eastAsia="zh-CN"/>
        </w:rPr>
        <w:t>废石场</w:t>
      </w:r>
      <w:r>
        <w:rPr>
          <w:rFonts w:hint="default" w:ascii="Times New Roman" w:hAnsi="Times New Roman" w:eastAsia="宋体" w:cs="Times New Roman"/>
          <w:color w:val="auto"/>
          <w:sz w:val="24"/>
          <w:highlight w:val="none"/>
          <w:lang w:val="en-US" w:eastAsia="zh-CN"/>
        </w:rPr>
        <w:t>和道路进行洒水抑尘，并采取将废石压实、大粒径废石覆压等措施，项目产生的扬尘将会得到有效抑制，粉尘排放量将降低80%以上，粉尘的排放对区域环境空气质量不会造成明显的影响。</w:t>
      </w:r>
    </w:p>
    <w:p w14:paraId="634B6036">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（4）大气环境防护距离</w:t>
      </w:r>
    </w:p>
    <w:p w14:paraId="61D53145">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根据《环境影响评价技术导则</w:t>
      </w:r>
      <w:r>
        <w:rPr>
          <w:rFonts w:hint="default" w:ascii="Times New Roman" w:hAnsi="Times New Roman"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lang w:val="en-US" w:eastAsia="zh-CN"/>
        </w:rPr>
        <w:t>大气环境》（HJ2.2-2018）要求“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42D8B1FB">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由估算结果可知，在正常排放情况下项目大气污染因子TSP矿界贡献浓度无超标点，故项目</w:t>
      </w:r>
      <w:r>
        <w:rPr>
          <w:rFonts w:hint="default" w:ascii="Times New Roman" w:hAnsi="Times New Roman" w:cs="Times New Roman"/>
          <w:color w:val="auto"/>
          <w:sz w:val="24"/>
          <w:highlight w:val="none"/>
          <w:lang w:val="en-US" w:eastAsia="zh-CN"/>
        </w:rPr>
        <w:t>无须设置</w:t>
      </w:r>
      <w:r>
        <w:rPr>
          <w:rFonts w:hint="default" w:ascii="Times New Roman" w:hAnsi="Times New Roman" w:eastAsia="宋体" w:cs="Times New Roman"/>
          <w:color w:val="auto"/>
          <w:sz w:val="24"/>
          <w:highlight w:val="none"/>
          <w:lang w:val="en-US" w:eastAsia="zh-CN"/>
        </w:rPr>
        <w:t>大气环境防护距离。</w:t>
      </w:r>
    </w:p>
    <w:p w14:paraId="0EAE090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大气环境影响评价结论</w:t>
      </w:r>
    </w:p>
    <w:p w14:paraId="6E40269A">
      <w:pPr>
        <w:pStyle w:val="36"/>
        <w:keepNext w:val="0"/>
        <w:keepLines w:val="0"/>
        <w:pageBreakBefore w:val="0"/>
        <w:widowControl/>
        <w:kinsoku/>
        <w:wordWrap/>
        <w:overflowPunct/>
        <w:topLinePunct w:val="0"/>
        <w:autoSpaceDE/>
        <w:autoSpaceDN/>
        <w:bidi w:val="0"/>
        <w:adjustRightInd w:val="0"/>
        <w:snapToGrid w:val="0"/>
        <w:spacing w:after="0"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本工程大气污染物厂界贡献浓度无超标点，因此不设置大气环境防护距离。本项目在落实环评提出的大气污染物控制措施后，对周边大气环境影响较小。</w:t>
      </w:r>
    </w:p>
    <w:p w14:paraId="000B8E40">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大气环境影响评价自查表</w:t>
      </w:r>
    </w:p>
    <w:p w14:paraId="534D22C3">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本工程大气环境影响评价自查表见表5.2-</w:t>
      </w:r>
      <w:r>
        <w:rPr>
          <w:rFonts w:hint="default"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w:t>
      </w:r>
    </w:p>
    <w:p w14:paraId="7F9CDF63">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color w:val="auto"/>
          <w:sz w:val="21"/>
          <w:szCs w:val="21"/>
          <w:highlight w:val="none"/>
          <w:lang w:val="en-US" w:eastAsia="zh-CN" w:bidi="ar"/>
        </w:rPr>
      </w:pPr>
      <w:r>
        <w:rPr>
          <w:rFonts w:hint="default" w:ascii="Times New Roman" w:hAnsi="Times New Roman" w:eastAsia="宋体" w:cs="Times New Roman"/>
          <w:b/>
          <w:color w:val="auto"/>
          <w:sz w:val="21"/>
          <w:szCs w:val="21"/>
          <w:highlight w:val="none"/>
          <w:lang w:val="en-US" w:eastAsia="zh-CN" w:bidi="ar"/>
        </w:rPr>
        <w:t>表5.2-4    建设项目大气环境影响评价自查表</w:t>
      </w:r>
    </w:p>
    <w:tbl>
      <w:tblPr>
        <w:tblStyle w:val="21"/>
        <w:tblW w:w="4999"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72"/>
        <w:gridCol w:w="1457"/>
        <w:gridCol w:w="921"/>
        <w:gridCol w:w="354"/>
        <w:gridCol w:w="263"/>
        <w:gridCol w:w="733"/>
        <w:gridCol w:w="527"/>
        <w:gridCol w:w="1002"/>
        <w:gridCol w:w="212"/>
        <w:gridCol w:w="575"/>
        <w:gridCol w:w="135"/>
        <w:gridCol w:w="307"/>
        <w:gridCol w:w="288"/>
        <w:gridCol w:w="260"/>
        <w:gridCol w:w="528"/>
      </w:tblGrid>
      <w:tr w14:paraId="65D7E1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1338" w:type="pct"/>
            <w:gridSpan w:val="2"/>
            <w:tcBorders>
              <w:tl2br w:val="nil"/>
              <w:tr2bl w:val="nil"/>
            </w:tcBorders>
            <w:vAlign w:val="center"/>
          </w:tcPr>
          <w:p w14:paraId="1BED4B0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工作内容</w:t>
            </w:r>
          </w:p>
        </w:tc>
        <w:tc>
          <w:tcPr>
            <w:tcW w:w="3661" w:type="pct"/>
            <w:gridSpan w:val="13"/>
            <w:tcBorders>
              <w:tl2br w:val="nil"/>
              <w:tr2bl w:val="nil"/>
            </w:tcBorders>
            <w:vAlign w:val="center"/>
          </w:tcPr>
          <w:p w14:paraId="5B27B26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自查项目</w:t>
            </w:r>
          </w:p>
        </w:tc>
      </w:tr>
      <w:tr w14:paraId="4652E6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4FAF1F3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评价等级与范围</w:t>
            </w:r>
          </w:p>
        </w:tc>
        <w:tc>
          <w:tcPr>
            <w:tcW w:w="874" w:type="pct"/>
            <w:tcBorders>
              <w:tl2br w:val="nil"/>
              <w:tr2bl w:val="nil"/>
            </w:tcBorders>
            <w:vAlign w:val="center"/>
          </w:tcPr>
          <w:p w14:paraId="07DB9F7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评价等级</w:t>
            </w:r>
          </w:p>
        </w:tc>
        <w:tc>
          <w:tcPr>
            <w:tcW w:w="1362" w:type="pct"/>
            <w:gridSpan w:val="4"/>
            <w:tcBorders>
              <w:tl2br w:val="nil"/>
              <w:tr2bl w:val="nil"/>
            </w:tcBorders>
            <w:vAlign w:val="center"/>
          </w:tcPr>
          <w:p w14:paraId="085665E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一级□</w:t>
            </w:r>
          </w:p>
        </w:tc>
        <w:tc>
          <w:tcPr>
            <w:tcW w:w="1654" w:type="pct"/>
            <w:gridSpan w:val="6"/>
            <w:tcBorders>
              <w:tl2br w:val="nil"/>
              <w:tr2bl w:val="nil"/>
            </w:tcBorders>
            <w:vAlign w:val="center"/>
          </w:tcPr>
          <w:p w14:paraId="299F20E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二级</w:t>
            </w:r>
            <w:r>
              <w:rPr>
                <w:rFonts w:hint="default" w:ascii="Times New Roman" w:hAnsi="Times New Roman" w:eastAsia="宋体" w:cs="Times New Roman"/>
                <w:color w:val="auto"/>
                <w:sz w:val="21"/>
                <w:szCs w:val="21"/>
                <w:lang w:eastAsia="zh-CN"/>
              </w:rPr>
              <w:t>☑</w:t>
            </w:r>
          </w:p>
        </w:tc>
        <w:tc>
          <w:tcPr>
            <w:tcW w:w="644" w:type="pct"/>
            <w:gridSpan w:val="3"/>
            <w:tcBorders>
              <w:tl2br w:val="nil"/>
              <w:tr2bl w:val="nil"/>
            </w:tcBorders>
            <w:vAlign w:val="center"/>
          </w:tcPr>
          <w:p w14:paraId="0924C69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三级□</w:t>
            </w:r>
          </w:p>
        </w:tc>
      </w:tr>
      <w:tr w14:paraId="66414F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7B96757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01D8132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评价范围</w:t>
            </w:r>
          </w:p>
        </w:tc>
        <w:tc>
          <w:tcPr>
            <w:tcW w:w="1362" w:type="pct"/>
            <w:gridSpan w:val="4"/>
            <w:tcBorders>
              <w:tl2br w:val="nil"/>
              <w:tr2bl w:val="nil"/>
            </w:tcBorders>
            <w:vAlign w:val="center"/>
          </w:tcPr>
          <w:p w14:paraId="6772278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边长=50km□</w:t>
            </w:r>
          </w:p>
        </w:tc>
        <w:tc>
          <w:tcPr>
            <w:tcW w:w="1654" w:type="pct"/>
            <w:gridSpan w:val="6"/>
            <w:tcBorders>
              <w:tl2br w:val="nil"/>
              <w:tr2bl w:val="nil"/>
            </w:tcBorders>
            <w:vAlign w:val="center"/>
          </w:tcPr>
          <w:p w14:paraId="5FE79D21">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边长5～50km□</w:t>
            </w:r>
          </w:p>
        </w:tc>
        <w:tc>
          <w:tcPr>
            <w:tcW w:w="644" w:type="pct"/>
            <w:gridSpan w:val="3"/>
            <w:tcBorders>
              <w:tl2br w:val="nil"/>
              <w:tr2bl w:val="nil"/>
            </w:tcBorders>
            <w:vAlign w:val="center"/>
          </w:tcPr>
          <w:p w14:paraId="0A98F61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边长=5 km</w:t>
            </w:r>
            <w:r>
              <w:rPr>
                <w:rFonts w:hint="eastAsia" w:ascii="Times New Roman" w:hAnsi="Times New Roman" w:cs="Times New Roman"/>
                <w:color w:val="auto"/>
                <w:sz w:val="21"/>
                <w:szCs w:val="21"/>
                <w:lang w:eastAsia="zh-CN"/>
              </w:rPr>
              <w:t>☑</w:t>
            </w:r>
          </w:p>
        </w:tc>
      </w:tr>
      <w:tr w14:paraId="6966A9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19C522C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874" w:type="pct"/>
            <w:tcBorders>
              <w:tl2br w:val="nil"/>
              <w:tr2bl w:val="nil"/>
            </w:tcBorders>
            <w:vAlign w:val="center"/>
          </w:tcPr>
          <w:p w14:paraId="166F4FA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1"/>
                <w:sz w:val="21"/>
                <w:szCs w:val="21"/>
              </w:rPr>
              <w:t>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 xml:space="preserve"> </w:t>
            </w:r>
            <w:r>
              <w:rPr>
                <w:rFonts w:hint="default" w:ascii="Times New Roman" w:hAnsi="Times New Roman" w:eastAsia="宋体" w:cs="Times New Roman"/>
                <w:color w:val="auto"/>
                <w:position w:val="1"/>
                <w:sz w:val="21"/>
                <w:szCs w:val="21"/>
              </w:rPr>
              <w:t>+NO</w:t>
            </w:r>
            <w:r>
              <w:rPr>
                <w:rFonts w:hint="default" w:ascii="Times New Roman" w:hAnsi="Times New Roman" w:eastAsia="宋体" w:cs="Times New Roman"/>
                <w:i/>
                <w:color w:val="auto"/>
                <w:sz w:val="21"/>
                <w:szCs w:val="21"/>
              </w:rPr>
              <w:t>x</w:t>
            </w:r>
            <w:r>
              <w:rPr>
                <w:rFonts w:hint="default" w:ascii="Times New Roman" w:hAnsi="Times New Roman" w:eastAsia="宋体" w:cs="Times New Roman"/>
                <w:color w:val="auto"/>
                <w:position w:val="1"/>
                <w:sz w:val="21"/>
                <w:szCs w:val="21"/>
              </w:rPr>
              <w:t>排放量</w:t>
            </w:r>
          </w:p>
        </w:tc>
        <w:tc>
          <w:tcPr>
            <w:tcW w:w="1362" w:type="pct"/>
            <w:gridSpan w:val="4"/>
            <w:tcBorders>
              <w:tl2br w:val="nil"/>
              <w:tr2bl w:val="nil"/>
            </w:tcBorders>
            <w:vAlign w:val="center"/>
          </w:tcPr>
          <w:p w14:paraId="7E1E9BE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 2000t/a</w:t>
            </w:r>
            <w:r>
              <w:rPr>
                <w:rFonts w:hint="default" w:ascii="Times New Roman" w:hAnsi="Times New Roman" w:eastAsia="宋体" w:cs="Times New Roman"/>
                <w:color w:val="auto"/>
                <w:sz w:val="21"/>
                <w:szCs w:val="21"/>
                <w:lang w:eastAsia="zh-CN"/>
              </w:rPr>
              <w:t>□</w:t>
            </w:r>
          </w:p>
        </w:tc>
        <w:tc>
          <w:tcPr>
            <w:tcW w:w="1654" w:type="pct"/>
            <w:gridSpan w:val="6"/>
            <w:tcBorders>
              <w:tl2br w:val="nil"/>
              <w:tr2bl w:val="nil"/>
            </w:tcBorders>
            <w:vAlign w:val="center"/>
          </w:tcPr>
          <w:p w14:paraId="1F5FE692">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500~2000t/a□</w:t>
            </w:r>
          </w:p>
        </w:tc>
        <w:tc>
          <w:tcPr>
            <w:tcW w:w="644" w:type="pct"/>
            <w:gridSpan w:val="3"/>
            <w:tcBorders>
              <w:tl2br w:val="nil"/>
              <w:tr2bl w:val="nil"/>
            </w:tcBorders>
            <w:vAlign w:val="center"/>
          </w:tcPr>
          <w:p w14:paraId="6BEC941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＜500t/a</w:t>
            </w:r>
            <w:r>
              <w:rPr>
                <w:rFonts w:hint="default" w:ascii="Times New Roman" w:hAnsi="Times New Roman" w:eastAsia="宋体" w:cs="Times New Roman"/>
                <w:color w:val="auto"/>
                <w:sz w:val="21"/>
                <w:szCs w:val="21"/>
                <w:lang w:eastAsia="zh-CN"/>
              </w:rPr>
              <w:t>□</w:t>
            </w:r>
          </w:p>
        </w:tc>
      </w:tr>
      <w:tr w14:paraId="5E65CF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72BABD0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69B2EF63">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2406" w:type="pct"/>
            <w:gridSpan w:val="7"/>
            <w:tcBorders>
              <w:tl2br w:val="nil"/>
              <w:tr2bl w:val="nil"/>
            </w:tcBorders>
            <w:vAlign w:val="center"/>
          </w:tcPr>
          <w:p w14:paraId="36068974">
            <w:pPr>
              <w:pStyle w:val="32"/>
              <w:keepNext w:val="0"/>
              <w:keepLines w:val="0"/>
              <w:pageBreakBefore w:val="0"/>
              <w:widowControl w:val="0"/>
              <w:suppressLineNumbers w:val="0"/>
              <w:tabs>
                <w:tab w:val="left" w:pos="3078"/>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基本污染物</w:t>
            </w:r>
            <w:r>
              <w:rPr>
                <w:rFonts w:hint="default" w:ascii="Times New Roman" w:hAnsi="Times New Roman" w:eastAsia="宋体" w:cs="Times New Roman"/>
                <w:color w:val="auto"/>
                <w:sz w:val="21"/>
                <w:szCs w:val="21"/>
                <w:vertAlign w:val="baseline"/>
                <w:lang w:eastAsia="zh-CN"/>
              </w:rPr>
              <w:t>（</w:t>
            </w:r>
            <w:r>
              <w:rPr>
                <w:rFonts w:hint="default" w:ascii="Times New Roman" w:hAnsi="Times New Roman" w:eastAsia="宋体" w:cs="Times New Roman"/>
                <w:color w:val="auto"/>
                <w:sz w:val="21"/>
                <w:szCs w:val="21"/>
                <w:vertAlign w:val="baseline"/>
                <w:lang w:val="en-US" w:eastAsia="zh-CN"/>
              </w:rPr>
              <w:t>SO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vertAlign w:val="baseline"/>
                <w:lang w:val="en-US" w:eastAsia="zh-CN"/>
              </w:rPr>
              <w:t>、NO</w:t>
            </w:r>
            <w:r>
              <w:rPr>
                <w:rFonts w:hint="default" w:ascii="Times New Roman" w:hAnsi="Times New Roman" w:eastAsia="宋体" w:cs="Times New Roman"/>
                <w:color w:val="auto"/>
                <w:sz w:val="21"/>
                <w:szCs w:val="21"/>
                <w:vertAlign w:val="subscript"/>
                <w:lang w:val="en-US" w:eastAsia="zh-CN"/>
              </w:rPr>
              <w:t>2</w:t>
            </w:r>
            <w:r>
              <w:rPr>
                <w:rFonts w:hint="default" w:ascii="Times New Roman" w:hAnsi="Times New Roman" w:eastAsia="宋体" w:cs="Times New Roman"/>
                <w:color w:val="auto"/>
                <w:sz w:val="21"/>
                <w:szCs w:val="21"/>
                <w:vertAlign w:val="baseline"/>
                <w:lang w:val="en-US" w:eastAsia="zh-CN"/>
              </w:rPr>
              <w:t>、PM</w:t>
            </w:r>
            <w:r>
              <w:rPr>
                <w:rFonts w:hint="default" w:ascii="Times New Roman" w:hAnsi="Times New Roman" w:eastAsia="宋体" w:cs="Times New Roman"/>
                <w:color w:val="auto"/>
                <w:sz w:val="21"/>
                <w:szCs w:val="21"/>
                <w:vertAlign w:val="subscript"/>
                <w:lang w:val="en-US" w:eastAsia="zh-CN"/>
              </w:rPr>
              <w:t>2.5</w:t>
            </w:r>
            <w:r>
              <w:rPr>
                <w:rFonts w:hint="default" w:ascii="Times New Roman" w:hAnsi="Times New Roman" w:eastAsia="宋体" w:cs="Times New Roman"/>
                <w:color w:val="auto"/>
                <w:sz w:val="21"/>
                <w:szCs w:val="21"/>
                <w:vertAlign w:val="baseline"/>
                <w:lang w:val="en-US" w:eastAsia="zh-CN"/>
              </w:rPr>
              <w:t>、</w:t>
            </w: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10</w:t>
            </w:r>
            <w:r>
              <w:rPr>
                <w:rFonts w:hint="default" w:ascii="Times New Roman" w:hAnsi="Times New Roman" w:eastAsia="宋体" w:cs="Times New Roman"/>
                <w:color w:val="auto"/>
                <w:sz w:val="21"/>
                <w:szCs w:val="21"/>
                <w:vertAlign w:val="baseline"/>
                <w:lang w:val="en-US" w:eastAsia="zh-CN"/>
              </w:rPr>
              <w:t>、CO、O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eastAsia="zh-CN"/>
              </w:rPr>
              <w:t>）</w:t>
            </w:r>
          </w:p>
          <w:p w14:paraId="76F7F584">
            <w:pPr>
              <w:pStyle w:val="32"/>
              <w:keepNext w:val="0"/>
              <w:keepLines w:val="0"/>
              <w:pageBreakBefore w:val="0"/>
              <w:widowControl w:val="0"/>
              <w:suppressLineNumbers w:val="0"/>
              <w:tabs>
                <w:tab w:val="left" w:pos="3078"/>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其他污染物</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TSP</w:t>
            </w:r>
            <w:r>
              <w:rPr>
                <w:rFonts w:hint="default" w:ascii="Times New Roman" w:hAnsi="Times New Roman" w:eastAsia="宋体" w:cs="Times New Roman"/>
                <w:color w:val="auto"/>
                <w:sz w:val="21"/>
                <w:szCs w:val="21"/>
                <w:lang w:eastAsia="zh-CN"/>
              </w:rPr>
              <w:t>）</w:t>
            </w:r>
          </w:p>
        </w:tc>
        <w:tc>
          <w:tcPr>
            <w:tcW w:w="1254" w:type="pct"/>
            <w:gridSpan w:val="6"/>
            <w:tcBorders>
              <w:tl2br w:val="nil"/>
              <w:tr2bl w:val="nil"/>
            </w:tcBorders>
            <w:vAlign w:val="center"/>
          </w:tcPr>
          <w:p w14:paraId="57CD4EC1">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1"/>
                <w:sz w:val="21"/>
                <w:szCs w:val="21"/>
              </w:rPr>
              <w:t>包括二次PM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position w:val="1"/>
                <w:sz w:val="21"/>
                <w:szCs w:val="21"/>
              </w:rPr>
              <w:t>□</w:t>
            </w:r>
          </w:p>
          <w:p w14:paraId="5F5F811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position w:val="1"/>
                <w:sz w:val="21"/>
                <w:szCs w:val="21"/>
              </w:rPr>
              <w:t>不包括二次PM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z w:val="21"/>
                <w:szCs w:val="21"/>
                <w:lang w:eastAsia="zh-CN"/>
              </w:rPr>
              <w:t>□</w:t>
            </w:r>
          </w:p>
        </w:tc>
      </w:tr>
      <w:tr w14:paraId="5CD344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tcBorders>
              <w:tl2br w:val="nil"/>
              <w:tr2bl w:val="nil"/>
            </w:tcBorders>
            <w:vAlign w:val="center"/>
          </w:tcPr>
          <w:p w14:paraId="3D9B46D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评价标准</w:t>
            </w:r>
          </w:p>
        </w:tc>
        <w:tc>
          <w:tcPr>
            <w:tcW w:w="874" w:type="pct"/>
            <w:tcBorders>
              <w:tl2br w:val="nil"/>
              <w:tr2bl w:val="nil"/>
            </w:tcBorders>
            <w:vAlign w:val="center"/>
          </w:tcPr>
          <w:p w14:paraId="31A3A2A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评价标准</w:t>
            </w:r>
          </w:p>
        </w:tc>
        <w:tc>
          <w:tcPr>
            <w:tcW w:w="1362" w:type="pct"/>
            <w:gridSpan w:val="4"/>
            <w:tcBorders>
              <w:tl2br w:val="nil"/>
              <w:tr2bl w:val="nil"/>
            </w:tcBorders>
            <w:vAlign w:val="center"/>
          </w:tcPr>
          <w:p w14:paraId="05BC3ED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国家标准</w:t>
            </w:r>
            <w:r>
              <w:rPr>
                <w:rFonts w:hint="default" w:ascii="Times New Roman" w:hAnsi="Times New Roman" w:eastAsia="宋体" w:cs="Times New Roman"/>
                <w:color w:val="auto"/>
                <w:sz w:val="21"/>
                <w:szCs w:val="21"/>
                <w:lang w:eastAsia="zh-CN"/>
              </w:rPr>
              <w:t>☑</w:t>
            </w:r>
          </w:p>
        </w:tc>
        <w:tc>
          <w:tcPr>
            <w:tcW w:w="1044" w:type="pct"/>
            <w:gridSpan w:val="3"/>
            <w:tcBorders>
              <w:tl2br w:val="nil"/>
              <w:tr2bl w:val="nil"/>
            </w:tcBorders>
            <w:vAlign w:val="center"/>
          </w:tcPr>
          <w:p w14:paraId="20C47A3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地方标准</w:t>
            </w:r>
            <w:r>
              <w:rPr>
                <w:rFonts w:hint="default" w:ascii="Times New Roman" w:hAnsi="Times New Roman" w:eastAsia="宋体" w:cs="Times New Roman"/>
                <w:color w:val="auto"/>
                <w:sz w:val="21"/>
                <w:szCs w:val="21"/>
                <w:lang w:eastAsia="zh-CN"/>
              </w:rPr>
              <w:t>□</w:t>
            </w:r>
          </w:p>
        </w:tc>
        <w:tc>
          <w:tcPr>
            <w:tcW w:w="609" w:type="pct"/>
            <w:gridSpan w:val="3"/>
            <w:tcBorders>
              <w:tl2br w:val="nil"/>
              <w:tr2bl w:val="nil"/>
            </w:tcBorders>
            <w:vAlign w:val="center"/>
          </w:tcPr>
          <w:p w14:paraId="615F5E6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附录D</w:t>
            </w:r>
            <w:r>
              <w:rPr>
                <w:rFonts w:hint="default" w:ascii="Times New Roman" w:hAnsi="Times New Roman" w:eastAsia="宋体" w:cs="Times New Roman"/>
                <w:color w:val="auto"/>
                <w:sz w:val="21"/>
                <w:szCs w:val="21"/>
                <w:lang w:eastAsia="zh-CN"/>
              </w:rPr>
              <w:t>□</w:t>
            </w:r>
          </w:p>
        </w:tc>
        <w:tc>
          <w:tcPr>
            <w:tcW w:w="644" w:type="pct"/>
            <w:gridSpan w:val="3"/>
            <w:tcBorders>
              <w:tl2br w:val="nil"/>
              <w:tr2bl w:val="nil"/>
            </w:tcBorders>
            <w:vAlign w:val="center"/>
          </w:tcPr>
          <w:p w14:paraId="1BF2697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 xml:space="preserve">其他标准 </w:t>
            </w:r>
            <w:r>
              <w:rPr>
                <w:rFonts w:hint="default" w:ascii="Times New Roman" w:hAnsi="Times New Roman" w:eastAsia="宋体" w:cs="Times New Roman"/>
                <w:color w:val="auto"/>
                <w:sz w:val="21"/>
                <w:szCs w:val="21"/>
                <w:lang w:eastAsia="zh-CN"/>
              </w:rPr>
              <w:t>□</w:t>
            </w:r>
          </w:p>
        </w:tc>
      </w:tr>
      <w:tr w14:paraId="3DB391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0BCB8B9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现状评价</w:t>
            </w:r>
          </w:p>
        </w:tc>
        <w:tc>
          <w:tcPr>
            <w:tcW w:w="874" w:type="pct"/>
            <w:tcBorders>
              <w:tl2br w:val="nil"/>
              <w:tr2bl w:val="nil"/>
            </w:tcBorders>
            <w:vAlign w:val="center"/>
          </w:tcPr>
          <w:p w14:paraId="6FEE5E2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环境功能区</w:t>
            </w:r>
          </w:p>
        </w:tc>
        <w:tc>
          <w:tcPr>
            <w:tcW w:w="1362" w:type="pct"/>
            <w:gridSpan w:val="4"/>
            <w:tcBorders>
              <w:tl2br w:val="nil"/>
              <w:tr2bl w:val="nil"/>
            </w:tcBorders>
            <w:vAlign w:val="center"/>
          </w:tcPr>
          <w:p w14:paraId="2FE940A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一类区□</w:t>
            </w:r>
          </w:p>
        </w:tc>
        <w:tc>
          <w:tcPr>
            <w:tcW w:w="1654" w:type="pct"/>
            <w:gridSpan w:val="6"/>
            <w:tcBorders>
              <w:tl2br w:val="nil"/>
              <w:tr2bl w:val="nil"/>
            </w:tcBorders>
            <w:vAlign w:val="center"/>
          </w:tcPr>
          <w:p w14:paraId="7D32123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二类区</w:t>
            </w:r>
            <w:r>
              <w:rPr>
                <w:rFonts w:hint="eastAsia" w:ascii="Times New Roman" w:hAnsi="Times New Roman" w:cs="Times New Roman"/>
                <w:color w:val="auto"/>
                <w:sz w:val="21"/>
                <w:szCs w:val="21"/>
                <w:lang w:eastAsia="zh-CN"/>
              </w:rPr>
              <w:t>☑</w:t>
            </w:r>
          </w:p>
        </w:tc>
        <w:tc>
          <w:tcPr>
            <w:tcW w:w="644" w:type="pct"/>
            <w:gridSpan w:val="3"/>
            <w:tcBorders>
              <w:tl2br w:val="nil"/>
              <w:tr2bl w:val="nil"/>
            </w:tcBorders>
            <w:vAlign w:val="center"/>
          </w:tcPr>
          <w:p w14:paraId="3D1EBA8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highlight w:val="none"/>
              </w:rPr>
              <w:t>一类区和二类区</w:t>
            </w:r>
            <w:r>
              <w:rPr>
                <w:rFonts w:hint="eastAsia" w:ascii="Times New Roman" w:hAnsi="Times New Roman" w:cs="Times New Roman"/>
                <w:color w:val="auto"/>
                <w:sz w:val="21"/>
                <w:szCs w:val="21"/>
                <w:highlight w:val="none"/>
                <w:lang w:eastAsia="zh-CN"/>
              </w:rPr>
              <w:t>□</w:t>
            </w:r>
          </w:p>
        </w:tc>
      </w:tr>
      <w:tr w14:paraId="617878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3A6B34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4933CD8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评价基准年</w:t>
            </w:r>
          </w:p>
        </w:tc>
        <w:tc>
          <w:tcPr>
            <w:tcW w:w="3661" w:type="pct"/>
            <w:gridSpan w:val="13"/>
            <w:tcBorders>
              <w:tl2br w:val="nil"/>
              <w:tr2bl w:val="nil"/>
            </w:tcBorders>
            <w:vAlign w:val="center"/>
          </w:tcPr>
          <w:p w14:paraId="1AE553AD">
            <w:pPr>
              <w:pStyle w:val="32"/>
              <w:keepNext w:val="0"/>
              <w:keepLines w:val="0"/>
              <w:pageBreakBefore w:val="0"/>
              <w:widowControl w:val="0"/>
              <w:suppressLineNumbers w:val="0"/>
              <w:tabs>
                <w:tab w:val="left" w:pos="658"/>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202</w:t>
            </w:r>
            <w:r>
              <w:rPr>
                <w:rFonts w:hint="eastAsia"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）年</w:t>
            </w:r>
          </w:p>
        </w:tc>
      </w:tr>
      <w:tr w14:paraId="7242C8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483A91E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5931341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环境空气质量现状调查数据来源</w:t>
            </w:r>
          </w:p>
        </w:tc>
        <w:tc>
          <w:tcPr>
            <w:tcW w:w="1362" w:type="pct"/>
            <w:gridSpan w:val="4"/>
            <w:tcBorders>
              <w:tl2br w:val="nil"/>
              <w:tr2bl w:val="nil"/>
            </w:tcBorders>
            <w:vAlign w:val="center"/>
          </w:tcPr>
          <w:p w14:paraId="0307AB5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长期例行监测数据□</w:t>
            </w:r>
          </w:p>
        </w:tc>
        <w:tc>
          <w:tcPr>
            <w:tcW w:w="1654" w:type="pct"/>
            <w:gridSpan w:val="6"/>
            <w:tcBorders>
              <w:tl2br w:val="nil"/>
              <w:tr2bl w:val="nil"/>
            </w:tcBorders>
            <w:vAlign w:val="center"/>
          </w:tcPr>
          <w:p w14:paraId="4F451BF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主管部门发布的数据</w:t>
            </w:r>
            <w:r>
              <w:rPr>
                <w:rFonts w:hint="default" w:ascii="Times New Roman" w:hAnsi="Times New Roman" w:eastAsia="宋体" w:cs="Times New Roman"/>
                <w:color w:val="auto"/>
                <w:sz w:val="21"/>
                <w:szCs w:val="21"/>
                <w:lang w:eastAsia="zh-CN"/>
              </w:rPr>
              <w:t>☑</w:t>
            </w:r>
          </w:p>
        </w:tc>
        <w:tc>
          <w:tcPr>
            <w:tcW w:w="644" w:type="pct"/>
            <w:gridSpan w:val="3"/>
            <w:tcBorders>
              <w:tl2br w:val="nil"/>
              <w:tr2bl w:val="nil"/>
            </w:tcBorders>
            <w:vAlign w:val="center"/>
          </w:tcPr>
          <w:p w14:paraId="0377B14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现状补充监测</w:t>
            </w:r>
            <w:r>
              <w:rPr>
                <w:rFonts w:hint="default" w:ascii="Times New Roman" w:hAnsi="Times New Roman" w:eastAsia="宋体" w:cs="Times New Roman"/>
                <w:color w:val="auto"/>
                <w:sz w:val="21"/>
                <w:szCs w:val="21"/>
                <w:lang w:eastAsia="zh-CN"/>
              </w:rPr>
              <w:t>☑</w:t>
            </w:r>
          </w:p>
        </w:tc>
      </w:tr>
      <w:tr w14:paraId="1223C7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1846EC5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7B652C4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现状评价</w:t>
            </w:r>
          </w:p>
        </w:tc>
        <w:tc>
          <w:tcPr>
            <w:tcW w:w="2406" w:type="pct"/>
            <w:gridSpan w:val="7"/>
            <w:tcBorders>
              <w:tl2br w:val="nil"/>
              <w:tr2bl w:val="nil"/>
            </w:tcBorders>
            <w:vAlign w:val="center"/>
          </w:tcPr>
          <w:p w14:paraId="03E2E7C1">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达标区</w:t>
            </w:r>
            <w:r>
              <w:rPr>
                <w:rFonts w:hint="default" w:ascii="Times New Roman" w:hAnsi="Times New Roman" w:cs="Times New Roman"/>
                <w:color w:val="auto"/>
                <w:sz w:val="21"/>
                <w:szCs w:val="21"/>
                <w:lang w:eastAsia="zh-CN"/>
              </w:rPr>
              <w:t>☑</w:t>
            </w:r>
          </w:p>
        </w:tc>
        <w:tc>
          <w:tcPr>
            <w:tcW w:w="1254" w:type="pct"/>
            <w:gridSpan w:val="6"/>
            <w:tcBorders>
              <w:tl2br w:val="nil"/>
              <w:tr2bl w:val="nil"/>
            </w:tcBorders>
            <w:vAlign w:val="center"/>
          </w:tcPr>
          <w:p w14:paraId="6EAD2DE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不达标区</w:t>
            </w:r>
            <w:r>
              <w:rPr>
                <w:rFonts w:hint="default" w:ascii="Times New Roman" w:hAnsi="Times New Roman" w:cs="Times New Roman"/>
                <w:color w:val="auto"/>
                <w:sz w:val="21"/>
                <w:szCs w:val="21"/>
                <w:lang w:eastAsia="zh-CN"/>
              </w:rPr>
              <w:t>□</w:t>
            </w:r>
          </w:p>
        </w:tc>
      </w:tr>
      <w:tr w14:paraId="7F2F65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tcBorders>
              <w:tl2br w:val="nil"/>
              <w:tr2bl w:val="nil"/>
            </w:tcBorders>
            <w:vAlign w:val="center"/>
          </w:tcPr>
          <w:p w14:paraId="7CEFAD6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污染源调查</w:t>
            </w:r>
          </w:p>
        </w:tc>
        <w:tc>
          <w:tcPr>
            <w:tcW w:w="874" w:type="pct"/>
            <w:tcBorders>
              <w:tl2br w:val="nil"/>
              <w:tr2bl w:val="nil"/>
            </w:tcBorders>
            <w:vAlign w:val="center"/>
          </w:tcPr>
          <w:p w14:paraId="6437DC4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调查内容</w:t>
            </w:r>
          </w:p>
        </w:tc>
        <w:tc>
          <w:tcPr>
            <w:tcW w:w="1362" w:type="pct"/>
            <w:gridSpan w:val="4"/>
            <w:tcBorders>
              <w:tl2br w:val="nil"/>
              <w:tr2bl w:val="nil"/>
            </w:tcBorders>
            <w:vAlign w:val="center"/>
          </w:tcPr>
          <w:p w14:paraId="418CE6E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本工程</w:t>
            </w:r>
            <w:r>
              <w:rPr>
                <w:rFonts w:hint="default" w:ascii="Times New Roman" w:hAnsi="Times New Roman" w:eastAsia="宋体" w:cs="Times New Roman"/>
                <w:color w:val="auto"/>
                <w:sz w:val="21"/>
                <w:szCs w:val="21"/>
              </w:rPr>
              <w:t>正常排放源</w:t>
            </w:r>
            <w:r>
              <w:rPr>
                <w:rFonts w:hint="default" w:ascii="Times New Roman" w:hAnsi="Times New Roman" w:eastAsia="宋体" w:cs="Times New Roman"/>
                <w:color w:val="auto"/>
                <w:sz w:val="21"/>
                <w:szCs w:val="21"/>
                <w:lang w:eastAsia="zh-CN"/>
              </w:rPr>
              <w:t>☑</w:t>
            </w:r>
          </w:p>
          <w:p w14:paraId="01F40D1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本工程</w:t>
            </w:r>
            <w:r>
              <w:rPr>
                <w:rFonts w:hint="default" w:ascii="Times New Roman" w:hAnsi="Times New Roman" w:eastAsia="宋体" w:cs="Times New Roman"/>
                <w:color w:val="auto"/>
                <w:sz w:val="21"/>
                <w:szCs w:val="21"/>
              </w:rPr>
              <w:t>非正常排放源</w:t>
            </w:r>
            <w:r>
              <w:rPr>
                <w:rFonts w:hint="default" w:ascii="Times New Roman" w:hAnsi="Times New Roman" w:eastAsia="宋体" w:cs="Times New Roman"/>
                <w:color w:val="auto"/>
                <w:sz w:val="21"/>
                <w:szCs w:val="21"/>
                <w:lang w:eastAsia="zh-CN"/>
              </w:rPr>
              <w:t>□</w:t>
            </w:r>
          </w:p>
          <w:p w14:paraId="4125A4B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现有污染源</w:t>
            </w:r>
            <w:r>
              <w:rPr>
                <w:rFonts w:hint="default" w:ascii="Times New Roman" w:hAnsi="Times New Roman" w:eastAsia="宋体" w:cs="Times New Roman"/>
                <w:color w:val="auto"/>
                <w:sz w:val="21"/>
                <w:szCs w:val="21"/>
                <w:lang w:eastAsia="zh-CN"/>
              </w:rPr>
              <w:t>□</w:t>
            </w:r>
          </w:p>
        </w:tc>
        <w:tc>
          <w:tcPr>
            <w:tcW w:w="1044" w:type="pct"/>
            <w:gridSpan w:val="3"/>
            <w:tcBorders>
              <w:tl2br w:val="nil"/>
              <w:tr2bl w:val="nil"/>
            </w:tcBorders>
            <w:vAlign w:val="center"/>
          </w:tcPr>
          <w:p w14:paraId="4B2C0E9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拟替代的污染源</w:t>
            </w:r>
            <w:r>
              <w:rPr>
                <w:rFonts w:hint="default" w:ascii="Times New Roman" w:hAnsi="Times New Roman" w:eastAsia="宋体" w:cs="Times New Roman"/>
                <w:color w:val="auto"/>
                <w:sz w:val="21"/>
                <w:szCs w:val="21"/>
                <w:lang w:eastAsia="zh-CN"/>
              </w:rPr>
              <w:t>□</w:t>
            </w:r>
          </w:p>
        </w:tc>
        <w:tc>
          <w:tcPr>
            <w:tcW w:w="782" w:type="pct"/>
            <w:gridSpan w:val="4"/>
            <w:tcBorders>
              <w:tl2br w:val="nil"/>
              <w:tr2bl w:val="nil"/>
            </w:tcBorders>
            <w:vAlign w:val="center"/>
          </w:tcPr>
          <w:p w14:paraId="6B2E184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其他在建、拟建项目污染源□</w:t>
            </w:r>
          </w:p>
        </w:tc>
        <w:tc>
          <w:tcPr>
            <w:tcW w:w="472" w:type="pct"/>
            <w:gridSpan w:val="2"/>
            <w:tcBorders>
              <w:tl2br w:val="nil"/>
              <w:tr2bl w:val="nil"/>
            </w:tcBorders>
            <w:vAlign w:val="center"/>
          </w:tcPr>
          <w:p w14:paraId="13E5639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区域污染源□</w:t>
            </w:r>
          </w:p>
        </w:tc>
      </w:tr>
      <w:tr w14:paraId="28C03E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2484A42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大气环境影响预测与评价</w:t>
            </w:r>
          </w:p>
        </w:tc>
        <w:tc>
          <w:tcPr>
            <w:tcW w:w="874" w:type="pct"/>
            <w:tcBorders>
              <w:tl2br w:val="nil"/>
              <w:tr2bl w:val="nil"/>
            </w:tcBorders>
            <w:vAlign w:val="center"/>
          </w:tcPr>
          <w:p w14:paraId="70796A20">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预测模型</w:t>
            </w:r>
          </w:p>
        </w:tc>
        <w:tc>
          <w:tcPr>
            <w:tcW w:w="552" w:type="pct"/>
            <w:tcBorders>
              <w:tl2br w:val="nil"/>
              <w:tr2bl w:val="nil"/>
            </w:tcBorders>
            <w:vAlign w:val="center"/>
          </w:tcPr>
          <w:p w14:paraId="762D01D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AERMOD</w:t>
            </w:r>
          </w:p>
          <w:p w14:paraId="7432B8B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w:t>
            </w:r>
          </w:p>
        </w:tc>
        <w:tc>
          <w:tcPr>
            <w:tcW w:w="370" w:type="pct"/>
            <w:gridSpan w:val="2"/>
            <w:tcBorders>
              <w:tl2br w:val="nil"/>
              <w:tr2bl w:val="nil"/>
            </w:tcBorders>
            <w:vAlign w:val="center"/>
          </w:tcPr>
          <w:p w14:paraId="50FE8601">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ADMS</w:t>
            </w:r>
          </w:p>
          <w:p w14:paraId="269FE66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755" w:type="pct"/>
            <w:gridSpan w:val="2"/>
            <w:tcBorders>
              <w:tl2br w:val="nil"/>
              <w:tr2bl w:val="nil"/>
            </w:tcBorders>
            <w:vAlign w:val="center"/>
          </w:tcPr>
          <w:p w14:paraId="39E546F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AUSTAL2000</w:t>
            </w:r>
          </w:p>
          <w:p w14:paraId="4774612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728" w:type="pct"/>
            <w:gridSpan w:val="2"/>
            <w:tcBorders>
              <w:tl2br w:val="nil"/>
              <w:tr2bl w:val="nil"/>
            </w:tcBorders>
            <w:vAlign w:val="center"/>
          </w:tcPr>
          <w:p w14:paraId="66BB4CEC">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EDMS/AEDT</w:t>
            </w:r>
          </w:p>
          <w:p w14:paraId="328817B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609" w:type="pct"/>
            <w:gridSpan w:val="3"/>
            <w:tcBorders>
              <w:tl2br w:val="nil"/>
              <w:tr2bl w:val="nil"/>
            </w:tcBorders>
            <w:vAlign w:val="center"/>
          </w:tcPr>
          <w:p w14:paraId="4A11164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CALPUFF</w:t>
            </w:r>
          </w:p>
          <w:p w14:paraId="4E2D2395">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329" w:type="pct"/>
            <w:gridSpan w:val="2"/>
            <w:tcBorders>
              <w:tl2br w:val="nil"/>
              <w:tr2bl w:val="nil"/>
            </w:tcBorders>
            <w:vAlign w:val="center"/>
          </w:tcPr>
          <w:p w14:paraId="1012B6D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网格模型</w:t>
            </w:r>
          </w:p>
          <w:p w14:paraId="307BC4C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315" w:type="pct"/>
            <w:tcBorders>
              <w:tl2br w:val="nil"/>
              <w:tr2bl w:val="nil"/>
            </w:tcBorders>
            <w:vAlign w:val="center"/>
          </w:tcPr>
          <w:p w14:paraId="125ED1A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p w14:paraId="2FA7C86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p>
        </w:tc>
      </w:tr>
      <w:tr w14:paraId="3534C4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57A612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66CE6FA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预测范围</w:t>
            </w:r>
          </w:p>
        </w:tc>
        <w:tc>
          <w:tcPr>
            <w:tcW w:w="922" w:type="pct"/>
            <w:gridSpan w:val="3"/>
            <w:tcBorders>
              <w:tl2br w:val="nil"/>
              <w:tr2bl w:val="nil"/>
            </w:tcBorders>
            <w:vAlign w:val="center"/>
          </w:tcPr>
          <w:p w14:paraId="32607FD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 50km□</w:t>
            </w:r>
          </w:p>
        </w:tc>
        <w:tc>
          <w:tcPr>
            <w:tcW w:w="1829" w:type="pct"/>
            <w:gridSpan w:val="5"/>
            <w:tcBorders>
              <w:tl2br w:val="nil"/>
              <w:tr2bl w:val="nil"/>
            </w:tcBorders>
            <w:vAlign w:val="center"/>
          </w:tcPr>
          <w:p w14:paraId="3578C9B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边长 5～50km □</w:t>
            </w:r>
          </w:p>
        </w:tc>
        <w:tc>
          <w:tcPr>
            <w:tcW w:w="909" w:type="pct"/>
            <w:gridSpan w:val="5"/>
            <w:tcBorders>
              <w:tl2br w:val="nil"/>
              <w:tr2bl w:val="nil"/>
            </w:tcBorders>
            <w:vAlign w:val="center"/>
          </w:tcPr>
          <w:p w14:paraId="5AAB801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边长 = 5 km</w:t>
            </w:r>
            <w:r>
              <w:rPr>
                <w:rFonts w:hint="eastAsia" w:ascii="Times New Roman" w:hAnsi="Times New Roman" w:cs="Times New Roman"/>
                <w:color w:val="auto"/>
                <w:sz w:val="21"/>
                <w:szCs w:val="21"/>
                <w:lang w:eastAsia="zh-CN"/>
              </w:rPr>
              <w:t>□</w:t>
            </w:r>
          </w:p>
        </w:tc>
      </w:tr>
      <w:tr w14:paraId="7AE06D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74A2201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7BE15E1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预测因子</w:t>
            </w:r>
          </w:p>
        </w:tc>
        <w:tc>
          <w:tcPr>
            <w:tcW w:w="2279" w:type="pct"/>
            <w:gridSpan w:val="6"/>
            <w:tcBorders>
              <w:tl2br w:val="nil"/>
              <w:tr2bl w:val="nil"/>
            </w:tcBorders>
            <w:vAlign w:val="center"/>
          </w:tcPr>
          <w:p w14:paraId="4203108F">
            <w:pPr>
              <w:pStyle w:val="32"/>
              <w:keepNext w:val="0"/>
              <w:keepLines w:val="0"/>
              <w:pageBreakBefore w:val="0"/>
              <w:widowControl w:val="0"/>
              <w:suppressLineNumbers w:val="0"/>
              <w:tabs>
                <w:tab w:val="left" w:pos="2989"/>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预测因子</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10</w:t>
            </w:r>
            <w:r>
              <w:rPr>
                <w:rFonts w:hint="default" w:ascii="Times New Roman" w:hAnsi="Times New Roman" w:eastAsia="宋体" w:cs="Times New Roman"/>
                <w:color w:val="auto"/>
                <w:sz w:val="21"/>
                <w:szCs w:val="21"/>
                <w:lang w:val="en-US" w:eastAsia="zh-CN"/>
              </w:rPr>
              <w:t>、TSP</w:t>
            </w:r>
            <w:r>
              <w:rPr>
                <w:rFonts w:hint="default" w:ascii="Times New Roman" w:hAnsi="Times New Roman" w:eastAsia="宋体" w:cs="Times New Roman"/>
                <w:color w:val="auto"/>
                <w:sz w:val="21"/>
                <w:szCs w:val="21"/>
                <w:lang w:eastAsia="zh-CN"/>
              </w:rPr>
              <w:t>）</w:t>
            </w:r>
          </w:p>
        </w:tc>
        <w:tc>
          <w:tcPr>
            <w:tcW w:w="1382" w:type="pct"/>
            <w:gridSpan w:val="7"/>
            <w:tcBorders>
              <w:tl2br w:val="nil"/>
              <w:tr2bl w:val="nil"/>
            </w:tcBorders>
            <w:vAlign w:val="center"/>
          </w:tcPr>
          <w:p w14:paraId="17D2F1A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position w:val="1"/>
                <w:sz w:val="21"/>
                <w:szCs w:val="21"/>
              </w:rPr>
              <w:t>包括二次 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pacing w:val="14"/>
                <w:sz w:val="21"/>
                <w:szCs w:val="21"/>
              </w:rPr>
              <w:t xml:space="preserve">  </w:t>
            </w:r>
            <w:r>
              <w:rPr>
                <w:rFonts w:hint="default" w:ascii="Times New Roman" w:hAnsi="Times New Roman" w:eastAsia="宋体" w:cs="Times New Roman"/>
                <w:color w:val="auto"/>
                <w:position w:val="1"/>
                <w:sz w:val="21"/>
                <w:szCs w:val="21"/>
              </w:rPr>
              <w:t>□</w:t>
            </w:r>
          </w:p>
          <w:p w14:paraId="0893B8AB">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position w:val="1"/>
                <w:sz w:val="21"/>
                <w:szCs w:val="21"/>
              </w:rPr>
              <w:t>不包括二次 PM</w:t>
            </w:r>
            <w:r>
              <w:rPr>
                <w:rFonts w:hint="default" w:ascii="Times New Roman" w:hAnsi="Times New Roman" w:eastAsia="宋体" w:cs="Times New Roman"/>
                <w:color w:val="auto"/>
                <w:sz w:val="21"/>
                <w:szCs w:val="21"/>
                <w:vertAlign w:val="subscript"/>
              </w:rPr>
              <w:t>2.5</w:t>
            </w:r>
            <w:r>
              <w:rPr>
                <w:rFonts w:hint="default" w:ascii="Times New Roman" w:hAnsi="Times New Roman" w:eastAsia="宋体" w:cs="Times New Roman"/>
                <w:color w:val="auto"/>
                <w:spacing w:val="14"/>
                <w:sz w:val="21"/>
                <w:szCs w:val="21"/>
              </w:rPr>
              <w:t xml:space="preserve"> </w:t>
            </w:r>
            <w:r>
              <w:rPr>
                <w:rFonts w:hint="default" w:ascii="Times New Roman" w:hAnsi="Times New Roman" w:cs="Times New Roman"/>
                <w:color w:val="auto"/>
                <w:sz w:val="21"/>
                <w:szCs w:val="21"/>
                <w:lang w:eastAsia="zh-CN"/>
              </w:rPr>
              <w:t>□</w:t>
            </w:r>
          </w:p>
        </w:tc>
      </w:tr>
      <w:tr w14:paraId="0A6538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7382444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37C8E18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正常排放短期浓度</w:t>
            </w:r>
          </w:p>
          <w:p w14:paraId="5F0560C2">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贡献值</w:t>
            </w:r>
          </w:p>
        </w:tc>
        <w:tc>
          <w:tcPr>
            <w:tcW w:w="2279" w:type="pct"/>
            <w:gridSpan w:val="6"/>
            <w:tcBorders>
              <w:tl2br w:val="nil"/>
              <w:tr2bl w:val="nil"/>
            </w:tcBorders>
            <w:vAlign w:val="center"/>
          </w:tcPr>
          <w:p w14:paraId="3A63752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最大占标率≤100%</w:t>
            </w:r>
            <w:r>
              <w:rPr>
                <w:rFonts w:hint="default" w:ascii="Times New Roman" w:hAnsi="Times New Roman" w:eastAsia="宋体" w:cs="Times New Roman"/>
                <w:color w:val="auto"/>
                <w:sz w:val="21"/>
                <w:szCs w:val="21"/>
                <w:lang w:eastAsia="zh-CN"/>
              </w:rPr>
              <w:t>□</w:t>
            </w:r>
          </w:p>
        </w:tc>
        <w:tc>
          <w:tcPr>
            <w:tcW w:w="1382" w:type="pct"/>
            <w:gridSpan w:val="7"/>
            <w:tcBorders>
              <w:tl2br w:val="nil"/>
              <w:tr2bl w:val="nil"/>
            </w:tcBorders>
            <w:vAlign w:val="center"/>
          </w:tcPr>
          <w:p w14:paraId="60EC040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最大占标率＞100% □</w:t>
            </w:r>
          </w:p>
        </w:tc>
      </w:tr>
      <w:tr w14:paraId="11A1A0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6A62C77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vMerge w:val="restart"/>
            <w:tcBorders>
              <w:tl2br w:val="nil"/>
              <w:tr2bl w:val="nil"/>
            </w:tcBorders>
            <w:vAlign w:val="center"/>
          </w:tcPr>
          <w:p w14:paraId="06126CE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正常排放年均浓度贡献值</w:t>
            </w:r>
          </w:p>
        </w:tc>
        <w:tc>
          <w:tcPr>
            <w:tcW w:w="552" w:type="pct"/>
            <w:tcBorders>
              <w:tl2br w:val="nil"/>
              <w:tr2bl w:val="nil"/>
            </w:tcBorders>
            <w:vAlign w:val="center"/>
          </w:tcPr>
          <w:p w14:paraId="3B54094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一类区</w:t>
            </w:r>
          </w:p>
        </w:tc>
        <w:tc>
          <w:tcPr>
            <w:tcW w:w="1726" w:type="pct"/>
            <w:gridSpan w:val="5"/>
            <w:tcBorders>
              <w:tl2br w:val="nil"/>
              <w:tr2bl w:val="nil"/>
            </w:tcBorders>
            <w:vAlign w:val="center"/>
          </w:tcPr>
          <w:p w14:paraId="7A882D1E">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最大占标率≤10%□</w:t>
            </w:r>
          </w:p>
        </w:tc>
        <w:tc>
          <w:tcPr>
            <w:tcW w:w="1382" w:type="pct"/>
            <w:gridSpan w:val="7"/>
            <w:tcBorders>
              <w:tl2br w:val="nil"/>
              <w:tr2bl w:val="nil"/>
            </w:tcBorders>
            <w:vAlign w:val="center"/>
          </w:tcPr>
          <w:p w14:paraId="6D74FC8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最大标率＞10% □</w:t>
            </w:r>
          </w:p>
        </w:tc>
      </w:tr>
      <w:tr w14:paraId="340781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0695601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vMerge w:val="continue"/>
            <w:tcBorders>
              <w:tl2br w:val="nil"/>
              <w:tr2bl w:val="nil"/>
            </w:tcBorders>
            <w:vAlign w:val="center"/>
          </w:tcPr>
          <w:p w14:paraId="4DFD1F6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552" w:type="pct"/>
            <w:tcBorders>
              <w:tl2br w:val="nil"/>
              <w:tr2bl w:val="nil"/>
            </w:tcBorders>
            <w:vAlign w:val="center"/>
          </w:tcPr>
          <w:p w14:paraId="17E5D979">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二类区</w:t>
            </w:r>
          </w:p>
        </w:tc>
        <w:tc>
          <w:tcPr>
            <w:tcW w:w="1726" w:type="pct"/>
            <w:gridSpan w:val="5"/>
            <w:tcBorders>
              <w:tl2br w:val="nil"/>
              <w:tr2bl w:val="nil"/>
            </w:tcBorders>
            <w:vAlign w:val="center"/>
          </w:tcPr>
          <w:p w14:paraId="1DA444B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最大占标率≤30%□</w:t>
            </w:r>
          </w:p>
        </w:tc>
        <w:tc>
          <w:tcPr>
            <w:tcW w:w="1382" w:type="pct"/>
            <w:gridSpan w:val="7"/>
            <w:tcBorders>
              <w:tl2br w:val="nil"/>
              <w:tr2bl w:val="nil"/>
            </w:tcBorders>
            <w:vAlign w:val="center"/>
          </w:tcPr>
          <w:p w14:paraId="5C023011">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lang w:eastAsia="zh-CN"/>
              </w:rPr>
              <w:t>本工程</w:t>
            </w:r>
            <w:r>
              <w:rPr>
                <w:rFonts w:hint="default" w:ascii="Times New Roman" w:hAnsi="Times New Roman" w:eastAsia="宋体" w:cs="Times New Roman"/>
                <w:color w:val="auto"/>
                <w:sz w:val="21"/>
                <w:szCs w:val="21"/>
              </w:rPr>
              <w:t>最大标率＞30% □</w:t>
            </w:r>
          </w:p>
        </w:tc>
      </w:tr>
      <w:tr w14:paraId="2ADEE4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05E5C5C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6E8655E2">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非正常排放1h浓度贡献值</w:t>
            </w:r>
          </w:p>
        </w:tc>
        <w:tc>
          <w:tcPr>
            <w:tcW w:w="764" w:type="pct"/>
            <w:gridSpan w:val="2"/>
            <w:tcBorders>
              <w:tl2br w:val="nil"/>
              <w:tr2bl w:val="nil"/>
            </w:tcBorders>
            <w:vAlign w:val="center"/>
          </w:tcPr>
          <w:p w14:paraId="2D9E64B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非正常持续时长（</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）h</w:t>
            </w:r>
          </w:p>
        </w:tc>
        <w:tc>
          <w:tcPr>
            <w:tcW w:w="1514" w:type="pct"/>
            <w:gridSpan w:val="4"/>
            <w:tcBorders>
              <w:tl2br w:val="nil"/>
              <w:tr2bl w:val="nil"/>
            </w:tcBorders>
            <w:vAlign w:val="center"/>
          </w:tcPr>
          <w:p w14:paraId="5489432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rPr>
              <w:t>非正常</w:t>
            </w:r>
            <w:r>
              <w:rPr>
                <w:rFonts w:hint="default" w:ascii="Times New Roman" w:hAnsi="Times New Roman" w:eastAsia="宋体" w:cs="Times New Roman"/>
                <w:color w:val="auto"/>
                <w:sz w:val="21"/>
                <w:szCs w:val="21"/>
              </w:rPr>
              <w:t>占标率≤100%□</w:t>
            </w:r>
          </w:p>
        </w:tc>
        <w:tc>
          <w:tcPr>
            <w:tcW w:w="1382" w:type="pct"/>
            <w:gridSpan w:val="7"/>
            <w:tcBorders>
              <w:tl2br w:val="nil"/>
              <w:tr2bl w:val="nil"/>
            </w:tcBorders>
            <w:vAlign w:val="center"/>
          </w:tcPr>
          <w:p w14:paraId="2E629630">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rPr>
              <w:t>非正常</w:t>
            </w:r>
            <w:r>
              <w:rPr>
                <w:rFonts w:hint="default" w:ascii="Times New Roman" w:hAnsi="Times New Roman" w:eastAsia="宋体" w:cs="Times New Roman"/>
                <w:color w:val="auto"/>
                <w:sz w:val="21"/>
                <w:szCs w:val="21"/>
              </w:rPr>
              <w:t>占标率＞100%□</w:t>
            </w:r>
          </w:p>
        </w:tc>
      </w:tr>
      <w:tr w14:paraId="0198FC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765991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1C523982">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保证率日平均浓度和年平均浓度叠加值</w:t>
            </w:r>
          </w:p>
        </w:tc>
        <w:tc>
          <w:tcPr>
            <w:tcW w:w="1678" w:type="pct"/>
            <w:gridSpan w:val="5"/>
            <w:tcBorders>
              <w:tl2br w:val="nil"/>
              <w:tr2bl w:val="nil"/>
            </w:tcBorders>
            <w:vAlign w:val="center"/>
          </w:tcPr>
          <w:p w14:paraId="412784A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rPr>
              <w:t>叠加</w:t>
            </w:r>
            <w:r>
              <w:rPr>
                <w:rFonts w:hint="default" w:ascii="Times New Roman" w:hAnsi="Times New Roman" w:eastAsia="宋体" w:cs="Times New Roman"/>
                <w:color w:val="auto"/>
                <w:sz w:val="21"/>
                <w:szCs w:val="21"/>
              </w:rPr>
              <w:t>达标 □</w:t>
            </w:r>
          </w:p>
        </w:tc>
        <w:tc>
          <w:tcPr>
            <w:tcW w:w="1983" w:type="pct"/>
            <w:gridSpan w:val="8"/>
            <w:tcBorders>
              <w:tl2br w:val="nil"/>
              <w:tr2bl w:val="nil"/>
            </w:tcBorders>
            <w:vAlign w:val="center"/>
          </w:tcPr>
          <w:p w14:paraId="052C194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w:t>
            </w:r>
            <w:r>
              <w:rPr>
                <w:rFonts w:hint="default" w:ascii="Times New Roman" w:hAnsi="Times New Roman" w:eastAsia="宋体" w:cs="Times New Roman"/>
                <w:color w:val="auto"/>
                <w:position w:val="-5"/>
                <w:sz w:val="21"/>
                <w:szCs w:val="21"/>
              </w:rPr>
              <w:t>叠加</w:t>
            </w:r>
            <w:r>
              <w:rPr>
                <w:rFonts w:hint="default" w:ascii="Times New Roman" w:hAnsi="Times New Roman" w:eastAsia="宋体" w:cs="Times New Roman"/>
                <w:color w:val="auto"/>
                <w:sz w:val="21"/>
                <w:szCs w:val="21"/>
              </w:rPr>
              <w:t>不达标 □</w:t>
            </w:r>
          </w:p>
        </w:tc>
      </w:tr>
      <w:tr w14:paraId="7A671B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446C546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448E1E2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区域环境质量的整体变化情况</w:t>
            </w:r>
          </w:p>
        </w:tc>
        <w:tc>
          <w:tcPr>
            <w:tcW w:w="1678" w:type="pct"/>
            <w:gridSpan w:val="5"/>
            <w:tcBorders>
              <w:tl2br w:val="nil"/>
              <w:tr2bl w:val="nil"/>
            </w:tcBorders>
            <w:vAlign w:val="center"/>
          </w:tcPr>
          <w:p w14:paraId="6B1296D7">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color w:val="auto"/>
                <w:sz w:val="21"/>
                <w:szCs w:val="21"/>
              </w:rPr>
              <w:t>k</w:t>
            </w:r>
            <w:r>
              <w:rPr>
                <w:rFonts w:hint="default" w:ascii="Times New Roman" w:hAnsi="Times New Roman" w:eastAsia="宋体" w:cs="Times New Roman"/>
                <w:color w:val="auto"/>
                <w:sz w:val="21"/>
                <w:szCs w:val="21"/>
              </w:rPr>
              <w:t>≤-20% □</w:t>
            </w:r>
          </w:p>
        </w:tc>
        <w:tc>
          <w:tcPr>
            <w:tcW w:w="1983" w:type="pct"/>
            <w:gridSpan w:val="8"/>
            <w:tcBorders>
              <w:tl2br w:val="nil"/>
              <w:tr2bl w:val="nil"/>
            </w:tcBorders>
            <w:vAlign w:val="center"/>
          </w:tcPr>
          <w:p w14:paraId="702E5D4F">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i/>
                <w:color w:val="auto"/>
                <w:sz w:val="21"/>
                <w:szCs w:val="21"/>
              </w:rPr>
              <w:t>k</w:t>
            </w:r>
            <w:r>
              <w:rPr>
                <w:rFonts w:hint="default" w:ascii="Times New Roman" w:hAnsi="Times New Roman" w:eastAsia="宋体" w:cs="Times New Roman"/>
                <w:color w:val="auto"/>
                <w:sz w:val="21"/>
                <w:szCs w:val="21"/>
              </w:rPr>
              <w:t>＞-20% □</w:t>
            </w:r>
          </w:p>
        </w:tc>
      </w:tr>
      <w:tr w14:paraId="36299D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3E4A66F3">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环境监测计划</w:t>
            </w:r>
          </w:p>
        </w:tc>
        <w:tc>
          <w:tcPr>
            <w:tcW w:w="874" w:type="pct"/>
            <w:tcBorders>
              <w:tl2br w:val="nil"/>
              <w:tr2bl w:val="nil"/>
            </w:tcBorders>
            <w:vAlign w:val="center"/>
          </w:tcPr>
          <w:p w14:paraId="14A2BC58">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污染源监测</w:t>
            </w:r>
          </w:p>
        </w:tc>
        <w:tc>
          <w:tcPr>
            <w:tcW w:w="1678" w:type="pct"/>
            <w:gridSpan w:val="5"/>
            <w:tcBorders>
              <w:tl2br w:val="nil"/>
              <w:tr2bl w:val="nil"/>
            </w:tcBorders>
            <w:vAlign w:val="center"/>
          </w:tcPr>
          <w:p w14:paraId="11429CF7">
            <w:pPr>
              <w:pStyle w:val="32"/>
              <w:keepNext w:val="0"/>
              <w:keepLines w:val="0"/>
              <w:pageBreakBefore w:val="0"/>
              <w:widowControl w:val="0"/>
              <w:suppressLineNumbers w:val="0"/>
              <w:tabs>
                <w:tab w:val="left" w:pos="2466"/>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监测因子</w:t>
            </w:r>
            <w:r>
              <w:rPr>
                <w:rFonts w:hint="default" w:ascii="Times New Roman" w:hAnsi="Times New Roman" w:eastAsia="宋体" w:cs="Times New Roman"/>
                <w:color w:val="auto"/>
                <w:spacing w:val="-92"/>
                <w:sz w:val="21"/>
                <w:szCs w:val="21"/>
              </w:rPr>
              <w:t>：</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TSP</w:t>
            </w:r>
            <w:r>
              <w:rPr>
                <w:rFonts w:hint="default" w:ascii="Times New Roman" w:hAnsi="Times New Roman" w:eastAsia="宋体" w:cs="Times New Roman"/>
                <w:color w:val="auto"/>
                <w:sz w:val="21"/>
                <w:szCs w:val="21"/>
              </w:rPr>
              <w:t>）</w:t>
            </w:r>
          </w:p>
        </w:tc>
        <w:tc>
          <w:tcPr>
            <w:tcW w:w="1510" w:type="pct"/>
            <w:gridSpan w:val="6"/>
            <w:tcBorders>
              <w:tl2br w:val="nil"/>
              <w:tr2bl w:val="nil"/>
            </w:tcBorders>
            <w:vAlign w:val="center"/>
          </w:tcPr>
          <w:p w14:paraId="15C89AC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有组织废气监测</w:t>
            </w:r>
            <w:r>
              <w:rPr>
                <w:rFonts w:hint="eastAsia" w:ascii="Times New Roman" w:hAnsi="Times New Roman" w:cs="Times New Roman"/>
                <w:color w:val="auto"/>
                <w:sz w:val="21"/>
                <w:szCs w:val="21"/>
                <w:lang w:eastAsia="zh-CN"/>
              </w:rPr>
              <w:t>□</w:t>
            </w:r>
          </w:p>
          <w:p w14:paraId="296076B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无组织废气监测</w:t>
            </w:r>
            <w:r>
              <w:rPr>
                <w:rFonts w:hint="default" w:ascii="Times New Roman" w:hAnsi="Times New Roman" w:eastAsia="宋体" w:cs="Times New Roman"/>
                <w:color w:val="auto"/>
                <w:sz w:val="21"/>
                <w:szCs w:val="21"/>
                <w:lang w:eastAsia="zh-CN"/>
              </w:rPr>
              <w:t>☑</w:t>
            </w:r>
          </w:p>
        </w:tc>
        <w:tc>
          <w:tcPr>
            <w:tcW w:w="472" w:type="pct"/>
            <w:gridSpan w:val="2"/>
            <w:tcBorders>
              <w:tl2br w:val="nil"/>
              <w:tr2bl w:val="nil"/>
            </w:tcBorders>
            <w:vAlign w:val="center"/>
          </w:tcPr>
          <w:p w14:paraId="4E058B3A">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无监测□</w:t>
            </w:r>
          </w:p>
        </w:tc>
      </w:tr>
      <w:tr w14:paraId="2A4539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6675DE3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43BF997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环境质量监测</w:t>
            </w:r>
          </w:p>
        </w:tc>
        <w:tc>
          <w:tcPr>
            <w:tcW w:w="1678" w:type="pct"/>
            <w:gridSpan w:val="5"/>
            <w:tcBorders>
              <w:tl2br w:val="nil"/>
              <w:tr2bl w:val="nil"/>
            </w:tcBorders>
            <w:vAlign w:val="center"/>
          </w:tcPr>
          <w:p w14:paraId="46DCA1EC">
            <w:pPr>
              <w:pStyle w:val="32"/>
              <w:keepNext w:val="0"/>
              <w:keepLines w:val="0"/>
              <w:pageBreakBefore w:val="0"/>
              <w:widowControl w:val="0"/>
              <w:suppressLineNumbers w:val="0"/>
              <w:tabs>
                <w:tab w:val="left" w:pos="2466"/>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监测因子</w:t>
            </w:r>
            <w:r>
              <w:rPr>
                <w:rFonts w:hint="default" w:ascii="Times New Roman" w:hAnsi="Times New Roman" w:eastAsia="宋体" w:cs="Times New Roman"/>
                <w:color w:val="auto"/>
                <w:spacing w:val="-92"/>
                <w:sz w:val="21"/>
                <w:szCs w:val="21"/>
              </w:rPr>
              <w:t>：</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TSP</w:t>
            </w:r>
            <w:r>
              <w:rPr>
                <w:rFonts w:hint="default" w:ascii="Times New Roman" w:hAnsi="Times New Roman" w:eastAsia="宋体" w:cs="Times New Roman"/>
                <w:color w:val="auto"/>
                <w:sz w:val="21"/>
                <w:szCs w:val="21"/>
              </w:rPr>
              <w:t>）</w:t>
            </w:r>
          </w:p>
        </w:tc>
        <w:tc>
          <w:tcPr>
            <w:tcW w:w="1510" w:type="pct"/>
            <w:gridSpan w:val="6"/>
            <w:tcBorders>
              <w:tl2br w:val="nil"/>
              <w:tr2bl w:val="nil"/>
            </w:tcBorders>
            <w:vAlign w:val="center"/>
          </w:tcPr>
          <w:p w14:paraId="19A30B1F">
            <w:pPr>
              <w:pStyle w:val="32"/>
              <w:keepNext w:val="0"/>
              <w:keepLines w:val="0"/>
              <w:pageBreakBefore w:val="0"/>
              <w:widowControl w:val="0"/>
              <w:suppressLineNumbers w:val="0"/>
              <w:tabs>
                <w:tab w:val="left" w:pos="1928"/>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监测点位数（</w:t>
            </w:r>
            <w:r>
              <w:rPr>
                <w:rFonts w:hint="eastAsia"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w:t>
            </w:r>
          </w:p>
        </w:tc>
        <w:tc>
          <w:tcPr>
            <w:tcW w:w="472" w:type="pct"/>
            <w:gridSpan w:val="2"/>
            <w:tcBorders>
              <w:tl2br w:val="nil"/>
              <w:tr2bl w:val="nil"/>
            </w:tcBorders>
            <w:vAlign w:val="center"/>
          </w:tcPr>
          <w:p w14:paraId="2934D9D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无监测□</w:t>
            </w:r>
          </w:p>
        </w:tc>
      </w:tr>
      <w:tr w14:paraId="4E28E3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restart"/>
            <w:tcBorders>
              <w:tl2br w:val="nil"/>
              <w:tr2bl w:val="nil"/>
            </w:tcBorders>
            <w:vAlign w:val="center"/>
          </w:tcPr>
          <w:p w14:paraId="412B6524">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评价结论</w:t>
            </w:r>
          </w:p>
        </w:tc>
        <w:tc>
          <w:tcPr>
            <w:tcW w:w="874" w:type="pct"/>
            <w:tcBorders>
              <w:tl2br w:val="nil"/>
              <w:tr2bl w:val="nil"/>
            </w:tcBorders>
            <w:vAlign w:val="center"/>
          </w:tcPr>
          <w:p w14:paraId="52E3256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环境影响</w:t>
            </w:r>
          </w:p>
        </w:tc>
        <w:tc>
          <w:tcPr>
            <w:tcW w:w="3661" w:type="pct"/>
            <w:gridSpan w:val="13"/>
            <w:tcBorders>
              <w:tl2br w:val="nil"/>
              <w:tr2bl w:val="nil"/>
            </w:tcBorders>
            <w:vAlign w:val="center"/>
          </w:tcPr>
          <w:p w14:paraId="13957A9B">
            <w:pPr>
              <w:pStyle w:val="32"/>
              <w:keepNext w:val="0"/>
              <w:keepLines w:val="0"/>
              <w:pageBreakBefore w:val="0"/>
              <w:widowControl w:val="0"/>
              <w:suppressLineNumbers w:val="0"/>
              <w:tabs>
                <w:tab w:val="left" w:pos="3582"/>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可以接受</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ab/>
            </w:r>
            <w:r>
              <w:rPr>
                <w:rFonts w:hint="default" w:ascii="Times New Roman" w:hAnsi="Times New Roman" w:eastAsia="宋体" w:cs="Times New Roman"/>
                <w:color w:val="auto"/>
                <w:sz w:val="21"/>
                <w:szCs w:val="21"/>
              </w:rPr>
              <w:t>不可以</w:t>
            </w:r>
            <w:r>
              <w:rPr>
                <w:rFonts w:hint="default" w:ascii="Times New Roman" w:hAnsi="Times New Roman" w:eastAsia="宋体" w:cs="Times New Roman"/>
                <w:color w:val="auto"/>
                <w:spacing w:val="-3"/>
                <w:sz w:val="21"/>
                <w:szCs w:val="21"/>
              </w:rPr>
              <w:t>接</w:t>
            </w:r>
            <w:r>
              <w:rPr>
                <w:rFonts w:hint="default" w:ascii="Times New Roman" w:hAnsi="Times New Roman" w:eastAsia="宋体" w:cs="Times New Roman"/>
                <w:color w:val="auto"/>
                <w:sz w:val="21"/>
                <w:szCs w:val="21"/>
              </w:rPr>
              <w:t>受□</w:t>
            </w:r>
          </w:p>
        </w:tc>
      </w:tr>
      <w:tr w14:paraId="37FA3B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3DC149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p>
        </w:tc>
        <w:tc>
          <w:tcPr>
            <w:tcW w:w="874" w:type="pct"/>
            <w:tcBorders>
              <w:tl2br w:val="nil"/>
              <w:tr2bl w:val="nil"/>
            </w:tcBorders>
            <w:vAlign w:val="center"/>
          </w:tcPr>
          <w:p w14:paraId="7DF52B5D">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大气环境防护距离</w:t>
            </w:r>
          </w:p>
        </w:tc>
        <w:tc>
          <w:tcPr>
            <w:tcW w:w="3661" w:type="pct"/>
            <w:gridSpan w:val="13"/>
            <w:tcBorders>
              <w:tl2br w:val="nil"/>
              <w:tr2bl w:val="nil"/>
            </w:tcBorders>
            <w:vAlign w:val="center"/>
          </w:tcPr>
          <w:p w14:paraId="58C1BE54">
            <w:pPr>
              <w:pStyle w:val="32"/>
              <w:keepNext w:val="0"/>
              <w:keepLines w:val="0"/>
              <w:pageBreakBefore w:val="0"/>
              <w:widowControl w:val="0"/>
              <w:suppressLineNumbers w:val="0"/>
              <w:tabs>
                <w:tab w:val="left" w:pos="2840"/>
                <w:tab w:val="left" w:pos="4367"/>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距（）厂界最远（）m</w:t>
            </w:r>
          </w:p>
        </w:tc>
      </w:tr>
      <w:tr w14:paraId="06EDFF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4" w:type="pct"/>
            <w:vMerge w:val="continue"/>
            <w:tcBorders>
              <w:tl2br w:val="nil"/>
              <w:tr2bl w:val="nil"/>
            </w:tcBorders>
            <w:vAlign w:val="center"/>
          </w:tcPr>
          <w:p w14:paraId="53636C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874" w:type="pct"/>
            <w:tcBorders>
              <w:tl2br w:val="nil"/>
              <w:tr2bl w:val="nil"/>
            </w:tcBorders>
            <w:vAlign w:val="center"/>
          </w:tcPr>
          <w:p w14:paraId="1CE4ED66">
            <w:pPr>
              <w:pStyle w:val="32"/>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污染源年排放量</w:t>
            </w:r>
          </w:p>
        </w:tc>
        <w:tc>
          <w:tcPr>
            <w:tcW w:w="764" w:type="pct"/>
            <w:gridSpan w:val="2"/>
            <w:tcBorders>
              <w:tl2br w:val="nil"/>
              <w:tr2bl w:val="nil"/>
            </w:tcBorders>
            <w:vAlign w:val="center"/>
          </w:tcPr>
          <w:p w14:paraId="204E83CD">
            <w:pPr>
              <w:pStyle w:val="32"/>
              <w:keepNext w:val="0"/>
              <w:keepLines w:val="0"/>
              <w:pageBreakBefore w:val="0"/>
              <w:widowControl w:val="0"/>
              <w:suppressLineNumbers w:val="0"/>
              <w:tabs>
                <w:tab w:val="left" w:pos="1129"/>
              </w:tabs>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position w:val="1"/>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position w:val="1"/>
                <w:sz w:val="21"/>
                <w:szCs w:val="21"/>
                <w:highlight w:val="none"/>
                <w:lang w:eastAsia="zh-CN"/>
              </w:rPr>
              <w:t>：</w:t>
            </w:r>
            <w:r>
              <w:rPr>
                <w:rFonts w:hint="default" w:ascii="Times New Roman" w:hAnsi="Times New Roman" w:eastAsia="宋体" w:cs="Times New Roman"/>
                <w:color w:val="auto"/>
                <w:position w:val="1"/>
                <w:sz w:val="21"/>
                <w:szCs w:val="21"/>
                <w:highlight w:val="none"/>
              </w:rPr>
              <w:t>（</w:t>
            </w:r>
            <w:r>
              <w:rPr>
                <w:rFonts w:hint="default" w:ascii="Times New Roman" w:hAnsi="Times New Roman" w:eastAsia="宋体" w:cs="Times New Roman"/>
                <w:color w:val="auto"/>
                <w:position w:val="1"/>
                <w:sz w:val="21"/>
                <w:szCs w:val="21"/>
                <w:highlight w:val="none"/>
                <w:lang w:val="en-US" w:eastAsia="zh-CN"/>
              </w:rPr>
              <w:t>/</w:t>
            </w:r>
            <w:r>
              <w:rPr>
                <w:rFonts w:hint="default" w:ascii="Times New Roman" w:hAnsi="Times New Roman" w:eastAsia="宋体" w:cs="Times New Roman"/>
                <w:color w:val="auto"/>
                <w:position w:val="1"/>
                <w:sz w:val="21"/>
                <w:szCs w:val="21"/>
                <w:highlight w:val="none"/>
              </w:rPr>
              <w:t>）t/a</w:t>
            </w:r>
          </w:p>
        </w:tc>
        <w:tc>
          <w:tcPr>
            <w:tcW w:w="913" w:type="pct"/>
            <w:gridSpan w:val="3"/>
            <w:tcBorders>
              <w:tl2br w:val="nil"/>
              <w:tr2bl w:val="nil"/>
            </w:tcBorders>
            <w:vAlign w:val="center"/>
          </w:tcPr>
          <w:p w14:paraId="2FAC8BB5">
            <w:pPr>
              <w:pStyle w:val="32"/>
              <w:keepNext w:val="0"/>
              <w:keepLines w:val="0"/>
              <w:pageBreakBefore w:val="0"/>
              <w:widowControl w:val="0"/>
              <w:suppressLineNumbers w:val="0"/>
              <w:tabs>
                <w:tab w:val="left" w:pos="1181"/>
              </w:tabs>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position w:val="1"/>
                <w:sz w:val="21"/>
                <w:szCs w:val="21"/>
                <w:highlight w:val="none"/>
              </w:rPr>
              <w:t>NO</w:t>
            </w:r>
            <w:r>
              <w:rPr>
                <w:rFonts w:hint="default" w:ascii="Times New Roman" w:hAnsi="Times New Roman" w:eastAsia="宋体" w:cs="Times New Roman"/>
                <w:color w:val="auto"/>
                <w:sz w:val="21"/>
                <w:szCs w:val="21"/>
                <w:highlight w:val="none"/>
              </w:rPr>
              <w:t>x</w:t>
            </w:r>
            <w:r>
              <w:rPr>
                <w:rFonts w:hint="default" w:ascii="Times New Roman" w:hAnsi="Times New Roman" w:eastAsia="宋体" w:cs="Times New Roman"/>
                <w:color w:val="auto"/>
                <w:position w:val="1"/>
                <w:sz w:val="21"/>
                <w:szCs w:val="21"/>
                <w:highlight w:val="none"/>
                <w:lang w:eastAsia="zh-CN"/>
              </w:rPr>
              <w:t>：</w:t>
            </w:r>
            <w:r>
              <w:rPr>
                <w:rFonts w:hint="default" w:ascii="Times New Roman" w:hAnsi="Times New Roman" w:eastAsia="宋体" w:cs="Times New Roman"/>
                <w:color w:val="auto"/>
                <w:position w:val="1"/>
                <w:sz w:val="21"/>
                <w:szCs w:val="21"/>
                <w:highlight w:val="none"/>
              </w:rPr>
              <w:t>（</w:t>
            </w:r>
            <w:r>
              <w:rPr>
                <w:rFonts w:hint="default" w:ascii="Times New Roman" w:hAnsi="Times New Roman" w:eastAsia="宋体" w:cs="Times New Roman"/>
                <w:color w:val="auto"/>
                <w:position w:val="1"/>
                <w:sz w:val="21"/>
                <w:szCs w:val="21"/>
                <w:highlight w:val="none"/>
                <w:lang w:val="en-US" w:eastAsia="zh-CN"/>
              </w:rPr>
              <w:t>/</w:t>
            </w:r>
            <w:r>
              <w:rPr>
                <w:rFonts w:hint="default" w:ascii="Times New Roman" w:hAnsi="Times New Roman" w:eastAsia="宋体" w:cs="Times New Roman"/>
                <w:color w:val="auto"/>
                <w:position w:val="1"/>
                <w:sz w:val="21"/>
                <w:szCs w:val="21"/>
                <w:highlight w:val="none"/>
              </w:rPr>
              <w:t>）t/a</w:t>
            </w:r>
          </w:p>
        </w:tc>
        <w:tc>
          <w:tcPr>
            <w:tcW w:w="1154" w:type="pct"/>
            <w:gridSpan w:val="4"/>
            <w:tcBorders>
              <w:tl2br w:val="nil"/>
              <w:tr2bl w:val="nil"/>
            </w:tcBorders>
            <w:vAlign w:val="center"/>
          </w:tcPr>
          <w:p w14:paraId="1562D48A">
            <w:pPr>
              <w:pStyle w:val="32"/>
              <w:keepNext w:val="0"/>
              <w:keepLines w:val="0"/>
              <w:pageBreakBefore w:val="0"/>
              <w:widowControl w:val="0"/>
              <w:suppressLineNumbers w:val="0"/>
              <w:tabs>
                <w:tab w:val="left" w:pos="1081"/>
              </w:tabs>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19.601</w:t>
            </w:r>
            <w:r>
              <w:rPr>
                <w:rFonts w:hint="default" w:ascii="Times New Roman" w:hAnsi="Times New Roman" w:eastAsia="宋体" w:cs="Times New Roman"/>
                <w:color w:val="auto"/>
                <w:sz w:val="21"/>
                <w:szCs w:val="21"/>
                <w:highlight w:val="none"/>
              </w:rPr>
              <w:t>）t/a</w:t>
            </w:r>
          </w:p>
        </w:tc>
        <w:tc>
          <w:tcPr>
            <w:tcW w:w="828" w:type="pct"/>
            <w:gridSpan w:val="4"/>
            <w:tcBorders>
              <w:tl2br w:val="nil"/>
              <w:tr2bl w:val="nil"/>
            </w:tcBorders>
            <w:vAlign w:val="center"/>
          </w:tcPr>
          <w:p w14:paraId="411D2F34">
            <w:pPr>
              <w:pStyle w:val="32"/>
              <w:keepNext w:val="0"/>
              <w:keepLines w:val="0"/>
              <w:pageBreakBefore w:val="0"/>
              <w:widowControl w:val="0"/>
              <w:suppressLineNumbers w:val="0"/>
              <w:tabs>
                <w:tab w:val="left" w:pos="1039"/>
              </w:tabs>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position w:val="1"/>
                <w:sz w:val="21"/>
                <w:szCs w:val="21"/>
                <w:highlight w:val="none"/>
              </w:rPr>
              <w:t>VOC</w:t>
            </w:r>
            <w:r>
              <w:rPr>
                <w:rFonts w:hint="default" w:ascii="Times New Roman" w:hAnsi="Times New Roman" w:eastAsia="宋体" w:cs="Times New Roman"/>
                <w:color w:val="auto"/>
                <w:sz w:val="21"/>
                <w:szCs w:val="21"/>
                <w:highlight w:val="none"/>
              </w:rPr>
              <w:t>s</w:t>
            </w:r>
            <w:r>
              <w:rPr>
                <w:rFonts w:hint="default" w:ascii="Times New Roman" w:hAnsi="Times New Roman" w:eastAsia="宋体" w:cs="Times New Roman"/>
                <w:color w:val="auto"/>
                <w:position w:val="1"/>
                <w:sz w:val="21"/>
                <w:szCs w:val="21"/>
                <w:highlight w:val="none"/>
                <w:lang w:eastAsia="zh-CN"/>
              </w:rPr>
              <w:t>：</w:t>
            </w:r>
            <w:r>
              <w:rPr>
                <w:rFonts w:hint="default" w:ascii="Times New Roman" w:hAnsi="Times New Roman" w:eastAsia="宋体" w:cs="Times New Roman"/>
                <w:color w:val="auto"/>
                <w:position w:val="1"/>
                <w:sz w:val="21"/>
                <w:szCs w:val="21"/>
                <w:highlight w:val="none"/>
              </w:rPr>
              <w:t>（</w:t>
            </w:r>
            <w:r>
              <w:rPr>
                <w:rFonts w:hint="default" w:ascii="Times New Roman" w:hAnsi="Times New Roman" w:eastAsia="宋体" w:cs="Times New Roman"/>
                <w:color w:val="auto"/>
                <w:position w:val="1"/>
                <w:sz w:val="21"/>
                <w:szCs w:val="21"/>
                <w:highlight w:val="none"/>
                <w:lang w:val="en-US" w:eastAsia="zh-CN"/>
              </w:rPr>
              <w:t>/</w:t>
            </w:r>
            <w:r>
              <w:rPr>
                <w:rFonts w:hint="default" w:ascii="Times New Roman" w:hAnsi="Times New Roman" w:eastAsia="宋体" w:cs="Times New Roman"/>
                <w:color w:val="auto"/>
                <w:position w:val="1"/>
                <w:sz w:val="21"/>
                <w:szCs w:val="21"/>
                <w:highlight w:val="none"/>
              </w:rPr>
              <w:t>）t/a</w:t>
            </w:r>
          </w:p>
        </w:tc>
      </w:tr>
      <w:tr w14:paraId="09BBEC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000" w:type="pct"/>
            <w:gridSpan w:val="15"/>
            <w:tcBorders>
              <w:tl2br w:val="nil"/>
              <w:tr2bl w:val="nil"/>
            </w:tcBorders>
            <w:vAlign w:val="center"/>
          </w:tcPr>
          <w:p w14:paraId="62D3204D">
            <w:pPr>
              <w:pStyle w:val="32"/>
              <w:keepNext w:val="0"/>
              <w:keepLines w:val="0"/>
              <w:pageBreakBefore w:val="0"/>
              <w:widowControl w:val="0"/>
              <w:suppressLineNumbers w:val="0"/>
              <w:tabs>
                <w:tab w:val="left" w:pos="3439"/>
              </w:tabs>
              <w:kinsoku/>
              <w:wordWrap/>
              <w:overflowPunct/>
              <w:topLinePunct w:val="0"/>
              <w:autoSpaceDE w:val="0"/>
              <w:autoSpaceDN w:val="0"/>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注</w:t>
            </w:r>
            <w:r>
              <w:rPr>
                <w:rFonts w:hint="default" w:ascii="Times New Roman" w:hAnsi="Times New Roman" w:eastAsia="宋体" w:cs="Times New Roman"/>
                <w:color w:val="auto"/>
                <w:spacing w:val="-92"/>
                <w:sz w:val="21"/>
                <w:szCs w:val="21"/>
              </w:rPr>
              <w:t>：</w:t>
            </w:r>
            <w:r>
              <w:rPr>
                <w:rFonts w:hint="default" w:ascii="Times New Roman" w:hAnsi="Times New Roman" w:eastAsia="宋体" w:cs="Times New Roman"/>
                <w:color w:val="auto"/>
                <w:w w:val="210"/>
                <w:sz w:val="21"/>
                <w:szCs w:val="21"/>
                <w:lang w:eastAsia="zh-CN"/>
              </w:rPr>
              <w:t>“</w:t>
            </w:r>
            <w:r>
              <w:rPr>
                <w:rFonts w:hint="default" w:ascii="Times New Roman" w:hAnsi="Times New Roman" w:eastAsia="宋体" w:cs="Times New Roman"/>
                <w:color w:val="auto"/>
                <w:spacing w:val="2"/>
                <w:sz w:val="21"/>
                <w:szCs w:val="21"/>
              </w:rPr>
              <w:t>□</w:t>
            </w:r>
            <w:r>
              <w:rPr>
                <w:rFonts w:hint="default" w:ascii="Times New Roman" w:hAnsi="Times New Roman" w:eastAsia="宋体" w:cs="Times New Roman"/>
                <w:color w:val="auto"/>
                <w:w w:val="210"/>
                <w:sz w:val="21"/>
                <w:szCs w:val="21"/>
                <w:lang w:eastAsia="zh-CN"/>
              </w:rPr>
              <w:t>”</w:t>
            </w:r>
            <w:r>
              <w:rPr>
                <w:rFonts w:hint="default" w:ascii="Times New Roman" w:hAnsi="Times New Roman" w:eastAsia="宋体" w:cs="Times New Roman"/>
                <w:color w:val="auto"/>
                <w:sz w:val="21"/>
                <w:szCs w:val="21"/>
              </w:rPr>
              <w:t>为勾选项，填</w:t>
            </w:r>
            <w:r>
              <w:rPr>
                <w:rFonts w:hint="default" w:ascii="Times New Roman" w:hAnsi="Times New Roman" w:eastAsia="宋体" w:cs="Times New Roman"/>
                <w:color w:val="auto"/>
                <w:w w:val="135"/>
                <w:sz w:val="21"/>
                <w:szCs w:val="21"/>
                <w:lang w:eastAsia="zh-CN"/>
              </w:rPr>
              <w:t>“</w:t>
            </w:r>
            <w:r>
              <w:rPr>
                <w:rFonts w:hint="default" w:ascii="Times New Roman" w:hAnsi="Times New Roman" w:eastAsia="宋体" w:cs="Times New Roman"/>
                <w:color w:val="auto"/>
                <w:spacing w:val="-3"/>
                <w:w w:val="135"/>
                <w:sz w:val="21"/>
                <w:szCs w:val="21"/>
              </w:rPr>
              <w:t>√</w:t>
            </w:r>
            <w:r>
              <w:rPr>
                <w:rFonts w:hint="default" w:ascii="Times New Roman" w:hAnsi="Times New Roman" w:eastAsia="宋体" w:cs="Times New Roman"/>
                <w:color w:val="auto"/>
                <w:w w:val="210"/>
                <w:sz w:val="21"/>
                <w:szCs w:val="21"/>
                <w:lang w:eastAsia="zh-CN"/>
              </w:rPr>
              <w:t>”</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pacing w:val="-1"/>
                <w:sz w:val="21"/>
                <w:szCs w:val="21"/>
                <w:lang w:eastAsia="zh-CN"/>
              </w:rPr>
              <w:t>“</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为内容填写项</w:t>
            </w:r>
          </w:p>
        </w:tc>
      </w:tr>
    </w:tbl>
    <w:p w14:paraId="68EB1E88">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sectPr>
          <w:footerReference r:id="rId41"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3A7CF5EC">
      <w:pPr>
        <w:pStyle w:val="3"/>
        <w:bidi w:val="0"/>
        <w:rPr>
          <w:rFonts w:hint="default" w:ascii="Times New Roman" w:hAnsi="Times New Roman" w:cs="Times New Roman"/>
          <w:color w:val="auto"/>
          <w:lang w:val="en-US" w:eastAsia="zh-CN"/>
        </w:rPr>
      </w:pPr>
      <w:bookmarkStart w:id="611" w:name="_Toc5060"/>
      <w:bookmarkStart w:id="612" w:name="_Toc31642"/>
      <w:r>
        <w:rPr>
          <w:rFonts w:hint="default" w:ascii="Times New Roman" w:hAnsi="Times New Roman" w:cs="Times New Roman"/>
          <w:color w:val="auto"/>
          <w:lang w:val="en-US" w:eastAsia="zh-CN"/>
        </w:rPr>
        <w:t>地表水环境影响预测与评价</w:t>
      </w:r>
      <w:bookmarkEnd w:id="611"/>
      <w:bookmarkEnd w:id="612"/>
    </w:p>
    <w:p w14:paraId="1CCEC5D3">
      <w:pPr>
        <w:pStyle w:val="4"/>
        <w:numPr>
          <w:ilvl w:val="0"/>
          <w:numId w:val="0"/>
        </w:numPr>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lang w:val="en-US" w:eastAsia="zh-CN"/>
        </w:rPr>
        <w:t>5.3.1区域地表水系</w:t>
      </w:r>
    </w:p>
    <w:p w14:paraId="4AC795F7">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矿区内极干旱贫水，矿区周边30km范围内无常年地表水存在。暂时性地表径流皆因偶降阵雨所致，多沿树枝状冲沟汇入山间洼地或主干沟谷，稍纵即逝，蒸发迅速。</w:t>
      </w:r>
    </w:p>
    <w:p w14:paraId="38B0D232">
      <w:pPr>
        <w:pStyle w:val="4"/>
        <w:numPr>
          <w:ilvl w:val="0"/>
          <w:numId w:val="0"/>
        </w:numPr>
        <w:rPr>
          <w:rFonts w:hint="default" w:ascii="Times New Roman" w:hAnsi="Times New Roman" w:eastAsia="宋体" w:cs="Times New Roman"/>
          <w:b/>
          <w:bCs/>
          <w:color w:val="auto"/>
          <w:spacing w:val="0"/>
          <w:w w:val="100"/>
          <w:position w:val="0"/>
          <w:lang w:val="en-US" w:eastAsia="zh-CN"/>
        </w:rPr>
      </w:pPr>
      <w:bookmarkStart w:id="613" w:name="bookmark84"/>
      <w:bookmarkEnd w:id="613"/>
      <w:r>
        <w:rPr>
          <w:rFonts w:hint="default" w:ascii="Times New Roman" w:hAnsi="Times New Roman" w:eastAsia="宋体" w:cs="Times New Roman"/>
          <w:b/>
          <w:bCs/>
          <w:color w:val="auto"/>
          <w:spacing w:val="0"/>
          <w:w w:val="100"/>
          <w:position w:val="0"/>
          <w:lang w:val="en-US" w:eastAsia="zh-CN"/>
        </w:rPr>
        <w:t>5.3.2项目废水污染源分析</w:t>
      </w:r>
    </w:p>
    <w:p w14:paraId="57A5DC03">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本项目废水污染源主要包括井下采矿矿井涌水</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废石场淋溶水及生活污水。</w:t>
      </w:r>
    </w:p>
    <w:p w14:paraId="4CB4965E">
      <w:pPr>
        <w:keepNext w:val="0"/>
        <w:keepLines w:val="0"/>
        <w:pageBreakBefore w:val="0"/>
        <w:widowControl w:val="0"/>
        <w:kinsoku/>
        <w:wordWrap/>
        <w:overflowPunct/>
        <w:topLinePunct w:val="0"/>
        <w:autoSpaceDE/>
        <w:autoSpaceDN/>
        <w:bidi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矿区地下水正常涌水量为</w:t>
      </w:r>
      <w:r>
        <w:rPr>
          <w:rFonts w:hint="default" w:ascii="Times New Roman" w:hAnsi="Times New Roman" w:cs="Times New Roman"/>
          <w:color w:val="auto"/>
          <w:sz w:val="24"/>
          <w:szCs w:val="24"/>
          <w:lang w:val="en-US" w:eastAsia="zh-CN"/>
        </w:rPr>
        <w:t>513m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/d，最大涌水量为</w:t>
      </w:r>
      <w:r>
        <w:rPr>
          <w:rFonts w:hint="default" w:ascii="Times New Roman" w:hAnsi="Times New Roman" w:cs="Times New Roman"/>
          <w:color w:val="auto"/>
          <w:sz w:val="24"/>
          <w:szCs w:val="24"/>
          <w:lang w:val="en-US" w:eastAsia="zh-CN"/>
        </w:rPr>
        <w:t>706m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vertAlign w:val="baseline"/>
          <w:lang w:val="en-US" w:eastAsia="zh-CN"/>
        </w:rPr>
        <w:t>/</w:t>
      </w:r>
      <w:r>
        <w:rPr>
          <w:rFonts w:hint="default" w:ascii="Times New Roman" w:hAnsi="Times New Roman" w:eastAsia="宋体" w:cs="Times New Roman"/>
          <w:color w:val="auto"/>
          <w:sz w:val="24"/>
          <w:szCs w:val="24"/>
          <w:lang w:val="en-US" w:eastAsia="zh-CN"/>
        </w:rPr>
        <w:t>d。</w:t>
      </w:r>
    </w:p>
    <w:p w14:paraId="0297444E">
      <w:pPr>
        <w:pageBreakBefore w:val="0"/>
        <w:widowControl w:val="0"/>
        <w:kinsoku/>
        <w:wordWrap/>
        <w:overflowPunct/>
        <w:topLinePunct w:val="0"/>
        <w:autoSpaceDE/>
        <w:autoSpaceDN/>
        <w:bidi w:val="0"/>
        <w:adjustRightInd/>
        <w:snapToGrid/>
        <w:spacing w:line="480" w:lineRule="exact"/>
        <w:ind w:left="0" w:right="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矿山井下涌水经由排水管排至地表400m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val="en-US" w:eastAsia="zh-CN"/>
        </w:rPr>
        <w:t>高位水池内，</w:t>
      </w:r>
      <w:r>
        <w:rPr>
          <w:rFonts w:hint="eastAsia" w:ascii="Times New Roman" w:hAnsi="Times New Roman" w:cs="Times New Roman"/>
          <w:color w:val="auto"/>
          <w:spacing w:val="0"/>
          <w:w w:val="100"/>
          <w:position w:val="0"/>
          <w:sz w:val="24"/>
          <w:szCs w:val="24"/>
          <w:lang w:val="en-US" w:eastAsia="zh-CN"/>
        </w:rPr>
        <w:t>作为</w:t>
      </w:r>
      <w:r>
        <w:rPr>
          <w:rFonts w:hint="default" w:ascii="Times New Roman" w:hAnsi="Times New Roman" w:eastAsia="宋体" w:cs="Times New Roman"/>
          <w:color w:val="auto"/>
          <w:spacing w:val="0"/>
          <w:w w:val="100"/>
          <w:position w:val="0"/>
          <w:sz w:val="24"/>
          <w:szCs w:val="24"/>
          <w:lang w:val="en-US" w:eastAsia="zh-CN"/>
        </w:rPr>
        <w:t>矿山生产及消防用水水源地。高位水池设置在入风管缆井井口附近工业场地内。高位水池供水干管采用无缝钢管，环状敷设。</w:t>
      </w:r>
    </w:p>
    <w:p w14:paraId="2A6AD1E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所在区域气候特征为干旱、少雨、多风，属典型的大陆干旱气候，多年平均降水量为38.6mm，多年平均蒸发量为2639.7mm。据此推测，废石堆存过程中淋溶水量极少，并且废石不属于危险废物，故废石淋溶水对环境影响甚微。</w:t>
      </w:r>
    </w:p>
    <w:p w14:paraId="2871E0A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z w:val="24"/>
          <w:szCs w:val="24"/>
          <w:shd w:val="clear" w:color="auto" w:fill="auto"/>
          <w:lang w:val="en-US" w:eastAsia="zh-CN"/>
        </w:rPr>
      </w:pPr>
      <w:r>
        <w:rPr>
          <w:rFonts w:hint="default" w:ascii="Times New Roman" w:hAnsi="Times New Roman" w:eastAsia="宋体" w:cs="Times New Roman"/>
          <w:color w:val="auto"/>
          <w:sz w:val="24"/>
          <w:szCs w:val="24"/>
          <w:shd w:val="clear" w:color="auto" w:fill="auto"/>
          <w:lang w:val="en-US" w:eastAsia="zh-CN"/>
        </w:rPr>
        <w:t>在废石场下游修建50m</w:t>
      </w:r>
      <w:r>
        <w:rPr>
          <w:rFonts w:hint="default" w:ascii="Times New Roman" w:hAnsi="Times New Roman" w:eastAsia="宋体" w:cs="Times New Roman"/>
          <w:color w:val="auto"/>
          <w:sz w:val="24"/>
          <w:szCs w:val="24"/>
          <w:shd w:val="clear" w:color="auto" w:fill="auto"/>
          <w:vertAlign w:val="superscript"/>
          <w:lang w:val="en-US" w:eastAsia="zh-CN"/>
        </w:rPr>
        <w:t>3</w:t>
      </w:r>
      <w:r>
        <w:rPr>
          <w:rFonts w:hint="default" w:ascii="Times New Roman" w:hAnsi="Times New Roman" w:eastAsia="宋体" w:cs="Times New Roman"/>
          <w:color w:val="auto"/>
          <w:sz w:val="24"/>
          <w:szCs w:val="24"/>
          <w:shd w:val="clear" w:color="auto" w:fill="auto"/>
          <w:lang w:val="en-US" w:eastAsia="zh-CN"/>
        </w:rPr>
        <w:t>渗滤液收集池，用于收集废石淋溶水，淋溶水通过渗滤液收集池澄清后用于项目区道路抑尘，自然蒸发损耗，最大限度的保护项目区水环境。</w:t>
      </w:r>
    </w:p>
    <w:p w14:paraId="3B022485">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w:t>
      </w:r>
      <w:r>
        <w:rPr>
          <w:rFonts w:hint="default" w:ascii="Times New Roman" w:hAnsi="Times New Roman" w:eastAsia="宋体" w:cs="Times New Roman"/>
          <w:color w:val="auto"/>
          <w:spacing w:val="0"/>
          <w:w w:val="100"/>
          <w:position w:val="0"/>
          <w:sz w:val="24"/>
          <w:szCs w:val="24"/>
          <w:lang w:val="en-US" w:eastAsia="zh-CN"/>
        </w:rPr>
        <w:t>生活污水</w:t>
      </w:r>
      <w:r>
        <w:rPr>
          <w:rFonts w:hint="default" w:ascii="Times New Roman" w:hAnsi="Times New Roman" w:cs="Times New Roman"/>
          <w:color w:val="auto"/>
          <w:spacing w:val="0"/>
          <w:w w:val="100"/>
          <w:position w:val="0"/>
          <w:sz w:val="24"/>
          <w:szCs w:val="24"/>
          <w:lang w:val="en-US" w:eastAsia="zh-CN"/>
        </w:rPr>
        <w:t>12.544</w:t>
      </w:r>
      <w:r>
        <w:rPr>
          <w:rFonts w:hint="default" w:ascii="Times New Roman" w:hAnsi="Times New Roman" w:eastAsia="宋体" w:cs="Times New Roman"/>
          <w:color w:val="auto"/>
          <w:spacing w:val="0"/>
          <w:w w:val="100"/>
          <w:position w:val="0"/>
          <w:sz w:val="24"/>
          <w:szCs w:val="24"/>
        </w:rPr>
        <w:t>m</w:t>
      </w:r>
      <w:r>
        <w:rPr>
          <w:rFonts w:hint="default" w:ascii="Times New Roman" w:hAnsi="Times New Roman" w:eastAsia="宋体" w:cs="Times New Roman"/>
          <w:color w:val="auto"/>
          <w:spacing w:val="0"/>
          <w:w w:val="100"/>
          <w:position w:val="0"/>
          <w:sz w:val="24"/>
          <w:szCs w:val="24"/>
          <w:vertAlign w:val="superscript"/>
        </w:rPr>
        <w:t>3</w:t>
      </w:r>
      <w:r>
        <w:rPr>
          <w:rFonts w:hint="default" w:ascii="Times New Roman" w:hAnsi="Times New Roman" w:eastAsia="宋体" w:cs="Times New Roman"/>
          <w:color w:val="auto"/>
          <w:spacing w:val="0"/>
          <w:w w:val="100"/>
          <w:position w:val="0"/>
          <w:sz w:val="24"/>
          <w:szCs w:val="24"/>
        </w:rPr>
        <w:t>/d</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经一体化设备处理后</w:t>
      </w:r>
      <w:r>
        <w:rPr>
          <w:rFonts w:hint="default" w:ascii="Times New Roman" w:hAnsi="Times New Roman" w:eastAsia="宋体" w:cs="Times New Roman"/>
          <w:b w:val="0"/>
          <w:bCs w:val="0"/>
          <w:color w:val="auto"/>
          <w:spacing w:val="0"/>
          <w:w w:val="100"/>
          <w:position w:val="0"/>
          <w:sz w:val="24"/>
          <w:szCs w:val="24"/>
          <w:lang w:val="en-US" w:eastAsia="zh-CN"/>
        </w:rPr>
        <w:t>满</w:t>
      </w:r>
      <w:r>
        <w:rPr>
          <w:rFonts w:hint="default" w:ascii="Times New Roman" w:hAnsi="Times New Roman" w:eastAsia="宋体" w:cs="Times New Roman"/>
          <w:color w:val="auto"/>
          <w:spacing w:val="0"/>
          <w:w w:val="100"/>
          <w:position w:val="0"/>
          <w:sz w:val="24"/>
          <w:szCs w:val="24"/>
        </w:rPr>
        <w:t>足《农村生活污水处理排放标准》（DB65 4275-2019）表2规定的A级排放限值以及《城市污水再生利用 城市杂用水水质》（GB/T18920-2020）中的城市绿化、道路清扫、消防、建筑施工限值后，用于生产，不外排。</w:t>
      </w:r>
    </w:p>
    <w:p w14:paraId="4AB66715">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由此可见，项目生产废水及生活污水全部回用不外排。</w:t>
      </w:r>
    </w:p>
    <w:p w14:paraId="3C676AB9">
      <w:pPr>
        <w:pStyle w:val="4"/>
        <w:numPr>
          <w:ilvl w:val="0"/>
          <w:numId w:val="0"/>
        </w:numPr>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lang w:val="en-US" w:eastAsia="zh-CN"/>
        </w:rPr>
        <w:t>5.3.3地表水环境影响分析</w:t>
      </w:r>
    </w:p>
    <w:p w14:paraId="3F4B8A1D">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本项目废水污染源主要包括井下采矿矿井涌水</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rPr>
        <w:t>废石场淋溶水及生活污水。根据工程分析及废水污染源分析，本项目生产废水及生活污水全部回用不外排，且矿区内极干旱贫水，无常年地表水存在，暂时性地表径流皆因偶降阵雨所致，多沿树枝状冲沟汇入山间洼地或主干沟谷，稍纵即逝，蒸发迅速。因此正常工况下，项目生产运行不会对周边地表水造成影响。</w:t>
      </w:r>
    </w:p>
    <w:p w14:paraId="4100D2F5">
      <w:pPr>
        <w:pStyle w:val="4"/>
        <w:numPr>
          <w:ilvl w:val="0"/>
          <w:numId w:val="0"/>
        </w:numPr>
        <w:rPr>
          <w:rFonts w:hint="default" w:ascii="Times New Roman" w:hAnsi="Times New Roman" w:eastAsia="宋体" w:cs="Times New Roman"/>
          <w:b/>
          <w:bCs/>
          <w:color w:val="auto"/>
          <w:spacing w:val="0"/>
          <w:w w:val="100"/>
          <w:position w:val="0"/>
          <w:lang w:val="en-US" w:eastAsia="zh-CN"/>
        </w:rPr>
      </w:pPr>
      <w:r>
        <w:rPr>
          <w:rFonts w:hint="default" w:ascii="Times New Roman" w:hAnsi="Times New Roman" w:eastAsia="宋体" w:cs="Times New Roman"/>
          <w:b/>
          <w:bCs/>
          <w:color w:val="auto"/>
          <w:spacing w:val="0"/>
          <w:w w:val="100"/>
          <w:position w:val="0"/>
          <w:lang w:val="en-US" w:eastAsia="zh-CN"/>
        </w:rPr>
        <w:t>5.3.4地表水环境影响小结</w:t>
      </w:r>
    </w:p>
    <w:p w14:paraId="7214494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（1）矿区内极干旱贫水，无常年地表水存在，暂时性地表径流皆因偶降阵雨所致，多沿树枝状冲沟汇入山间洼地或主干沟谷，稍纵即逝，蒸发迅速。</w:t>
      </w:r>
    </w:p>
    <w:p w14:paraId="7903D1E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（2）正常工况下，项目生产废水及生活污水全部回用，不外排，且周边</w:t>
      </w:r>
      <w:r>
        <w:rPr>
          <w:rFonts w:hint="default" w:ascii="Times New Roman" w:hAnsi="Times New Roman" w:eastAsia="宋体" w:cs="Times New Roman"/>
          <w:color w:val="auto"/>
          <w:spacing w:val="0"/>
          <w:w w:val="100"/>
          <w:position w:val="0"/>
          <w:sz w:val="24"/>
          <w:szCs w:val="24"/>
          <w:lang w:val="en-US" w:eastAsia="zh-CN"/>
        </w:rPr>
        <w:t>30km范围内</w:t>
      </w:r>
      <w:r>
        <w:rPr>
          <w:rFonts w:hint="default" w:ascii="Times New Roman" w:hAnsi="Times New Roman" w:eastAsia="宋体" w:cs="Times New Roman"/>
          <w:color w:val="auto"/>
          <w:spacing w:val="0"/>
          <w:w w:val="100"/>
          <w:position w:val="0"/>
          <w:sz w:val="24"/>
          <w:szCs w:val="24"/>
        </w:rPr>
        <w:t>无地表水系，不会对地表水环境产生影响。</w:t>
      </w:r>
    </w:p>
    <w:p w14:paraId="62C793F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表5.3-</w:t>
      </w:r>
      <w:r>
        <w:rPr>
          <w:rFonts w:hint="default" w:ascii="Times New Roman" w:hAnsi="Times New Roman" w:cs="Times New Roman"/>
          <w:b/>
          <w:bCs/>
          <w:color w:val="auto"/>
          <w:spacing w:val="0"/>
          <w:w w:val="100"/>
          <w:position w:val="0"/>
          <w:sz w:val="21"/>
          <w:szCs w:val="21"/>
          <w:lang w:val="en-US" w:eastAsia="zh-CN"/>
        </w:rPr>
        <w:t>1</w:t>
      </w:r>
      <w:r>
        <w:rPr>
          <w:rFonts w:hint="default" w:ascii="Times New Roman" w:hAnsi="Times New Roman" w:eastAsia="宋体" w:cs="Times New Roman"/>
          <w:b/>
          <w:bCs/>
          <w:color w:val="auto"/>
          <w:spacing w:val="0"/>
          <w:w w:val="100"/>
          <w:position w:val="0"/>
          <w:sz w:val="21"/>
          <w:szCs w:val="21"/>
          <w:lang w:val="en-US" w:eastAsia="zh-CN"/>
        </w:rPr>
        <w:t xml:space="preserve">     </w:t>
      </w:r>
      <w:r>
        <w:rPr>
          <w:rFonts w:hint="default" w:ascii="Times New Roman" w:hAnsi="Times New Roman" w:eastAsia="宋体" w:cs="Times New Roman"/>
          <w:b/>
          <w:bCs/>
          <w:color w:val="auto"/>
          <w:spacing w:val="0"/>
          <w:w w:val="100"/>
          <w:position w:val="0"/>
          <w:sz w:val="21"/>
          <w:szCs w:val="21"/>
        </w:rPr>
        <w:t>地表水环境影响评价自查表</w:t>
      </w:r>
    </w:p>
    <w:tbl>
      <w:tblPr>
        <w:tblStyle w:val="21"/>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406"/>
        <w:gridCol w:w="1246"/>
        <w:gridCol w:w="312"/>
        <w:gridCol w:w="53"/>
        <w:gridCol w:w="467"/>
        <w:gridCol w:w="416"/>
        <w:gridCol w:w="625"/>
        <w:gridCol w:w="60"/>
        <w:gridCol w:w="562"/>
        <w:gridCol w:w="182"/>
        <w:gridCol w:w="232"/>
        <w:gridCol w:w="792"/>
        <w:gridCol w:w="39"/>
        <w:gridCol w:w="1263"/>
      </w:tblGrid>
      <w:tr w14:paraId="1B1FB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33" w:type="pct"/>
            <w:gridSpan w:val="2"/>
            <w:vAlign w:val="center"/>
          </w:tcPr>
          <w:p w14:paraId="41A5B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工作内容</w:t>
            </w:r>
          </w:p>
        </w:tc>
        <w:tc>
          <w:tcPr>
            <w:tcW w:w="3666" w:type="pct"/>
            <w:gridSpan w:val="13"/>
            <w:vAlign w:val="center"/>
          </w:tcPr>
          <w:p w14:paraId="46DC3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rPr>
            </w:pPr>
            <w:r>
              <w:rPr>
                <w:rFonts w:hint="default" w:ascii="Times New Roman" w:hAnsi="Times New Roman" w:eastAsia="宋体" w:cs="Times New Roman"/>
                <w:b w:val="0"/>
                <w:bCs w:val="0"/>
                <w:color w:val="auto"/>
                <w:spacing w:val="0"/>
                <w:w w:val="100"/>
                <w:position w:val="0"/>
                <w:sz w:val="21"/>
                <w:szCs w:val="21"/>
              </w:rPr>
              <w:t>自查项目</w:t>
            </w:r>
          </w:p>
        </w:tc>
      </w:tr>
      <w:tr w14:paraId="4D0ABB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10899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w:t>
            </w:r>
          </w:p>
          <w:p w14:paraId="00D45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响</w:t>
            </w:r>
          </w:p>
          <w:p w14:paraId="6429C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识</w:t>
            </w:r>
          </w:p>
          <w:p w14:paraId="024739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别</w:t>
            </w:r>
          </w:p>
        </w:tc>
        <w:tc>
          <w:tcPr>
            <w:tcW w:w="825" w:type="pct"/>
            <w:vAlign w:val="center"/>
          </w:tcPr>
          <w:p w14:paraId="34E41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影响类型</w:t>
            </w:r>
          </w:p>
        </w:tc>
        <w:tc>
          <w:tcPr>
            <w:tcW w:w="3666" w:type="pct"/>
            <w:gridSpan w:val="13"/>
            <w:vAlign w:val="center"/>
          </w:tcPr>
          <w:p w14:paraId="035F79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水污染影响型</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；水文要素影响型 □</w:t>
            </w:r>
          </w:p>
        </w:tc>
      </w:tr>
      <w:tr w14:paraId="7CF63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96BD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58DB9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水环境保护目标</w:t>
            </w:r>
          </w:p>
        </w:tc>
        <w:tc>
          <w:tcPr>
            <w:tcW w:w="3666" w:type="pct"/>
            <w:gridSpan w:val="13"/>
            <w:vAlign w:val="center"/>
          </w:tcPr>
          <w:p w14:paraId="31FACE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饮用水水源保护区□；饮用水取水口 □；涉水的自然保护区 □；重要湿地 □；</w:t>
            </w:r>
          </w:p>
          <w:p w14:paraId="4930CF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 xml:space="preserve">重点保护与珍稀水生生物的栖息地 </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highlight w:val="none"/>
                <w:lang w:val="en-US" w:eastAsia="zh-CN"/>
              </w:rPr>
              <w:t>重要水生生物的自然产卵场及索饵场、越冬场和洄游通道、天然渔场等渔业水体 □；涉水的风景名胜区 □；其他 （/）</w:t>
            </w:r>
          </w:p>
        </w:tc>
      </w:tr>
      <w:tr w14:paraId="15999F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0FF65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4FC89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影响途径</w:t>
            </w:r>
          </w:p>
        </w:tc>
        <w:tc>
          <w:tcPr>
            <w:tcW w:w="1865" w:type="pct"/>
            <w:gridSpan w:val="7"/>
            <w:vAlign w:val="center"/>
          </w:tcPr>
          <w:p w14:paraId="71209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水污染影响型</w:t>
            </w:r>
          </w:p>
        </w:tc>
        <w:tc>
          <w:tcPr>
            <w:tcW w:w="1800" w:type="pct"/>
            <w:gridSpan w:val="6"/>
            <w:vAlign w:val="center"/>
          </w:tcPr>
          <w:p w14:paraId="39805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水文要素影响型</w:t>
            </w:r>
          </w:p>
        </w:tc>
      </w:tr>
      <w:tr w14:paraId="33CE54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550106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2D483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865" w:type="pct"/>
            <w:gridSpan w:val="7"/>
            <w:vAlign w:val="center"/>
          </w:tcPr>
          <w:p w14:paraId="07D786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直接排放□；间接排放□；其他</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w:t>
            </w:r>
          </w:p>
        </w:tc>
        <w:tc>
          <w:tcPr>
            <w:tcW w:w="1800" w:type="pct"/>
            <w:gridSpan w:val="6"/>
            <w:vAlign w:val="center"/>
          </w:tcPr>
          <w:p w14:paraId="0BC98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水温 □；径流 □；水域面积 □</w:t>
            </w:r>
          </w:p>
        </w:tc>
      </w:tr>
      <w:tr w14:paraId="27DD22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5075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482A1B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影响因子</w:t>
            </w:r>
          </w:p>
        </w:tc>
        <w:tc>
          <w:tcPr>
            <w:tcW w:w="1865" w:type="pct"/>
            <w:gridSpan w:val="7"/>
            <w:vAlign w:val="center"/>
          </w:tcPr>
          <w:p w14:paraId="5F927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持久性污染物 □；有毒有害污染物 □；非持久性污染物 ；</w:t>
            </w:r>
          </w:p>
          <w:p w14:paraId="46B4C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pH值 □；热污染 □；富营养化 □；其他 □</w:t>
            </w:r>
          </w:p>
        </w:tc>
        <w:tc>
          <w:tcPr>
            <w:tcW w:w="1800" w:type="pct"/>
            <w:gridSpan w:val="6"/>
            <w:vAlign w:val="center"/>
          </w:tcPr>
          <w:p w14:paraId="06F90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水温 □；水位（水深） □；流速 □；流量 □；其他 □</w:t>
            </w:r>
          </w:p>
        </w:tc>
      </w:tr>
      <w:tr w14:paraId="501776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33" w:type="pct"/>
            <w:gridSpan w:val="2"/>
            <w:vMerge w:val="restart"/>
            <w:vAlign w:val="center"/>
          </w:tcPr>
          <w:p w14:paraId="7E872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评价等级</w:t>
            </w:r>
          </w:p>
        </w:tc>
        <w:tc>
          <w:tcPr>
            <w:tcW w:w="1865" w:type="pct"/>
            <w:gridSpan w:val="7"/>
            <w:vAlign w:val="center"/>
          </w:tcPr>
          <w:p w14:paraId="2DBFA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水污染影响型</w:t>
            </w:r>
          </w:p>
        </w:tc>
        <w:tc>
          <w:tcPr>
            <w:tcW w:w="1800" w:type="pct"/>
            <w:gridSpan w:val="6"/>
            <w:vAlign w:val="center"/>
          </w:tcPr>
          <w:p w14:paraId="0D2F27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水文要素影响型</w:t>
            </w:r>
          </w:p>
        </w:tc>
      </w:tr>
      <w:tr w14:paraId="5B6FD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33" w:type="pct"/>
            <w:gridSpan w:val="2"/>
            <w:vMerge w:val="continue"/>
            <w:vAlign w:val="center"/>
          </w:tcPr>
          <w:p w14:paraId="36F83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865" w:type="pct"/>
            <w:gridSpan w:val="7"/>
            <w:vAlign w:val="center"/>
          </w:tcPr>
          <w:p w14:paraId="4B649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一级 □；二级 □；三级A □；</w:t>
            </w:r>
          </w:p>
          <w:p w14:paraId="2BF68C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三级B</w:t>
            </w:r>
            <w:r>
              <w:rPr>
                <w:rFonts w:hint="default" w:ascii="Times New Roman" w:hAnsi="Times New Roman" w:eastAsia="宋体" w:cs="Times New Roman"/>
                <w:color w:val="auto"/>
                <w:spacing w:val="0"/>
                <w:w w:val="100"/>
                <w:position w:val="0"/>
                <w:sz w:val="21"/>
                <w:szCs w:val="21"/>
                <w:lang w:val="en-US" w:eastAsia="zh-CN"/>
              </w:rPr>
              <w:t>√</w:t>
            </w:r>
          </w:p>
        </w:tc>
        <w:tc>
          <w:tcPr>
            <w:tcW w:w="1800" w:type="pct"/>
            <w:gridSpan w:val="6"/>
            <w:vAlign w:val="center"/>
          </w:tcPr>
          <w:p w14:paraId="0ED40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一级 □；二级 □；三级 □</w:t>
            </w:r>
          </w:p>
        </w:tc>
      </w:tr>
      <w:tr w14:paraId="5DB3ED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09358A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现</w:t>
            </w:r>
          </w:p>
          <w:p w14:paraId="27509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状</w:t>
            </w:r>
          </w:p>
          <w:p w14:paraId="42AA8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调</w:t>
            </w:r>
          </w:p>
          <w:p w14:paraId="15812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查</w:t>
            </w:r>
          </w:p>
        </w:tc>
        <w:tc>
          <w:tcPr>
            <w:tcW w:w="825" w:type="pct"/>
            <w:vMerge w:val="restart"/>
            <w:vAlign w:val="center"/>
          </w:tcPr>
          <w:p w14:paraId="2A15BF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区域污染源</w:t>
            </w:r>
          </w:p>
        </w:tc>
        <w:tc>
          <w:tcPr>
            <w:tcW w:w="1865" w:type="pct"/>
            <w:gridSpan w:val="7"/>
            <w:vAlign w:val="center"/>
          </w:tcPr>
          <w:p w14:paraId="7FBF0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调查项目</w:t>
            </w:r>
          </w:p>
        </w:tc>
        <w:tc>
          <w:tcPr>
            <w:tcW w:w="1800" w:type="pct"/>
            <w:gridSpan w:val="6"/>
            <w:vAlign w:val="center"/>
          </w:tcPr>
          <w:p w14:paraId="564221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数据来源</w:t>
            </w:r>
          </w:p>
        </w:tc>
      </w:tr>
      <w:tr w14:paraId="0F32D0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9498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23A9C9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914" w:type="pct"/>
            <w:gridSpan w:val="2"/>
            <w:vAlign w:val="center"/>
          </w:tcPr>
          <w:p w14:paraId="2DB43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已建□；在建□；拟建□；其他 </w:t>
            </w:r>
            <w:r>
              <w:rPr>
                <w:rFonts w:hint="default" w:ascii="Times New Roman" w:hAnsi="Times New Roman" w:eastAsia="宋体" w:cs="Times New Roman"/>
                <w:color w:val="auto"/>
                <w:spacing w:val="0"/>
                <w:w w:val="100"/>
                <w:position w:val="0"/>
                <w:sz w:val="21"/>
                <w:szCs w:val="21"/>
                <w:lang w:val="en-US" w:eastAsia="zh-CN"/>
              </w:rPr>
              <w:t>√</w:t>
            </w:r>
          </w:p>
        </w:tc>
        <w:tc>
          <w:tcPr>
            <w:tcW w:w="951" w:type="pct"/>
            <w:gridSpan w:val="5"/>
            <w:vAlign w:val="center"/>
          </w:tcPr>
          <w:p w14:paraId="47DD8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拟替代的污染源□</w:t>
            </w:r>
          </w:p>
        </w:tc>
        <w:tc>
          <w:tcPr>
            <w:tcW w:w="1800" w:type="pct"/>
            <w:gridSpan w:val="6"/>
            <w:vAlign w:val="center"/>
          </w:tcPr>
          <w:p w14:paraId="15BD6A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排污许可证 □；环评 □；环保验收 □；既有实测 □；现场监测 □；入河排放口数据 □；其他 □</w:t>
            </w:r>
          </w:p>
        </w:tc>
      </w:tr>
      <w:tr w14:paraId="2CC631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4F3F4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4C7B7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受影响水体水环境质量</w:t>
            </w:r>
          </w:p>
        </w:tc>
        <w:tc>
          <w:tcPr>
            <w:tcW w:w="1865" w:type="pct"/>
            <w:gridSpan w:val="7"/>
            <w:vAlign w:val="center"/>
          </w:tcPr>
          <w:p w14:paraId="32318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调查时期</w:t>
            </w:r>
          </w:p>
        </w:tc>
        <w:tc>
          <w:tcPr>
            <w:tcW w:w="1800" w:type="pct"/>
            <w:gridSpan w:val="6"/>
            <w:vAlign w:val="center"/>
          </w:tcPr>
          <w:p w14:paraId="34E96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数据来源</w:t>
            </w:r>
          </w:p>
        </w:tc>
      </w:tr>
      <w:tr w14:paraId="386428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E18E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0A7E4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865" w:type="pct"/>
            <w:gridSpan w:val="7"/>
            <w:vAlign w:val="center"/>
          </w:tcPr>
          <w:p w14:paraId="4FFD9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丰水期 □；平水期 □；枯水期 □；冰封期 □</w:t>
            </w:r>
          </w:p>
          <w:p w14:paraId="31C69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春季 □；夏季 □；秋季 □；冬季 □ </w:t>
            </w:r>
          </w:p>
        </w:tc>
        <w:tc>
          <w:tcPr>
            <w:tcW w:w="1800" w:type="pct"/>
            <w:gridSpan w:val="6"/>
            <w:vAlign w:val="center"/>
          </w:tcPr>
          <w:p w14:paraId="6FFC0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生态环境保护主管部门 □；补充监测 ；其他□</w:t>
            </w:r>
          </w:p>
        </w:tc>
      </w:tr>
      <w:tr w14:paraId="182BF4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493FF8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27572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区域水资源开发利用状况</w:t>
            </w:r>
          </w:p>
        </w:tc>
        <w:tc>
          <w:tcPr>
            <w:tcW w:w="3666" w:type="pct"/>
            <w:gridSpan w:val="13"/>
            <w:vAlign w:val="center"/>
          </w:tcPr>
          <w:p w14:paraId="153B1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未开发 □；开发量 40%以下 □；开发量 40%以上 □</w:t>
            </w:r>
          </w:p>
        </w:tc>
      </w:tr>
      <w:tr w14:paraId="2B0CC2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4027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505404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水文情势调查</w:t>
            </w:r>
          </w:p>
        </w:tc>
        <w:tc>
          <w:tcPr>
            <w:tcW w:w="1830" w:type="pct"/>
            <w:gridSpan w:val="6"/>
            <w:vAlign w:val="center"/>
          </w:tcPr>
          <w:p w14:paraId="5ECF3B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调查时期</w:t>
            </w:r>
          </w:p>
        </w:tc>
        <w:tc>
          <w:tcPr>
            <w:tcW w:w="1836" w:type="pct"/>
            <w:gridSpan w:val="7"/>
            <w:vAlign w:val="center"/>
          </w:tcPr>
          <w:p w14:paraId="620D3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数据来源</w:t>
            </w:r>
          </w:p>
        </w:tc>
      </w:tr>
      <w:tr w14:paraId="6BACC4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1A17E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0E4715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830" w:type="pct"/>
            <w:gridSpan w:val="6"/>
            <w:vAlign w:val="center"/>
          </w:tcPr>
          <w:p w14:paraId="2907E6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丰水期 □；平水期 □；枯水期 □；冰封期</w:t>
            </w:r>
          </w:p>
          <w:p w14:paraId="71AF1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春季□；夏季 □；秋季 □；冬季 □</w:t>
            </w:r>
          </w:p>
        </w:tc>
        <w:tc>
          <w:tcPr>
            <w:tcW w:w="1836" w:type="pct"/>
            <w:gridSpan w:val="7"/>
            <w:vAlign w:val="center"/>
          </w:tcPr>
          <w:p w14:paraId="3E4F46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水行政主管部门 □；补充监测 □；其他 □</w:t>
            </w:r>
          </w:p>
        </w:tc>
      </w:tr>
      <w:tr w14:paraId="76EA2D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1F7F2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3728C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补充监测</w:t>
            </w:r>
          </w:p>
        </w:tc>
        <w:tc>
          <w:tcPr>
            <w:tcW w:w="1219" w:type="pct"/>
            <w:gridSpan w:val="4"/>
            <w:vAlign w:val="center"/>
          </w:tcPr>
          <w:p w14:paraId="75EF1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监测时期</w:t>
            </w:r>
          </w:p>
        </w:tc>
        <w:tc>
          <w:tcPr>
            <w:tcW w:w="1219" w:type="pct"/>
            <w:gridSpan w:val="6"/>
            <w:vAlign w:val="center"/>
          </w:tcPr>
          <w:p w14:paraId="334878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监测因子</w:t>
            </w:r>
          </w:p>
        </w:tc>
        <w:tc>
          <w:tcPr>
            <w:tcW w:w="1226" w:type="pct"/>
            <w:gridSpan w:val="3"/>
            <w:vAlign w:val="center"/>
          </w:tcPr>
          <w:p w14:paraId="575D9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监测断面或点位</w:t>
            </w:r>
          </w:p>
        </w:tc>
      </w:tr>
      <w:tr w14:paraId="02F1D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53E26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768FD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219" w:type="pct"/>
            <w:gridSpan w:val="4"/>
            <w:vAlign w:val="center"/>
          </w:tcPr>
          <w:p w14:paraId="7FBB5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丰水期 □；平水期 □；枯水期 □；冰封期 □ </w:t>
            </w:r>
          </w:p>
          <w:p w14:paraId="71CBFD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春季 □；夏季 </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；秋季 □；冬季 □</w:t>
            </w:r>
          </w:p>
        </w:tc>
        <w:tc>
          <w:tcPr>
            <w:tcW w:w="1219" w:type="pct"/>
            <w:gridSpan w:val="6"/>
            <w:vAlign w:val="center"/>
          </w:tcPr>
          <w:p w14:paraId="19A31E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w:t>
            </w:r>
          </w:p>
        </w:tc>
        <w:tc>
          <w:tcPr>
            <w:tcW w:w="1226" w:type="pct"/>
            <w:gridSpan w:val="3"/>
            <w:vAlign w:val="center"/>
          </w:tcPr>
          <w:p w14:paraId="37A98B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监测断面或点位个数</w:t>
            </w:r>
          </w:p>
          <w:p w14:paraId="136FE6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 xml:space="preserve">）个 </w:t>
            </w:r>
          </w:p>
        </w:tc>
      </w:tr>
      <w:tr w14:paraId="34969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301C2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现</w:t>
            </w:r>
          </w:p>
          <w:p w14:paraId="3FEA1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状</w:t>
            </w:r>
          </w:p>
          <w:p w14:paraId="2E26FE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w:t>
            </w:r>
          </w:p>
          <w:p w14:paraId="3989A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价</w:t>
            </w:r>
          </w:p>
        </w:tc>
        <w:tc>
          <w:tcPr>
            <w:tcW w:w="825" w:type="pct"/>
            <w:vAlign w:val="center"/>
          </w:tcPr>
          <w:p w14:paraId="747A2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评价范围</w:t>
            </w:r>
          </w:p>
        </w:tc>
        <w:tc>
          <w:tcPr>
            <w:tcW w:w="3666" w:type="pct"/>
            <w:gridSpan w:val="13"/>
            <w:vAlign w:val="center"/>
          </w:tcPr>
          <w:p w14:paraId="13F85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河流：长度（</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）km；湖库、河口及近岸海域：面积（）km</w:t>
            </w:r>
            <w:r>
              <w:rPr>
                <w:rFonts w:hint="default" w:ascii="Times New Roman" w:hAnsi="Times New Roman" w:eastAsia="宋体" w:cs="Times New Roman"/>
                <w:color w:val="auto"/>
                <w:spacing w:val="0"/>
                <w:w w:val="100"/>
                <w:position w:val="0"/>
                <w:sz w:val="21"/>
                <w:szCs w:val="21"/>
                <w:vertAlign w:val="superscript"/>
              </w:rPr>
              <w:t>2</w:t>
            </w:r>
            <w:r>
              <w:rPr>
                <w:rFonts w:hint="default" w:ascii="Times New Roman" w:hAnsi="Times New Roman" w:eastAsia="宋体" w:cs="Times New Roman"/>
                <w:color w:val="auto"/>
                <w:spacing w:val="0"/>
                <w:w w:val="100"/>
                <w:position w:val="0"/>
                <w:sz w:val="21"/>
                <w:szCs w:val="21"/>
              </w:rPr>
              <w:t xml:space="preserve"> </w:t>
            </w:r>
          </w:p>
        </w:tc>
      </w:tr>
      <w:tr w14:paraId="31FD37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48DEE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4430BE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评价因子</w:t>
            </w:r>
          </w:p>
        </w:tc>
        <w:tc>
          <w:tcPr>
            <w:tcW w:w="3666" w:type="pct"/>
            <w:gridSpan w:val="13"/>
            <w:vAlign w:val="center"/>
          </w:tcPr>
          <w:p w14:paraId="37CDED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w:t>
            </w:r>
            <w:r>
              <w:rPr>
                <w:rFonts w:hint="default" w:ascii="Times New Roman" w:hAnsi="Times New Roman" w:eastAsia="宋体" w:cs="Times New Roman"/>
                <w:color w:val="auto"/>
                <w:spacing w:val="0"/>
                <w:w w:val="100"/>
                <w:position w:val="0"/>
                <w:sz w:val="21"/>
                <w:szCs w:val="21"/>
              </w:rPr>
              <w:t>）</w:t>
            </w:r>
          </w:p>
        </w:tc>
      </w:tr>
      <w:tr w14:paraId="42F5DE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AF08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172F2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评价标准</w:t>
            </w:r>
          </w:p>
        </w:tc>
        <w:tc>
          <w:tcPr>
            <w:tcW w:w="3666" w:type="pct"/>
            <w:gridSpan w:val="13"/>
            <w:vAlign w:val="center"/>
          </w:tcPr>
          <w:p w14:paraId="6DAB0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河流、湖库、河口：Ⅰ类 □；Ⅱ类 □；Ⅲ类 ；Ⅳ类 □；Ⅴ类 □ </w:t>
            </w:r>
          </w:p>
          <w:p w14:paraId="4F72E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近岸海域：第一类 □；第二类 □；第三类 □；第四类 □ </w:t>
            </w:r>
          </w:p>
          <w:p w14:paraId="284D28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规划年评价标准（/） </w:t>
            </w:r>
          </w:p>
        </w:tc>
      </w:tr>
      <w:tr w14:paraId="3BFD8E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11639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52189D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评价时期</w:t>
            </w:r>
          </w:p>
        </w:tc>
        <w:tc>
          <w:tcPr>
            <w:tcW w:w="3666" w:type="pct"/>
            <w:gridSpan w:val="13"/>
            <w:vAlign w:val="center"/>
          </w:tcPr>
          <w:p w14:paraId="594D6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丰水期 □；平水期 □；枯水期 □；冰封期 □ </w:t>
            </w:r>
          </w:p>
          <w:p w14:paraId="32B6E2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春季□；夏季 □；秋季 □；冬季 □ </w:t>
            </w:r>
          </w:p>
        </w:tc>
      </w:tr>
      <w:tr w14:paraId="44CF5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7C59E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1B091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评价结论</w:t>
            </w:r>
          </w:p>
        </w:tc>
        <w:tc>
          <w:tcPr>
            <w:tcW w:w="2903" w:type="pct"/>
            <w:gridSpan w:val="11"/>
            <w:vAlign w:val="center"/>
          </w:tcPr>
          <w:p w14:paraId="3C2B6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rPr>
              <w:t>水环境功能区或水功能区、近岸海域环境功能区水质达标状况 □：达标 □；不达标 □</w:t>
            </w:r>
          </w:p>
          <w:p w14:paraId="31491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水环境控制单元或断面水质达标状况 □：达标 □；不达标 □</w:t>
            </w:r>
          </w:p>
          <w:p w14:paraId="662F3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水环境保护目标质量状况 □：达标 □；不达标 □ </w:t>
            </w:r>
          </w:p>
          <w:p w14:paraId="486B2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对照断面、控制断面等代表性断面的水质状况 □：达标 □；不达标 □</w:t>
            </w:r>
          </w:p>
          <w:p w14:paraId="0C115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底泥污染评价 □ </w:t>
            </w:r>
          </w:p>
          <w:p w14:paraId="724F0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水资源与开发利用程度及其水文情势评价 □ </w:t>
            </w:r>
          </w:p>
          <w:p w14:paraId="1DB075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水环境质量回顾评价 □ </w:t>
            </w:r>
          </w:p>
          <w:p w14:paraId="45A6B3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流域（区域）水资源（包括水能资源）与开发利用总体状况、生态流量管理要求与现状满足程度、建设项目占用水域空间的水流状况与河湖演变状况 □</w:t>
            </w:r>
          </w:p>
        </w:tc>
        <w:tc>
          <w:tcPr>
            <w:tcW w:w="762" w:type="pct"/>
            <w:gridSpan w:val="2"/>
            <w:vAlign w:val="center"/>
          </w:tcPr>
          <w:p w14:paraId="5BF13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达标区 □</w:t>
            </w:r>
          </w:p>
          <w:p w14:paraId="19322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rPr>
              <w:t>不达标区 □</w:t>
            </w:r>
          </w:p>
        </w:tc>
      </w:tr>
      <w:tr w14:paraId="2CED1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57C96F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w:t>
            </w:r>
          </w:p>
          <w:p w14:paraId="133F02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响</w:t>
            </w:r>
          </w:p>
          <w:p w14:paraId="66936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w:t>
            </w:r>
          </w:p>
          <w:p w14:paraId="04892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测</w:t>
            </w:r>
          </w:p>
        </w:tc>
        <w:tc>
          <w:tcPr>
            <w:tcW w:w="825" w:type="pct"/>
            <w:vAlign w:val="center"/>
          </w:tcPr>
          <w:p w14:paraId="57BB3A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预测范围</w:t>
            </w:r>
          </w:p>
        </w:tc>
        <w:tc>
          <w:tcPr>
            <w:tcW w:w="3666" w:type="pct"/>
            <w:gridSpan w:val="13"/>
            <w:vAlign w:val="center"/>
          </w:tcPr>
          <w:p w14:paraId="535B0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河流：长度（/）km；湖库、河口及近岸海域：面积（/）km</w:t>
            </w:r>
            <w:r>
              <w:rPr>
                <w:rFonts w:hint="default" w:ascii="Times New Roman" w:hAnsi="Times New Roman" w:eastAsia="宋体" w:cs="Times New Roman"/>
                <w:color w:val="auto"/>
                <w:spacing w:val="0"/>
                <w:w w:val="100"/>
                <w:position w:val="0"/>
                <w:sz w:val="21"/>
                <w:szCs w:val="21"/>
                <w:vertAlign w:val="superscript"/>
              </w:rPr>
              <w:t>2</w:t>
            </w:r>
          </w:p>
        </w:tc>
      </w:tr>
      <w:tr w14:paraId="0DADDA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0EF80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10A95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预测因子</w:t>
            </w:r>
          </w:p>
        </w:tc>
        <w:tc>
          <w:tcPr>
            <w:tcW w:w="3666" w:type="pct"/>
            <w:gridSpan w:val="13"/>
            <w:vAlign w:val="center"/>
          </w:tcPr>
          <w:p w14:paraId="292F2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77F7A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0AC19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4D6436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预测时期</w:t>
            </w:r>
          </w:p>
        </w:tc>
        <w:tc>
          <w:tcPr>
            <w:tcW w:w="3666" w:type="pct"/>
            <w:gridSpan w:val="13"/>
            <w:vAlign w:val="center"/>
          </w:tcPr>
          <w:p w14:paraId="72A58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丰水期 □；平水期 □；枯水期 □；冰封期 □</w:t>
            </w:r>
          </w:p>
          <w:p w14:paraId="72D0D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春季 □；夏季 □；秋季 □；冬季 □ </w:t>
            </w:r>
          </w:p>
          <w:p w14:paraId="1673E0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设计水文条件 □</w:t>
            </w:r>
          </w:p>
        </w:tc>
      </w:tr>
      <w:tr w14:paraId="41E0D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648CE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2FE6E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预测情景</w:t>
            </w:r>
          </w:p>
        </w:tc>
        <w:tc>
          <w:tcPr>
            <w:tcW w:w="3666" w:type="pct"/>
            <w:gridSpan w:val="13"/>
            <w:vAlign w:val="center"/>
          </w:tcPr>
          <w:p w14:paraId="6E44A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建设期 □；生产运行期 □；服务期满后 □ </w:t>
            </w:r>
          </w:p>
          <w:p w14:paraId="15FDB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正常工况 □；非正常工况 □ </w:t>
            </w:r>
          </w:p>
          <w:p w14:paraId="22A39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污染控制和减缓措施方案 □ </w:t>
            </w:r>
          </w:p>
          <w:p w14:paraId="26BE8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区（流）域环境质量改善目标要求情景 □</w:t>
            </w:r>
          </w:p>
        </w:tc>
      </w:tr>
      <w:tr w14:paraId="375A23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317A0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1213A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预测方法</w:t>
            </w:r>
          </w:p>
        </w:tc>
        <w:tc>
          <w:tcPr>
            <w:tcW w:w="3666" w:type="pct"/>
            <w:gridSpan w:val="13"/>
            <w:vAlign w:val="center"/>
          </w:tcPr>
          <w:p w14:paraId="6FE5B7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数值解 □：解析解 □；其他 □ </w:t>
            </w:r>
          </w:p>
          <w:p w14:paraId="2632C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导则推荐模式 □：其他 □</w:t>
            </w:r>
          </w:p>
        </w:tc>
      </w:tr>
      <w:tr w14:paraId="7B9C8B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30122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影</w:t>
            </w:r>
          </w:p>
          <w:p w14:paraId="7BD9F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响</w:t>
            </w:r>
          </w:p>
          <w:p w14:paraId="2918B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w:t>
            </w:r>
          </w:p>
          <w:p w14:paraId="1AC09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价</w:t>
            </w:r>
          </w:p>
        </w:tc>
        <w:tc>
          <w:tcPr>
            <w:tcW w:w="825" w:type="pct"/>
            <w:vAlign w:val="center"/>
          </w:tcPr>
          <w:p w14:paraId="14971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水污染控制和水环境影响减缓措施有效性评价</w:t>
            </w:r>
          </w:p>
        </w:tc>
        <w:tc>
          <w:tcPr>
            <w:tcW w:w="3666" w:type="pct"/>
            <w:gridSpan w:val="13"/>
            <w:vAlign w:val="center"/>
          </w:tcPr>
          <w:p w14:paraId="7BC65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区（流）域水环境质量改善目标 □；替代削减源 □ </w:t>
            </w:r>
          </w:p>
        </w:tc>
      </w:tr>
      <w:tr w14:paraId="38191C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EC52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7F849E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水环境影响评价</w:t>
            </w:r>
          </w:p>
        </w:tc>
        <w:tc>
          <w:tcPr>
            <w:tcW w:w="3666" w:type="pct"/>
            <w:gridSpan w:val="13"/>
            <w:vAlign w:val="center"/>
          </w:tcPr>
          <w:p w14:paraId="778E4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排放口混合区外满足水环境管理要求 □</w:t>
            </w:r>
          </w:p>
          <w:p w14:paraId="074D7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水环境功能区或水功能区、近岸海域环境功能区水质达标 □</w:t>
            </w:r>
          </w:p>
          <w:p w14:paraId="69F55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满足水环境保护目标水域水环境质量要求 □</w:t>
            </w:r>
          </w:p>
          <w:p w14:paraId="5A0CD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水环境控制单元或断面水质达标 □</w:t>
            </w:r>
          </w:p>
          <w:p w14:paraId="7FA0C4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满足重点水污染物排放总量控制指标要求，重点行业建设项目， 主要污染物排放满足等量或减量替代要求 □</w:t>
            </w:r>
          </w:p>
          <w:p w14:paraId="1A2A1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满足区（流）域水环境质量改善目标要求 □</w:t>
            </w:r>
          </w:p>
          <w:p w14:paraId="43FBAD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水文要素影响型建设项目同时应包括水文情势变化评价、主要水文特征值影响评价、生态流量符合性评价 □</w:t>
            </w:r>
          </w:p>
          <w:p w14:paraId="0E755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对于新设或调整入河（湖库、近岸海域）排放口的建设项目，应包括排放口设置的环境合理性评价 □</w:t>
            </w:r>
          </w:p>
          <w:p w14:paraId="53E1DC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满足生态保护红线、水环境质量底线、资源利用上线和环境准入清单管理要求 □</w:t>
            </w:r>
          </w:p>
        </w:tc>
      </w:tr>
      <w:tr w14:paraId="52797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5E227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15D72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污染源排放量核算</w:t>
            </w:r>
          </w:p>
        </w:tc>
        <w:tc>
          <w:tcPr>
            <w:tcW w:w="1219" w:type="pct"/>
            <w:gridSpan w:val="4"/>
            <w:vAlign w:val="center"/>
          </w:tcPr>
          <w:p w14:paraId="71FE96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污染物名称</w:t>
            </w:r>
          </w:p>
        </w:tc>
        <w:tc>
          <w:tcPr>
            <w:tcW w:w="1219" w:type="pct"/>
            <w:gridSpan w:val="6"/>
            <w:vAlign w:val="center"/>
          </w:tcPr>
          <w:p w14:paraId="6663F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排放量/（t/a）</w:t>
            </w:r>
          </w:p>
        </w:tc>
        <w:tc>
          <w:tcPr>
            <w:tcW w:w="1226" w:type="pct"/>
            <w:gridSpan w:val="3"/>
            <w:vAlign w:val="center"/>
          </w:tcPr>
          <w:p w14:paraId="19777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排放浓度/（mg/L）</w:t>
            </w:r>
          </w:p>
        </w:tc>
      </w:tr>
      <w:tr w14:paraId="546778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56B5A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0CFCF3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1219" w:type="pct"/>
            <w:gridSpan w:val="4"/>
            <w:vAlign w:val="center"/>
          </w:tcPr>
          <w:p w14:paraId="72F12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1219" w:type="pct"/>
            <w:gridSpan w:val="6"/>
            <w:vAlign w:val="center"/>
          </w:tcPr>
          <w:p w14:paraId="6193A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1226" w:type="pct"/>
            <w:gridSpan w:val="3"/>
            <w:vAlign w:val="center"/>
          </w:tcPr>
          <w:p w14:paraId="4563AF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297AD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4CD5A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31D95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替代源排放情况</w:t>
            </w:r>
          </w:p>
        </w:tc>
        <w:tc>
          <w:tcPr>
            <w:tcW w:w="731" w:type="pct"/>
            <w:vAlign w:val="center"/>
          </w:tcPr>
          <w:p w14:paraId="30D6B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污染源名称</w:t>
            </w:r>
          </w:p>
        </w:tc>
        <w:tc>
          <w:tcPr>
            <w:tcW w:w="732" w:type="pct"/>
            <w:gridSpan w:val="4"/>
            <w:vAlign w:val="center"/>
          </w:tcPr>
          <w:p w14:paraId="25C8DF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排污许可证编号</w:t>
            </w:r>
          </w:p>
        </w:tc>
        <w:tc>
          <w:tcPr>
            <w:tcW w:w="732" w:type="pct"/>
            <w:gridSpan w:val="3"/>
            <w:vAlign w:val="center"/>
          </w:tcPr>
          <w:p w14:paraId="0AC25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污染物名称</w:t>
            </w:r>
          </w:p>
        </w:tc>
        <w:tc>
          <w:tcPr>
            <w:tcW w:w="731" w:type="pct"/>
            <w:gridSpan w:val="4"/>
            <w:vAlign w:val="center"/>
          </w:tcPr>
          <w:p w14:paraId="7D85F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排放量/（t/a）</w:t>
            </w:r>
          </w:p>
        </w:tc>
        <w:tc>
          <w:tcPr>
            <w:tcW w:w="738" w:type="pct"/>
            <w:vAlign w:val="center"/>
          </w:tcPr>
          <w:p w14:paraId="6DF3D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排放浓度/（mg/L）</w:t>
            </w:r>
          </w:p>
        </w:tc>
      </w:tr>
      <w:tr w14:paraId="648DD0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E4467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17853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731" w:type="pct"/>
            <w:vAlign w:val="top"/>
          </w:tcPr>
          <w:p w14:paraId="4B696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732" w:type="pct"/>
            <w:gridSpan w:val="4"/>
            <w:vAlign w:val="top"/>
          </w:tcPr>
          <w:p w14:paraId="43AA7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732" w:type="pct"/>
            <w:gridSpan w:val="3"/>
            <w:vAlign w:val="top"/>
          </w:tcPr>
          <w:p w14:paraId="44650D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731" w:type="pct"/>
            <w:gridSpan w:val="4"/>
            <w:vAlign w:val="top"/>
          </w:tcPr>
          <w:p w14:paraId="1BE34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738" w:type="pct"/>
            <w:vAlign w:val="top"/>
          </w:tcPr>
          <w:p w14:paraId="2B286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069FD2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0E713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21AE0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生态流量确定</w:t>
            </w:r>
          </w:p>
        </w:tc>
        <w:tc>
          <w:tcPr>
            <w:tcW w:w="3666" w:type="pct"/>
            <w:gridSpan w:val="13"/>
            <w:vAlign w:val="center"/>
          </w:tcPr>
          <w:p w14:paraId="7F55F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生态流量：一般水期（ ）m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/s；鱼类繁殖期（ ）m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/s；其他（ ）m</w:t>
            </w:r>
            <w:r>
              <w:rPr>
                <w:rFonts w:hint="default" w:ascii="Times New Roman" w:hAnsi="Times New Roman" w:eastAsia="宋体" w:cs="Times New Roman"/>
                <w:color w:val="auto"/>
                <w:spacing w:val="0"/>
                <w:w w:val="100"/>
                <w:position w:val="0"/>
                <w:sz w:val="21"/>
                <w:szCs w:val="21"/>
                <w:vertAlign w:val="superscript"/>
              </w:rPr>
              <w:t>3</w:t>
            </w:r>
            <w:r>
              <w:rPr>
                <w:rFonts w:hint="default" w:ascii="Times New Roman" w:hAnsi="Times New Roman" w:eastAsia="宋体" w:cs="Times New Roman"/>
                <w:color w:val="auto"/>
                <w:spacing w:val="0"/>
                <w:w w:val="100"/>
                <w:position w:val="0"/>
                <w:sz w:val="21"/>
                <w:szCs w:val="21"/>
              </w:rPr>
              <w:t xml:space="preserve">/s </w:t>
            </w:r>
          </w:p>
          <w:p w14:paraId="5ECC6F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生态水位：一般水期（ ）m；鱼类繁殖期（ ）m；其他（ ）m</w:t>
            </w:r>
          </w:p>
        </w:tc>
      </w:tr>
      <w:tr w14:paraId="14E85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restart"/>
            <w:vAlign w:val="center"/>
          </w:tcPr>
          <w:p w14:paraId="025F1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防</w:t>
            </w:r>
          </w:p>
          <w:p w14:paraId="0F14F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治</w:t>
            </w:r>
          </w:p>
          <w:p w14:paraId="187484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措</w:t>
            </w:r>
          </w:p>
          <w:p w14:paraId="6655AB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施</w:t>
            </w:r>
          </w:p>
        </w:tc>
        <w:tc>
          <w:tcPr>
            <w:tcW w:w="825" w:type="pct"/>
            <w:vAlign w:val="center"/>
          </w:tcPr>
          <w:p w14:paraId="633B57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环保措施</w:t>
            </w:r>
          </w:p>
        </w:tc>
        <w:tc>
          <w:tcPr>
            <w:tcW w:w="3666" w:type="pct"/>
            <w:gridSpan w:val="13"/>
            <w:vAlign w:val="center"/>
          </w:tcPr>
          <w:p w14:paraId="659C5C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 xml:space="preserve">污水处理设施 √；水文减缓设施 □；生态流量保障设施 □；区域削减 □；依托其他工程措施 □；其他 □ </w:t>
            </w:r>
          </w:p>
        </w:tc>
      </w:tr>
      <w:tr w14:paraId="560E1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7D2B4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restart"/>
            <w:vAlign w:val="center"/>
          </w:tcPr>
          <w:p w14:paraId="16353C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监测计划</w:t>
            </w:r>
          </w:p>
        </w:tc>
        <w:tc>
          <w:tcPr>
            <w:tcW w:w="945" w:type="pct"/>
            <w:gridSpan w:val="3"/>
            <w:vAlign w:val="center"/>
          </w:tcPr>
          <w:p w14:paraId="2E0391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rPr>
            </w:pPr>
          </w:p>
        </w:tc>
        <w:tc>
          <w:tcPr>
            <w:tcW w:w="1357" w:type="pct"/>
            <w:gridSpan w:val="6"/>
            <w:vAlign w:val="center"/>
          </w:tcPr>
          <w:p w14:paraId="4F6A5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环境质量</w:t>
            </w:r>
          </w:p>
        </w:tc>
        <w:tc>
          <w:tcPr>
            <w:tcW w:w="1363" w:type="pct"/>
            <w:gridSpan w:val="4"/>
            <w:vAlign w:val="center"/>
          </w:tcPr>
          <w:p w14:paraId="25400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污染源</w:t>
            </w:r>
          </w:p>
        </w:tc>
      </w:tr>
      <w:tr w14:paraId="21B373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4CCB1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58396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945" w:type="pct"/>
            <w:gridSpan w:val="3"/>
            <w:vAlign w:val="center"/>
          </w:tcPr>
          <w:p w14:paraId="6FB94B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监测方式</w:t>
            </w:r>
          </w:p>
        </w:tc>
        <w:tc>
          <w:tcPr>
            <w:tcW w:w="1357" w:type="pct"/>
            <w:gridSpan w:val="6"/>
            <w:vAlign w:val="center"/>
          </w:tcPr>
          <w:p w14:paraId="66B90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rPr>
              <w:t>手动 □；自动 □；无监测 □</w:t>
            </w:r>
          </w:p>
        </w:tc>
        <w:tc>
          <w:tcPr>
            <w:tcW w:w="1363" w:type="pct"/>
            <w:gridSpan w:val="4"/>
            <w:vAlign w:val="center"/>
          </w:tcPr>
          <w:p w14:paraId="15A541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手动 □；自动 □；无监测 □</w:t>
            </w:r>
          </w:p>
        </w:tc>
      </w:tr>
      <w:tr w14:paraId="792328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27B7B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49050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945" w:type="pct"/>
            <w:gridSpan w:val="3"/>
            <w:vAlign w:val="center"/>
          </w:tcPr>
          <w:p w14:paraId="0DB78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监测点位</w:t>
            </w:r>
          </w:p>
        </w:tc>
        <w:tc>
          <w:tcPr>
            <w:tcW w:w="1357" w:type="pct"/>
            <w:gridSpan w:val="6"/>
            <w:vAlign w:val="center"/>
          </w:tcPr>
          <w:p w14:paraId="7BE9D6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1363" w:type="pct"/>
            <w:gridSpan w:val="4"/>
            <w:vAlign w:val="center"/>
          </w:tcPr>
          <w:p w14:paraId="6AB7D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7E5598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0DB24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Merge w:val="continue"/>
            <w:vAlign w:val="center"/>
          </w:tcPr>
          <w:p w14:paraId="1077B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945" w:type="pct"/>
            <w:gridSpan w:val="3"/>
            <w:vAlign w:val="center"/>
          </w:tcPr>
          <w:p w14:paraId="556E1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监测因子</w:t>
            </w:r>
          </w:p>
        </w:tc>
        <w:tc>
          <w:tcPr>
            <w:tcW w:w="1357" w:type="pct"/>
            <w:gridSpan w:val="6"/>
            <w:vAlign w:val="center"/>
          </w:tcPr>
          <w:p w14:paraId="44B34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1363" w:type="pct"/>
            <w:gridSpan w:val="4"/>
            <w:vAlign w:val="center"/>
          </w:tcPr>
          <w:p w14:paraId="0083D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r>
      <w:tr w14:paraId="39014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8" w:type="pct"/>
            <w:vMerge w:val="continue"/>
            <w:vAlign w:val="center"/>
          </w:tcPr>
          <w:p w14:paraId="35F81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p>
        </w:tc>
        <w:tc>
          <w:tcPr>
            <w:tcW w:w="825" w:type="pct"/>
            <w:vAlign w:val="center"/>
          </w:tcPr>
          <w:p w14:paraId="5606D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污染物排放清单</w:t>
            </w:r>
          </w:p>
        </w:tc>
        <w:tc>
          <w:tcPr>
            <w:tcW w:w="3666" w:type="pct"/>
            <w:gridSpan w:val="13"/>
            <w:vAlign w:val="center"/>
          </w:tcPr>
          <w:p w14:paraId="46FA67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w:t>
            </w:r>
          </w:p>
        </w:tc>
      </w:tr>
      <w:tr w14:paraId="13944F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33" w:type="pct"/>
            <w:gridSpan w:val="2"/>
            <w:vAlign w:val="center"/>
          </w:tcPr>
          <w:p w14:paraId="5A542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评价结论</w:t>
            </w:r>
          </w:p>
        </w:tc>
        <w:tc>
          <w:tcPr>
            <w:tcW w:w="3666" w:type="pct"/>
            <w:gridSpan w:val="13"/>
            <w:vAlign w:val="center"/>
          </w:tcPr>
          <w:p w14:paraId="7FD203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可以接受 √；不可以接受 □</w:t>
            </w:r>
          </w:p>
        </w:tc>
      </w:tr>
      <w:tr w14:paraId="4169D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5"/>
            <w:vAlign w:val="center"/>
          </w:tcPr>
          <w:p w14:paraId="7F081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注：</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为勾选项，可√；</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 ）</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为内容填写项；</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备注</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为其他补充内容。</w:t>
            </w:r>
          </w:p>
        </w:tc>
      </w:tr>
    </w:tbl>
    <w:p w14:paraId="230566B0">
      <w:pPr>
        <w:pStyle w:val="9"/>
        <w:rPr>
          <w:rFonts w:hint="default" w:ascii="Times New Roman" w:hAnsi="Times New Roman" w:eastAsia="宋体" w:cs="Times New Roman"/>
          <w:color w:val="auto"/>
          <w:spacing w:val="0"/>
          <w:w w:val="100"/>
          <w:position w:val="0"/>
        </w:rPr>
      </w:pPr>
    </w:p>
    <w:p w14:paraId="71CA6E4A">
      <w:pPr>
        <w:rPr>
          <w:rFonts w:hint="default" w:ascii="Times New Roman" w:hAnsi="Times New Roman" w:eastAsia="宋体" w:cs="Times New Roman"/>
          <w:color w:val="auto"/>
          <w:spacing w:val="0"/>
          <w:w w:val="100"/>
          <w:position w:val="0"/>
        </w:rPr>
        <w:sectPr>
          <w:headerReference r:id="rId42" w:type="default"/>
          <w:footerReference r:id="rId43"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503357B3">
      <w:pPr>
        <w:pStyle w:val="3"/>
        <w:bidi w:val="0"/>
        <w:rPr>
          <w:rFonts w:hint="default" w:ascii="Times New Roman" w:hAnsi="Times New Roman" w:cs="Times New Roman"/>
          <w:color w:val="auto"/>
          <w:lang w:val="en-US" w:eastAsia="zh-CN"/>
        </w:rPr>
      </w:pPr>
      <w:bookmarkStart w:id="614" w:name="bookmark35"/>
      <w:bookmarkEnd w:id="614"/>
      <w:bookmarkStart w:id="615" w:name="_Toc8991"/>
      <w:bookmarkStart w:id="616" w:name="_Toc14131"/>
      <w:r>
        <w:rPr>
          <w:rFonts w:hint="default" w:ascii="Times New Roman" w:hAnsi="Times New Roman" w:cs="Times New Roman"/>
          <w:color w:val="auto"/>
          <w:lang w:val="en-US" w:eastAsia="zh-CN"/>
        </w:rPr>
        <w:t>地下水环境影响预测与评价</w:t>
      </w:r>
      <w:bookmarkEnd w:id="615"/>
      <w:bookmarkEnd w:id="616"/>
    </w:p>
    <w:p w14:paraId="4959C3ED">
      <w:pPr>
        <w:pStyle w:val="4"/>
        <w:bidi w:val="0"/>
        <w:rPr>
          <w:rFonts w:hint="default" w:ascii="Times New Roman" w:hAnsi="Times New Roman" w:cs="Times New Roman"/>
          <w:color w:val="auto"/>
        </w:rPr>
      </w:pPr>
      <w:bookmarkStart w:id="617" w:name="_Toc7898"/>
      <w:bookmarkStart w:id="618" w:name="_Toc3923"/>
      <w:bookmarkStart w:id="619" w:name="_Toc329335325"/>
      <w:bookmarkStart w:id="620" w:name="_Toc324430321"/>
      <w:r>
        <w:rPr>
          <w:rFonts w:hint="default" w:ascii="Times New Roman" w:hAnsi="Times New Roman" w:cs="Times New Roman"/>
          <w:color w:val="auto"/>
        </w:rPr>
        <w:t>水文地质</w:t>
      </w:r>
      <w:bookmarkEnd w:id="617"/>
      <w:bookmarkEnd w:id="618"/>
      <w:r>
        <w:rPr>
          <w:rFonts w:hint="default" w:ascii="Times New Roman" w:hAnsi="Times New Roman" w:cs="Times New Roman"/>
          <w:color w:val="auto"/>
        </w:rPr>
        <w:t>条件</w:t>
      </w:r>
    </w:p>
    <w:bookmarkEnd w:id="619"/>
    <w:bookmarkEnd w:id="620"/>
    <w:p w14:paraId="67FB4747">
      <w:pPr>
        <w:pStyle w:val="5"/>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5.4.1.1水文地质概括</w:t>
      </w:r>
    </w:p>
    <w:p w14:paraId="13BE3278">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1、</w:t>
      </w:r>
      <w:r>
        <w:rPr>
          <w:rFonts w:hint="default" w:ascii="Times New Roman" w:hAnsi="Times New Roman" w:cs="Times New Roman"/>
          <w:color w:val="auto"/>
          <w:spacing w:val="0"/>
          <w:sz w:val="24"/>
          <w:szCs w:val="24"/>
        </w:rPr>
        <w:t>水文</w:t>
      </w:r>
    </w:p>
    <w:p w14:paraId="02A2D122">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矿区位于哈密市东南部，极其干旱少雨贫水，地表无常年性地表水，冲沟、干沟发育，暂时性地表径流皆因暴雨所致，多沿树枝状冲沟汇入山间洼地或主干沟谷，稍纵即逝，蒸发迅速。矿区</w:t>
      </w:r>
      <w:r>
        <w:rPr>
          <w:rFonts w:hint="default" w:ascii="Times New Roman" w:hAnsi="Times New Roman" w:cs="Times New Roman"/>
          <w:color w:val="auto"/>
          <w:spacing w:val="0"/>
          <w:kern w:val="144"/>
          <w:sz w:val="24"/>
          <w:szCs w:val="24"/>
        </w:rPr>
        <w:t>最低侵蚀基准面标高位于矿区东南部的南风井部位，水位埋深35m，水位标高为1980.96m。</w:t>
      </w:r>
    </w:p>
    <w:p w14:paraId="3B3DA6EC">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2、</w:t>
      </w:r>
      <w:r>
        <w:rPr>
          <w:rFonts w:hint="default" w:ascii="Times New Roman" w:hAnsi="Times New Roman" w:cs="Times New Roman"/>
          <w:color w:val="auto"/>
          <w:spacing w:val="0"/>
          <w:sz w:val="24"/>
          <w:szCs w:val="24"/>
        </w:rPr>
        <w:t>地下水类别与含水组划分</w:t>
      </w:r>
    </w:p>
    <w:p w14:paraId="47396D99">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组成区域中低山区的地层主要有新太古-古元古界天湖岩群（Ar</w:t>
      </w:r>
      <w:r>
        <w:rPr>
          <w:rFonts w:hint="default" w:ascii="Times New Roman" w:hAnsi="Times New Roman" w:cs="Times New Roman"/>
          <w:color w:val="auto"/>
          <w:spacing w:val="0"/>
          <w:sz w:val="24"/>
          <w:szCs w:val="24"/>
          <w:vertAlign w:val="subscript"/>
        </w:rPr>
        <w:t>3</w:t>
      </w:r>
      <w:r>
        <w:rPr>
          <w:rFonts w:hint="default" w:ascii="Times New Roman" w:hAnsi="Times New Roman" w:cs="Times New Roman"/>
          <w:color w:val="auto"/>
          <w:spacing w:val="0"/>
          <w:sz w:val="24"/>
          <w:szCs w:val="24"/>
        </w:rPr>
        <w:t>-Pt</w:t>
      </w:r>
      <w:r>
        <w:rPr>
          <w:rFonts w:hint="default" w:ascii="Times New Roman" w:hAnsi="Times New Roman" w:cs="Times New Roman"/>
          <w:color w:val="auto"/>
          <w:spacing w:val="0"/>
          <w:sz w:val="24"/>
          <w:szCs w:val="24"/>
          <w:vertAlign w:val="subscript"/>
        </w:rPr>
        <w:t>1</w:t>
      </w:r>
      <w:r>
        <w:rPr>
          <w:rFonts w:hint="default" w:ascii="Times New Roman" w:hAnsi="Times New Roman" w:cs="Times New Roman"/>
          <w:i/>
          <w:iCs/>
          <w:color w:val="auto"/>
          <w:spacing w:val="0"/>
          <w:sz w:val="24"/>
          <w:szCs w:val="24"/>
        </w:rPr>
        <w:t>T</w:t>
      </w:r>
      <w:r>
        <w:rPr>
          <w:rFonts w:hint="default" w:ascii="Times New Roman" w:hAnsi="Times New Roman" w:cs="Times New Roman"/>
          <w:color w:val="auto"/>
          <w:spacing w:val="0"/>
          <w:sz w:val="24"/>
          <w:szCs w:val="24"/>
        </w:rPr>
        <w:t>）、中元古代长城系星星峡岩群（Ch</w:t>
      </w:r>
      <w:r>
        <w:rPr>
          <w:rFonts w:hint="default" w:ascii="Times New Roman" w:hAnsi="Times New Roman" w:cs="Times New Roman"/>
          <w:i/>
          <w:iCs/>
          <w:color w:val="auto"/>
          <w:spacing w:val="0"/>
          <w:sz w:val="24"/>
          <w:szCs w:val="24"/>
        </w:rPr>
        <w:t>X</w:t>
      </w:r>
      <w:r>
        <w:rPr>
          <w:rFonts w:hint="default" w:ascii="Times New Roman" w:hAnsi="Times New Roman" w:cs="Times New Roman"/>
          <w:color w:val="auto"/>
          <w:spacing w:val="0"/>
          <w:sz w:val="24"/>
          <w:szCs w:val="24"/>
        </w:rPr>
        <w:t>）、蓟县系卡瓦布拉克岩群（Jx</w:t>
      </w:r>
      <w:r>
        <w:rPr>
          <w:rFonts w:hint="default" w:ascii="Times New Roman" w:hAnsi="Times New Roman" w:cs="Times New Roman"/>
          <w:i/>
          <w:iCs/>
          <w:color w:val="auto"/>
          <w:spacing w:val="0"/>
          <w:sz w:val="24"/>
          <w:szCs w:val="24"/>
        </w:rPr>
        <w:t>Kw</w:t>
      </w:r>
      <w:r>
        <w:rPr>
          <w:rFonts w:hint="default" w:ascii="Times New Roman" w:hAnsi="Times New Roman" w:cs="Times New Roman"/>
          <w:color w:val="auto"/>
          <w:spacing w:val="0"/>
          <w:sz w:val="24"/>
          <w:szCs w:val="24"/>
        </w:rPr>
        <w:t>）、下石炭统红柳园组（C</w:t>
      </w:r>
      <w:r>
        <w:rPr>
          <w:rFonts w:hint="default" w:ascii="Times New Roman" w:hAnsi="Times New Roman" w:cs="Times New Roman"/>
          <w:color w:val="auto"/>
          <w:spacing w:val="0"/>
          <w:sz w:val="24"/>
          <w:szCs w:val="24"/>
          <w:vertAlign w:val="subscript"/>
        </w:rPr>
        <w:t>1</w:t>
      </w:r>
      <w:r>
        <w:rPr>
          <w:rFonts w:hint="default" w:ascii="Times New Roman" w:hAnsi="Times New Roman" w:cs="Times New Roman"/>
          <w:i/>
          <w:iCs/>
          <w:color w:val="auto"/>
          <w:spacing w:val="0"/>
          <w:sz w:val="24"/>
          <w:szCs w:val="24"/>
        </w:rPr>
        <w:t>h</w:t>
      </w:r>
      <w:r>
        <w:rPr>
          <w:rFonts w:hint="default" w:ascii="Times New Roman" w:hAnsi="Times New Roman" w:cs="Times New Roman"/>
          <w:color w:val="auto"/>
          <w:spacing w:val="0"/>
          <w:sz w:val="24"/>
          <w:szCs w:val="24"/>
        </w:rPr>
        <w:t>）、中新统桃园组（N</w:t>
      </w:r>
      <w:r>
        <w:rPr>
          <w:rFonts w:hint="default" w:ascii="Times New Roman" w:hAnsi="Times New Roman" w:cs="Times New Roman"/>
          <w:color w:val="auto"/>
          <w:spacing w:val="0"/>
          <w:sz w:val="24"/>
          <w:szCs w:val="24"/>
          <w:vertAlign w:val="subscript"/>
        </w:rPr>
        <w:t>1</w:t>
      </w:r>
      <w:r>
        <w:rPr>
          <w:rFonts w:hint="default" w:ascii="Times New Roman" w:hAnsi="Times New Roman" w:cs="Times New Roman"/>
          <w:i/>
          <w:iCs/>
          <w:color w:val="auto"/>
          <w:spacing w:val="0"/>
          <w:sz w:val="24"/>
          <w:szCs w:val="24"/>
        </w:rPr>
        <w:t>t</w:t>
      </w:r>
      <w:r>
        <w:rPr>
          <w:rFonts w:hint="default" w:ascii="Times New Roman" w:hAnsi="Times New Roman" w:cs="Times New Roman"/>
          <w:color w:val="auto"/>
          <w:spacing w:val="0"/>
          <w:sz w:val="24"/>
          <w:szCs w:val="24"/>
        </w:rPr>
        <w:t>）及第四系松散沉积物等。因此根据区内地质构造，地貌单元，地层岩性，地下水分布及埋藏特征将区内地下水划分为第四系透水不含水层、碎屑岩类裂隙孔隙含水层、灰岩类裂隙含水层、碳酸盐岩类裂隙孔隙含水层四种类型，各含（隔）水岩组特征现分述如下：</w:t>
      </w:r>
    </w:p>
    <w:p w14:paraId="012E6A77">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1</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第四系透水不含水层</w:t>
      </w:r>
    </w:p>
    <w:p w14:paraId="6CB70F93">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①</w:t>
      </w:r>
      <w:r>
        <w:rPr>
          <w:rFonts w:hint="default" w:ascii="Times New Roman" w:hAnsi="Times New Roman" w:cs="Times New Roman"/>
          <w:color w:val="auto"/>
          <w:spacing w:val="0"/>
          <w:sz w:val="24"/>
          <w:szCs w:val="24"/>
        </w:rPr>
        <w:t>第四系上更新统-全新统洪积透水不含水层（QP</w:t>
      </w:r>
      <w:r>
        <w:rPr>
          <w:rFonts w:hint="default" w:ascii="Times New Roman" w:hAnsi="Times New Roman" w:cs="Times New Roman"/>
          <w:color w:val="auto"/>
          <w:spacing w:val="0"/>
          <w:sz w:val="24"/>
          <w:szCs w:val="24"/>
          <w:vertAlign w:val="subscript"/>
        </w:rPr>
        <w:t>3</w:t>
      </w:r>
      <w:r>
        <w:rPr>
          <w:rFonts w:hint="default" w:ascii="Times New Roman" w:hAnsi="Times New Roman" w:cs="Times New Roman"/>
          <w:color w:val="auto"/>
          <w:spacing w:val="0"/>
          <w:sz w:val="24"/>
          <w:szCs w:val="24"/>
        </w:rPr>
        <w:t>-Qh）</w:t>
      </w:r>
      <w:r>
        <w:rPr>
          <w:rFonts w:hint="default" w:ascii="Times New Roman" w:hAnsi="Times New Roman" w:cs="Times New Roman"/>
          <w:i/>
          <w:iCs/>
          <w:color w:val="auto"/>
          <w:spacing w:val="0"/>
          <w:sz w:val="24"/>
          <w:szCs w:val="24"/>
          <w:vertAlign w:val="superscript"/>
        </w:rPr>
        <w:t>pl</w:t>
      </w:r>
    </w:p>
    <w:p w14:paraId="45DD6B05">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主要分布于区域的北部及南部的地势较低洼处，呈零星片状。主要为第四系上更新统-全新统洪积堆积层，岩性成分主要由砂</w:t>
      </w:r>
      <w:r>
        <w:rPr>
          <w:rFonts w:hint="default" w:ascii="Times New Roman" w:hAnsi="Times New Roman" w:cs="Times New Roman"/>
          <w:snapToGrid w:val="0"/>
          <w:color w:val="auto"/>
          <w:spacing w:val="0"/>
          <w:sz w:val="24"/>
          <w:szCs w:val="24"/>
        </w:rPr>
        <w:t>砾石、含砾</w:t>
      </w:r>
      <w:r>
        <w:rPr>
          <w:rFonts w:hint="default" w:ascii="Times New Roman" w:hAnsi="Times New Roman" w:cs="Times New Roman"/>
          <w:color w:val="auto"/>
          <w:spacing w:val="0"/>
          <w:sz w:val="24"/>
          <w:szCs w:val="24"/>
        </w:rPr>
        <w:t>砂、碎石、碎石土、亚砂土等组成，</w:t>
      </w:r>
      <w:r>
        <w:rPr>
          <w:rFonts w:hint="default" w:ascii="Times New Roman" w:hAnsi="Times New Roman" w:cs="Times New Roman"/>
          <w:snapToGrid w:val="0"/>
          <w:color w:val="auto"/>
          <w:spacing w:val="0"/>
          <w:sz w:val="24"/>
          <w:szCs w:val="24"/>
        </w:rPr>
        <w:t>沉积物</w:t>
      </w:r>
      <w:r>
        <w:rPr>
          <w:rFonts w:hint="default" w:ascii="Times New Roman" w:hAnsi="Times New Roman" w:cs="Times New Roman"/>
          <w:color w:val="auto"/>
          <w:spacing w:val="0"/>
          <w:sz w:val="24"/>
          <w:szCs w:val="24"/>
        </w:rPr>
        <w:t>均松散</w:t>
      </w:r>
      <w:r>
        <w:rPr>
          <w:rFonts w:hint="default" w:ascii="Times New Roman" w:hAnsi="Times New Roman" w:cs="Times New Roman"/>
          <w:snapToGrid w:val="0"/>
          <w:color w:val="auto"/>
          <w:spacing w:val="0"/>
          <w:sz w:val="24"/>
          <w:szCs w:val="24"/>
        </w:rPr>
        <w:t>未胶结</w:t>
      </w:r>
      <w:r>
        <w:rPr>
          <w:rFonts w:hint="default" w:ascii="Times New Roman" w:hAnsi="Times New Roman" w:cs="Times New Roman"/>
          <w:color w:val="auto"/>
          <w:spacing w:val="0"/>
          <w:sz w:val="24"/>
          <w:szCs w:val="24"/>
        </w:rPr>
        <w:t>。岩性结构疏松、孔隙大、透水性强，一般厚度多在2—5m，最大厚度不超过10m，均位于当地最低侵蚀基准面以上，虽透水性能良好，但不具备储水条件，为透水不含水层。</w:t>
      </w:r>
    </w:p>
    <w:p w14:paraId="5A5F847E">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②</w:t>
      </w:r>
      <w:r>
        <w:rPr>
          <w:rFonts w:hint="default" w:ascii="Times New Roman" w:hAnsi="Times New Roman" w:cs="Times New Roman"/>
          <w:color w:val="auto"/>
          <w:spacing w:val="0"/>
          <w:sz w:val="24"/>
          <w:szCs w:val="24"/>
        </w:rPr>
        <w:t>第四系上更新统洪积透水不含水层（QP</w:t>
      </w:r>
      <w:r>
        <w:rPr>
          <w:rFonts w:hint="default" w:ascii="Times New Roman" w:hAnsi="Times New Roman" w:cs="Times New Roman"/>
          <w:color w:val="auto"/>
          <w:spacing w:val="0"/>
          <w:sz w:val="24"/>
          <w:szCs w:val="24"/>
          <w:vertAlign w:val="subscript"/>
        </w:rPr>
        <w:t>3</w:t>
      </w:r>
      <w:r>
        <w:rPr>
          <w:rFonts w:hint="default" w:ascii="Times New Roman" w:hAnsi="Times New Roman" w:cs="Times New Roman"/>
          <w:i/>
          <w:iCs/>
          <w:color w:val="auto"/>
          <w:spacing w:val="0"/>
          <w:sz w:val="24"/>
          <w:szCs w:val="24"/>
          <w:vertAlign w:val="superscript"/>
        </w:rPr>
        <w:t>pl</w:t>
      </w:r>
      <w:r>
        <w:rPr>
          <w:rFonts w:hint="default" w:ascii="Times New Roman" w:hAnsi="Times New Roman" w:cs="Times New Roman"/>
          <w:color w:val="auto"/>
          <w:spacing w:val="0"/>
          <w:sz w:val="24"/>
          <w:szCs w:val="24"/>
        </w:rPr>
        <w:t>）</w:t>
      </w:r>
    </w:p>
    <w:p w14:paraId="1D6AC246">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区域内第四系上更新统主要发育在北部的东西两侧，呈零星片状，分布面积较小。主要为残积的古老洪积锥阶地上，岩性成分为残坡积砂</w:t>
      </w:r>
      <w:r>
        <w:rPr>
          <w:rFonts w:hint="default" w:ascii="Times New Roman" w:hAnsi="Times New Roman" w:cs="Times New Roman"/>
          <w:snapToGrid w:val="0"/>
          <w:color w:val="auto"/>
          <w:spacing w:val="0"/>
          <w:sz w:val="24"/>
          <w:szCs w:val="24"/>
        </w:rPr>
        <w:t>砾石、含砾</w:t>
      </w:r>
      <w:r>
        <w:rPr>
          <w:rFonts w:hint="default" w:ascii="Times New Roman" w:hAnsi="Times New Roman" w:cs="Times New Roman"/>
          <w:color w:val="auto"/>
          <w:spacing w:val="0"/>
          <w:sz w:val="24"/>
          <w:szCs w:val="24"/>
        </w:rPr>
        <w:t>砂、碎石、碎石土，该阶地高出上更新－全新统阶地3—4m，均松散堆积。岩性结构疏松、孔隙大、透水性强，一般厚度多在3—5m，最大厚度不超过 10m，均位于当地最低侵蚀基准面以上，虽透水性能良好，但不具备储水条件，为透水不含水层。</w:t>
      </w:r>
    </w:p>
    <w:p w14:paraId="23ABAB82">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2</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碎屑岩类裂隙孔隙含水层（C</w:t>
      </w:r>
      <w:r>
        <w:rPr>
          <w:rFonts w:hint="default" w:ascii="Times New Roman" w:hAnsi="Times New Roman" w:cs="Times New Roman"/>
          <w:color w:val="auto"/>
          <w:spacing w:val="0"/>
          <w:sz w:val="24"/>
          <w:szCs w:val="24"/>
          <w:vertAlign w:val="subscript"/>
        </w:rPr>
        <w:t>1</w:t>
      </w:r>
      <w:r>
        <w:rPr>
          <w:rFonts w:hint="default" w:ascii="Times New Roman" w:hAnsi="Times New Roman" w:cs="Times New Roman"/>
          <w:i/>
          <w:iCs/>
          <w:color w:val="auto"/>
          <w:spacing w:val="0"/>
          <w:sz w:val="24"/>
          <w:szCs w:val="24"/>
        </w:rPr>
        <w:t>h</w:t>
      </w:r>
      <w:r>
        <w:rPr>
          <w:rFonts w:hint="default" w:ascii="Times New Roman" w:hAnsi="Times New Roman" w:cs="Times New Roman"/>
          <w:color w:val="auto"/>
          <w:spacing w:val="0"/>
          <w:sz w:val="24"/>
          <w:szCs w:val="24"/>
        </w:rPr>
        <w:t>）</w:t>
      </w:r>
    </w:p>
    <w:p w14:paraId="0BDF56EC">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lang w:bidi="en-US"/>
        </w:rPr>
      </w:pPr>
      <w:r>
        <w:rPr>
          <w:rFonts w:hint="default" w:ascii="Times New Roman" w:hAnsi="Times New Roman" w:cs="Times New Roman"/>
          <w:color w:val="auto"/>
          <w:spacing w:val="0"/>
          <w:sz w:val="24"/>
          <w:szCs w:val="24"/>
        </w:rPr>
        <w:t>该含水层主要分布于区域的东南部的中低山区，由下石炭统红柳园组地层组成，分布面积不大，呈条带状东西向展布。组成该含水层的岩性主要为灰黑色、灰绿色、黄褐色、黄绿色片理化凝灰岩、凝灰质粉砂岩夹凝灰岩薄层、粉晶灰岩、片理化凝灰质粉砂岩、钙质粉砂岩、黄褐色含钙中粒长石砂岩、长石岩屑砂岩、粉晶灰岩等，岩性较为复杂，</w:t>
      </w:r>
      <w:r>
        <w:rPr>
          <w:rFonts w:hint="default" w:ascii="Times New Roman" w:hAnsi="Times New Roman" w:cs="Times New Roman"/>
          <w:color w:val="auto"/>
          <w:spacing w:val="0"/>
          <w:sz w:val="24"/>
          <w:szCs w:val="24"/>
          <w:lang w:bidi="en-US"/>
        </w:rPr>
        <w:t>根据</w:t>
      </w:r>
      <w:r>
        <w:rPr>
          <w:rFonts w:hint="default" w:ascii="Times New Roman" w:hAnsi="Times New Roman" w:cs="Times New Roman"/>
          <w:color w:val="auto"/>
          <w:spacing w:val="0"/>
          <w:sz w:val="24"/>
          <w:szCs w:val="24"/>
        </w:rPr>
        <w:t>区域水文地质并结合矿区水文地质</w:t>
      </w:r>
      <w:r>
        <w:rPr>
          <w:rFonts w:hint="default" w:ascii="Times New Roman" w:hAnsi="Times New Roman" w:cs="Times New Roman"/>
          <w:color w:val="auto"/>
          <w:spacing w:val="0"/>
          <w:sz w:val="24"/>
          <w:szCs w:val="24"/>
          <w:lang w:bidi="en-US"/>
        </w:rPr>
        <w:t>资料，该</w:t>
      </w:r>
      <w:r>
        <w:rPr>
          <w:rFonts w:hint="default" w:ascii="Times New Roman" w:hAnsi="Times New Roman" w:cs="Times New Roman"/>
          <w:color w:val="auto"/>
          <w:spacing w:val="0"/>
          <w:sz w:val="24"/>
          <w:szCs w:val="24"/>
        </w:rPr>
        <w:t>层</w:t>
      </w:r>
      <w:r>
        <w:rPr>
          <w:rFonts w:hint="default" w:ascii="Times New Roman" w:hAnsi="Times New Roman" w:cs="Times New Roman"/>
          <w:color w:val="auto"/>
          <w:spacing w:val="0"/>
          <w:sz w:val="24"/>
          <w:szCs w:val="24"/>
          <w:lang w:bidi="en-US"/>
        </w:rPr>
        <w:t>地下水的主要来源为大气降水和冰雪消融水的入渗补给，由于地下水的补给非常有限，</w:t>
      </w:r>
      <w:r>
        <w:rPr>
          <w:rFonts w:hint="default" w:ascii="Times New Roman" w:hAnsi="Times New Roman" w:cs="Times New Roman"/>
          <w:color w:val="auto"/>
          <w:spacing w:val="0"/>
          <w:sz w:val="24"/>
          <w:szCs w:val="24"/>
        </w:rPr>
        <w:t>含水层</w:t>
      </w:r>
      <w:r>
        <w:rPr>
          <w:rFonts w:hint="default" w:ascii="Times New Roman" w:hAnsi="Times New Roman" w:cs="Times New Roman"/>
          <w:color w:val="auto"/>
          <w:spacing w:val="0"/>
          <w:sz w:val="24"/>
          <w:szCs w:val="24"/>
          <w:lang w:bidi="en-US"/>
        </w:rPr>
        <w:t>富水性弱，</w:t>
      </w:r>
      <w:r>
        <w:rPr>
          <w:rFonts w:hint="default" w:ascii="Times New Roman" w:hAnsi="Times New Roman" w:cs="Times New Roman"/>
          <w:color w:val="auto"/>
          <w:spacing w:val="0"/>
          <w:sz w:val="24"/>
          <w:szCs w:val="24"/>
        </w:rPr>
        <w:t>区域</w:t>
      </w:r>
      <w:r>
        <w:rPr>
          <w:rFonts w:hint="default" w:ascii="Times New Roman" w:hAnsi="Times New Roman" w:cs="Times New Roman"/>
          <w:color w:val="auto"/>
          <w:spacing w:val="0"/>
          <w:sz w:val="24"/>
          <w:szCs w:val="24"/>
          <w:lang w:bidi="en-US"/>
        </w:rPr>
        <w:t>地下水位埋藏较深。</w:t>
      </w:r>
    </w:p>
    <w:p w14:paraId="12165429">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3</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rPr>
        <w:t>结晶岩类裂隙含水层（ηγC</w:t>
      </w:r>
      <w:r>
        <w:rPr>
          <w:rFonts w:hint="default" w:ascii="Times New Roman" w:hAnsi="Times New Roman" w:cs="Times New Roman"/>
          <w:color w:val="auto"/>
          <w:spacing w:val="0"/>
          <w:sz w:val="24"/>
          <w:szCs w:val="24"/>
          <w:vertAlign w:val="subscript"/>
        </w:rPr>
        <w:t>2</w:t>
      </w:r>
      <w:r>
        <w:rPr>
          <w:rFonts w:hint="default" w:ascii="Times New Roman" w:hAnsi="Times New Roman" w:cs="Times New Roman"/>
          <w:color w:val="auto"/>
          <w:spacing w:val="0"/>
          <w:sz w:val="24"/>
          <w:szCs w:val="24"/>
        </w:rPr>
        <w:t>-P</w:t>
      </w:r>
      <w:r>
        <w:rPr>
          <w:rFonts w:hint="default" w:ascii="Times New Roman" w:hAnsi="Times New Roman" w:cs="Times New Roman"/>
          <w:color w:val="auto"/>
          <w:spacing w:val="0"/>
          <w:sz w:val="24"/>
          <w:szCs w:val="24"/>
          <w:vertAlign w:val="subscript"/>
        </w:rPr>
        <w:t>1</w:t>
      </w:r>
      <w:r>
        <w:rPr>
          <w:rFonts w:hint="default" w:ascii="Times New Roman" w:hAnsi="Times New Roman" w:cs="Times New Roman"/>
          <w:color w:val="auto"/>
          <w:spacing w:val="0"/>
          <w:sz w:val="24"/>
          <w:szCs w:val="24"/>
        </w:rPr>
        <w:t>）</w:t>
      </w:r>
    </w:p>
    <w:p w14:paraId="7DA753C0">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lang w:bidi="en-US"/>
        </w:rPr>
      </w:pPr>
      <w:r>
        <w:rPr>
          <w:rFonts w:hint="default" w:ascii="Times New Roman" w:hAnsi="Times New Roman" w:cs="Times New Roman"/>
          <w:color w:val="auto"/>
          <w:spacing w:val="0"/>
          <w:sz w:val="24"/>
          <w:szCs w:val="24"/>
        </w:rPr>
        <w:t>主要出露在区域的大部，呈</w:t>
      </w:r>
      <w:r>
        <w:rPr>
          <w:rFonts w:hint="default" w:ascii="Times New Roman" w:hAnsi="Times New Roman" w:cs="Times New Roman"/>
          <w:color w:val="auto"/>
          <w:spacing w:val="0"/>
          <w:sz w:val="24"/>
          <w:szCs w:val="24"/>
          <w:lang w:bidi="en-US"/>
        </w:rPr>
        <w:t>大</w:t>
      </w:r>
      <w:r>
        <w:rPr>
          <w:rFonts w:hint="default" w:ascii="Times New Roman" w:hAnsi="Times New Roman" w:cs="Times New Roman"/>
          <w:color w:val="auto"/>
          <w:spacing w:val="0"/>
          <w:sz w:val="24"/>
          <w:szCs w:val="24"/>
        </w:rPr>
        <w:t>面积分布，面积较</w:t>
      </w:r>
      <w:r>
        <w:rPr>
          <w:rFonts w:hint="default" w:ascii="Times New Roman" w:hAnsi="Times New Roman" w:cs="Times New Roman"/>
          <w:color w:val="auto"/>
          <w:spacing w:val="0"/>
          <w:sz w:val="24"/>
          <w:szCs w:val="24"/>
          <w:lang w:bidi="en-US"/>
        </w:rPr>
        <w:t>大，约占1:5万</w:t>
      </w:r>
      <w:r>
        <w:rPr>
          <w:rFonts w:hint="default" w:ascii="Times New Roman" w:hAnsi="Times New Roman" w:cs="Times New Roman"/>
          <w:color w:val="auto"/>
          <w:spacing w:val="0"/>
          <w:sz w:val="24"/>
          <w:szCs w:val="24"/>
        </w:rPr>
        <w:t>区域图幅总面积的62.70％。岩性主要有：晚石炭世-早二叠世二长花岗岩，晚石炭世花岗闪长岩、闪长岩，早志留世石英闪长岩，晚元古代似斑状片麻状二长花岗岩以及少量的早元古代黑云母斜长片麻岩，岩性较为复杂。</w:t>
      </w:r>
      <w:r>
        <w:rPr>
          <w:rFonts w:hint="default" w:ascii="Times New Roman" w:hAnsi="Times New Roman" w:cs="Times New Roman"/>
          <w:color w:val="auto"/>
          <w:spacing w:val="0"/>
          <w:sz w:val="24"/>
          <w:szCs w:val="24"/>
          <w:lang w:bidi="en-US"/>
        </w:rPr>
        <w:t>根据调查的</w:t>
      </w:r>
      <w:r>
        <w:rPr>
          <w:rFonts w:hint="default" w:ascii="Times New Roman" w:hAnsi="Times New Roman" w:cs="Times New Roman"/>
          <w:color w:val="auto"/>
          <w:spacing w:val="0"/>
          <w:sz w:val="24"/>
          <w:szCs w:val="24"/>
        </w:rPr>
        <w:t>区域水文地质资料，该含水层结晶岩类裂隙含水层，</w:t>
      </w:r>
      <w:r>
        <w:rPr>
          <w:rFonts w:hint="default" w:ascii="Times New Roman" w:hAnsi="Times New Roman" w:cs="Times New Roman"/>
          <w:color w:val="auto"/>
          <w:spacing w:val="0"/>
          <w:sz w:val="24"/>
          <w:szCs w:val="24"/>
          <w:lang w:bidi="en-US"/>
        </w:rPr>
        <w:t>地下水的</w:t>
      </w:r>
      <w:r>
        <w:rPr>
          <w:rFonts w:hint="default" w:ascii="Times New Roman" w:hAnsi="Times New Roman" w:cs="Times New Roman"/>
          <w:color w:val="auto"/>
          <w:spacing w:val="0"/>
          <w:sz w:val="24"/>
          <w:szCs w:val="24"/>
        </w:rPr>
        <w:t>主要</w:t>
      </w:r>
      <w:r>
        <w:rPr>
          <w:rFonts w:hint="default" w:ascii="Times New Roman" w:hAnsi="Times New Roman" w:cs="Times New Roman"/>
          <w:color w:val="auto"/>
          <w:spacing w:val="0"/>
          <w:sz w:val="24"/>
          <w:szCs w:val="24"/>
          <w:lang w:bidi="en-US"/>
        </w:rPr>
        <w:t>补给来源为大气降水和冰雪消融水的入渗补给，由于地下水的补给源单一，富水性弱，且富水性不均匀，富水性中等的</w:t>
      </w:r>
      <w:r>
        <w:rPr>
          <w:rFonts w:hint="default" w:ascii="Times New Roman" w:hAnsi="Times New Roman" w:cs="Times New Roman"/>
          <w:color w:val="auto"/>
          <w:spacing w:val="0"/>
          <w:sz w:val="24"/>
          <w:szCs w:val="24"/>
        </w:rPr>
        <w:t>区域</w:t>
      </w:r>
      <w:r>
        <w:rPr>
          <w:rFonts w:hint="default" w:ascii="Times New Roman" w:hAnsi="Times New Roman" w:cs="Times New Roman"/>
          <w:color w:val="auto"/>
          <w:spacing w:val="0"/>
          <w:sz w:val="24"/>
          <w:szCs w:val="24"/>
          <w:lang w:bidi="en-US"/>
        </w:rPr>
        <w:t>往往在</w:t>
      </w:r>
      <w:r>
        <w:rPr>
          <w:rFonts w:hint="default" w:ascii="Times New Roman" w:hAnsi="Times New Roman" w:cs="Times New Roman"/>
          <w:color w:val="auto"/>
          <w:spacing w:val="0"/>
          <w:sz w:val="24"/>
          <w:szCs w:val="24"/>
        </w:rPr>
        <w:t>区域大的断裂构造的交汇部位。根据本次钻孔抽水试验成果，该层</w:t>
      </w:r>
      <w:r>
        <w:rPr>
          <w:rFonts w:hint="default" w:ascii="Times New Roman" w:hAnsi="Times New Roman" w:cs="Times New Roman"/>
          <w:color w:val="auto"/>
          <w:spacing w:val="0"/>
          <w:sz w:val="24"/>
          <w:szCs w:val="24"/>
          <w:lang w:bidi="en-US"/>
        </w:rPr>
        <w:t>富水性弱。</w:t>
      </w:r>
    </w:p>
    <w:p w14:paraId="1744E90F">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（4）</w:t>
      </w:r>
      <w:r>
        <w:rPr>
          <w:rFonts w:hint="default" w:ascii="Times New Roman" w:hAnsi="Times New Roman" w:cs="Times New Roman"/>
          <w:color w:val="auto"/>
          <w:spacing w:val="0"/>
          <w:sz w:val="24"/>
          <w:szCs w:val="24"/>
        </w:rPr>
        <w:t>碳酸盐岩裂隙孔隙含水层（Jx</w:t>
      </w:r>
      <w:r>
        <w:rPr>
          <w:rFonts w:hint="default" w:ascii="Times New Roman" w:hAnsi="Times New Roman" w:cs="Times New Roman"/>
          <w:i/>
          <w:iCs/>
          <w:color w:val="auto"/>
          <w:spacing w:val="0"/>
          <w:sz w:val="24"/>
          <w:szCs w:val="24"/>
        </w:rPr>
        <w:t>Kw</w:t>
      </w:r>
      <w:r>
        <w:rPr>
          <w:rFonts w:hint="default" w:ascii="Times New Roman" w:hAnsi="Times New Roman" w:cs="Times New Roman"/>
          <w:color w:val="auto"/>
          <w:spacing w:val="0"/>
          <w:sz w:val="24"/>
          <w:szCs w:val="24"/>
        </w:rPr>
        <w:t>）</w:t>
      </w:r>
    </w:p>
    <w:p w14:paraId="49ADA51D">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lang w:bidi="en-US"/>
        </w:rPr>
      </w:pPr>
      <w:r>
        <w:rPr>
          <w:rFonts w:hint="default" w:ascii="Times New Roman" w:hAnsi="Times New Roman" w:cs="Times New Roman"/>
          <w:color w:val="auto"/>
          <w:spacing w:val="0"/>
          <w:sz w:val="24"/>
          <w:szCs w:val="24"/>
        </w:rPr>
        <w:t>主要分布在区域的中部，由蓟县系卡瓦布拉克岩群地层组成，呈不规则片状分布，面积略</w:t>
      </w:r>
      <w:r>
        <w:rPr>
          <w:rFonts w:hint="default" w:ascii="Times New Roman" w:hAnsi="Times New Roman" w:cs="Times New Roman"/>
          <w:color w:val="auto"/>
          <w:spacing w:val="0"/>
          <w:sz w:val="24"/>
          <w:szCs w:val="24"/>
          <w:lang w:bidi="en-US"/>
        </w:rPr>
        <w:t>大</w:t>
      </w:r>
      <w:r>
        <w:rPr>
          <w:rFonts w:hint="default" w:ascii="Times New Roman" w:hAnsi="Times New Roman" w:cs="Times New Roman"/>
          <w:color w:val="auto"/>
          <w:spacing w:val="0"/>
          <w:sz w:val="24"/>
          <w:szCs w:val="24"/>
        </w:rPr>
        <w:t>。岩性由一套浅变质的粒状大理岩、透辉石大理岩、条带状大理岩、含炭质、硅质碎屑细粒条带状大理岩和白云母石英片岩变质等碎屑岩组成。含水层溶蚀形态以溶蚀孔隙裂隙为主，两种或两种以上含水介质结构相互连通，构成了具有统一地下水面的含水体，</w:t>
      </w:r>
      <w:r>
        <w:rPr>
          <w:rFonts w:hint="default" w:ascii="Times New Roman" w:hAnsi="Times New Roman" w:cs="Times New Roman"/>
          <w:color w:val="auto"/>
          <w:spacing w:val="0"/>
          <w:sz w:val="24"/>
          <w:szCs w:val="24"/>
          <w:lang w:bidi="en-US"/>
        </w:rPr>
        <w:t>根据</w:t>
      </w:r>
      <w:r>
        <w:rPr>
          <w:rFonts w:hint="default" w:ascii="Times New Roman" w:hAnsi="Times New Roman" w:cs="Times New Roman"/>
          <w:color w:val="auto"/>
          <w:spacing w:val="0"/>
          <w:sz w:val="24"/>
          <w:szCs w:val="24"/>
        </w:rPr>
        <w:t>区域水文地质</w:t>
      </w:r>
      <w:r>
        <w:rPr>
          <w:rFonts w:hint="default" w:ascii="Times New Roman" w:hAnsi="Times New Roman" w:cs="Times New Roman"/>
          <w:color w:val="auto"/>
          <w:spacing w:val="0"/>
          <w:sz w:val="24"/>
          <w:szCs w:val="24"/>
          <w:lang w:bidi="en-US"/>
        </w:rPr>
        <w:t>资料，该</w:t>
      </w:r>
      <w:r>
        <w:rPr>
          <w:rFonts w:hint="default" w:ascii="Times New Roman" w:hAnsi="Times New Roman" w:cs="Times New Roman"/>
          <w:color w:val="auto"/>
          <w:spacing w:val="0"/>
          <w:sz w:val="24"/>
          <w:szCs w:val="24"/>
        </w:rPr>
        <w:t>含水层</w:t>
      </w:r>
      <w:r>
        <w:rPr>
          <w:rFonts w:hint="default" w:ascii="Times New Roman" w:hAnsi="Times New Roman" w:cs="Times New Roman"/>
          <w:color w:val="auto"/>
          <w:spacing w:val="0"/>
          <w:sz w:val="24"/>
          <w:szCs w:val="24"/>
          <w:lang w:bidi="en-US"/>
        </w:rPr>
        <w:t>富水性弱</w:t>
      </w:r>
      <w:r>
        <w:rPr>
          <w:rFonts w:hint="default" w:ascii="Times New Roman" w:hAnsi="Times New Roman" w:cs="Times New Roman"/>
          <w:color w:val="auto"/>
          <w:spacing w:val="0"/>
          <w:sz w:val="24"/>
          <w:szCs w:val="24"/>
        </w:rPr>
        <w:t>。根据本次钻孔抽水试验成果，该层</w:t>
      </w:r>
      <w:r>
        <w:rPr>
          <w:rFonts w:hint="default" w:ascii="Times New Roman" w:hAnsi="Times New Roman" w:cs="Times New Roman"/>
          <w:color w:val="auto"/>
          <w:spacing w:val="0"/>
          <w:sz w:val="24"/>
          <w:szCs w:val="24"/>
          <w:lang w:bidi="en-US"/>
        </w:rPr>
        <w:t>富水性弱。</w:t>
      </w:r>
    </w:p>
    <w:p w14:paraId="25A41A0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3、</w:t>
      </w:r>
      <w:r>
        <w:rPr>
          <w:rFonts w:hint="default" w:ascii="Times New Roman" w:hAnsi="Times New Roman" w:cs="Times New Roman"/>
          <w:color w:val="auto"/>
          <w:spacing w:val="0"/>
          <w:kern w:val="0"/>
          <w:sz w:val="24"/>
          <w:szCs w:val="24"/>
        </w:rPr>
        <w:t>区域断层破碎带、接触破碎带、裂隙密集带的富水性、导水性</w:t>
      </w:r>
    </w:p>
    <w:p w14:paraId="23869BB7">
      <w:pPr>
        <w:pStyle w:val="16"/>
        <w:keepNext w:val="0"/>
        <w:keepLines w:val="0"/>
        <w:pageBreakBefore w:val="0"/>
        <w:kinsoku/>
        <w:wordWrap/>
        <w:overflowPunct/>
        <w:topLinePunct w:val="0"/>
        <w:autoSpaceDE/>
        <w:autoSpaceDN/>
        <w:bidi w:val="0"/>
        <w:adjustRightInd/>
        <w:snapToGrid/>
        <w:spacing w:after="0" w:line="480" w:lineRule="exact"/>
        <w:ind w:left="0" w:leftChars="0" w:firstLine="480" w:firstLineChars="200"/>
        <w:jc w:val="left"/>
        <w:textAlignment w:val="auto"/>
        <w:rPr>
          <w:rFonts w:hint="default" w:ascii="Times New Roman" w:hAnsi="Times New Roman" w:cs="Times New Roman"/>
          <w:snapToGrid w:val="0"/>
          <w:color w:val="auto"/>
          <w:spacing w:val="0"/>
          <w:sz w:val="24"/>
          <w:szCs w:val="24"/>
        </w:rPr>
      </w:pPr>
      <w:r>
        <w:rPr>
          <w:rFonts w:hint="default" w:ascii="Times New Roman" w:hAnsi="Times New Roman" w:cs="Times New Roman"/>
          <w:snapToGrid w:val="0"/>
          <w:color w:val="auto"/>
          <w:spacing w:val="0"/>
          <w:sz w:val="24"/>
          <w:szCs w:val="24"/>
        </w:rPr>
        <w:t>区域内断裂构造发育，以近北西－南东向为主，次为近东西向，其次为南西－北东向。近北西－南东向断裂为韧脆性逆冲断层，走向呈近北东－南西向，产状朝南东陡倾，少数朝北陡倾。其中最主要的是平顶山断裂（F12）。该断裂横贯小白石头幅，出露长度约30km，在200°-220°∠70-81°，总体走向近南东东-北西西向。</w:t>
      </w:r>
    </w:p>
    <w:p w14:paraId="7E107EEA">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内无地表水流和水体，大气降水稀少，年降雨量仅33.8mm，地下水补给条件差，从现有区域断裂构造水文特征分析与矿区断裂构造水文联系弱，矿区内未发现大的断裂构造沟通地表水和深部地下水的情况，因此，区域断裂</w:t>
      </w:r>
      <w:r>
        <w:rPr>
          <w:rFonts w:hint="default" w:ascii="Times New Roman" w:hAnsi="Times New Roman" w:cs="Times New Roman"/>
          <w:color w:val="auto"/>
          <w:spacing w:val="0"/>
          <w:kern w:val="0"/>
          <w:sz w:val="24"/>
          <w:szCs w:val="24"/>
        </w:rPr>
        <w:t>破碎带、接触破碎带</w:t>
      </w:r>
      <w:r>
        <w:rPr>
          <w:rFonts w:hint="default" w:ascii="Times New Roman" w:hAnsi="Times New Roman" w:cs="Times New Roman"/>
          <w:color w:val="auto"/>
          <w:spacing w:val="0"/>
          <w:sz w:val="24"/>
          <w:szCs w:val="24"/>
        </w:rPr>
        <w:t>的</w:t>
      </w:r>
      <w:r>
        <w:rPr>
          <w:rFonts w:hint="default" w:ascii="Times New Roman" w:hAnsi="Times New Roman" w:cs="Times New Roman"/>
          <w:color w:val="auto"/>
          <w:spacing w:val="0"/>
          <w:kern w:val="0"/>
          <w:sz w:val="24"/>
          <w:szCs w:val="24"/>
        </w:rPr>
        <w:t>富水性、</w:t>
      </w:r>
      <w:r>
        <w:rPr>
          <w:rFonts w:hint="default" w:ascii="Times New Roman" w:hAnsi="Times New Roman" w:cs="Times New Roman"/>
          <w:color w:val="auto"/>
          <w:spacing w:val="0"/>
          <w:sz w:val="24"/>
          <w:szCs w:val="24"/>
        </w:rPr>
        <w:t>导水性差，对矿区的井下开采影响不大。</w:t>
      </w:r>
    </w:p>
    <w:p w14:paraId="59E1C321">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区域内断裂构造形态简单，气象、水文条件差，无地表水流和水体。从现有区域断裂构造水文特征分析与矿区断裂构造水文特征联系弱，矿区内未发现大的断裂构造沟通地表水和深部地下水，因此，区域断裂</w:t>
      </w:r>
      <w:r>
        <w:rPr>
          <w:rFonts w:hint="default" w:ascii="Times New Roman" w:hAnsi="Times New Roman" w:cs="Times New Roman"/>
          <w:color w:val="auto"/>
          <w:spacing w:val="0"/>
          <w:kern w:val="0"/>
          <w:sz w:val="24"/>
          <w:szCs w:val="24"/>
        </w:rPr>
        <w:t>破碎带、接触破碎带</w:t>
      </w:r>
      <w:r>
        <w:rPr>
          <w:rFonts w:hint="default" w:ascii="Times New Roman" w:hAnsi="Times New Roman" w:cs="Times New Roman"/>
          <w:color w:val="auto"/>
          <w:spacing w:val="0"/>
          <w:sz w:val="24"/>
          <w:szCs w:val="24"/>
        </w:rPr>
        <w:t>的</w:t>
      </w:r>
      <w:r>
        <w:rPr>
          <w:rFonts w:hint="default" w:ascii="Times New Roman" w:hAnsi="Times New Roman" w:cs="Times New Roman"/>
          <w:color w:val="auto"/>
          <w:spacing w:val="0"/>
          <w:kern w:val="0"/>
          <w:sz w:val="24"/>
          <w:szCs w:val="24"/>
        </w:rPr>
        <w:t>富水性、</w:t>
      </w:r>
      <w:r>
        <w:rPr>
          <w:rFonts w:hint="default" w:ascii="Times New Roman" w:hAnsi="Times New Roman" w:cs="Times New Roman"/>
          <w:color w:val="auto"/>
          <w:spacing w:val="0"/>
          <w:sz w:val="24"/>
          <w:szCs w:val="24"/>
        </w:rPr>
        <w:t>导水性差，对矿区的井下开采影响不大。</w:t>
      </w:r>
    </w:p>
    <w:p w14:paraId="4507A706">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lang w:val="en-US" w:eastAsia="zh-CN"/>
        </w:rPr>
        <w:t>4、</w:t>
      </w:r>
      <w:r>
        <w:rPr>
          <w:rFonts w:hint="default" w:ascii="Times New Roman" w:hAnsi="Times New Roman" w:cs="Times New Roman"/>
          <w:color w:val="auto"/>
          <w:spacing w:val="0"/>
          <w:sz w:val="24"/>
          <w:szCs w:val="24"/>
        </w:rPr>
        <w:t>区域地下水的补给、径流、排泄条件</w:t>
      </w:r>
    </w:p>
    <w:p w14:paraId="519F6972">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吐哈盆地是东天山中一个山间盆地，其东起野马泉，西至可尔碱，北靠博格达山、哈尔力克山，南邻觉罗塔格山。呈一东西向狭长盆地。盆地地势北高南低，北部为东天山南麓的低山区和倾斜平原区，中部火焰山、沙山耸立于斜坡平原之上，南部为斜坡平原或低洼盐碱地。</w:t>
      </w:r>
    </w:p>
    <w:p w14:paraId="6B9D1334">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整个吐哈盆地为一个独立的水文地质单元（Ⅰ），宏观上以艾丁湖为汇流与排泄中心，形成统一的区域径流场。吐哈盆地又可划分为2个二级水文地质单元，即吐鲁番盆地水文地质单元（Ⅱ1），汇水中心为艾丁湖；哈密盆地水文地质单元（Ⅱ2），汇水中心为疏纳诺尔（沙尔湖）。由此可再细划分为8个三级水文地质单元。</w:t>
      </w:r>
    </w:p>
    <w:p w14:paraId="03F6951A">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大红山北铜矿区就位于区域水文地质单元中的（Ⅲ6）黄田潜水及承压水区的东南部，北侧为东天山南麓，南缘觉罗塔格山贫水区，地质体及水文地质单元体均由泥盆系、石炭系地层及华力西期侵入岩岩系等构成。由于（Ⅲ6）黄田潜水及承压水区地下水的补给源非常有限，属极度贫水区。大红山北铜矿区位于（Ⅲ6）的东南部，处于觉罗塔格山贫水区范围内，地下水的径流十分不畅，</w:t>
      </w:r>
      <w:r>
        <w:rPr>
          <w:rFonts w:hint="default" w:ascii="Times New Roman" w:hAnsi="Times New Roman" w:cs="Times New Roman"/>
          <w:color w:val="auto"/>
          <w:spacing w:val="0"/>
          <w:sz w:val="24"/>
          <w:szCs w:val="24"/>
          <w:lang w:bidi="en-US"/>
        </w:rPr>
        <w:t>补给源十分有限，富水性弱，</w:t>
      </w:r>
      <w:r>
        <w:rPr>
          <w:rFonts w:hint="default" w:ascii="Times New Roman" w:hAnsi="Times New Roman" w:cs="Times New Roman"/>
          <w:color w:val="auto"/>
          <w:spacing w:val="0"/>
          <w:sz w:val="24"/>
          <w:szCs w:val="24"/>
        </w:rPr>
        <w:t>因此，大红山北铜矿区附近区域地下水贫乏。</w:t>
      </w:r>
    </w:p>
    <w:p w14:paraId="25C2A671">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南部觉罗塔格山贫水区对大红山北铜矿区地下水的补给也无意义。区域内各含水层主要接受北部、东北部地下水的侧向径流补给，其次为大气降水，冰雪消融水的入渗补给，向西南部缓慢径流汇聚，由于区域补给源匮乏，富水性弱，地下水量较少，使地下水的径流几乎处于停滞状态。</w:t>
      </w:r>
    </w:p>
    <w:p w14:paraId="37780608">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地下水由北部及东北部高位顺层径流补给低位的各基岩裂隙潜水含水层，各含水层接受补给后，继续向南及西南方向依次补给相邻含水层，北部及东北部东天山南麓为地下水的补给区，南麓的中低山丘陵区为地下水的径流区，径流至大红山北铜矿区后成为区域水文地质单元中的径流排泄区。区域最低侵蚀基准面标高位于大南湖凹陷盆地，标高为550m。</w:t>
      </w:r>
    </w:p>
    <w:p w14:paraId="128C379A">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区域地下水运动是由北部及东北部向南西径流，最终向西偏北以地下径流的形式向沙尔湖盆地排泄。地下水运动的总体流向由北东向南西径流，区域地形、地貌属中低山丘陵区，区域水文地质单元属径流排泄区。</w:t>
      </w:r>
    </w:p>
    <w:p w14:paraId="283DC87E">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地下水的补给、径流和排泄条件，主要受地形、地质、地貌、构造及气象要素的控制，地下水动态特征明显的受季节性影响而变化，一般较雨季和地表洪水稍有滞后，反映了大气降水渗入地下后需一定的径流过程。</w:t>
      </w:r>
    </w:p>
    <w:p w14:paraId="6541506E">
      <w:pPr>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spacing w:val="0"/>
          <w:sz w:val="24"/>
          <w:szCs w:val="24"/>
        </w:rPr>
      </w:pPr>
      <w:r>
        <w:rPr>
          <w:rFonts w:hint="default" w:ascii="Times New Roman" w:hAnsi="Times New Roman" w:cs="Times New Roman"/>
          <w:color w:val="auto"/>
          <w:spacing w:val="0"/>
          <w:sz w:val="24"/>
          <w:szCs w:val="24"/>
        </w:rPr>
        <w:t>区域内地下水动态类型属雨水类型，地下水的形成主要为北部及东北部地下水的侧向径流补给，其次为降水的补给，地下水的排泄是以径流的形式向西部及西南部区外排泄。</w:t>
      </w:r>
    </w:p>
    <w:p w14:paraId="15B770D1">
      <w:pPr>
        <w:pStyle w:val="5"/>
        <w:bidi w:val="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5.4.1.2矿区</w:t>
      </w:r>
      <w:r>
        <w:rPr>
          <w:rFonts w:hint="default" w:ascii="Times New Roman" w:hAnsi="Times New Roman" w:cs="Times New Roman"/>
          <w:color w:val="auto"/>
        </w:rPr>
        <w:t>岩（矿）层的富水性</w:t>
      </w:r>
      <w:r>
        <w:rPr>
          <w:rFonts w:hint="default" w:ascii="Times New Roman" w:hAnsi="Times New Roman" w:cs="Times New Roman"/>
          <w:color w:val="auto"/>
          <w:lang w:val="en-US" w:eastAsia="zh-CN"/>
        </w:rPr>
        <w:t>特征</w:t>
      </w:r>
    </w:p>
    <w:p w14:paraId="56D12DA6">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据矿区出露地层及钻孔水文地质、工程地质编录资料</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将</w:t>
      </w:r>
      <w:r>
        <w:rPr>
          <w:rFonts w:hint="default" w:ascii="Times New Roman" w:hAnsi="Times New Roman" w:eastAsia="宋体" w:cs="Times New Roman"/>
          <w:color w:val="auto"/>
          <w:sz w:val="24"/>
          <w:szCs w:val="24"/>
          <w:lang w:val="en-US" w:eastAsia="zh-CN"/>
        </w:rPr>
        <w:t>矿</w:t>
      </w:r>
      <w:r>
        <w:rPr>
          <w:rFonts w:hint="default" w:ascii="Times New Roman" w:hAnsi="Times New Roman" w:eastAsia="宋体" w:cs="Times New Roman"/>
          <w:color w:val="auto"/>
          <w:sz w:val="24"/>
          <w:szCs w:val="24"/>
        </w:rPr>
        <w:t>区内相关地层划分为两个含（隔）水层（段）</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第四系松散岩类透水不含水层</w:t>
      </w:r>
      <w:r>
        <w:rPr>
          <w:rFonts w:hint="default" w:ascii="Times New Roman" w:hAnsi="Times New Roman" w:eastAsia="宋体" w:cs="Times New Roman"/>
          <w:color w:val="auto"/>
          <w:sz w:val="24"/>
          <w:szCs w:val="24"/>
          <w:lang w:eastAsia="zh-CN"/>
        </w:rPr>
        <w:t>（QhpL）</w:t>
      </w:r>
      <w:r>
        <w:rPr>
          <w:rFonts w:hint="default" w:ascii="Times New Roman" w:hAnsi="Times New Roman" w:eastAsia="宋体" w:cs="Times New Roman"/>
          <w:color w:val="auto"/>
          <w:sz w:val="24"/>
          <w:szCs w:val="24"/>
          <w:lang w:val="en-US" w:eastAsia="zh-CN"/>
        </w:rPr>
        <w:t>及基岩裂隙潜水含水层（JxKw、δo、γ）。</w:t>
      </w:r>
    </w:p>
    <w:p w14:paraId="20D6CA0A">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第四系松散岩类透水不含水层（Ⅰ）</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eastAsia="zh-CN"/>
        </w:rPr>
        <w:t>Q</w:t>
      </w:r>
      <w:r>
        <w:rPr>
          <w:rFonts w:hint="default" w:ascii="Times New Roman" w:hAnsi="Times New Roman" w:eastAsia="宋体" w:cs="Times New Roman"/>
          <w:color w:val="auto"/>
          <w:sz w:val="24"/>
          <w:szCs w:val="24"/>
          <w:vertAlign w:val="subscript"/>
          <w:lang w:eastAsia="zh-CN"/>
        </w:rPr>
        <w:t>h</w:t>
      </w:r>
      <w:r>
        <w:rPr>
          <w:rFonts w:hint="default" w:ascii="Times New Roman" w:hAnsi="Times New Roman" w:eastAsia="宋体" w:cs="Times New Roman"/>
          <w:color w:val="auto"/>
          <w:sz w:val="24"/>
          <w:szCs w:val="24"/>
          <w:vertAlign w:val="superscript"/>
          <w:lang w:eastAsia="zh-CN"/>
        </w:rPr>
        <w:t>pL</w:t>
      </w:r>
      <w:r>
        <w:rPr>
          <w:rFonts w:hint="default" w:ascii="Times New Roman" w:hAnsi="Times New Roman" w:cs="Times New Roman"/>
          <w:color w:val="auto"/>
          <w:sz w:val="24"/>
          <w:szCs w:val="24"/>
          <w:vertAlign w:val="superscript"/>
          <w:lang w:eastAsia="zh-CN"/>
        </w:rPr>
        <w:t>）</w:t>
      </w:r>
    </w:p>
    <w:p w14:paraId="26A949B3">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该层由第四系全新统洪积物组成，主要分布于本次</w:t>
      </w:r>
      <w:r>
        <w:rPr>
          <w:rFonts w:hint="default" w:ascii="Times New Roman" w:hAnsi="Times New Roman" w:cs="Times New Roman"/>
          <w:color w:val="auto"/>
          <w:sz w:val="24"/>
          <w:szCs w:val="24"/>
          <w:lang w:eastAsia="zh-CN"/>
        </w:rPr>
        <w:t>矿区</w:t>
      </w:r>
      <w:r>
        <w:rPr>
          <w:rFonts w:hint="default" w:ascii="Times New Roman" w:hAnsi="Times New Roman" w:cs="Times New Roman"/>
          <w:color w:val="auto"/>
          <w:sz w:val="24"/>
          <w:szCs w:val="24"/>
        </w:rPr>
        <w:t>北部及西南部，呈不规则状、条带状分布，面积不大。岩性是由砂砾石、碎石、碎石土、不等粒砂、亚砂土、亚粘土等组成，砾石直径一般在0.5～2cm，分选性磨圆度差，一般厚度3～5m，最厚达10m，岩性结构疏松、孔隙大、透水性强，分布厚度有限，虽透水性能良好，但不具备储水条件，为透水不含水层。</w:t>
      </w:r>
    </w:p>
    <w:p w14:paraId="0CD8A35A">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基岩裂隙潜水含水层（Ⅱ）（Jx</w:t>
      </w:r>
      <w:r>
        <w:rPr>
          <w:rFonts w:hint="default" w:ascii="Times New Roman" w:hAnsi="Times New Roman" w:cs="Times New Roman"/>
          <w:i/>
          <w:iCs/>
          <w:color w:val="auto"/>
          <w:sz w:val="24"/>
          <w:szCs w:val="24"/>
        </w:rPr>
        <w:t>Kw</w:t>
      </w:r>
      <w:r>
        <w:rPr>
          <w:rFonts w:hint="default" w:ascii="Times New Roman" w:hAnsi="Times New Roman" w:cs="Times New Roman"/>
          <w:color w:val="auto"/>
          <w:sz w:val="24"/>
          <w:szCs w:val="24"/>
        </w:rPr>
        <w:t>、δo、γ）</w:t>
      </w:r>
    </w:p>
    <w:p w14:paraId="1562E4C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该层出露于矿区大部，除了第四系分布区以外，均为基岩裂隙潜水含水层，面积较大。主要为蓟县系卡瓦布拉克岩群，为变质碳酸盐岩沉积建造，岩性变化较大。岩性主要由灰黑色含炭结晶灰岩、条带状大理岩化灰岩、白云质大理岩和硅质灰岩、石英闪长岩、中细粒黑云二长花岗岩等，呈层状、岩株、岩基等组成，岩性十分复杂。整个矿区范围内地下水位埋藏深度在24.12～</w:t>
      </w:r>
      <w:r>
        <w:rPr>
          <w:rFonts w:hint="default" w:ascii="Times New Roman" w:hAnsi="Times New Roman" w:cs="Times New Roman"/>
          <w:color w:val="auto"/>
          <w:sz w:val="24"/>
          <w:szCs w:val="24"/>
          <w:lang w:val="en-US" w:eastAsia="zh-CN"/>
        </w:rPr>
        <w:t>66</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0m之间。矿区Ⅳ-1号矿体（层）分布区，地下水位埋藏深度在24.12～41.78m之间；矿区Ⅰ、Ⅱ号矿体（层）分布区，地下水位埋藏深度在43.80～67.30m之间；矿区Ⅲ号矿体（层）分布区，地下水位埋藏深度在32.80～</w:t>
      </w:r>
      <w:r>
        <w:rPr>
          <w:rFonts w:hint="default" w:ascii="Times New Roman" w:hAnsi="Times New Roman" w:cs="Times New Roman"/>
          <w:color w:val="auto"/>
          <w:sz w:val="24"/>
          <w:szCs w:val="24"/>
          <w:lang w:val="en-US" w:eastAsia="zh-CN"/>
        </w:rPr>
        <w:t>64</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0m之间；矿区Ⅴ号矿体（层）分布区，地下水位埋藏深度在36.26～37.49m之间。</w:t>
      </w:r>
    </w:p>
    <w:p w14:paraId="58020CA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大红山北铜矿核实地质勘查工作，在208勘探线、212勘探线布置和施工了两个抽水试验钻孔，ZK208-5、ZK212-4钻孔针对直接充水基岩裂隙潜水含水层的抽水试验成果：ZK208-5钻孔，降程2次，单位涌水量q=0.021662～0.027352L/s·m，渗透系数K=0.0222～0.0242m/d；ZK212-4钻孔，降程1次，单位涌水量q=0.002102L/s·m，渗透系数K=0.001506m/d；ZK4-5钻孔，降程1次，单位涌水量q=0.0037L/s·m，渗透系数K=0.0013m/d。根据《矿区水文地质工程地质勘查规范》（GB/T 12719-2021），附录B计算，钻孔单位涌水量以口径91mm，抽水水位降深10m为准，对钻孔单位涌水量进行重新计算，ZK208-5抽水孔，计算的单位涌水量为q1=0.0408L/s·m、q2=0.0253L/s·m；ZK212-4抽水孔，计算的单位涌水量为q=0.0044L/s·m；ZK4-5抽水孔计算的单位涌水量为q=0.0045L/s·m，按钻孔单位涌水量（q），富水性分为四级，均为第一级为弱富水性：q≤0.1L/（s·m）。</w:t>
      </w:r>
    </w:p>
    <w:p w14:paraId="19DA67F5">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地下水的水化学类型为SO</w:t>
      </w:r>
      <w:r>
        <w:rPr>
          <w:rFonts w:hint="default" w:ascii="Times New Roman" w:hAnsi="Times New Roman" w:cs="Times New Roman"/>
          <w:color w:val="auto"/>
          <w:sz w:val="24"/>
          <w:szCs w:val="24"/>
          <w:vertAlign w:val="subscript"/>
        </w:rPr>
        <w:t>4</w:t>
      </w:r>
      <w:r>
        <w:rPr>
          <w:rFonts w:hint="default" w:ascii="Times New Roman" w:hAnsi="Times New Roman" w:cs="Times New Roman"/>
          <w:color w:val="auto"/>
          <w:sz w:val="24"/>
          <w:szCs w:val="24"/>
        </w:rPr>
        <w:t>·CI-Na·Ca、SO</w:t>
      </w:r>
      <w:r>
        <w:rPr>
          <w:rFonts w:hint="default" w:ascii="Times New Roman" w:hAnsi="Times New Roman" w:cs="Times New Roman"/>
          <w:color w:val="auto"/>
          <w:sz w:val="24"/>
          <w:szCs w:val="24"/>
          <w:vertAlign w:val="subscript"/>
        </w:rPr>
        <w:t>4</w:t>
      </w:r>
      <w:r>
        <w:rPr>
          <w:rFonts w:hint="default" w:ascii="Times New Roman" w:hAnsi="Times New Roman" w:cs="Times New Roman"/>
          <w:color w:val="auto"/>
          <w:sz w:val="24"/>
          <w:szCs w:val="24"/>
        </w:rPr>
        <w:t>·CI-Na、CI·SO</w:t>
      </w:r>
      <w:r>
        <w:rPr>
          <w:rFonts w:hint="default" w:ascii="Times New Roman" w:hAnsi="Times New Roman" w:cs="Times New Roman"/>
          <w:color w:val="auto"/>
          <w:sz w:val="24"/>
          <w:szCs w:val="24"/>
          <w:vertAlign w:val="subscript"/>
        </w:rPr>
        <w:t>4</w:t>
      </w:r>
      <w:r>
        <w:rPr>
          <w:rFonts w:hint="default" w:ascii="Times New Roman" w:hAnsi="Times New Roman" w:cs="Times New Roman"/>
          <w:color w:val="auto"/>
          <w:sz w:val="24"/>
          <w:szCs w:val="24"/>
        </w:rPr>
        <w:t>-Na型水，pH值7.50～7.60，溶解性总固体为1318～1692mg/L（1.32</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1.896g/L），属中性中矿化的微咸水。</w:t>
      </w:r>
    </w:p>
    <w:p w14:paraId="6144D49B">
      <w:pPr>
        <w:spacing w:line="360" w:lineRule="auto"/>
        <w:ind w:left="0" w:leftChars="0" w:firstLine="0" w:firstLineChars="0"/>
        <w:jc w:val="both"/>
        <w:rPr>
          <w:rFonts w:hint="default" w:ascii="Times New Roman" w:hAnsi="Times New Roman" w:cs="Times New Roman"/>
          <w:b/>
          <w:bCs/>
          <w:color w:val="auto"/>
        </w:rPr>
      </w:pPr>
    </w:p>
    <w:p w14:paraId="445A99A4">
      <w:pPr>
        <w:pStyle w:val="5"/>
        <w:bidi w:val="0"/>
        <w:rPr>
          <w:rFonts w:hint="default" w:ascii="Times New Roman" w:hAnsi="Times New Roman" w:cs="Times New Roman"/>
          <w:color w:val="auto"/>
        </w:rPr>
      </w:pPr>
      <w:r>
        <w:rPr>
          <w:rFonts w:hint="default" w:ascii="Times New Roman" w:hAnsi="Times New Roman" w:cs="Times New Roman"/>
          <w:color w:val="auto"/>
          <w:lang w:val="en-US" w:eastAsia="zh-CN"/>
        </w:rPr>
        <w:t>5.4.1.3</w:t>
      </w:r>
      <w:r>
        <w:rPr>
          <w:rFonts w:hint="default" w:ascii="Times New Roman" w:hAnsi="Times New Roman" w:cs="Times New Roman"/>
          <w:color w:val="auto"/>
        </w:rPr>
        <w:t>水文地质特征</w:t>
      </w:r>
    </w:p>
    <w:p w14:paraId="3479E3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lang w:val="en-US"/>
        </w:rPr>
      </w:pPr>
      <w:r>
        <w:rPr>
          <w:rFonts w:hint="default" w:ascii="Times New Roman" w:hAnsi="Times New Roman" w:cs="Times New Roman" w:eastAsiaTheme="minorEastAsia"/>
          <w:color w:val="auto"/>
          <w:sz w:val="24"/>
          <w:szCs w:val="24"/>
          <w:lang w:val="en-US" w:eastAsia="zh-CN"/>
        </w:rPr>
        <w:t>区域内断裂构造发育，在区域性沙泉子大断裂的影响下，次一级韧脆性断裂广泛发育，在此基础上又叠加了右行走滑剪切作用，致使区域内的地层、岩体等呈多呈断块形式出现。</w:t>
      </w:r>
    </w:p>
    <w:p w14:paraId="527E200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矿区处区域性次一级逆冲推覆构造、逆断层以西，矿区内侵入岩体广泛发育，占出露面积的60%以上。受区域性构造作用及侵入岩体的影响，矿区内小的张性断裂构造特别是节理裂隙构造比较发育，地层中发育断续片理、劈理化，与地层走向基本一致。在侵入岩体附近，“X”型的节理构造发育，沿节理裂隙充填有矽卡岩、石英脉等。这些张性的断裂构造是本区主要的含矿构造。</w:t>
      </w:r>
    </w:p>
    <w:p w14:paraId="33601DF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受断裂构造作用及侵入岩体的影响，近接触带地层中发育有断续节理、片理、裂隙，与地层走向基本一致，在侵入岩体附近，“X”型的节理构造发育，这些节理、片理及裂隙、为地下水的赋存提供了一定的空间，远离接触带节理、片理、裂隙发育程度则逐渐减弱，侵入岩体与地层接触带，是地下水的主要分布区，同时也是地下水相互沟通的渠道，基本能形成相互连通的统一的地下水系统。</w:t>
      </w:r>
    </w:p>
    <w:p w14:paraId="5EFD1A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val="en-US" w:eastAsia="zh-CN"/>
        </w:rPr>
        <w:t>ZK208-5、ZK212-4、ZK4-5钻孔均揭穿侵入岩体与地层接触带，根据钻孔抽水试验成果，均呈弱富水性，由于矿区降雨稀少，地下水补给量相对较少，在正常排水条件下，未来大红山北铜矿体（层）井下开采，构造因素是矿床充水因素之一</w:t>
      </w:r>
      <w:r>
        <w:rPr>
          <w:rFonts w:hint="default" w:ascii="Times New Roman" w:hAnsi="Times New Roman" w:cs="Times New Roman" w:eastAsiaTheme="minorEastAsia"/>
          <w:color w:val="auto"/>
          <w:sz w:val="24"/>
          <w:szCs w:val="24"/>
        </w:rPr>
        <w:t>。</w:t>
      </w:r>
    </w:p>
    <w:p w14:paraId="351874FB">
      <w:pPr>
        <w:pStyle w:val="5"/>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5.4.1.4地下水补给、径流与排泄条件</w:t>
      </w:r>
    </w:p>
    <w:p w14:paraId="363892E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区位于天山山脉觉罗塔格山东延部分，总体呈东西向延伸，属中低山丘陵区，矿区位于区域水文地质单元中的觉罗塔格山贫水区中，属径流排泄区部位。根据区域水文地质条件综合分析，矿区地下水的主要补给为东北侧地下水的侧向径流补给，次为大气降水、冰雪消融水的消融水。</w:t>
      </w:r>
    </w:p>
    <w:p w14:paraId="54D4E524">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这些补给水源在</w:t>
      </w:r>
      <w:r>
        <w:rPr>
          <w:rFonts w:hint="default" w:ascii="Times New Roman" w:hAnsi="Times New Roman" w:cs="Times New Roman"/>
          <w:color w:val="auto"/>
          <w:sz w:val="24"/>
          <w:szCs w:val="24"/>
          <w:lang w:val="en-US" w:eastAsia="zh-CN"/>
        </w:rPr>
        <w:t>矿</w:t>
      </w:r>
      <w:r>
        <w:rPr>
          <w:rFonts w:hint="default" w:ascii="Times New Roman" w:hAnsi="Times New Roman" w:cs="Times New Roman"/>
          <w:color w:val="auto"/>
          <w:sz w:val="24"/>
          <w:szCs w:val="24"/>
        </w:rPr>
        <w:t>区北东部分水岭山脊以内，通过地下水侧向径流，大气降水通过地表基岩风化裂隙垂直入渗补给下伏基岩含水层。</w:t>
      </w:r>
    </w:p>
    <w:p w14:paraId="45DC3D4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矿</w:t>
      </w:r>
      <w:r>
        <w:rPr>
          <w:rFonts w:hint="default" w:ascii="Times New Roman" w:hAnsi="Times New Roman" w:cs="Times New Roman"/>
          <w:color w:val="auto"/>
          <w:sz w:val="24"/>
          <w:szCs w:val="24"/>
        </w:rPr>
        <w:t>区内地下水的径流，主要由东北部接受各类补给源入渗地下后形成地下水的径流，在基岩裂隙潜水含水层中向西南部下游低洼处径流，径流排泄于位置较低的含水层中，地下水总体上是由北东方向向西南方向运移，其运移方向与大区域的地下水运移方向基本一致。</w:t>
      </w:r>
    </w:p>
    <w:p w14:paraId="2553EA4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矿区</w:t>
      </w:r>
      <w:r>
        <w:rPr>
          <w:rFonts w:hint="default" w:ascii="Times New Roman" w:hAnsi="Times New Roman" w:cs="Times New Roman"/>
          <w:color w:val="auto"/>
          <w:sz w:val="24"/>
          <w:szCs w:val="24"/>
        </w:rPr>
        <w:t>处于区域地下水的径流排泄区部位，地势呈北东高西南部低的中低山丘陵区，矿区东北部为地下水补给边界，西南部为排泄边界。通过本次核实勘查阶段钻孔静止水位观测成果，并结合区域水文地质资料及地形地势，判定矿区地下水流向是由北东向西南方向缓慢运移。矿区最低侵蚀基准面标高位于矿区东南部的南风井部位，水位埋深35.00m，水位标高为1980.96m。</w:t>
      </w:r>
    </w:p>
    <w:p w14:paraId="041EEABC">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区地下水流向总体由北东部往西南运移或顺地层向更深处运移，少部分以蒸发形式排泄，大部分是通过地下径流的方式向西南排泄出矿区。未来矿山建成投产后，井下开采的疏干排水将是地下水的重要排泄方式之一。</w:t>
      </w:r>
    </w:p>
    <w:p w14:paraId="2AC43EEF">
      <w:pPr>
        <w:pStyle w:val="5"/>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5.4.1.5矿床充水因素分析</w:t>
      </w:r>
    </w:p>
    <w:p w14:paraId="2762EA46">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根据区域水文地质条件、</w:t>
      </w:r>
      <w:r>
        <w:rPr>
          <w:rFonts w:hint="default" w:ascii="Times New Roman" w:hAnsi="Times New Roman" w:cs="Times New Roman"/>
          <w:color w:val="auto"/>
          <w:sz w:val="24"/>
          <w:szCs w:val="24"/>
          <w:lang w:eastAsia="zh-CN"/>
        </w:rPr>
        <w:t>矿区</w:t>
      </w:r>
      <w:r>
        <w:rPr>
          <w:rFonts w:hint="default" w:ascii="Times New Roman" w:hAnsi="Times New Roman" w:cs="Times New Roman"/>
          <w:color w:val="auto"/>
          <w:sz w:val="24"/>
          <w:szCs w:val="24"/>
        </w:rPr>
        <w:t>水文地质条件以及矿体</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层</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的分布情况，查明影响矿区矿床充水的主要因素为地层岩性、大气降水及暂时性地表水流、构造等，其充水水源、途径和强度，现分述如下：</w:t>
      </w:r>
    </w:p>
    <w:p w14:paraId="46076DCB">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充水水源</w:t>
      </w:r>
    </w:p>
    <w:p w14:paraId="77C80F5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地层含水性</w:t>
      </w:r>
    </w:p>
    <w:p w14:paraId="3AB1F33F">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矿区内岩性主要为蓟县系卡瓦布拉克岩群，岩性成分主要为灰黑色灰岩、条带状大理岩化灰岩、白云质大理岩和硅质灰岩等。大红山北铜矿体（层）主要接受基岩裂隙潜水含水层的直接充水。</w:t>
      </w:r>
    </w:p>
    <w:p w14:paraId="7A567A92">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大气降水及暂时性地表水流</w:t>
      </w:r>
    </w:p>
    <w:p w14:paraId="03E9C174">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区所处范围降雨量一般不大，但相对比较集中，当进入到雨季时，大－暴雨易形成地表洪流，暂时性地表水流具有时间短，流量大之特点，对矿床充水主要表现在冲毁矿山设施，而对地层渗透补给意义不大。因此，在井下开采期间，探矿权人应加强观测，寻觅洪流周期与径流途径，采取有利措施，防止洪水对井下开采产生的不利影响。大气降水及暂时性地表水流，对井下开采充水意义不大，属于井下矿床开采的次要充水水源。</w:t>
      </w:r>
    </w:p>
    <w:p w14:paraId="1BA5A4A8">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充水途径</w:t>
      </w:r>
    </w:p>
    <w:p w14:paraId="0056F84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断裂构造</w:t>
      </w:r>
    </w:p>
    <w:p w14:paraId="2E9F8759">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矿区内侵入岩体广泛发育，占出露面积的60%以上。受区域性构造作用及侵入岩体的影响，矿区内小的张性断裂构造特别是节理裂隙构造比较发育，地层中发育断续片理、劈理化，与地层走向基本一致。在侵入岩体附近，“X”型的节理构造发育，沿节理裂隙充填有矽卡岩、石英脉等。这些张性的断裂构造是本区主要的含矿构造。</w:t>
      </w:r>
    </w:p>
    <w:p w14:paraId="75A0CB7E">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这些断裂构造，为地下水的赋存提供了一定的空间，近接触带断裂构造发育，远离接触带则断裂构造发育程度则逐渐减弱，侵入岩体与地层接触带，往往呈线状分布，延伸长，沟通范围广，是地下水相互沟通的主要渠道，基本能形成相互连通的统一的地下水系统，也是地下水相对聚积区域，其对矿床充水影响较大，是未来井下开采时重要充水途径。</w:t>
      </w:r>
    </w:p>
    <w:p w14:paraId="649933E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裂隙</w:t>
      </w:r>
    </w:p>
    <w:p w14:paraId="4171AAE2">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根据本次钻孔揭露资料，</w:t>
      </w:r>
      <w:r>
        <w:rPr>
          <w:rFonts w:hint="default" w:ascii="Times New Roman" w:hAnsi="Times New Roman" w:cs="Times New Roman"/>
          <w:color w:val="auto"/>
          <w:sz w:val="24"/>
          <w:szCs w:val="24"/>
          <w:lang w:val="en-US" w:eastAsia="zh-CN"/>
        </w:rPr>
        <w:t>矿</w:t>
      </w:r>
      <w:r>
        <w:rPr>
          <w:rFonts w:hint="default" w:ascii="Times New Roman" w:hAnsi="Times New Roman" w:cs="Times New Roman"/>
          <w:color w:val="auto"/>
          <w:sz w:val="24"/>
          <w:szCs w:val="24"/>
        </w:rPr>
        <w:t>区浅部基岩风化裂隙带埋深在0.00</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9.01m之间，发育厚度在0.50</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9.01m之间，矿区范围内在断裂构造的控制</w:t>
      </w:r>
      <w:r>
        <w:rPr>
          <w:rFonts w:hint="default" w:ascii="Times New Roman" w:hAnsi="Times New Roman" w:cs="Times New Roman"/>
          <w:color w:val="auto"/>
          <w:sz w:val="24"/>
          <w:szCs w:val="24"/>
          <w:lang w:eastAsia="zh-CN"/>
        </w:rPr>
        <w:t>下，</w:t>
      </w:r>
      <w:r>
        <w:rPr>
          <w:rFonts w:hint="default" w:ascii="Times New Roman" w:hAnsi="Times New Roman" w:cs="Times New Roman"/>
          <w:color w:val="auto"/>
          <w:sz w:val="24"/>
          <w:szCs w:val="24"/>
        </w:rPr>
        <w:t>在</w:t>
      </w:r>
      <w:r>
        <w:rPr>
          <w:rFonts w:hint="default" w:ascii="Times New Roman" w:hAnsi="Times New Roman" w:cs="Times New Roman"/>
          <w:color w:val="auto"/>
          <w:sz w:val="24"/>
          <w:szCs w:val="24"/>
          <w:lang w:eastAsia="zh-CN"/>
        </w:rPr>
        <w:t>地表</w:t>
      </w:r>
      <w:r>
        <w:rPr>
          <w:rFonts w:hint="default" w:ascii="Times New Roman" w:hAnsi="Times New Roman" w:cs="Times New Roman"/>
          <w:color w:val="auto"/>
          <w:sz w:val="24"/>
          <w:szCs w:val="24"/>
        </w:rPr>
        <w:t>风化</w:t>
      </w:r>
      <w:r>
        <w:rPr>
          <w:rFonts w:hint="default" w:ascii="Times New Roman" w:hAnsi="Times New Roman" w:cs="Times New Roman"/>
          <w:color w:val="auto"/>
          <w:sz w:val="24"/>
          <w:szCs w:val="24"/>
          <w:lang w:eastAsia="zh-CN"/>
        </w:rPr>
        <w:t>作用</w:t>
      </w:r>
      <w:r>
        <w:rPr>
          <w:rFonts w:hint="default" w:ascii="Times New Roman" w:hAnsi="Times New Roman" w:cs="Times New Roman"/>
          <w:color w:val="auto"/>
          <w:sz w:val="24"/>
          <w:szCs w:val="24"/>
        </w:rPr>
        <w:t>的影响下，地表浅部岩层发育有不同程度的节理、裂隙，为中低山丘陵气候区的地下水提供了沟通渠道，是大气降水入渗补给的重要通道，区内地下水补给条件差，含水层富水性弱</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节理、裂隙是矿床井下开采的充水途径之一</w:t>
      </w:r>
      <w:r>
        <w:rPr>
          <w:rFonts w:hint="default" w:ascii="Times New Roman" w:hAnsi="Times New Roman" w:cs="Times New Roman"/>
          <w:color w:val="auto"/>
          <w:sz w:val="24"/>
          <w:szCs w:val="24"/>
          <w:lang w:eastAsia="zh-CN"/>
        </w:rPr>
        <w:t>。受地表</w:t>
      </w:r>
      <w:r>
        <w:rPr>
          <w:rFonts w:hint="default" w:ascii="Times New Roman" w:hAnsi="Times New Roman" w:cs="Times New Roman"/>
          <w:color w:val="auto"/>
          <w:sz w:val="24"/>
          <w:szCs w:val="24"/>
        </w:rPr>
        <w:t>风化</w:t>
      </w:r>
      <w:r>
        <w:rPr>
          <w:rFonts w:hint="default" w:ascii="Times New Roman" w:hAnsi="Times New Roman" w:cs="Times New Roman"/>
          <w:color w:val="auto"/>
          <w:sz w:val="24"/>
          <w:szCs w:val="24"/>
          <w:lang w:eastAsia="zh-CN"/>
        </w:rPr>
        <w:t>作用及</w:t>
      </w:r>
      <w:r>
        <w:rPr>
          <w:rFonts w:hint="default" w:ascii="Times New Roman" w:hAnsi="Times New Roman" w:cs="Times New Roman"/>
          <w:color w:val="auto"/>
          <w:sz w:val="24"/>
          <w:szCs w:val="24"/>
        </w:rPr>
        <w:t>断裂构造</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影响</w:t>
      </w:r>
      <w:r>
        <w:rPr>
          <w:rFonts w:hint="default" w:ascii="Times New Roman" w:hAnsi="Times New Roman" w:cs="Times New Roman"/>
          <w:color w:val="auto"/>
          <w:sz w:val="24"/>
          <w:szCs w:val="24"/>
          <w:lang w:val="en-US" w:eastAsia="zh-CN"/>
        </w:rPr>
        <w:t>，在赋矿地层岩石中，发育有不同程度</w:t>
      </w:r>
      <w:r>
        <w:rPr>
          <w:rFonts w:hint="default" w:ascii="Times New Roman" w:hAnsi="Times New Roman" w:cs="Times New Roman"/>
          <w:color w:val="auto"/>
          <w:sz w:val="24"/>
          <w:szCs w:val="24"/>
        </w:rPr>
        <w:t>的节理、裂隙</w:t>
      </w:r>
      <w:r>
        <w:rPr>
          <w:rFonts w:hint="default" w:ascii="Times New Roman" w:hAnsi="Times New Roman" w:cs="Times New Roman"/>
          <w:color w:val="auto"/>
          <w:sz w:val="24"/>
          <w:szCs w:val="24"/>
          <w:lang w:val="en-US" w:eastAsia="zh-CN"/>
        </w:rPr>
        <w:t>，对井下</w:t>
      </w:r>
      <w:r>
        <w:rPr>
          <w:rFonts w:hint="default" w:ascii="Times New Roman" w:hAnsi="Times New Roman" w:cs="Times New Roman"/>
          <w:color w:val="auto"/>
          <w:sz w:val="24"/>
          <w:szCs w:val="24"/>
        </w:rPr>
        <w:t>矿床充水</w:t>
      </w:r>
      <w:r>
        <w:rPr>
          <w:rFonts w:hint="eastAsia" w:ascii="Times New Roman" w:hAnsi="Times New Roman" w:cs="Times New Roman"/>
          <w:color w:val="auto"/>
          <w:sz w:val="24"/>
          <w:szCs w:val="24"/>
          <w:lang w:eastAsia="zh-CN"/>
        </w:rPr>
        <w:t>至关重要</w:t>
      </w:r>
      <w:r>
        <w:rPr>
          <w:rFonts w:hint="default" w:ascii="Times New Roman" w:hAnsi="Times New Roman" w:cs="Times New Roman"/>
          <w:color w:val="auto"/>
          <w:sz w:val="24"/>
          <w:szCs w:val="24"/>
          <w:lang w:val="en-US" w:eastAsia="zh-CN"/>
        </w:rPr>
        <w:t>，是</w:t>
      </w:r>
      <w:r>
        <w:rPr>
          <w:rFonts w:hint="default" w:ascii="Times New Roman" w:hAnsi="Times New Roman" w:cs="Times New Roman"/>
          <w:color w:val="auto"/>
          <w:sz w:val="24"/>
          <w:szCs w:val="24"/>
        </w:rPr>
        <w:t>地下水相互沟通的重要途径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是沟通浅部与深部的重要途径</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对矿床充水影响较大。</w:t>
      </w:r>
    </w:p>
    <w:p w14:paraId="004A6BEC">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封闭不良钻孔导水通道</w:t>
      </w:r>
    </w:p>
    <w:p w14:paraId="03999CDD">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大红山北铜矿区前人勘探过程中先后施工了多个钻孔，均进行了封孔</w:t>
      </w:r>
      <w:r>
        <w:rPr>
          <w:rFonts w:hint="default" w:ascii="Times New Roman" w:hAnsi="Times New Roman" w:cs="Times New Roman"/>
          <w:color w:val="auto"/>
          <w:sz w:val="24"/>
          <w:szCs w:val="24"/>
          <w:lang w:eastAsia="zh-CN"/>
        </w:rPr>
        <w:t>，目前只保留了</w:t>
      </w:r>
      <w:r>
        <w:rPr>
          <w:rFonts w:hint="default" w:ascii="Times New Roman" w:hAnsi="Times New Roman" w:cs="Times New Roman"/>
          <w:color w:val="auto"/>
          <w:sz w:val="24"/>
          <w:szCs w:val="24"/>
          <w:lang w:val="en-US" w:eastAsia="zh-CN"/>
        </w:rPr>
        <w:t>2024年10月</w:t>
      </w:r>
      <w:r>
        <w:rPr>
          <w:rFonts w:hint="default" w:ascii="Times New Roman" w:hAnsi="Times New Roman" w:cs="Times New Roman"/>
          <w:color w:val="auto"/>
          <w:sz w:val="24"/>
          <w:szCs w:val="24"/>
        </w:rPr>
        <w:t>施工</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抽水试验孔</w:t>
      </w:r>
      <w:r>
        <w:rPr>
          <w:rFonts w:hint="default" w:ascii="Times New Roman" w:hAnsi="Times New Roman" w:cs="Times New Roman"/>
          <w:color w:val="auto"/>
          <w:sz w:val="24"/>
          <w:szCs w:val="24"/>
          <w:lang w:eastAsia="zh-CN"/>
        </w:rPr>
        <w:t>，作为</w:t>
      </w:r>
      <w:r>
        <w:rPr>
          <w:rFonts w:hint="default" w:ascii="Times New Roman" w:hAnsi="Times New Roman" w:cs="Times New Roman"/>
          <w:color w:val="auto"/>
          <w:sz w:val="24"/>
          <w:szCs w:val="24"/>
          <w:lang w:val="en-US" w:eastAsia="zh-CN"/>
        </w:rPr>
        <w:t>大红山北铜矿</w:t>
      </w:r>
      <w:r>
        <w:rPr>
          <w:rFonts w:hint="default" w:ascii="Times New Roman" w:hAnsi="Times New Roman" w:cs="Times New Roman"/>
          <w:color w:val="auto"/>
          <w:sz w:val="24"/>
          <w:szCs w:val="24"/>
        </w:rPr>
        <w:t>区地下水动态观测孔。今后矿井生产过程中，加强对</w:t>
      </w:r>
      <w:r>
        <w:rPr>
          <w:rFonts w:hint="default" w:ascii="Times New Roman" w:hAnsi="Times New Roman" w:cs="Times New Roman"/>
          <w:color w:val="auto"/>
          <w:sz w:val="24"/>
          <w:szCs w:val="24"/>
          <w:lang w:val="en-US" w:eastAsia="zh-CN"/>
        </w:rPr>
        <w:t>矿</w:t>
      </w:r>
      <w:r>
        <w:rPr>
          <w:rFonts w:hint="default" w:ascii="Times New Roman" w:hAnsi="Times New Roman" w:cs="Times New Roman"/>
          <w:color w:val="auto"/>
          <w:sz w:val="24"/>
          <w:szCs w:val="24"/>
        </w:rPr>
        <w:t>区钻孔封闭情况的检查和记录，考虑到钻孔垂向距离大、控制范围广，往往可能导通某个富水区域或某些含水层，制约矿井安全生产，在今后的工作中应加强钻孔的巡查，填写好巡查记录，对可疑钻孔制定钻孔的专项技术措施。</w:t>
      </w:r>
    </w:p>
    <w:p w14:paraId="7BC05A54">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（3）充水强度</w:t>
      </w:r>
    </w:p>
    <w:p w14:paraId="29E786A0">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大红山北铜矿区无地表水体及水流，根据核实勘查阶段施工的ZK208-5、ZK212-4钻孔及2024年补充施工的ZK4-5钻孔针对直接充水含水层进行抽水试验成果，含水层为弱富水性，充水水源单一，哈密市伊州区降雨量较小，总体上充水强度弱。</w:t>
      </w:r>
    </w:p>
    <w:p w14:paraId="4D312DA2">
      <w:pPr>
        <w:pStyle w:val="5"/>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5.4.1.6水文地质勘查类型</w:t>
      </w:r>
    </w:p>
    <w:p w14:paraId="1E4DEA7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通过大红山北铜矿水文地质勘查成果，按照《矿区水文地质工程地质勘查规范》（GB/T 12719-2021）中5的规定，按取得的水文地质成果逐一进行评判，按分类依据就高不就低的原则。确定大红山北铜矿充水矿床勘查复杂程度类型为第二类，属水文地质条件中等矿床。</w:t>
      </w:r>
    </w:p>
    <w:p w14:paraId="43456F27">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color w:val="auto"/>
          <w:spacing w:val="0"/>
          <w:sz w:val="24"/>
          <w:szCs w:val="24"/>
          <w:highlight w:val="none"/>
        </w:rPr>
      </w:pPr>
      <w:r>
        <w:rPr>
          <w:rFonts w:hint="default" w:ascii="Times New Roman" w:hAnsi="Times New Roman" w:cs="Times New Roman"/>
          <w:color w:val="auto"/>
          <w:spacing w:val="0"/>
          <w:sz w:val="24"/>
          <w:szCs w:val="24"/>
          <w:highlight w:val="none"/>
        </w:rPr>
        <w:t>矿体多位于当地侵蚀基准面和地下水位以下，矿区内无地表水体。充水含水层富水性弱，地下水补给条件差。预测Ⅰ、Ⅱ号矿体（层）正常涌水量为0.60×10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、最大涌水量为0.80×10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Ⅲ矿体（层）正常涌水量为0.90×10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、最大涌水量为1.10×10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；Ⅳ矿体（层）正常涌水量为</w:t>
      </w:r>
      <w:r>
        <w:rPr>
          <w:rFonts w:hint="default" w:ascii="Times New Roman" w:hAnsi="Times New Roman" w:cs="Times New Roman"/>
          <w:color w:val="auto"/>
          <w:spacing w:val="0"/>
          <w:sz w:val="24"/>
          <w:szCs w:val="24"/>
          <w:highlight w:val="none"/>
          <w:lang w:val="en-US" w:eastAsia="zh-CN"/>
        </w:rPr>
        <w:t>0.56</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0.83</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lang w:eastAsia="zh-CN"/>
        </w:rPr>
        <w:t>；</w:t>
      </w:r>
      <w:r>
        <w:rPr>
          <w:rFonts w:hint="default" w:ascii="Times New Roman" w:hAnsi="Times New Roman" w:cs="Times New Roman"/>
          <w:color w:val="auto"/>
          <w:spacing w:val="0"/>
          <w:sz w:val="24"/>
          <w:szCs w:val="24"/>
          <w:highlight w:val="none"/>
        </w:rPr>
        <w:t>Ⅴ矿体（层）井下矿坑正常矿坑涌水量为0.50×10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；最大矿坑涌水量分别为0.70×1</w:t>
      </w:r>
      <w:r>
        <w:rPr>
          <w:rFonts w:hint="default" w:ascii="Times New Roman" w:hAnsi="Times New Roman" w:cs="Times New Roman"/>
          <w:color w:val="auto"/>
          <w:spacing w:val="0"/>
          <w:sz w:val="24"/>
          <w:szCs w:val="24"/>
          <w:highlight w:val="none"/>
          <w:vertAlign w:val="baseline"/>
        </w:rPr>
        <w:t>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。Ⅳ-1矿体（层）正常涌水量为1.2</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、最大涌水量为1.6</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w:t>
      </w:r>
      <w:r>
        <w:rPr>
          <w:rFonts w:hint="default" w:ascii="Times New Roman" w:hAnsi="Times New Roman" w:eastAsia="微软雅黑" w:cs="Times New Roman"/>
          <w:color w:val="auto"/>
          <w:spacing w:val="0"/>
          <w:sz w:val="24"/>
          <w:szCs w:val="24"/>
          <w:highlight w:val="none"/>
        </w:rPr>
        <w:t>Ⅵ</w:t>
      </w:r>
      <w:r>
        <w:rPr>
          <w:rFonts w:hint="default" w:ascii="Times New Roman" w:hAnsi="Times New Roman" w:cs="Times New Roman"/>
          <w:color w:val="auto"/>
          <w:spacing w:val="0"/>
          <w:sz w:val="24"/>
          <w:szCs w:val="24"/>
          <w:highlight w:val="none"/>
        </w:rPr>
        <w:t>矿体（层）正常涌水量为</w:t>
      </w:r>
      <w:r>
        <w:rPr>
          <w:rFonts w:hint="default" w:ascii="Times New Roman" w:hAnsi="Times New Roman" w:cs="Times New Roman"/>
          <w:color w:val="auto"/>
          <w:spacing w:val="0"/>
          <w:sz w:val="24"/>
          <w:szCs w:val="24"/>
          <w:highlight w:val="none"/>
          <w:lang w:val="en-US" w:eastAsia="zh-CN"/>
        </w:rPr>
        <w:t>1.32</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、最大涌水量为</w:t>
      </w:r>
      <w:r>
        <w:rPr>
          <w:rFonts w:hint="default" w:ascii="Times New Roman" w:hAnsi="Times New Roman" w:cs="Times New Roman"/>
          <w:color w:val="auto"/>
          <w:spacing w:val="0"/>
          <w:sz w:val="24"/>
          <w:szCs w:val="24"/>
          <w:highlight w:val="none"/>
          <w:lang w:val="en-US" w:eastAsia="zh-CN"/>
        </w:rPr>
        <w:t>1.98</w:t>
      </w:r>
      <w:r>
        <w:rPr>
          <w:rFonts w:hint="default" w:ascii="Times New Roman" w:hAnsi="Times New Roman" w:cs="Times New Roman"/>
          <w:color w:val="auto"/>
          <w:spacing w:val="0"/>
          <w:sz w:val="24"/>
          <w:szCs w:val="24"/>
          <w:highlight w:val="none"/>
        </w:rPr>
        <w:t>×10</w:t>
      </w:r>
      <w:r>
        <w:rPr>
          <w:rFonts w:hint="default" w:ascii="Times New Roman" w:hAnsi="Times New Roman" w:cs="Times New Roman"/>
          <w:color w:val="auto"/>
          <w:spacing w:val="0"/>
          <w:sz w:val="24"/>
          <w:szCs w:val="24"/>
          <w:highlight w:val="none"/>
          <w:vertAlign w:val="superscript"/>
        </w:rPr>
        <w:t>2</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r>
        <w:rPr>
          <w:rFonts w:hint="default" w:ascii="Times New Roman" w:hAnsi="Times New Roman" w:cs="Times New Roman"/>
          <w:color w:val="auto"/>
          <w:spacing w:val="0"/>
          <w:sz w:val="24"/>
          <w:szCs w:val="24"/>
          <w:highlight w:val="none"/>
        </w:rPr>
        <w:t>；确定铜矿床属第二类以裂隙充水为主，水文地质条件中等。</w:t>
      </w:r>
    </w:p>
    <w:p w14:paraId="735F9641">
      <w:pPr>
        <w:keepNext w:val="0"/>
        <w:keepLines w:val="0"/>
        <w:pageBreakBefore w:val="0"/>
        <w:widowControl w:val="0"/>
        <w:kinsoku/>
        <w:wordWrap/>
        <w:overflowPunct/>
        <w:topLinePunct w:val="0"/>
        <w:autoSpaceDE/>
        <w:autoSpaceDN/>
        <w:bidi w:val="0"/>
        <w:spacing w:line="48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矿区地下水位各矿体涌水量之和，经计算，矿区地下水正常涌水量为513</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/d，最大涌水量为706</w:t>
      </w:r>
      <w:r>
        <w:rPr>
          <w:rFonts w:hint="default" w:ascii="Times New Roman" w:hAnsi="Times New Roman" w:eastAsia="宋体" w:cs="Times New Roman"/>
          <w:caps w:val="0"/>
          <w:smallCaps w:val="0"/>
          <w:color w:val="auto"/>
          <w:sz w:val="24"/>
          <w:szCs w:val="24"/>
          <w:highlight w:val="none"/>
        </w:rPr>
        <w:t>m</w:t>
      </w:r>
      <w:r>
        <w:rPr>
          <w:rFonts w:hint="default" w:ascii="Times New Roman" w:hAnsi="Times New Roman" w:cs="Times New Roman"/>
          <w:caps w:val="0"/>
          <w:smallCaps w:val="0"/>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lang w:val="en-US" w:eastAsia="zh-CN"/>
        </w:rPr>
        <w:t>/d。</w:t>
      </w:r>
    </w:p>
    <w:p w14:paraId="481EC5F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地下水开发利用现状</w:t>
      </w:r>
    </w:p>
    <w:p w14:paraId="22BDA35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经过调查，矿区地下水极度贫乏，含水层富水性差，矿化度高，地下水无开发利用价值，且矿区周边无居民，无地下水开发利用情况。</w:t>
      </w:r>
    </w:p>
    <w:p w14:paraId="6DC2142E">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地下水污染源分析</w:t>
      </w:r>
    </w:p>
    <w:p w14:paraId="6B53DA63">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本项目为铜矿开采项目，主要建设内容包括</w:t>
      </w:r>
      <w:r>
        <w:rPr>
          <w:rFonts w:hint="default" w:ascii="Times New Roman" w:hAnsi="Times New Roman" w:cs="Times New Roman"/>
          <w:color w:val="auto"/>
          <w:spacing w:val="0"/>
          <w:w w:val="100"/>
          <w:position w:val="0"/>
          <w:sz w:val="24"/>
          <w:szCs w:val="24"/>
          <w:lang w:val="en-US" w:eastAsia="zh-CN"/>
        </w:rPr>
        <w:t>矿井</w:t>
      </w:r>
      <w:r>
        <w:rPr>
          <w:rFonts w:hint="default" w:ascii="Times New Roman" w:hAnsi="Times New Roman"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废石场、生活办公区、矿区内外道路及新水管线等内容。</w:t>
      </w:r>
    </w:p>
    <w:p w14:paraId="48339595">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采矿对地下水环境的影响主要为矿体开采后对含水层水量及水位的影响，导致含水层水量被排出，水位下降，但对地下水水质的影响较小。</w:t>
      </w:r>
    </w:p>
    <w:p w14:paraId="59F7129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废石场及低品位矿堆场仅在降雨条件下形成淋溶水，由于当地降雨量极小，淋溶水的产生量较少，不会对地下水环境造成明显不利影响。</w:t>
      </w:r>
    </w:p>
    <w:p w14:paraId="19401AE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因此，综合以上分析，本项目对地下水存在污染风险较大的地点为</w:t>
      </w:r>
      <w:r>
        <w:rPr>
          <w:rFonts w:hint="default" w:ascii="Times New Roman" w:hAnsi="Times New Roman" w:eastAsia="宋体"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w:t>
      </w:r>
    </w:p>
    <w:p w14:paraId="22109422">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地下水环境影响预测</w:t>
      </w:r>
    </w:p>
    <w:p w14:paraId="1A7F8644">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"5.4.5.1"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5.4.5.1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采矿对地下水环境的影响分析</w:t>
      </w:r>
    </w:p>
    <w:p w14:paraId="4C1B9B1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（1）矿床充水因素分析</w:t>
      </w:r>
    </w:p>
    <w:p w14:paraId="28F6F85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矿区地处干旱地区，降雨稀少，蒸发量极大，大气降水主要集中在夏季，多为阵雨，偶尔有暴雨降落，但强度不大，形不成大的地表径流，在上游修建截排洪沟将水引走，因而大气降水对矿床开采无大的影响。</w:t>
      </w:r>
    </w:p>
    <w:p w14:paraId="15C1C62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rPr>
        <w:t>本项目开采方式为地下开采。</w:t>
      </w:r>
      <w:r>
        <w:rPr>
          <w:rFonts w:hint="default" w:ascii="Times New Roman" w:hAnsi="Times New Roman" w:eastAsia="宋体" w:cs="Times New Roman"/>
          <w:color w:val="auto"/>
          <w:spacing w:val="0"/>
          <w:w w:val="100"/>
          <w:position w:val="0"/>
          <w:sz w:val="24"/>
          <w:szCs w:val="24"/>
          <w:lang w:val="en-US" w:eastAsia="zh-CN"/>
        </w:rPr>
        <w:t>矿区内岩性主要为蓟县系卡瓦布拉克岩群，岩性成分主要为灰黑色灰岩、条带状大理岩化灰岩、白云质大理岩和硅质灰岩等。大红山北铜矿体</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层</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主要接受基岩裂隙潜水含水层的直接充水。</w:t>
      </w:r>
    </w:p>
    <w:p w14:paraId="49F3EBC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由于地下水的补给来源极其贫乏，采掘初期水量稍大，以后的水量将越来越小，为疏干型矿床。在矿床开采中很容易排除和疏干，因此对矿床开采影响一般不大。</w:t>
      </w:r>
    </w:p>
    <w:p w14:paraId="2973D87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（2）矿井涌水量预测</w:t>
      </w:r>
    </w:p>
    <w:p w14:paraId="51C7779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采矿对地下水的影响主要是采矿疏干部分含水层中的地下水量，导致受影响区域地下水水位下降，</w:t>
      </w:r>
      <w:r>
        <w:rPr>
          <w:rFonts w:hint="default" w:ascii="Times New Roman" w:hAnsi="Times New Roman" w:cs="Times New Roman" w:eastAsiaTheme="minorEastAsia"/>
          <w:color w:val="auto"/>
          <w:sz w:val="24"/>
          <w:szCs w:val="24"/>
        </w:rPr>
        <w:t>采用大井法预算矿坑涌水量，Ⅳ-1矿体（层）井下矿坑正常矿坑涌水量为1.20×10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/d；最大矿坑涌水量为1.60×10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/d；Ⅰ、Ⅱ矿体（层）井下矿坑正常矿坑涌水量为0.60×10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/d；最大矿坑涌水量为0.80×10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/d；Ⅲ矿体（层）井下矿坑正常矿坑涌水量为0.90×10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/d；最大矿坑涌水量为1.10×10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/d；Ⅴ矿体（层）井下矿坑正常矿坑涌水量为0.50×10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/d；最大矿坑涌水量分别为0.70×10</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/d。</w:t>
      </w:r>
      <w:r>
        <w:rPr>
          <w:rFonts w:hint="default" w:ascii="Times New Roman" w:hAnsi="Times New Roman" w:eastAsia="宋体" w:cs="Times New Roman"/>
          <w:color w:val="auto"/>
          <w:spacing w:val="0"/>
          <w:w w:val="100"/>
          <w:position w:val="0"/>
          <w:sz w:val="24"/>
          <w:szCs w:val="24"/>
        </w:rPr>
        <w:t>由此可见，本项目矿体开采后会疏干一定量的地下水，项目区地下水富水性差、导水性差，采矿每天疏干一定量的地下水，会对当地地下水资源量造成一定影响，疏干水量应充分利用，如</w:t>
      </w:r>
      <w:r>
        <w:rPr>
          <w:rFonts w:hint="default" w:ascii="Times New Roman" w:hAnsi="Times New Roman" w:cs="Times New Roman"/>
          <w:color w:val="auto"/>
          <w:spacing w:val="0"/>
          <w:w w:val="100"/>
          <w:position w:val="0"/>
          <w:sz w:val="24"/>
          <w:szCs w:val="24"/>
          <w:lang w:val="en-US" w:eastAsia="zh-CN"/>
        </w:rPr>
        <w:t>用于充填站</w:t>
      </w:r>
      <w:r>
        <w:rPr>
          <w:rFonts w:hint="default" w:ascii="Times New Roman" w:hAnsi="Times New Roman" w:eastAsia="宋体" w:cs="Times New Roman"/>
          <w:color w:val="auto"/>
          <w:spacing w:val="0"/>
          <w:w w:val="100"/>
          <w:position w:val="0"/>
          <w:sz w:val="24"/>
          <w:szCs w:val="24"/>
        </w:rPr>
        <w:t>等。</w:t>
      </w:r>
    </w:p>
    <w:p w14:paraId="0C520C3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cs="Times New Roman"/>
          <w:color w:val="auto"/>
          <w:spacing w:val="0"/>
          <w:w w:val="100"/>
          <w:position w:val="0"/>
          <w:sz w:val="24"/>
          <w:szCs w:val="24"/>
          <w:lang w:val="en-US" w:eastAsia="zh-CN"/>
        </w:rPr>
      </w:pPr>
      <w:r>
        <w:rPr>
          <w:rFonts w:hint="default" w:ascii="Times New Roman" w:hAnsi="Times New Roman" w:cs="Times New Roman"/>
          <w:color w:val="auto"/>
          <w:spacing w:val="0"/>
          <w:w w:val="100"/>
          <w:position w:val="0"/>
          <w:sz w:val="24"/>
          <w:szCs w:val="24"/>
          <w:lang w:val="en-US" w:eastAsia="zh-CN"/>
        </w:rPr>
        <w:t>（3）开采引起的影响半径预测</w:t>
      </w:r>
    </w:p>
    <w:p w14:paraId="6ACA12FE">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项目采矿疏干局部地下水后，会导致一定范围内的地下水水位下降，水位下降影响范围采用如下公式计算：</w:t>
      </w:r>
    </w:p>
    <w:p w14:paraId="763A35CD">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w:t>
      </w:r>
      <w:r>
        <w:rPr>
          <w:rFonts w:hint="default" w:ascii="Times New Roman" w:hAnsi="Times New Roman" w:cs="Times New Roman"/>
          <w:color w:val="auto"/>
          <w:sz w:val="24"/>
          <w:szCs w:val="24"/>
          <w:vertAlign w:val="subscript"/>
        </w:rPr>
        <w:t>0</w:t>
      </w:r>
      <w:r>
        <w:rPr>
          <w:rFonts w:hint="default" w:ascii="Times New Roman" w:hAnsi="Times New Roman" w:cs="Times New Roman"/>
          <w:color w:val="auto"/>
          <w:sz w:val="24"/>
          <w:szCs w:val="24"/>
        </w:rPr>
        <w:t>=R+r</w:t>
      </w:r>
      <w:r>
        <w:rPr>
          <w:rFonts w:hint="default" w:ascii="Times New Roman" w:hAnsi="Times New Roman" w:cs="Times New Roman"/>
          <w:color w:val="auto"/>
          <w:sz w:val="24"/>
          <w:szCs w:val="24"/>
          <w:vertAlign w:val="subscript"/>
        </w:rPr>
        <w:t>0</w:t>
      </w:r>
    </w:p>
    <w:p w14:paraId="524215BF">
      <w:pPr>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0" distR="0">
            <wp:extent cx="765810" cy="148590"/>
            <wp:effectExtent l="0" t="0" r="15240" b="3810"/>
            <wp:docPr id="766" name="IM 766"/>
            <wp:cNvGraphicFramePr/>
            <a:graphic xmlns:a="http://schemas.openxmlformats.org/drawingml/2006/main">
              <a:graphicData uri="http://schemas.openxmlformats.org/drawingml/2006/picture">
                <pic:pic xmlns:pic="http://schemas.openxmlformats.org/drawingml/2006/picture">
                  <pic:nvPicPr>
                    <pic:cNvPr id="766" name="IM 766"/>
                    <pic:cNvPicPr/>
                  </pic:nvPicPr>
                  <pic:blipFill>
                    <a:blip r:embed="rId71"/>
                    <a:stretch>
                      <a:fillRect/>
                    </a:stretch>
                  </pic:blipFill>
                  <pic:spPr>
                    <a:xfrm>
                      <a:off x="0" y="0"/>
                      <a:ext cx="765962" cy="148742"/>
                    </a:xfrm>
                    <a:prstGeom prst="rect">
                      <a:avLst/>
                    </a:prstGeom>
                  </pic:spPr>
                </pic:pic>
              </a:graphicData>
            </a:graphic>
          </wp:inline>
        </w:drawing>
      </w:r>
    </w:p>
    <w:p w14:paraId="596BAB18">
      <w:pPr>
        <w:spacing w:line="360" w:lineRule="auto"/>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0" distR="0">
            <wp:extent cx="892810" cy="298450"/>
            <wp:effectExtent l="0" t="0" r="2540" b="6350"/>
            <wp:docPr id="768" name="IM 768"/>
            <wp:cNvGraphicFramePr/>
            <a:graphic xmlns:a="http://schemas.openxmlformats.org/drawingml/2006/main">
              <a:graphicData uri="http://schemas.openxmlformats.org/drawingml/2006/picture">
                <pic:pic xmlns:pic="http://schemas.openxmlformats.org/drawingml/2006/picture">
                  <pic:nvPicPr>
                    <pic:cNvPr id="768" name="IM 768"/>
                    <pic:cNvPicPr/>
                  </pic:nvPicPr>
                  <pic:blipFill>
                    <a:blip r:embed="rId72"/>
                    <a:stretch>
                      <a:fillRect/>
                    </a:stretch>
                  </pic:blipFill>
                  <pic:spPr>
                    <a:xfrm>
                      <a:off x="0" y="0"/>
                      <a:ext cx="892911" cy="299008"/>
                    </a:xfrm>
                    <a:prstGeom prst="rect">
                      <a:avLst/>
                    </a:prstGeom>
                  </pic:spPr>
                </pic:pic>
              </a:graphicData>
            </a:graphic>
          </wp:inline>
        </w:drawing>
      </w:r>
    </w:p>
    <w:p w14:paraId="10C9ACC5">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式中：R0—引用影响半径，m；</w:t>
      </w:r>
    </w:p>
    <w:p w14:paraId="780F0E6C">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R—影响半径，m；</w:t>
      </w:r>
    </w:p>
    <w:p w14:paraId="6D4ED774">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r0—引用半径，m；</w:t>
      </w:r>
    </w:p>
    <w:p w14:paraId="6C95D743">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S—水位降深，m，为稳定静止水位标高与开采标高的差值；</w:t>
      </w:r>
    </w:p>
    <w:p w14:paraId="2EAA6578">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H—含水层厚度，m，从坑道底板算起；</w:t>
      </w:r>
    </w:p>
    <w:p w14:paraId="5E536224">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K—渗透系数，m/d；</w:t>
      </w:r>
    </w:p>
    <w:p w14:paraId="372D3348">
      <w:pPr>
        <w:keepNext w:val="0"/>
        <w:keepLines w:val="0"/>
        <w:pageBreakBefore w:val="0"/>
        <w:widowControl w:val="0"/>
        <w:numPr>
          <w:ilvl w:val="0"/>
          <w:numId w:val="8"/>
        </w:numPr>
        <w:kinsoku/>
        <w:wordWrap/>
        <w:overflowPunct/>
        <w:topLinePunct w:val="0"/>
        <w:autoSpaceDE/>
        <w:autoSpaceDN/>
        <w:bidi w:val="0"/>
        <w:adjustRightInd/>
        <w:snapToGrid/>
        <w:ind w:firstLine="1200" w:firstLineChars="5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b—矿坑的长、宽，m，当矿坑类似于矩形时，采用此公式计算。</w:t>
      </w:r>
    </w:p>
    <w:p w14:paraId="0B3AE76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本项目开采工程引用影响半径计算见表5.4-</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w:t>
      </w:r>
    </w:p>
    <w:p w14:paraId="0A121B89">
      <w:pPr>
        <w:spacing w:before="78" w:line="219" w:lineRule="auto"/>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Times New Roman" w:cs="Times New Roman"/>
          <w:b/>
          <w:bCs/>
          <w:color w:val="auto"/>
          <w:spacing w:val="-2"/>
          <w:sz w:val="21"/>
          <w:szCs w:val="21"/>
        </w:rPr>
        <w:t>5.4-</w:t>
      </w:r>
      <w:r>
        <w:rPr>
          <w:rFonts w:hint="default" w:ascii="Times New Roman" w:hAnsi="Times New Roman" w:cs="Times New Roman"/>
          <w:b/>
          <w:bCs/>
          <w:color w:val="auto"/>
          <w:spacing w:val="-2"/>
          <w:sz w:val="21"/>
          <w:szCs w:val="21"/>
          <w:lang w:val="en-US" w:eastAsia="zh-CN"/>
        </w:rPr>
        <w:t>1</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引用影响半径计算一览表</w:t>
      </w:r>
    </w:p>
    <w:tbl>
      <w:tblPr>
        <w:tblStyle w:val="21"/>
        <w:tblW w:w="5063"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832"/>
        <w:gridCol w:w="887"/>
        <w:gridCol w:w="805"/>
        <w:gridCol w:w="827"/>
        <w:gridCol w:w="762"/>
        <w:gridCol w:w="762"/>
        <w:gridCol w:w="781"/>
        <w:gridCol w:w="827"/>
        <w:gridCol w:w="610"/>
        <w:gridCol w:w="830"/>
      </w:tblGrid>
      <w:tr w14:paraId="5790B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0895942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矿体名称</w:t>
            </w:r>
          </w:p>
        </w:tc>
        <w:tc>
          <w:tcPr>
            <w:tcW w:w="492" w:type="pct"/>
            <w:tcBorders>
              <w:tl2br w:val="nil"/>
              <w:tr2bl w:val="nil"/>
            </w:tcBorders>
            <w:noWrap w:val="0"/>
            <w:tcMar>
              <w:left w:w="0" w:type="dxa"/>
              <w:right w:w="0" w:type="dxa"/>
            </w:tcMar>
            <w:vAlign w:val="center"/>
          </w:tcPr>
          <w:p w14:paraId="1E14C8D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最低开采标高（m）</w:t>
            </w:r>
          </w:p>
        </w:tc>
        <w:tc>
          <w:tcPr>
            <w:tcW w:w="525" w:type="pct"/>
            <w:tcBorders>
              <w:tl2br w:val="nil"/>
              <w:tr2bl w:val="nil"/>
            </w:tcBorders>
            <w:noWrap w:val="0"/>
            <w:tcMar>
              <w:left w:w="0" w:type="dxa"/>
              <w:right w:w="0" w:type="dxa"/>
            </w:tcMar>
            <w:vAlign w:val="center"/>
          </w:tcPr>
          <w:p w14:paraId="52E07440">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静止水位标高（m）</w:t>
            </w:r>
          </w:p>
        </w:tc>
        <w:tc>
          <w:tcPr>
            <w:tcW w:w="476" w:type="pct"/>
            <w:tcBorders>
              <w:tl2br w:val="nil"/>
              <w:tr2bl w:val="nil"/>
            </w:tcBorders>
            <w:noWrap w:val="0"/>
            <w:tcMar>
              <w:left w:w="0" w:type="dxa"/>
              <w:right w:w="0" w:type="dxa"/>
            </w:tcMar>
            <w:vAlign w:val="center"/>
          </w:tcPr>
          <w:p w14:paraId="59B3E118">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渗透系数K(m/d)</w:t>
            </w:r>
          </w:p>
        </w:tc>
        <w:tc>
          <w:tcPr>
            <w:tcW w:w="489" w:type="pct"/>
            <w:tcBorders>
              <w:tl2br w:val="nil"/>
              <w:tr2bl w:val="nil"/>
            </w:tcBorders>
            <w:noWrap w:val="0"/>
            <w:tcMar>
              <w:left w:w="0" w:type="dxa"/>
              <w:right w:w="0" w:type="dxa"/>
            </w:tcMar>
            <w:vAlign w:val="center"/>
          </w:tcPr>
          <w:p w14:paraId="0AAD3092">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矩形坑道长度a（m）</w:t>
            </w:r>
          </w:p>
        </w:tc>
        <w:tc>
          <w:tcPr>
            <w:tcW w:w="451" w:type="pct"/>
            <w:tcBorders>
              <w:tl2br w:val="nil"/>
              <w:tr2bl w:val="nil"/>
            </w:tcBorders>
            <w:noWrap w:val="0"/>
            <w:tcMar>
              <w:left w:w="0" w:type="dxa"/>
              <w:right w:w="0" w:type="dxa"/>
            </w:tcMar>
            <w:vAlign w:val="center"/>
          </w:tcPr>
          <w:p w14:paraId="71D02B3F">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矩形坑道宽度b（m）</w:t>
            </w:r>
          </w:p>
        </w:tc>
        <w:tc>
          <w:tcPr>
            <w:tcW w:w="451" w:type="pct"/>
            <w:tcBorders>
              <w:tl2br w:val="nil"/>
              <w:tr2bl w:val="nil"/>
            </w:tcBorders>
            <w:noWrap w:val="0"/>
            <w:tcMar>
              <w:left w:w="0" w:type="dxa"/>
              <w:right w:w="0" w:type="dxa"/>
            </w:tcMar>
            <w:vAlign w:val="center"/>
          </w:tcPr>
          <w:p w14:paraId="2E0DBFEE">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含水层厚度</w:t>
            </w:r>
            <w:r>
              <w:rPr>
                <w:rFonts w:hint="default" w:ascii="Times New Roman" w:hAnsi="Times New Roman" w:eastAsia="宋体" w:cs="Times New Roman"/>
                <w:color w:val="auto"/>
                <w:sz w:val="21"/>
                <w:szCs w:val="21"/>
                <w:lang w:val="en-US" w:eastAsia="zh-CN"/>
              </w:rPr>
              <w:t>H</w:t>
            </w:r>
            <w:r>
              <w:rPr>
                <w:rFonts w:hint="default" w:ascii="Times New Roman" w:hAnsi="Times New Roman" w:eastAsia="宋体" w:cs="Times New Roman"/>
                <w:color w:val="auto"/>
                <w:sz w:val="21"/>
                <w:szCs w:val="21"/>
              </w:rPr>
              <w:t>（m）</w:t>
            </w:r>
          </w:p>
        </w:tc>
        <w:tc>
          <w:tcPr>
            <w:tcW w:w="462" w:type="pct"/>
            <w:tcBorders>
              <w:tl2br w:val="nil"/>
              <w:tr2bl w:val="nil"/>
            </w:tcBorders>
            <w:noWrap w:val="0"/>
            <w:tcMar>
              <w:left w:w="0" w:type="dxa"/>
              <w:right w:w="0" w:type="dxa"/>
            </w:tcMar>
            <w:vAlign w:val="center"/>
          </w:tcPr>
          <w:p w14:paraId="17319296">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水位降深S（m）</w:t>
            </w:r>
          </w:p>
        </w:tc>
        <w:tc>
          <w:tcPr>
            <w:tcW w:w="489" w:type="pct"/>
            <w:tcBorders>
              <w:tl2br w:val="nil"/>
              <w:tr2bl w:val="nil"/>
            </w:tcBorders>
            <w:noWrap w:val="0"/>
            <w:tcMar>
              <w:left w:w="0" w:type="dxa"/>
              <w:right w:w="0" w:type="dxa"/>
            </w:tcMar>
            <w:vAlign w:val="center"/>
          </w:tcPr>
          <w:p w14:paraId="086B6AA5">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引用半径r</w:t>
            </w:r>
            <w:r>
              <w:rPr>
                <w:rFonts w:hint="default" w:ascii="Times New Roman" w:hAnsi="Times New Roman" w:eastAsia="宋体" w:cs="Times New Roman"/>
                <w:color w:val="auto"/>
                <w:sz w:val="21"/>
                <w:szCs w:val="21"/>
                <w:vertAlign w:val="subscript"/>
              </w:rPr>
              <w:t>0</w:t>
            </w:r>
            <w:r>
              <w:rPr>
                <w:rFonts w:hint="default" w:ascii="Times New Roman" w:hAnsi="Times New Roman" w:eastAsia="宋体" w:cs="Times New Roman"/>
                <w:color w:val="auto"/>
                <w:sz w:val="21"/>
                <w:szCs w:val="21"/>
              </w:rPr>
              <w:t>(m)</w:t>
            </w:r>
          </w:p>
        </w:tc>
        <w:tc>
          <w:tcPr>
            <w:tcW w:w="361" w:type="pct"/>
            <w:tcBorders>
              <w:tl2br w:val="nil"/>
              <w:tr2bl w:val="nil"/>
            </w:tcBorders>
            <w:shd w:val="clear" w:color="auto" w:fill="auto"/>
            <w:noWrap w:val="0"/>
            <w:tcMar>
              <w:left w:w="0" w:type="dxa"/>
              <w:right w:w="0" w:type="dxa"/>
            </w:tcMar>
            <w:vAlign w:val="center"/>
          </w:tcPr>
          <w:p w14:paraId="4D63B950">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影响半径R(m)</w:t>
            </w:r>
          </w:p>
        </w:tc>
        <w:tc>
          <w:tcPr>
            <w:tcW w:w="491" w:type="pct"/>
            <w:tcBorders>
              <w:tl2br w:val="nil"/>
              <w:tr2bl w:val="nil"/>
            </w:tcBorders>
            <w:shd w:val="clear" w:color="auto" w:fill="auto"/>
            <w:noWrap w:val="0"/>
            <w:tcMar>
              <w:left w:w="0" w:type="dxa"/>
              <w:right w:w="0" w:type="dxa"/>
            </w:tcMar>
            <w:vAlign w:val="center"/>
          </w:tcPr>
          <w:p w14:paraId="2F93CCA9">
            <w:pPr>
              <w:keepNext w:val="0"/>
              <w:keepLines w:val="0"/>
              <w:suppressLineNumbers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引用影响半径R</w:t>
            </w:r>
            <w:r>
              <w:rPr>
                <w:rFonts w:hint="default" w:ascii="Times New Roman" w:hAnsi="Times New Roman" w:eastAsia="宋体" w:cs="Times New Roman"/>
                <w:color w:val="auto"/>
                <w:sz w:val="21"/>
                <w:szCs w:val="21"/>
                <w:vertAlign w:val="subscript"/>
              </w:rPr>
              <w:t>0</w:t>
            </w:r>
            <w:r>
              <w:rPr>
                <w:rFonts w:hint="default" w:ascii="Times New Roman" w:hAnsi="Times New Roman" w:eastAsia="宋体" w:cs="Times New Roman"/>
                <w:color w:val="auto"/>
                <w:sz w:val="21"/>
                <w:szCs w:val="21"/>
              </w:rPr>
              <w:t>(m)</w:t>
            </w:r>
          </w:p>
        </w:tc>
      </w:tr>
      <w:tr w14:paraId="3F0AB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2152C31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Ⅰ、Ⅱ</w:t>
            </w:r>
          </w:p>
        </w:tc>
        <w:tc>
          <w:tcPr>
            <w:tcW w:w="492" w:type="pct"/>
            <w:tcBorders>
              <w:tl2br w:val="nil"/>
              <w:tr2bl w:val="nil"/>
            </w:tcBorders>
            <w:noWrap w:val="0"/>
            <w:tcMar>
              <w:left w:w="0" w:type="dxa"/>
              <w:right w:w="0" w:type="dxa"/>
            </w:tcMar>
            <w:vAlign w:val="center"/>
          </w:tcPr>
          <w:p w14:paraId="3D1835EA">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1840</w:t>
            </w:r>
          </w:p>
        </w:tc>
        <w:tc>
          <w:tcPr>
            <w:tcW w:w="525" w:type="pct"/>
            <w:tcBorders>
              <w:tl2br w:val="nil"/>
              <w:tr2bl w:val="nil"/>
            </w:tcBorders>
            <w:noWrap w:val="0"/>
            <w:tcMar>
              <w:left w:w="0" w:type="dxa"/>
              <w:right w:w="0" w:type="dxa"/>
            </w:tcMar>
            <w:vAlign w:val="center"/>
          </w:tcPr>
          <w:p w14:paraId="0464FFA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1970.46</w:t>
            </w:r>
          </w:p>
        </w:tc>
        <w:tc>
          <w:tcPr>
            <w:tcW w:w="476" w:type="pct"/>
            <w:tcBorders>
              <w:tl2br w:val="nil"/>
              <w:tr2bl w:val="nil"/>
            </w:tcBorders>
            <w:noWrap w:val="0"/>
            <w:tcMar>
              <w:left w:w="0" w:type="dxa"/>
              <w:right w:w="0" w:type="dxa"/>
            </w:tcMar>
            <w:vAlign w:val="center"/>
          </w:tcPr>
          <w:p w14:paraId="0918988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489" w:type="pct"/>
            <w:tcBorders>
              <w:tl2br w:val="nil"/>
              <w:tr2bl w:val="nil"/>
            </w:tcBorders>
            <w:noWrap w:val="0"/>
            <w:tcMar>
              <w:left w:w="0" w:type="dxa"/>
              <w:right w:w="0" w:type="dxa"/>
            </w:tcMar>
            <w:vAlign w:val="center"/>
          </w:tcPr>
          <w:p w14:paraId="6ED6D09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451" w:type="pct"/>
            <w:tcBorders>
              <w:tl2br w:val="nil"/>
              <w:tr2bl w:val="nil"/>
            </w:tcBorders>
            <w:noWrap w:val="0"/>
            <w:tcMar>
              <w:left w:w="0" w:type="dxa"/>
              <w:right w:w="0" w:type="dxa"/>
            </w:tcMar>
            <w:vAlign w:val="center"/>
          </w:tcPr>
          <w:p w14:paraId="4280253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51" w:type="pct"/>
            <w:tcBorders>
              <w:tl2br w:val="nil"/>
              <w:tr2bl w:val="nil"/>
            </w:tcBorders>
            <w:noWrap w:val="0"/>
            <w:tcMar>
              <w:left w:w="0" w:type="dxa"/>
              <w:right w:w="0" w:type="dxa"/>
            </w:tcMar>
            <w:vAlign w:val="center"/>
          </w:tcPr>
          <w:p w14:paraId="37253EC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130.46</w:t>
            </w:r>
          </w:p>
        </w:tc>
        <w:tc>
          <w:tcPr>
            <w:tcW w:w="462" w:type="pct"/>
            <w:tcBorders>
              <w:tl2br w:val="nil"/>
              <w:tr2bl w:val="nil"/>
            </w:tcBorders>
            <w:noWrap w:val="0"/>
            <w:tcMar>
              <w:left w:w="0" w:type="dxa"/>
              <w:right w:w="0" w:type="dxa"/>
            </w:tcMar>
            <w:vAlign w:val="center"/>
          </w:tcPr>
          <w:p w14:paraId="49ACDBC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130.46</w:t>
            </w:r>
          </w:p>
        </w:tc>
        <w:tc>
          <w:tcPr>
            <w:tcW w:w="489" w:type="pct"/>
            <w:tcBorders>
              <w:tl2br w:val="nil"/>
              <w:tr2bl w:val="nil"/>
            </w:tcBorders>
            <w:noWrap w:val="0"/>
            <w:tcMar>
              <w:left w:w="0" w:type="dxa"/>
              <w:right w:w="0" w:type="dxa"/>
            </w:tcMar>
            <w:vAlign w:val="center"/>
          </w:tcPr>
          <w:p w14:paraId="2A3F2EA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118</w:t>
            </w:r>
          </w:p>
        </w:tc>
        <w:tc>
          <w:tcPr>
            <w:tcW w:w="361" w:type="pct"/>
            <w:tcBorders>
              <w:tl2br w:val="nil"/>
              <w:tr2bl w:val="nil"/>
            </w:tcBorders>
            <w:shd w:val="clear" w:color="auto" w:fill="auto"/>
            <w:noWrap w:val="0"/>
            <w:tcMar>
              <w:left w:w="0" w:type="dxa"/>
              <w:right w:w="0" w:type="dxa"/>
            </w:tcMar>
            <w:vAlign w:val="center"/>
          </w:tcPr>
          <w:p w14:paraId="6F7257D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107</w:t>
            </w:r>
          </w:p>
        </w:tc>
        <w:tc>
          <w:tcPr>
            <w:tcW w:w="491" w:type="pct"/>
            <w:tcBorders>
              <w:tl2br w:val="nil"/>
              <w:tr2bl w:val="nil"/>
            </w:tcBorders>
            <w:shd w:val="clear" w:color="auto" w:fill="auto"/>
            <w:noWrap w:val="0"/>
            <w:tcMar>
              <w:left w:w="0" w:type="dxa"/>
              <w:right w:w="0" w:type="dxa"/>
            </w:tcMar>
            <w:vAlign w:val="center"/>
          </w:tcPr>
          <w:p w14:paraId="0645C9C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225</w:t>
            </w:r>
          </w:p>
        </w:tc>
      </w:tr>
      <w:tr w14:paraId="5C757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0B85E0C3">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Ⅲ</w:t>
            </w:r>
          </w:p>
        </w:tc>
        <w:tc>
          <w:tcPr>
            <w:tcW w:w="492" w:type="pct"/>
            <w:tcBorders>
              <w:tl2br w:val="nil"/>
              <w:tr2bl w:val="nil"/>
            </w:tcBorders>
            <w:noWrap w:val="0"/>
            <w:tcMar>
              <w:left w:w="0" w:type="dxa"/>
              <w:right w:w="0" w:type="dxa"/>
            </w:tcMar>
            <w:vAlign w:val="center"/>
          </w:tcPr>
          <w:p w14:paraId="2D9623EF">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1800</w:t>
            </w:r>
          </w:p>
        </w:tc>
        <w:tc>
          <w:tcPr>
            <w:tcW w:w="525" w:type="pct"/>
            <w:tcBorders>
              <w:tl2br w:val="nil"/>
              <w:tr2bl w:val="nil"/>
            </w:tcBorders>
            <w:noWrap w:val="0"/>
            <w:tcMar>
              <w:left w:w="0" w:type="dxa"/>
              <w:right w:w="0" w:type="dxa"/>
            </w:tcMar>
            <w:vAlign w:val="center"/>
          </w:tcPr>
          <w:p w14:paraId="321E888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1989.72</w:t>
            </w:r>
          </w:p>
        </w:tc>
        <w:tc>
          <w:tcPr>
            <w:tcW w:w="476" w:type="pct"/>
            <w:tcBorders>
              <w:tl2br w:val="nil"/>
              <w:tr2bl w:val="nil"/>
            </w:tcBorders>
            <w:noWrap w:val="0"/>
            <w:tcMar>
              <w:left w:w="0" w:type="dxa"/>
              <w:right w:w="0" w:type="dxa"/>
            </w:tcMar>
            <w:vAlign w:val="center"/>
          </w:tcPr>
          <w:p w14:paraId="6C7104F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489" w:type="pct"/>
            <w:tcBorders>
              <w:tl2br w:val="nil"/>
              <w:tr2bl w:val="nil"/>
            </w:tcBorders>
            <w:noWrap w:val="0"/>
            <w:tcMar>
              <w:left w:w="0" w:type="dxa"/>
              <w:right w:w="0" w:type="dxa"/>
            </w:tcMar>
            <w:vAlign w:val="center"/>
          </w:tcPr>
          <w:p w14:paraId="5049BC0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400</w:t>
            </w:r>
          </w:p>
        </w:tc>
        <w:tc>
          <w:tcPr>
            <w:tcW w:w="451" w:type="pct"/>
            <w:tcBorders>
              <w:tl2br w:val="nil"/>
              <w:tr2bl w:val="nil"/>
            </w:tcBorders>
            <w:noWrap w:val="0"/>
            <w:tcMar>
              <w:left w:w="0" w:type="dxa"/>
              <w:right w:w="0" w:type="dxa"/>
            </w:tcMar>
            <w:vAlign w:val="center"/>
          </w:tcPr>
          <w:p w14:paraId="6A38254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451" w:type="pct"/>
            <w:tcBorders>
              <w:tl2br w:val="nil"/>
              <w:tr2bl w:val="nil"/>
            </w:tcBorders>
            <w:noWrap w:val="0"/>
            <w:tcMar>
              <w:left w:w="0" w:type="dxa"/>
              <w:right w:w="0" w:type="dxa"/>
            </w:tcMar>
            <w:vAlign w:val="center"/>
          </w:tcPr>
          <w:p w14:paraId="04B44EA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189.72</w:t>
            </w:r>
          </w:p>
        </w:tc>
        <w:tc>
          <w:tcPr>
            <w:tcW w:w="462" w:type="pct"/>
            <w:tcBorders>
              <w:tl2br w:val="nil"/>
              <w:tr2bl w:val="nil"/>
            </w:tcBorders>
            <w:noWrap w:val="0"/>
            <w:tcMar>
              <w:left w:w="0" w:type="dxa"/>
              <w:right w:w="0" w:type="dxa"/>
            </w:tcMar>
            <w:vAlign w:val="center"/>
          </w:tcPr>
          <w:p w14:paraId="76E08A8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189.72</w:t>
            </w:r>
          </w:p>
        </w:tc>
        <w:tc>
          <w:tcPr>
            <w:tcW w:w="489" w:type="pct"/>
            <w:tcBorders>
              <w:tl2br w:val="nil"/>
              <w:tr2bl w:val="nil"/>
            </w:tcBorders>
            <w:noWrap w:val="0"/>
            <w:tcMar>
              <w:left w:w="0" w:type="dxa"/>
              <w:right w:w="0" w:type="dxa"/>
            </w:tcMar>
            <w:vAlign w:val="center"/>
          </w:tcPr>
          <w:p w14:paraId="25CCE72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192</w:t>
            </w:r>
          </w:p>
        </w:tc>
        <w:tc>
          <w:tcPr>
            <w:tcW w:w="361" w:type="pct"/>
            <w:tcBorders>
              <w:tl2br w:val="nil"/>
              <w:tr2bl w:val="nil"/>
            </w:tcBorders>
            <w:shd w:val="clear" w:color="auto" w:fill="auto"/>
            <w:noWrap w:val="0"/>
            <w:tcMar>
              <w:left w:w="0" w:type="dxa"/>
              <w:right w:w="0" w:type="dxa"/>
            </w:tcMar>
            <w:vAlign w:val="center"/>
          </w:tcPr>
          <w:p w14:paraId="5FE6D80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188</w:t>
            </w:r>
          </w:p>
        </w:tc>
        <w:tc>
          <w:tcPr>
            <w:tcW w:w="491" w:type="pct"/>
            <w:tcBorders>
              <w:tl2br w:val="nil"/>
              <w:tr2bl w:val="nil"/>
            </w:tcBorders>
            <w:shd w:val="clear" w:color="auto" w:fill="auto"/>
            <w:noWrap w:val="0"/>
            <w:tcMar>
              <w:left w:w="0" w:type="dxa"/>
              <w:right w:w="0" w:type="dxa"/>
            </w:tcMar>
            <w:vAlign w:val="center"/>
          </w:tcPr>
          <w:p w14:paraId="1265C64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380</w:t>
            </w:r>
          </w:p>
        </w:tc>
      </w:tr>
      <w:tr w14:paraId="67614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08D58764">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Ⅳ</w:t>
            </w:r>
          </w:p>
        </w:tc>
        <w:tc>
          <w:tcPr>
            <w:tcW w:w="492" w:type="pct"/>
            <w:tcBorders>
              <w:tl2br w:val="nil"/>
              <w:tr2bl w:val="nil"/>
            </w:tcBorders>
            <w:noWrap w:val="0"/>
            <w:tcMar>
              <w:left w:w="0" w:type="dxa"/>
              <w:right w:w="0" w:type="dxa"/>
            </w:tcMar>
            <w:vAlign w:val="center"/>
          </w:tcPr>
          <w:p w14:paraId="1856CD57">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1920</w:t>
            </w:r>
          </w:p>
        </w:tc>
        <w:tc>
          <w:tcPr>
            <w:tcW w:w="525" w:type="pct"/>
            <w:tcBorders>
              <w:tl2br w:val="nil"/>
              <w:tr2bl w:val="nil"/>
            </w:tcBorders>
            <w:noWrap w:val="0"/>
            <w:tcMar>
              <w:left w:w="0" w:type="dxa"/>
              <w:right w:w="0" w:type="dxa"/>
            </w:tcMar>
            <w:vAlign w:val="center"/>
          </w:tcPr>
          <w:p w14:paraId="6D45DC9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1996.01</w:t>
            </w:r>
          </w:p>
        </w:tc>
        <w:tc>
          <w:tcPr>
            <w:tcW w:w="476" w:type="pct"/>
            <w:tcBorders>
              <w:tl2br w:val="nil"/>
              <w:tr2bl w:val="nil"/>
            </w:tcBorders>
            <w:noWrap w:val="0"/>
            <w:tcMar>
              <w:left w:w="0" w:type="dxa"/>
              <w:right w:w="0" w:type="dxa"/>
            </w:tcMar>
            <w:vAlign w:val="center"/>
          </w:tcPr>
          <w:p w14:paraId="25B7016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0.0015</w:t>
            </w:r>
          </w:p>
        </w:tc>
        <w:tc>
          <w:tcPr>
            <w:tcW w:w="489" w:type="pct"/>
            <w:tcBorders>
              <w:tl2br w:val="nil"/>
              <w:tr2bl w:val="nil"/>
            </w:tcBorders>
            <w:noWrap w:val="0"/>
            <w:tcMar>
              <w:left w:w="0" w:type="dxa"/>
              <w:right w:w="0" w:type="dxa"/>
            </w:tcMar>
            <w:vAlign w:val="center"/>
          </w:tcPr>
          <w:p w14:paraId="50AD974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451" w:type="pct"/>
            <w:tcBorders>
              <w:tl2br w:val="nil"/>
              <w:tr2bl w:val="nil"/>
            </w:tcBorders>
            <w:noWrap w:val="0"/>
            <w:tcMar>
              <w:left w:w="0" w:type="dxa"/>
              <w:right w:w="0" w:type="dxa"/>
            </w:tcMar>
            <w:vAlign w:val="center"/>
          </w:tcPr>
          <w:p w14:paraId="199B2A3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451" w:type="pct"/>
            <w:tcBorders>
              <w:tl2br w:val="nil"/>
              <w:tr2bl w:val="nil"/>
            </w:tcBorders>
            <w:noWrap w:val="0"/>
            <w:tcMar>
              <w:left w:w="0" w:type="dxa"/>
              <w:right w:w="0" w:type="dxa"/>
            </w:tcMar>
            <w:vAlign w:val="center"/>
          </w:tcPr>
          <w:p w14:paraId="1C57F76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76.01</w:t>
            </w:r>
          </w:p>
        </w:tc>
        <w:tc>
          <w:tcPr>
            <w:tcW w:w="462" w:type="pct"/>
            <w:tcBorders>
              <w:tl2br w:val="nil"/>
              <w:tr2bl w:val="nil"/>
            </w:tcBorders>
            <w:noWrap w:val="0"/>
            <w:tcMar>
              <w:left w:w="0" w:type="dxa"/>
              <w:right w:w="0" w:type="dxa"/>
            </w:tcMar>
            <w:vAlign w:val="center"/>
          </w:tcPr>
          <w:p w14:paraId="7EB1C52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76.01</w:t>
            </w:r>
          </w:p>
        </w:tc>
        <w:tc>
          <w:tcPr>
            <w:tcW w:w="489" w:type="pct"/>
            <w:tcBorders>
              <w:tl2br w:val="nil"/>
              <w:tr2bl w:val="nil"/>
            </w:tcBorders>
            <w:noWrap w:val="0"/>
            <w:tcMar>
              <w:left w:w="0" w:type="dxa"/>
              <w:right w:w="0" w:type="dxa"/>
            </w:tcMar>
            <w:vAlign w:val="center"/>
          </w:tcPr>
          <w:p w14:paraId="2B27007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81</w:t>
            </w:r>
          </w:p>
        </w:tc>
        <w:tc>
          <w:tcPr>
            <w:tcW w:w="361" w:type="pct"/>
            <w:tcBorders>
              <w:tl2br w:val="nil"/>
              <w:tr2bl w:val="nil"/>
            </w:tcBorders>
            <w:shd w:val="clear" w:color="auto" w:fill="auto"/>
            <w:noWrap w:val="0"/>
            <w:tcMar>
              <w:left w:w="0" w:type="dxa"/>
              <w:right w:w="0" w:type="dxa"/>
            </w:tcMar>
            <w:vAlign w:val="center"/>
          </w:tcPr>
          <w:p w14:paraId="3DF8460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w:t>
            </w:r>
          </w:p>
        </w:tc>
        <w:tc>
          <w:tcPr>
            <w:tcW w:w="491" w:type="pct"/>
            <w:tcBorders>
              <w:tl2br w:val="nil"/>
              <w:tr2bl w:val="nil"/>
            </w:tcBorders>
            <w:shd w:val="clear" w:color="auto" w:fill="auto"/>
            <w:noWrap w:val="0"/>
            <w:tcMar>
              <w:left w:w="0" w:type="dxa"/>
              <w:right w:w="0" w:type="dxa"/>
            </w:tcMar>
            <w:vAlign w:val="center"/>
          </w:tcPr>
          <w:p w14:paraId="7A2631B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133</w:t>
            </w:r>
          </w:p>
        </w:tc>
      </w:tr>
      <w:tr w14:paraId="434D7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044267EB">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Ⅴ</w:t>
            </w:r>
          </w:p>
        </w:tc>
        <w:tc>
          <w:tcPr>
            <w:tcW w:w="492" w:type="pct"/>
            <w:tcBorders>
              <w:tl2br w:val="nil"/>
              <w:tr2bl w:val="nil"/>
            </w:tcBorders>
            <w:noWrap w:val="0"/>
            <w:tcMar>
              <w:left w:w="0" w:type="dxa"/>
              <w:right w:w="0" w:type="dxa"/>
            </w:tcMar>
            <w:vAlign w:val="center"/>
          </w:tcPr>
          <w:p w14:paraId="00986D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1920</w:t>
            </w:r>
          </w:p>
        </w:tc>
        <w:tc>
          <w:tcPr>
            <w:tcW w:w="525" w:type="pct"/>
            <w:tcBorders>
              <w:tl2br w:val="nil"/>
              <w:tr2bl w:val="nil"/>
            </w:tcBorders>
            <w:noWrap w:val="0"/>
            <w:tcMar>
              <w:left w:w="0" w:type="dxa"/>
              <w:right w:w="0" w:type="dxa"/>
            </w:tcMar>
            <w:vAlign w:val="center"/>
          </w:tcPr>
          <w:p w14:paraId="67DE27F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2026.48</w:t>
            </w:r>
          </w:p>
        </w:tc>
        <w:tc>
          <w:tcPr>
            <w:tcW w:w="476" w:type="pct"/>
            <w:tcBorders>
              <w:tl2br w:val="nil"/>
              <w:tr2bl w:val="nil"/>
            </w:tcBorders>
            <w:noWrap w:val="0"/>
            <w:tcMar>
              <w:left w:w="0" w:type="dxa"/>
              <w:right w:w="0" w:type="dxa"/>
            </w:tcMar>
            <w:vAlign w:val="center"/>
          </w:tcPr>
          <w:p w14:paraId="6E9632F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489" w:type="pct"/>
            <w:tcBorders>
              <w:tl2br w:val="nil"/>
              <w:tr2bl w:val="nil"/>
            </w:tcBorders>
            <w:noWrap w:val="0"/>
            <w:tcMar>
              <w:left w:w="0" w:type="dxa"/>
              <w:right w:w="0" w:type="dxa"/>
            </w:tcMar>
            <w:vAlign w:val="center"/>
          </w:tcPr>
          <w:p w14:paraId="573968E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51" w:type="pct"/>
            <w:tcBorders>
              <w:tl2br w:val="nil"/>
              <w:tr2bl w:val="nil"/>
            </w:tcBorders>
            <w:noWrap w:val="0"/>
            <w:tcMar>
              <w:left w:w="0" w:type="dxa"/>
              <w:right w:w="0" w:type="dxa"/>
            </w:tcMar>
            <w:vAlign w:val="center"/>
          </w:tcPr>
          <w:p w14:paraId="7A6D59E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451" w:type="pct"/>
            <w:tcBorders>
              <w:tl2br w:val="nil"/>
              <w:tr2bl w:val="nil"/>
            </w:tcBorders>
            <w:noWrap w:val="0"/>
            <w:tcMar>
              <w:left w:w="0" w:type="dxa"/>
              <w:right w:w="0" w:type="dxa"/>
            </w:tcMar>
            <w:vAlign w:val="center"/>
          </w:tcPr>
          <w:p w14:paraId="1892511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106.48</w:t>
            </w:r>
          </w:p>
        </w:tc>
        <w:tc>
          <w:tcPr>
            <w:tcW w:w="462" w:type="pct"/>
            <w:tcBorders>
              <w:tl2br w:val="nil"/>
              <w:tr2bl w:val="nil"/>
            </w:tcBorders>
            <w:noWrap w:val="0"/>
            <w:tcMar>
              <w:left w:w="0" w:type="dxa"/>
              <w:right w:w="0" w:type="dxa"/>
            </w:tcMar>
            <w:vAlign w:val="center"/>
          </w:tcPr>
          <w:p w14:paraId="764CA72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106.48</w:t>
            </w:r>
          </w:p>
        </w:tc>
        <w:tc>
          <w:tcPr>
            <w:tcW w:w="489" w:type="pct"/>
            <w:tcBorders>
              <w:tl2br w:val="nil"/>
              <w:tr2bl w:val="nil"/>
            </w:tcBorders>
            <w:noWrap w:val="0"/>
            <w:tcMar>
              <w:left w:w="0" w:type="dxa"/>
              <w:right w:w="0" w:type="dxa"/>
            </w:tcMar>
            <w:vAlign w:val="center"/>
          </w:tcPr>
          <w:p w14:paraId="6BF0D46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68</w:t>
            </w:r>
          </w:p>
        </w:tc>
        <w:tc>
          <w:tcPr>
            <w:tcW w:w="361" w:type="pct"/>
            <w:tcBorders>
              <w:tl2br w:val="nil"/>
              <w:tr2bl w:val="nil"/>
            </w:tcBorders>
            <w:shd w:val="clear" w:color="auto" w:fill="auto"/>
            <w:noWrap w:val="0"/>
            <w:tcMar>
              <w:left w:w="0" w:type="dxa"/>
              <w:right w:w="0" w:type="dxa"/>
            </w:tcMar>
            <w:vAlign w:val="center"/>
          </w:tcPr>
          <w:p w14:paraId="7154997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79</w:t>
            </w:r>
          </w:p>
        </w:tc>
        <w:tc>
          <w:tcPr>
            <w:tcW w:w="491" w:type="pct"/>
            <w:tcBorders>
              <w:tl2br w:val="nil"/>
              <w:tr2bl w:val="nil"/>
            </w:tcBorders>
            <w:shd w:val="clear" w:color="auto" w:fill="auto"/>
            <w:noWrap w:val="0"/>
            <w:tcMar>
              <w:left w:w="0" w:type="dxa"/>
              <w:right w:w="0" w:type="dxa"/>
            </w:tcMar>
            <w:vAlign w:val="center"/>
          </w:tcPr>
          <w:p w14:paraId="12EC7C9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147</w:t>
            </w:r>
          </w:p>
        </w:tc>
      </w:tr>
      <w:tr w14:paraId="3BAB0B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6421E378">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Ⅵ</w:t>
            </w:r>
          </w:p>
        </w:tc>
        <w:tc>
          <w:tcPr>
            <w:tcW w:w="492" w:type="pct"/>
            <w:tcBorders>
              <w:tl2br w:val="nil"/>
              <w:tr2bl w:val="nil"/>
            </w:tcBorders>
            <w:noWrap w:val="0"/>
            <w:tcMar>
              <w:left w:w="0" w:type="dxa"/>
              <w:right w:w="0" w:type="dxa"/>
            </w:tcMar>
            <w:vAlign w:val="center"/>
          </w:tcPr>
          <w:p w14:paraId="5B9DF5F1">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1840</w:t>
            </w:r>
          </w:p>
        </w:tc>
        <w:tc>
          <w:tcPr>
            <w:tcW w:w="525" w:type="pct"/>
            <w:tcBorders>
              <w:tl2br w:val="nil"/>
              <w:tr2bl w:val="nil"/>
            </w:tcBorders>
            <w:noWrap w:val="0"/>
            <w:tcMar>
              <w:left w:w="0" w:type="dxa"/>
              <w:right w:w="0" w:type="dxa"/>
            </w:tcMar>
            <w:vAlign w:val="center"/>
          </w:tcPr>
          <w:p w14:paraId="70176A5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1989.72</w:t>
            </w:r>
          </w:p>
        </w:tc>
        <w:tc>
          <w:tcPr>
            <w:tcW w:w="476" w:type="pct"/>
            <w:tcBorders>
              <w:tl2br w:val="nil"/>
              <w:tr2bl w:val="nil"/>
            </w:tcBorders>
            <w:noWrap w:val="0"/>
            <w:tcMar>
              <w:left w:w="0" w:type="dxa"/>
              <w:right w:w="0" w:type="dxa"/>
            </w:tcMar>
            <w:vAlign w:val="center"/>
          </w:tcPr>
          <w:p w14:paraId="45FB120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0.0013</w:t>
            </w:r>
          </w:p>
        </w:tc>
        <w:tc>
          <w:tcPr>
            <w:tcW w:w="489" w:type="pct"/>
            <w:tcBorders>
              <w:tl2br w:val="nil"/>
              <w:tr2bl w:val="nil"/>
            </w:tcBorders>
            <w:noWrap w:val="0"/>
            <w:tcMar>
              <w:left w:w="0" w:type="dxa"/>
              <w:right w:w="0" w:type="dxa"/>
            </w:tcMar>
            <w:vAlign w:val="center"/>
          </w:tcPr>
          <w:p w14:paraId="4260740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350</w:t>
            </w:r>
          </w:p>
        </w:tc>
        <w:tc>
          <w:tcPr>
            <w:tcW w:w="451" w:type="pct"/>
            <w:tcBorders>
              <w:tl2br w:val="nil"/>
              <w:tr2bl w:val="nil"/>
            </w:tcBorders>
            <w:noWrap w:val="0"/>
            <w:tcMar>
              <w:left w:w="0" w:type="dxa"/>
              <w:right w:w="0" w:type="dxa"/>
            </w:tcMar>
            <w:vAlign w:val="center"/>
          </w:tcPr>
          <w:p w14:paraId="75D5D9F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451" w:type="pct"/>
            <w:tcBorders>
              <w:tl2br w:val="nil"/>
              <w:tr2bl w:val="nil"/>
            </w:tcBorders>
            <w:noWrap w:val="0"/>
            <w:tcMar>
              <w:left w:w="0" w:type="dxa"/>
              <w:right w:w="0" w:type="dxa"/>
            </w:tcMar>
            <w:vAlign w:val="center"/>
          </w:tcPr>
          <w:p w14:paraId="7B474A7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149.72</w:t>
            </w:r>
          </w:p>
        </w:tc>
        <w:tc>
          <w:tcPr>
            <w:tcW w:w="462" w:type="pct"/>
            <w:tcBorders>
              <w:tl2br w:val="nil"/>
              <w:tr2bl w:val="nil"/>
            </w:tcBorders>
            <w:noWrap w:val="0"/>
            <w:tcMar>
              <w:left w:w="0" w:type="dxa"/>
              <w:right w:w="0" w:type="dxa"/>
            </w:tcMar>
            <w:vAlign w:val="center"/>
          </w:tcPr>
          <w:p w14:paraId="52E2FA1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149.72</w:t>
            </w:r>
          </w:p>
        </w:tc>
        <w:tc>
          <w:tcPr>
            <w:tcW w:w="489" w:type="pct"/>
            <w:tcBorders>
              <w:tl2br w:val="nil"/>
              <w:tr2bl w:val="nil"/>
            </w:tcBorders>
            <w:noWrap w:val="0"/>
            <w:tcMar>
              <w:left w:w="0" w:type="dxa"/>
              <w:right w:w="0" w:type="dxa"/>
            </w:tcMar>
            <w:vAlign w:val="center"/>
          </w:tcPr>
          <w:p w14:paraId="1F933B5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132</w:t>
            </w:r>
          </w:p>
        </w:tc>
        <w:tc>
          <w:tcPr>
            <w:tcW w:w="361" w:type="pct"/>
            <w:tcBorders>
              <w:tl2br w:val="nil"/>
              <w:tr2bl w:val="nil"/>
            </w:tcBorders>
            <w:shd w:val="clear" w:color="auto" w:fill="auto"/>
            <w:noWrap w:val="0"/>
            <w:tcMar>
              <w:left w:w="0" w:type="dxa"/>
              <w:right w:w="0" w:type="dxa"/>
            </w:tcMar>
            <w:vAlign w:val="center"/>
          </w:tcPr>
          <w:p w14:paraId="3954D8E7">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132</w:t>
            </w:r>
          </w:p>
        </w:tc>
        <w:tc>
          <w:tcPr>
            <w:tcW w:w="491" w:type="pct"/>
            <w:tcBorders>
              <w:tl2br w:val="nil"/>
              <w:tr2bl w:val="nil"/>
            </w:tcBorders>
            <w:shd w:val="clear" w:color="auto" w:fill="auto"/>
            <w:noWrap w:val="0"/>
            <w:tcMar>
              <w:left w:w="0" w:type="dxa"/>
              <w:right w:w="0" w:type="dxa"/>
            </w:tcMar>
            <w:vAlign w:val="center"/>
          </w:tcPr>
          <w:p w14:paraId="51863D4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264</w:t>
            </w:r>
          </w:p>
        </w:tc>
      </w:tr>
      <w:tr w14:paraId="050D0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07" w:type="pct"/>
            <w:tcBorders>
              <w:tl2br w:val="nil"/>
              <w:tr2bl w:val="nil"/>
            </w:tcBorders>
            <w:noWrap w:val="0"/>
            <w:tcMar>
              <w:left w:w="0" w:type="dxa"/>
              <w:right w:w="0" w:type="dxa"/>
            </w:tcMar>
            <w:vAlign w:val="center"/>
          </w:tcPr>
          <w:p w14:paraId="248D1469">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Ⅳ-1</w:t>
            </w:r>
          </w:p>
        </w:tc>
        <w:tc>
          <w:tcPr>
            <w:tcW w:w="492" w:type="pct"/>
            <w:tcBorders>
              <w:tl2br w:val="nil"/>
              <w:tr2bl w:val="nil"/>
            </w:tcBorders>
            <w:noWrap w:val="0"/>
            <w:tcMar>
              <w:left w:w="0" w:type="dxa"/>
              <w:right w:w="0" w:type="dxa"/>
            </w:tcMar>
            <w:vAlign w:val="center"/>
          </w:tcPr>
          <w:p w14:paraId="2D154A8C">
            <w:pPr>
              <w:keepNext w:val="0"/>
              <w:keepLines w:val="0"/>
              <w:suppressLineNumbers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1900</w:t>
            </w:r>
          </w:p>
        </w:tc>
        <w:tc>
          <w:tcPr>
            <w:tcW w:w="525" w:type="pct"/>
            <w:tcBorders>
              <w:tl2br w:val="nil"/>
              <w:tr2bl w:val="nil"/>
            </w:tcBorders>
            <w:noWrap w:val="0"/>
            <w:tcMar>
              <w:left w:w="0" w:type="dxa"/>
              <w:right w:w="0" w:type="dxa"/>
            </w:tcMar>
            <w:vAlign w:val="center"/>
          </w:tcPr>
          <w:p w14:paraId="1241DAD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1996.01</w:t>
            </w:r>
          </w:p>
        </w:tc>
        <w:tc>
          <w:tcPr>
            <w:tcW w:w="476" w:type="pct"/>
            <w:tcBorders>
              <w:tl2br w:val="nil"/>
              <w:tr2bl w:val="nil"/>
            </w:tcBorders>
            <w:noWrap w:val="0"/>
            <w:tcMar>
              <w:left w:w="0" w:type="dxa"/>
              <w:right w:w="0" w:type="dxa"/>
            </w:tcMar>
            <w:vAlign w:val="center"/>
          </w:tcPr>
          <w:p w14:paraId="1A5C58A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0.0015</w:t>
            </w:r>
          </w:p>
        </w:tc>
        <w:tc>
          <w:tcPr>
            <w:tcW w:w="489" w:type="pct"/>
            <w:tcBorders>
              <w:tl2br w:val="nil"/>
              <w:tr2bl w:val="nil"/>
            </w:tcBorders>
            <w:noWrap w:val="0"/>
            <w:tcMar>
              <w:left w:w="0" w:type="dxa"/>
              <w:right w:w="0" w:type="dxa"/>
            </w:tcMar>
            <w:vAlign w:val="center"/>
          </w:tcPr>
          <w:p w14:paraId="63A95C1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520</w:t>
            </w:r>
          </w:p>
        </w:tc>
        <w:tc>
          <w:tcPr>
            <w:tcW w:w="451" w:type="pct"/>
            <w:tcBorders>
              <w:tl2br w:val="nil"/>
              <w:tr2bl w:val="nil"/>
            </w:tcBorders>
            <w:noWrap w:val="0"/>
            <w:tcMar>
              <w:left w:w="0" w:type="dxa"/>
              <w:right w:w="0" w:type="dxa"/>
            </w:tcMar>
            <w:vAlign w:val="center"/>
          </w:tcPr>
          <w:p w14:paraId="1090F09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451" w:type="pct"/>
            <w:tcBorders>
              <w:tl2br w:val="nil"/>
              <w:tr2bl w:val="nil"/>
            </w:tcBorders>
            <w:noWrap w:val="0"/>
            <w:tcMar>
              <w:left w:w="0" w:type="dxa"/>
              <w:right w:w="0" w:type="dxa"/>
            </w:tcMar>
            <w:vAlign w:val="center"/>
          </w:tcPr>
          <w:p w14:paraId="4D192D9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96.01</w:t>
            </w:r>
          </w:p>
        </w:tc>
        <w:tc>
          <w:tcPr>
            <w:tcW w:w="462" w:type="pct"/>
            <w:tcBorders>
              <w:tl2br w:val="nil"/>
              <w:tr2bl w:val="nil"/>
            </w:tcBorders>
            <w:noWrap w:val="0"/>
            <w:tcMar>
              <w:left w:w="0" w:type="dxa"/>
              <w:right w:w="0" w:type="dxa"/>
            </w:tcMar>
            <w:vAlign w:val="center"/>
          </w:tcPr>
          <w:p w14:paraId="3728B72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96.01</w:t>
            </w:r>
          </w:p>
        </w:tc>
        <w:tc>
          <w:tcPr>
            <w:tcW w:w="489" w:type="pct"/>
            <w:tcBorders>
              <w:tl2br w:val="nil"/>
              <w:tr2bl w:val="nil"/>
            </w:tcBorders>
            <w:noWrap w:val="0"/>
            <w:tcMar>
              <w:left w:w="0" w:type="dxa"/>
              <w:right w:w="0" w:type="dxa"/>
            </w:tcMar>
            <w:vAlign w:val="center"/>
          </w:tcPr>
          <w:p w14:paraId="1D7190A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209</w:t>
            </w:r>
          </w:p>
        </w:tc>
        <w:tc>
          <w:tcPr>
            <w:tcW w:w="361" w:type="pct"/>
            <w:tcBorders>
              <w:tl2br w:val="nil"/>
              <w:tr2bl w:val="nil"/>
            </w:tcBorders>
            <w:shd w:val="clear" w:color="auto" w:fill="auto"/>
            <w:noWrap w:val="0"/>
            <w:tcMar>
              <w:left w:w="0" w:type="dxa"/>
              <w:right w:w="0" w:type="dxa"/>
            </w:tcMar>
            <w:vAlign w:val="center"/>
          </w:tcPr>
          <w:p w14:paraId="4C0F322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73</w:t>
            </w:r>
          </w:p>
        </w:tc>
        <w:tc>
          <w:tcPr>
            <w:tcW w:w="491" w:type="pct"/>
            <w:tcBorders>
              <w:tl2br w:val="nil"/>
              <w:tr2bl w:val="nil"/>
            </w:tcBorders>
            <w:shd w:val="clear" w:color="auto" w:fill="auto"/>
            <w:noWrap w:val="0"/>
            <w:tcMar>
              <w:left w:w="0" w:type="dxa"/>
              <w:right w:w="0" w:type="dxa"/>
            </w:tcMar>
            <w:vAlign w:val="center"/>
          </w:tcPr>
          <w:p w14:paraId="262459F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282</w:t>
            </w:r>
          </w:p>
        </w:tc>
      </w:tr>
    </w:tbl>
    <w:p w14:paraId="4F8A1BFD">
      <w:pPr>
        <w:keepNext w:val="0"/>
        <w:keepLines w:val="0"/>
        <w:pageBreakBefore w:val="0"/>
        <w:widowControl w:val="0"/>
        <w:kinsoku/>
        <w:wordWrap/>
        <w:overflowPunct/>
        <w:topLinePunct w:val="0"/>
        <w:autoSpaceDE/>
        <w:autoSpaceDN/>
        <w:bidi w:val="0"/>
        <w:adjustRightInd/>
        <w:snapToGrid/>
        <w:spacing w:line="480" w:lineRule="exact"/>
        <w:ind w:left="0" w:right="0" w:firstLine="496"/>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w:t>
      </w:r>
      <w:r>
        <w:rPr>
          <w:rFonts w:hint="default" w:ascii="Times New Roman" w:hAnsi="Times New Roman" w:eastAsia="宋体" w:cs="Times New Roman"/>
          <w:color w:val="auto"/>
          <w:spacing w:val="-3"/>
          <w:sz w:val="24"/>
          <w:szCs w:val="24"/>
        </w:rPr>
        <w:t>表5.4-</w:t>
      </w:r>
      <w:r>
        <w:rPr>
          <w:rFonts w:hint="default" w:ascii="Times New Roman" w:hAnsi="Times New Roman" w:eastAsia="宋体" w:cs="Times New Roman"/>
          <w:color w:val="auto"/>
          <w:spacing w:val="-3"/>
          <w:sz w:val="24"/>
          <w:szCs w:val="24"/>
          <w:lang w:val="en-US" w:eastAsia="zh-CN"/>
        </w:rPr>
        <w:t>5</w:t>
      </w:r>
      <w:r>
        <w:rPr>
          <w:rFonts w:hint="default" w:ascii="Times New Roman" w:hAnsi="Times New Roman" w:eastAsia="宋体" w:cs="Times New Roman"/>
          <w:color w:val="auto"/>
          <w:sz w:val="24"/>
          <w:szCs w:val="24"/>
        </w:rPr>
        <w:t>可知，</w:t>
      </w:r>
      <w:r>
        <w:rPr>
          <w:rFonts w:hint="default" w:ascii="Times New Roman" w:hAnsi="Times New Roman" w:eastAsia="宋体" w:cs="Times New Roman"/>
          <w:color w:val="auto"/>
          <w:spacing w:val="-4"/>
          <w:sz w:val="24"/>
          <w:szCs w:val="24"/>
        </w:rPr>
        <w:t>地下开采后最大影</w:t>
      </w:r>
      <w:r>
        <w:rPr>
          <w:rFonts w:hint="default" w:ascii="Times New Roman" w:hAnsi="Times New Roman" w:eastAsia="宋体" w:cs="Times New Roman"/>
          <w:color w:val="auto"/>
          <w:spacing w:val="-3"/>
          <w:sz w:val="24"/>
          <w:szCs w:val="24"/>
        </w:rPr>
        <w:t>响范围为</w:t>
      </w:r>
      <w:r>
        <w:rPr>
          <w:rFonts w:hint="default" w:ascii="Times New Roman" w:hAnsi="Times New Roman" w:eastAsia="宋体" w:cs="Times New Roman"/>
          <w:color w:val="auto"/>
          <w:sz w:val="21"/>
          <w:szCs w:val="21"/>
          <w:lang w:val="en-US" w:eastAsia="zh-CN"/>
        </w:rPr>
        <w:t>Ⅲ号矿体的</w:t>
      </w:r>
      <w:r>
        <w:rPr>
          <w:rFonts w:hint="default" w:ascii="Times New Roman" w:hAnsi="Times New Roman" w:eastAsia="宋体" w:cs="Times New Roman"/>
          <w:color w:val="auto"/>
          <w:spacing w:val="-3"/>
          <w:sz w:val="24"/>
          <w:szCs w:val="24"/>
          <w:lang w:val="en-US" w:eastAsia="zh-CN"/>
        </w:rPr>
        <w:t>380</w:t>
      </w:r>
      <w:r>
        <w:rPr>
          <w:rFonts w:hint="default" w:ascii="Times New Roman" w:hAnsi="Times New Roman" w:eastAsia="Times New Roman" w:cs="Times New Roman"/>
          <w:color w:val="auto"/>
          <w:spacing w:val="-3"/>
          <w:sz w:val="24"/>
          <w:szCs w:val="24"/>
        </w:rPr>
        <w:t>m</w:t>
      </w:r>
      <w:r>
        <w:rPr>
          <w:rFonts w:hint="default" w:ascii="Times New Roman" w:hAnsi="Times New Roman" w:eastAsia="宋体" w:cs="Times New Roman"/>
          <w:color w:val="auto"/>
          <w:spacing w:val="-3"/>
          <w:sz w:val="24"/>
          <w:szCs w:val="24"/>
        </w:rPr>
        <w:t>。</w:t>
      </w:r>
    </w:p>
    <w:p w14:paraId="5F705AA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rPr>
        <w:t>）采矿对地下水的影响分析</w:t>
      </w:r>
    </w:p>
    <w:p w14:paraId="22808B1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1）对地下水水资源量的影响分析</w:t>
      </w:r>
    </w:p>
    <w:p w14:paraId="5984892D">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本项目矿体开采后会疏干一定量的地下水。矿区地下水的补给来源主要是</w:t>
      </w:r>
      <w:r>
        <w:rPr>
          <w:rFonts w:hint="default" w:ascii="Times New Roman" w:hAnsi="Times New Roman" w:eastAsia="宋体" w:cs="Times New Roman"/>
          <w:color w:val="auto"/>
          <w:spacing w:val="0"/>
          <w:w w:val="100"/>
          <w:position w:val="0"/>
          <w:sz w:val="24"/>
          <w:szCs w:val="24"/>
          <w:lang w:val="en-US" w:eastAsia="zh-CN"/>
        </w:rPr>
        <w:t>大红山北铜矿体</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层</w:t>
      </w:r>
      <w:r>
        <w:rPr>
          <w:rFonts w:hint="default" w:ascii="Times New Roman" w:hAnsi="Times New Roman" w:cs="Times New Roman"/>
          <w:color w:val="auto"/>
          <w:spacing w:val="0"/>
          <w:w w:val="100"/>
          <w:position w:val="0"/>
          <w:sz w:val="24"/>
          <w:szCs w:val="24"/>
          <w:lang w:val="en-US" w:eastAsia="zh-CN"/>
        </w:rPr>
        <w:t>）</w:t>
      </w:r>
      <w:r>
        <w:rPr>
          <w:rFonts w:hint="default" w:ascii="Times New Roman" w:hAnsi="Times New Roman" w:eastAsia="宋体" w:cs="Times New Roman"/>
          <w:color w:val="auto"/>
          <w:spacing w:val="0"/>
          <w:w w:val="100"/>
          <w:position w:val="0"/>
          <w:sz w:val="24"/>
          <w:szCs w:val="24"/>
          <w:lang w:val="en-US" w:eastAsia="zh-CN"/>
        </w:rPr>
        <w:t>主要接受基岩裂隙潜水含水层的直接充水</w:t>
      </w:r>
      <w:r>
        <w:rPr>
          <w:rFonts w:hint="default" w:ascii="Times New Roman" w:hAnsi="Times New Roman" w:eastAsia="宋体" w:cs="Times New Roman"/>
          <w:color w:val="auto"/>
          <w:spacing w:val="0"/>
          <w:w w:val="100"/>
          <w:position w:val="0"/>
          <w:sz w:val="24"/>
          <w:szCs w:val="24"/>
        </w:rPr>
        <w:t>，矿区地下水的补给来源十分贫乏。据周边已开矿山资料，岩体大部分处于干燥状态，虽然部分埋藏于地下水位之下，但地下水为水量很小的断裂带脉状水，采掘初期，水量稍大，随着采矿工作的进行，水量越来越小，在开采中很容易排除和疏干。因此，由于当地地下水导水性及富水性差，地下水的补给量少，采矿工程疏干部分地下水会对当地的地下水资源量造成一定影响，应对疏干水进行充分的综合利用。</w:t>
      </w:r>
    </w:p>
    <w:p w14:paraId="546836EA">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）对周边敏感点的影响分析</w:t>
      </w:r>
    </w:p>
    <w:p w14:paraId="4A6AE6E3">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根据现状调查，矿区地下水极度贫乏，含水层富水性差，矿化度高，地下水无开发利用价值，且矿区周边无居民，无地下水开发利用情况。因此，矿山开采不会对周边敏感点造成影响。</w:t>
      </w:r>
    </w:p>
    <w:p w14:paraId="4D7787F2">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）对地表植被的影响</w:t>
      </w:r>
    </w:p>
    <w:p w14:paraId="0D58E19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区大部分为裸岩石砾地，表层为岩石或石砾，覆盖面积≥70%。仅有的少部分其他草地主要依靠土壤中的水分及少量降雨存活，地下水水位埋深较深，根系无法从地下水含水层中汲取水分，因此，矿体开采不会对地表植被生长造成明显不利影响。</w:t>
      </w:r>
    </w:p>
    <w:p w14:paraId="3E5A5AC2">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"5.4.5.2"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5.4.5.2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非正常工况地下水环境的影响预测与评价</w:t>
      </w:r>
    </w:p>
    <w:p w14:paraId="6A7929FE">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w:t>
      </w:r>
      <w:r>
        <w:rPr>
          <w:rFonts w:hint="default" w:ascii="Times New Roman" w:hAnsi="Times New Roman" w:eastAsia="宋体" w:cs="Times New Roman"/>
          <w:color w:val="auto"/>
          <w:spacing w:val="0"/>
          <w:w w:val="100"/>
          <w:position w:val="0"/>
          <w:sz w:val="24"/>
          <w:szCs w:val="24"/>
          <w:lang w:val="en-US" w:eastAsia="zh-CN"/>
        </w:rPr>
        <w:t>前文</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矿山井下涌水经由排水管排至地表400m</w:t>
      </w:r>
      <w:r>
        <w:rPr>
          <w:rFonts w:hint="default" w:ascii="Times New Roman" w:hAnsi="Times New Roman" w:eastAsia="宋体" w:cs="Times New Roman"/>
          <w:color w:val="auto"/>
          <w:spacing w:val="0"/>
          <w:w w:val="100"/>
          <w:position w:val="0"/>
          <w:sz w:val="24"/>
          <w:szCs w:val="24"/>
          <w:vertAlign w:val="superscript"/>
          <w:lang w:val="en-US" w:eastAsia="zh-CN"/>
        </w:rPr>
        <w:t>3</w:t>
      </w:r>
      <w:r>
        <w:rPr>
          <w:rFonts w:hint="default" w:ascii="Times New Roman" w:hAnsi="Times New Roman" w:eastAsia="宋体" w:cs="Times New Roman"/>
          <w:color w:val="auto"/>
          <w:spacing w:val="0"/>
          <w:w w:val="100"/>
          <w:position w:val="0"/>
          <w:sz w:val="24"/>
          <w:szCs w:val="24"/>
          <w:lang w:val="en-US" w:eastAsia="zh-CN"/>
        </w:rPr>
        <w:t>高位水池内，</w:t>
      </w:r>
      <w:r>
        <w:rPr>
          <w:rFonts w:hint="eastAsia" w:ascii="Times New Roman" w:hAnsi="Times New Roman" w:cs="Times New Roman"/>
          <w:color w:val="auto"/>
          <w:spacing w:val="0"/>
          <w:w w:val="100"/>
          <w:position w:val="0"/>
          <w:sz w:val="24"/>
          <w:szCs w:val="24"/>
          <w:lang w:val="en-US" w:eastAsia="zh-CN"/>
        </w:rPr>
        <w:t>作为</w:t>
      </w:r>
      <w:r>
        <w:rPr>
          <w:rFonts w:hint="default" w:ascii="Times New Roman" w:hAnsi="Times New Roman" w:eastAsia="宋体" w:cs="Times New Roman"/>
          <w:color w:val="auto"/>
          <w:spacing w:val="0"/>
          <w:w w:val="100"/>
          <w:position w:val="0"/>
          <w:sz w:val="24"/>
          <w:szCs w:val="24"/>
          <w:lang w:val="en-US" w:eastAsia="zh-CN"/>
        </w:rPr>
        <w:t>矿山生产及消防用水水源地。高位水池设置在入风管缆井井口附近工业场地内。高位水池供水干管采用无缝钢管，环状敷设。</w:t>
      </w:r>
      <w:r>
        <w:rPr>
          <w:rFonts w:hint="default" w:ascii="Times New Roman" w:hAnsi="Times New Roman" w:eastAsia="宋体" w:cs="Times New Roman"/>
          <w:color w:val="auto"/>
          <w:spacing w:val="0"/>
          <w:w w:val="100"/>
          <w:position w:val="0"/>
          <w:sz w:val="24"/>
          <w:szCs w:val="24"/>
        </w:rPr>
        <w:t>项目</w:t>
      </w:r>
      <w:r>
        <w:rPr>
          <w:rFonts w:hint="default" w:ascii="Times New Roman" w:hAnsi="Times New Roman" w:eastAsia="宋体" w:cs="Times New Roman"/>
          <w:color w:val="auto"/>
          <w:spacing w:val="0"/>
          <w:w w:val="100"/>
          <w:position w:val="0"/>
          <w:sz w:val="24"/>
          <w:szCs w:val="24"/>
          <w:lang w:val="en-US" w:eastAsia="zh-CN"/>
        </w:rPr>
        <w:t>生活污水</w:t>
      </w:r>
      <w:r>
        <w:rPr>
          <w:rFonts w:hint="default" w:ascii="Times New Roman" w:hAnsi="Times New Roman" w:eastAsia="宋体" w:cs="Times New Roman"/>
          <w:color w:val="auto"/>
          <w:spacing w:val="0"/>
          <w:w w:val="100"/>
          <w:position w:val="0"/>
          <w:sz w:val="24"/>
          <w:szCs w:val="24"/>
        </w:rPr>
        <w:t>经一体化设备处理后</w:t>
      </w:r>
      <w:r>
        <w:rPr>
          <w:rFonts w:hint="default" w:ascii="Times New Roman" w:hAnsi="Times New Roman" w:eastAsia="宋体" w:cs="Times New Roman"/>
          <w:b w:val="0"/>
          <w:bCs w:val="0"/>
          <w:color w:val="auto"/>
          <w:spacing w:val="0"/>
          <w:w w:val="100"/>
          <w:position w:val="0"/>
          <w:sz w:val="24"/>
          <w:szCs w:val="24"/>
          <w:lang w:val="en-US" w:eastAsia="zh-CN"/>
        </w:rPr>
        <w:t>满</w:t>
      </w:r>
      <w:r>
        <w:rPr>
          <w:rFonts w:hint="default" w:ascii="Times New Roman" w:hAnsi="Times New Roman" w:eastAsia="宋体" w:cs="Times New Roman"/>
          <w:color w:val="auto"/>
          <w:spacing w:val="0"/>
          <w:w w:val="100"/>
          <w:position w:val="0"/>
          <w:sz w:val="24"/>
          <w:szCs w:val="24"/>
        </w:rPr>
        <w:t>足《农村生活污水处理排放标准》（DB65 4275-2019）表2规定的A级排放限值以及《城市污水再生利用 城市杂用水水质》（GB/T18920-2020）中的城市绿化、道路清扫、消防、建筑施工限值后，用于生产，不外排。</w:t>
      </w:r>
    </w:p>
    <w:p w14:paraId="5D00A3C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w:t>
      </w:r>
      <w:r>
        <w:rPr>
          <w:rFonts w:hint="default" w:ascii="Times New Roman" w:hAnsi="Times New Roman" w:eastAsia="宋体" w:cs="Times New Roman"/>
          <w:b w:val="0"/>
          <w:bCs w:val="0"/>
          <w:color w:val="auto"/>
          <w:spacing w:val="0"/>
          <w:w w:val="100"/>
          <w:kern w:val="2"/>
          <w:position w:val="0"/>
          <w:sz w:val="24"/>
          <w:szCs w:val="28"/>
          <w:highlight w:val="none"/>
          <w:lang w:val="en-US" w:eastAsia="zh-CN" w:bidi="ar-SA"/>
        </w:rPr>
        <w:t>非正常工况</w:t>
      </w:r>
      <w:r>
        <w:rPr>
          <w:rFonts w:hint="default" w:ascii="Times New Roman" w:hAnsi="Times New Roman" w:eastAsia="宋体" w:cs="Times New Roman"/>
          <w:color w:val="auto"/>
          <w:spacing w:val="0"/>
          <w:w w:val="100"/>
          <w:position w:val="0"/>
          <w:sz w:val="24"/>
          <w:szCs w:val="24"/>
        </w:rPr>
        <w:t>地下水水质影响风险源为</w:t>
      </w:r>
      <w:r>
        <w:rPr>
          <w:rFonts w:hint="default" w:ascii="Times New Roman" w:hAnsi="Times New Roman"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在非正常状况下发生泄漏造成地下水污染，本次评价采用解析法对其影响进行预测分析。</w:t>
      </w:r>
    </w:p>
    <w:p w14:paraId="3FB8A06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（1）预测对象</w:t>
      </w:r>
    </w:p>
    <w:p w14:paraId="4FD811D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开发利用方案的设计文件，大部分生产设备均在架空的设备层上，设备底部施工有围岩或跑冒滴漏废水收集池，正常情况下不会发生生产设备破裂导致的泄漏情况，即使发生泄漏，也极易被发现并采取措施进行处理。而对于</w:t>
      </w:r>
      <w:r>
        <w:rPr>
          <w:rFonts w:hint="default" w:ascii="Times New Roman" w:hAnsi="Times New Roman" w:cs="Times New Roman"/>
          <w:color w:val="auto"/>
          <w:spacing w:val="0"/>
          <w:w w:val="100"/>
          <w:position w:val="0"/>
          <w:sz w:val="24"/>
          <w:szCs w:val="24"/>
          <w:lang w:val="en-US" w:eastAsia="zh-CN"/>
        </w:rPr>
        <w:t>污水处理站底部</w:t>
      </w:r>
      <w:r>
        <w:rPr>
          <w:rFonts w:hint="default" w:ascii="Times New Roman" w:hAnsi="Times New Roman" w:eastAsia="宋体" w:cs="Times New Roman"/>
          <w:color w:val="auto"/>
          <w:spacing w:val="0"/>
          <w:w w:val="100"/>
          <w:position w:val="0"/>
          <w:sz w:val="24"/>
          <w:szCs w:val="24"/>
        </w:rPr>
        <w:t>，若发生泄漏，较难以被发现，可能导致废水持续泄漏污染地下水，因此，</w:t>
      </w:r>
      <w:r>
        <w:rPr>
          <w:rFonts w:hint="default" w:ascii="Times New Roman" w:hAnsi="Times New Roman" w:eastAsia="宋体" w:cs="Times New Roman"/>
          <w:color w:val="auto"/>
          <w:spacing w:val="0"/>
          <w:w w:val="100"/>
          <w:position w:val="0"/>
          <w:sz w:val="24"/>
          <w:szCs w:val="24"/>
          <w:lang w:val="en-US" w:eastAsia="zh-CN"/>
        </w:rPr>
        <w:t>非正常工况</w:t>
      </w:r>
      <w:r>
        <w:rPr>
          <w:rFonts w:hint="default" w:ascii="Times New Roman" w:hAnsi="Times New Roman" w:eastAsia="宋体" w:cs="Times New Roman"/>
          <w:color w:val="auto"/>
          <w:spacing w:val="0"/>
          <w:w w:val="100"/>
          <w:position w:val="0"/>
          <w:sz w:val="24"/>
          <w:szCs w:val="24"/>
        </w:rPr>
        <w:t>地下水造成污染的风险源主要为</w:t>
      </w:r>
      <w:r>
        <w:rPr>
          <w:rFonts w:hint="default" w:ascii="Times New Roman" w:hAnsi="Times New Roman"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，作为本次评价预测对象。</w:t>
      </w:r>
    </w:p>
    <w:p w14:paraId="379845B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（2）水文地质条件概化</w:t>
      </w:r>
    </w:p>
    <w:p w14:paraId="1E03104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1）预测层位</w:t>
      </w:r>
    </w:p>
    <w:p w14:paraId="41BCE7A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根据《环境影响评价技术导则</w:t>
      </w:r>
      <w:r>
        <w:rPr>
          <w:rFonts w:hint="default" w:ascii="Times New Roman" w:hAnsi="Times New Roman" w:eastAsia="宋体" w:cs="Times New Roman"/>
          <w:color w:val="auto"/>
          <w:spacing w:val="0"/>
          <w:w w:val="100"/>
          <w:position w:val="0"/>
          <w:sz w:val="24"/>
          <w:szCs w:val="24"/>
          <w:lang w:val="en-US" w:eastAsia="zh-CN"/>
        </w:rPr>
        <w:t xml:space="preserve"> </w:t>
      </w:r>
      <w:r>
        <w:rPr>
          <w:rFonts w:hint="default" w:ascii="Times New Roman" w:hAnsi="Times New Roman" w:eastAsia="宋体" w:cs="Times New Roman"/>
          <w:color w:val="auto"/>
          <w:spacing w:val="0"/>
          <w:w w:val="100"/>
          <w:position w:val="0"/>
          <w:sz w:val="24"/>
          <w:szCs w:val="24"/>
        </w:rPr>
        <w:t>地下水环境》（HJ610-2016），“地下水环境影响预测层位应以潜水含水层或污染物直接进入的含水层为主，兼顾与其水力联系密切且具有饮用水开发利用价值的含水层”。因此本次预测选取潜水含水层作为预测层位。</w:t>
      </w:r>
    </w:p>
    <w:p w14:paraId="6A745C3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2）含水层结构</w:t>
      </w:r>
    </w:p>
    <w:p w14:paraId="7BF7210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据矿区出露地层及钻孔水文地质、工程地质编录资料</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将</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区内相关地层划分为两个含（隔）水层（段）</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第四系松散岩类透水不含水层</w:t>
      </w:r>
      <w:r>
        <w:rPr>
          <w:rFonts w:hint="default" w:ascii="Times New Roman" w:hAnsi="Times New Roman" w:eastAsia="宋体" w:cs="Times New Roman"/>
          <w:color w:val="auto"/>
          <w:spacing w:val="0"/>
          <w:w w:val="100"/>
          <w:position w:val="0"/>
          <w:sz w:val="24"/>
          <w:szCs w:val="24"/>
          <w:lang w:eastAsia="zh-CN"/>
        </w:rPr>
        <w:t>（QhpL）</w:t>
      </w:r>
      <w:r>
        <w:rPr>
          <w:rFonts w:hint="default" w:ascii="Times New Roman" w:hAnsi="Times New Roman" w:eastAsia="宋体" w:cs="Times New Roman"/>
          <w:color w:val="auto"/>
          <w:spacing w:val="0"/>
          <w:w w:val="100"/>
          <w:position w:val="0"/>
          <w:sz w:val="24"/>
          <w:szCs w:val="24"/>
          <w:lang w:val="en-US" w:eastAsia="zh-CN"/>
        </w:rPr>
        <w:t>及基岩裂隙潜水含水层（JxKw、δo、γ）</w:t>
      </w:r>
      <w:r>
        <w:rPr>
          <w:rFonts w:hint="default" w:ascii="Times New Roman" w:hAnsi="Times New Roman" w:eastAsia="宋体" w:cs="Times New Roman"/>
          <w:color w:val="auto"/>
          <w:spacing w:val="0"/>
          <w:w w:val="100"/>
          <w:position w:val="0"/>
          <w:sz w:val="24"/>
          <w:szCs w:val="24"/>
        </w:rPr>
        <w:t>。</w:t>
      </w:r>
    </w:p>
    <w:p w14:paraId="735E11D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3）地下水补给径流排泄条件</w:t>
      </w:r>
    </w:p>
    <w:p w14:paraId="1BDB419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大气降水通过地表风化裂隙直接补给地下水，亦可通过透水不含水层间接补给地下水，据新疆各地均衡场实测，新疆各地有效降雨量大于10mm时，才有可能对地下水产生有效补给，矿区所在水文地质单元中单次大于10mm的降水凤毛麟角，因而降水对地下水的补给量也是很微弱。</w:t>
      </w:r>
    </w:p>
    <w:p w14:paraId="4D98EEF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钻孔简易水文观测结果说明，泥浆消耗量在地层浅部消耗较大，常有漏水现象，而在地层深部，由于裂隙不发育，泥浆无明显消耗，可见地层在垂向上，越深径流条件越差，地下水补给微弱，通道不畅，运移迟缓，交替不频，致使地下水矿化度高。</w:t>
      </w:r>
    </w:p>
    <w:p w14:paraId="0F1EC19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4）地下水动态</w:t>
      </w:r>
    </w:p>
    <w:p w14:paraId="6DC6682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矿区地下水位变幅不大，与降雨等关系不太密切，地下水循环交替极差，基本处于停滞状态。</w:t>
      </w:r>
    </w:p>
    <w:p w14:paraId="6DFDA0EA">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因此，矿区内地下水可概化为潜水含水层的一维稳定流系统。</w:t>
      </w:r>
    </w:p>
    <w:p w14:paraId="0154FF1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（3）预测情景设置</w:t>
      </w:r>
    </w:p>
    <w:p w14:paraId="14A8B892">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本次评价设置正常状况及非正常状况预测，预测情景设置如下：</w:t>
      </w:r>
    </w:p>
    <w:p w14:paraId="0AB309D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正常状况：</w:t>
      </w:r>
      <w:r>
        <w:rPr>
          <w:rFonts w:hint="default" w:ascii="Times New Roman" w:hAnsi="Times New Roman"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防渗有效</w:t>
      </w:r>
    </w:p>
    <w:p w14:paraId="416966C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非正常状况：防渗失效，废水泄漏</w:t>
      </w:r>
    </w:p>
    <w:p w14:paraId="27645A1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（4）预测条件概化</w:t>
      </w:r>
    </w:p>
    <w:p w14:paraId="091213AE">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污染物在地下水系统中的迁移转化过程十分复杂，包括挥发、扩散、吸附、解吸、化学与生物降解等作用，在预测污染物扩散时不考虑吸附作用、化学反应等因素，重点考虑了地下水的对流、弥散作用。基于风险最大的原则，不考虑包气带的阻滞作用。</w:t>
      </w:r>
    </w:p>
    <w:p w14:paraId="60262C4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（5）污染源分析及预测因子</w:t>
      </w:r>
    </w:p>
    <w:p w14:paraId="3EACE64B">
      <w:pPr>
        <w:keepNext w:val="0"/>
        <w:keepLines w:val="0"/>
        <w:pageBreakBefore w:val="0"/>
        <w:widowControl w:val="0"/>
        <w:kinsoku/>
        <w:wordWrap/>
        <w:overflowPunct/>
        <w:topLinePunct w:val="0"/>
        <w:autoSpaceDE w:val="0"/>
        <w:autoSpaceDN w:val="0"/>
        <w:bidi w:val="0"/>
        <w:adjustRightInd w:val="0"/>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sz w:val="24"/>
          <w:highlight w:val="none"/>
          <w:lang w:val="en-US" w:eastAsia="zh-CN"/>
        </w:rPr>
      </w:pPr>
      <w:r>
        <w:rPr>
          <w:rFonts w:hint="default" w:ascii="Times New Roman" w:hAnsi="Times New Roman" w:eastAsia="宋体" w:cs="Times New Roman"/>
          <w:color w:val="auto"/>
          <w:sz w:val="24"/>
          <w:highlight w:val="none"/>
          <w:lang w:val="en-US" w:eastAsia="zh-CN"/>
        </w:rPr>
        <w:t>事故工况下，生活污水处理设施发生渗漏。</w:t>
      </w:r>
    </w:p>
    <w:p w14:paraId="78637C17">
      <w:pPr>
        <w:keepNext w:val="0"/>
        <w:keepLines w:val="0"/>
        <w:pageBreakBefore w:val="0"/>
        <w:widowControl w:val="0"/>
        <w:kinsoku/>
        <w:wordWrap/>
        <w:overflowPunct/>
        <w:topLinePunct w:val="0"/>
        <w:autoSpaceDE w:val="0"/>
        <w:autoSpaceDN w:val="0"/>
        <w:bidi w:val="0"/>
        <w:adjustRightInd w:val="0"/>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sz w:val="24"/>
          <w:highlight w:val="none"/>
          <w:lang w:val="en-US" w:eastAsia="zh-CN"/>
        </w:rPr>
      </w:pPr>
      <w:r>
        <w:rPr>
          <w:rFonts w:hint="default" w:ascii="Times New Roman" w:hAnsi="Times New Roman" w:cs="Times New Roman"/>
          <w:color w:val="auto"/>
          <w:spacing w:val="0"/>
          <w:sz w:val="24"/>
          <w:highlight w:val="none"/>
          <w:lang w:val="en-US" w:eastAsia="zh-CN"/>
        </w:rPr>
        <w:t>本项目生活污水排入新建地埋式一体化污水处理设施，生活污水产生量为15.68m</w:t>
      </w:r>
      <w:r>
        <w:rPr>
          <w:rFonts w:hint="default" w:ascii="Times New Roman" w:hAnsi="Times New Roman" w:cs="Times New Roman"/>
          <w:color w:val="auto"/>
          <w:spacing w:val="0"/>
          <w:sz w:val="24"/>
          <w:highlight w:val="none"/>
          <w:vertAlign w:val="superscript"/>
          <w:lang w:val="en-US" w:eastAsia="zh-CN"/>
        </w:rPr>
        <w:t>3</w:t>
      </w:r>
      <w:r>
        <w:rPr>
          <w:rFonts w:hint="default" w:ascii="Times New Roman" w:hAnsi="Times New Roman" w:cs="Times New Roman"/>
          <w:color w:val="auto"/>
          <w:spacing w:val="0"/>
          <w:sz w:val="24"/>
          <w:highlight w:val="none"/>
          <w:lang w:val="en-US" w:eastAsia="zh-CN"/>
        </w:rPr>
        <w:t>/d。本次预测假定由于腐蚀或地质作用导致生活污水处理设施破损，污水全部渗漏，影响预测因子是高锰酸钾指数（COD</w:t>
      </w:r>
      <w:r>
        <w:rPr>
          <w:rFonts w:hint="default" w:ascii="Times New Roman" w:hAnsi="Times New Roman" w:cs="Times New Roman"/>
          <w:color w:val="auto"/>
          <w:spacing w:val="0"/>
          <w:sz w:val="24"/>
          <w:highlight w:val="none"/>
          <w:vertAlign w:val="subscript"/>
          <w:lang w:val="en-US" w:eastAsia="zh-CN"/>
        </w:rPr>
        <w:t>Mn</w:t>
      </w:r>
      <w:r>
        <w:rPr>
          <w:rFonts w:hint="default" w:ascii="Times New Roman" w:hAnsi="Times New Roman" w:cs="Times New Roman"/>
          <w:color w:val="auto"/>
          <w:spacing w:val="0"/>
          <w:sz w:val="24"/>
          <w:highlight w:val="none"/>
          <w:lang w:val="en-US" w:eastAsia="zh-CN"/>
        </w:rPr>
        <w:t>）和氨氮，其进水水质和预测源强见表5.4-2，其中假定污水中COD</w:t>
      </w:r>
      <w:r>
        <w:rPr>
          <w:rFonts w:hint="default" w:ascii="Times New Roman" w:hAnsi="Times New Roman" w:cs="Times New Roman"/>
          <w:color w:val="auto"/>
          <w:spacing w:val="0"/>
          <w:sz w:val="24"/>
          <w:highlight w:val="none"/>
          <w:vertAlign w:val="subscript"/>
          <w:lang w:val="en-US" w:eastAsia="zh-CN"/>
        </w:rPr>
        <w:t>Cr</w:t>
      </w:r>
      <w:r>
        <w:rPr>
          <w:rFonts w:hint="default" w:ascii="Times New Roman" w:hAnsi="Times New Roman" w:cs="Times New Roman"/>
          <w:color w:val="auto"/>
          <w:spacing w:val="0"/>
          <w:sz w:val="24"/>
          <w:highlight w:val="none"/>
          <w:vertAlign w:val="baseline"/>
          <w:lang w:val="en-US" w:eastAsia="zh-CN"/>
        </w:rPr>
        <w:t>的浓度是</w:t>
      </w:r>
      <w:r>
        <w:rPr>
          <w:rFonts w:hint="default" w:ascii="Times New Roman" w:hAnsi="Times New Roman" w:cs="Times New Roman"/>
          <w:color w:val="auto"/>
          <w:spacing w:val="0"/>
          <w:sz w:val="24"/>
          <w:highlight w:val="none"/>
          <w:lang w:val="en-US" w:eastAsia="zh-CN"/>
        </w:rPr>
        <w:t>COD</w:t>
      </w:r>
      <w:r>
        <w:rPr>
          <w:rFonts w:hint="default" w:ascii="Times New Roman" w:hAnsi="Times New Roman" w:cs="Times New Roman"/>
          <w:color w:val="auto"/>
          <w:spacing w:val="0"/>
          <w:sz w:val="24"/>
          <w:highlight w:val="none"/>
          <w:vertAlign w:val="subscript"/>
          <w:lang w:val="en-US" w:eastAsia="zh-CN"/>
        </w:rPr>
        <w:t>Mn</w:t>
      </w:r>
      <w:r>
        <w:rPr>
          <w:rFonts w:hint="default" w:ascii="Times New Roman" w:hAnsi="Times New Roman" w:cs="Times New Roman"/>
          <w:color w:val="auto"/>
          <w:spacing w:val="0"/>
          <w:sz w:val="24"/>
          <w:highlight w:val="none"/>
          <w:vertAlign w:val="baseline"/>
          <w:lang w:val="en-US" w:eastAsia="zh-CN"/>
        </w:rPr>
        <w:t>浓度的2倍。</w:t>
      </w:r>
      <w:r>
        <w:rPr>
          <w:rFonts w:hint="default" w:ascii="Times New Roman" w:hAnsi="Times New Roman" w:cs="Times New Roman"/>
          <w:color w:val="auto"/>
          <w:spacing w:val="0"/>
          <w:sz w:val="24"/>
          <w:highlight w:val="none"/>
          <w:lang w:val="en-US" w:eastAsia="zh-CN"/>
        </w:rPr>
        <w:t>预测过程中不考虑污染物的吸附和降解作用。</w:t>
      </w:r>
    </w:p>
    <w:p w14:paraId="78BB99F7">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5.4-2    事故工况下污染物预测源强</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2773"/>
        <w:gridCol w:w="1955"/>
        <w:gridCol w:w="1916"/>
      </w:tblGrid>
      <w:tr w14:paraId="7797E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0" w:type="pct"/>
            <w:tcBorders>
              <w:tl2br w:val="nil"/>
              <w:tr2bl w:val="nil"/>
            </w:tcBorders>
            <w:shd w:val="clear" w:color="auto" w:fill="auto"/>
            <w:vAlign w:val="center"/>
          </w:tcPr>
          <w:p w14:paraId="027D2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情景设定</w:t>
            </w:r>
          </w:p>
        </w:tc>
        <w:tc>
          <w:tcPr>
            <w:tcW w:w="1627" w:type="pct"/>
            <w:tcBorders>
              <w:tl2br w:val="nil"/>
              <w:tr2bl w:val="nil"/>
            </w:tcBorders>
            <w:shd w:val="clear" w:color="auto" w:fill="auto"/>
            <w:vAlign w:val="center"/>
          </w:tcPr>
          <w:p w14:paraId="621639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渗漏位置</w:t>
            </w:r>
          </w:p>
        </w:tc>
        <w:tc>
          <w:tcPr>
            <w:tcW w:w="1147" w:type="pct"/>
            <w:tcBorders>
              <w:tl2br w:val="nil"/>
              <w:tr2bl w:val="nil"/>
            </w:tcBorders>
            <w:shd w:val="clear" w:color="auto" w:fill="auto"/>
            <w:vAlign w:val="center"/>
          </w:tcPr>
          <w:p w14:paraId="02411C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特征污染物</w:t>
            </w:r>
          </w:p>
        </w:tc>
        <w:tc>
          <w:tcPr>
            <w:tcW w:w="1124" w:type="pct"/>
            <w:tcBorders>
              <w:tl2br w:val="nil"/>
              <w:tr2bl w:val="nil"/>
            </w:tcBorders>
            <w:shd w:val="clear" w:color="auto" w:fill="auto"/>
            <w:vAlign w:val="center"/>
          </w:tcPr>
          <w:p w14:paraId="578811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浓度（mg/L）</w:t>
            </w:r>
          </w:p>
        </w:tc>
      </w:tr>
      <w:tr w14:paraId="5C00F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0" w:type="pct"/>
            <w:vMerge w:val="restart"/>
            <w:tcBorders>
              <w:tl2br w:val="nil"/>
              <w:tr2bl w:val="nil"/>
            </w:tcBorders>
            <w:shd w:val="clear" w:color="auto" w:fill="auto"/>
            <w:vAlign w:val="center"/>
          </w:tcPr>
          <w:p w14:paraId="760E2A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事故工况</w:t>
            </w:r>
          </w:p>
        </w:tc>
        <w:tc>
          <w:tcPr>
            <w:tcW w:w="1627" w:type="pct"/>
            <w:vMerge w:val="restart"/>
            <w:tcBorders>
              <w:tl2br w:val="nil"/>
              <w:tr2bl w:val="nil"/>
            </w:tcBorders>
            <w:shd w:val="clear" w:color="auto" w:fill="auto"/>
            <w:vAlign w:val="center"/>
          </w:tcPr>
          <w:p w14:paraId="5835D1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污水处理设施</w:t>
            </w:r>
          </w:p>
        </w:tc>
        <w:tc>
          <w:tcPr>
            <w:tcW w:w="1147" w:type="pct"/>
            <w:tcBorders>
              <w:tl2br w:val="nil"/>
              <w:tr2bl w:val="nil"/>
            </w:tcBorders>
            <w:shd w:val="clear" w:color="auto" w:fill="auto"/>
            <w:vAlign w:val="center"/>
          </w:tcPr>
          <w:p w14:paraId="5FA83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氨氮</w:t>
            </w:r>
          </w:p>
        </w:tc>
        <w:tc>
          <w:tcPr>
            <w:tcW w:w="1124" w:type="pct"/>
            <w:tcBorders>
              <w:tl2br w:val="nil"/>
              <w:tr2bl w:val="nil"/>
            </w:tcBorders>
            <w:shd w:val="clear" w:color="auto" w:fill="auto"/>
            <w:vAlign w:val="center"/>
          </w:tcPr>
          <w:p w14:paraId="3748E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25</w:t>
            </w:r>
          </w:p>
        </w:tc>
      </w:tr>
      <w:tr w14:paraId="28FAE6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00" w:type="pct"/>
            <w:vMerge w:val="continue"/>
            <w:tcBorders>
              <w:tl2br w:val="nil"/>
              <w:tr2bl w:val="nil"/>
            </w:tcBorders>
            <w:shd w:val="clear" w:color="auto" w:fill="auto"/>
            <w:vAlign w:val="center"/>
          </w:tcPr>
          <w:p w14:paraId="724166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p>
        </w:tc>
        <w:tc>
          <w:tcPr>
            <w:tcW w:w="1627" w:type="pct"/>
            <w:vMerge w:val="continue"/>
            <w:tcBorders>
              <w:tl2br w:val="nil"/>
              <w:tr2bl w:val="nil"/>
            </w:tcBorders>
            <w:shd w:val="clear" w:color="auto" w:fill="auto"/>
            <w:vAlign w:val="center"/>
          </w:tcPr>
          <w:p w14:paraId="249E09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c>
          <w:tcPr>
            <w:tcW w:w="1147" w:type="pct"/>
            <w:tcBorders>
              <w:tl2br w:val="nil"/>
              <w:tr2bl w:val="nil"/>
            </w:tcBorders>
            <w:shd w:val="clear" w:color="auto" w:fill="auto"/>
            <w:vAlign w:val="center"/>
          </w:tcPr>
          <w:p w14:paraId="09773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pacing w:val="0"/>
                <w:sz w:val="24"/>
                <w:highlight w:val="none"/>
                <w:lang w:val="en-US" w:eastAsia="zh-CN"/>
              </w:rPr>
              <w:t>COD</w:t>
            </w:r>
            <w:r>
              <w:rPr>
                <w:rFonts w:hint="default" w:ascii="Times New Roman" w:hAnsi="Times New Roman" w:eastAsia="宋体" w:cs="Times New Roman"/>
                <w:color w:val="auto"/>
                <w:spacing w:val="0"/>
                <w:sz w:val="24"/>
                <w:highlight w:val="none"/>
                <w:vertAlign w:val="subscript"/>
                <w:lang w:val="en-US" w:eastAsia="zh-CN"/>
              </w:rPr>
              <w:t>Mn</w:t>
            </w:r>
          </w:p>
        </w:tc>
        <w:tc>
          <w:tcPr>
            <w:tcW w:w="1124" w:type="pct"/>
            <w:tcBorders>
              <w:tl2br w:val="nil"/>
              <w:tr2bl w:val="nil"/>
            </w:tcBorders>
            <w:shd w:val="clear" w:color="auto" w:fill="auto"/>
            <w:vAlign w:val="center"/>
          </w:tcPr>
          <w:p w14:paraId="3BEB6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250</w:t>
            </w:r>
          </w:p>
        </w:tc>
      </w:tr>
    </w:tbl>
    <w:p w14:paraId="1AE22CEB">
      <w:pPr>
        <w:keepNext w:val="0"/>
        <w:keepLines w:val="0"/>
        <w:pageBreakBefore w:val="0"/>
        <w:widowControl w:val="0"/>
        <w:kinsoku/>
        <w:wordWrap/>
        <w:overflowPunct/>
        <w:topLinePunct w:val="0"/>
        <w:autoSpaceDE w:val="0"/>
        <w:autoSpaceDN w:val="0"/>
        <w:bidi w:val="0"/>
        <w:adjustRightInd w:val="0"/>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sz w:val="24"/>
          <w:highlight w:val="none"/>
          <w:lang w:val="en-US" w:eastAsia="zh-CN"/>
        </w:rPr>
      </w:pPr>
      <w:r>
        <w:rPr>
          <w:rFonts w:hint="default" w:ascii="Times New Roman" w:hAnsi="Times New Roman" w:eastAsia="宋体" w:cs="Times New Roman"/>
          <w:color w:val="auto"/>
          <w:spacing w:val="0"/>
          <w:sz w:val="24"/>
          <w:highlight w:val="none"/>
          <w:lang w:val="en-US" w:eastAsia="zh-CN"/>
        </w:rPr>
        <w:t>模拟预测指标的检出限和标准限值见表5.4-</w:t>
      </w:r>
      <w:r>
        <w:rPr>
          <w:rFonts w:hint="default" w:ascii="Times New Roman" w:hAnsi="Times New Roman" w:cs="Times New Roman"/>
          <w:color w:val="auto"/>
          <w:spacing w:val="0"/>
          <w:sz w:val="24"/>
          <w:highlight w:val="none"/>
          <w:lang w:val="en-US" w:eastAsia="zh-CN"/>
        </w:rPr>
        <w:t>3</w:t>
      </w:r>
      <w:r>
        <w:rPr>
          <w:rFonts w:hint="default" w:ascii="Times New Roman" w:hAnsi="Times New Roman" w:eastAsia="宋体" w:cs="Times New Roman"/>
          <w:color w:val="auto"/>
          <w:spacing w:val="0"/>
          <w:sz w:val="24"/>
          <w:highlight w:val="none"/>
          <w:lang w:val="en-US" w:eastAsia="zh-CN"/>
        </w:rPr>
        <w:t>。高锰酸钾指数（COD</w:t>
      </w:r>
      <w:r>
        <w:rPr>
          <w:rFonts w:hint="default" w:ascii="Times New Roman" w:hAnsi="Times New Roman" w:eastAsia="宋体" w:cs="Times New Roman"/>
          <w:color w:val="auto"/>
          <w:spacing w:val="0"/>
          <w:sz w:val="24"/>
          <w:highlight w:val="none"/>
          <w:vertAlign w:val="subscript"/>
          <w:lang w:val="en-US" w:eastAsia="zh-CN"/>
        </w:rPr>
        <w:t>Mn</w:t>
      </w:r>
      <w:r>
        <w:rPr>
          <w:rFonts w:hint="default" w:ascii="Times New Roman" w:hAnsi="Times New Roman" w:eastAsia="宋体" w:cs="Times New Roman"/>
          <w:color w:val="auto"/>
          <w:spacing w:val="0"/>
          <w:sz w:val="24"/>
          <w:highlight w:val="none"/>
          <w:lang w:val="en-US" w:eastAsia="zh-CN"/>
        </w:rPr>
        <w:t>）和氨氮标准限值参照《地下水质量标准》（GB/T14848-2017）Ⅲ类标准。当预测结果小于检出限时视为对地下水环境几乎没有影响，当预测结果超过标准限值时视为该因子超标。</w:t>
      </w:r>
    </w:p>
    <w:p w14:paraId="59DE31EC">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5.4-3</w:t>
      </w:r>
      <w:r>
        <w:rPr>
          <w:rFonts w:hint="default" w:ascii="Times New Roman" w:hAnsi="Times New Roman" w:eastAsia="宋体" w:cs="Times New Roman"/>
          <w:b/>
          <w:bCs/>
          <w:color w:val="auto"/>
          <w:spacing w:val="-2"/>
          <w:sz w:val="21"/>
          <w:szCs w:val="21"/>
        </w:rPr>
        <w:t xml:space="preserve">    </w:t>
      </w:r>
      <w:r>
        <w:rPr>
          <w:rFonts w:hint="default" w:ascii="Times New Roman" w:hAnsi="Times New Roman" w:eastAsia="宋体" w:cs="Times New Roman"/>
          <w:b/>
          <w:bCs/>
          <w:color w:val="auto"/>
          <w:spacing w:val="-2"/>
          <w:sz w:val="21"/>
          <w:szCs w:val="21"/>
          <w:lang w:val="en-US" w:eastAsia="zh-CN"/>
        </w:rPr>
        <w:t>采用污染物检出限及其水质标准限值</w:t>
      </w:r>
    </w:p>
    <w:tbl>
      <w:tblPr>
        <w:tblStyle w:val="21"/>
        <w:tblW w:w="85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88"/>
        <w:gridCol w:w="2880"/>
        <w:gridCol w:w="2951"/>
      </w:tblGrid>
      <w:tr w14:paraId="050A6A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8" w:type="dxa"/>
            <w:tcBorders>
              <w:tl2br w:val="nil"/>
              <w:tr2bl w:val="nil"/>
            </w:tcBorders>
            <w:shd w:val="clear" w:color="auto" w:fill="auto"/>
            <w:vAlign w:val="center"/>
          </w:tcPr>
          <w:p w14:paraId="5AC808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模拟预测因子</w:t>
            </w:r>
          </w:p>
        </w:tc>
        <w:tc>
          <w:tcPr>
            <w:tcW w:w="2880" w:type="dxa"/>
            <w:tcBorders>
              <w:tl2br w:val="nil"/>
              <w:tr2bl w:val="nil"/>
            </w:tcBorders>
            <w:shd w:val="clear" w:color="auto" w:fill="auto"/>
            <w:vAlign w:val="center"/>
          </w:tcPr>
          <w:p w14:paraId="009AC0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检出限（mg/L）</w:t>
            </w:r>
          </w:p>
        </w:tc>
        <w:tc>
          <w:tcPr>
            <w:tcW w:w="2951" w:type="dxa"/>
            <w:tcBorders>
              <w:tl2br w:val="nil"/>
              <w:tr2bl w:val="nil"/>
            </w:tcBorders>
            <w:shd w:val="clear" w:color="auto" w:fill="auto"/>
            <w:vAlign w:val="center"/>
          </w:tcPr>
          <w:p w14:paraId="67D2EA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标准限值（mg/L）</w:t>
            </w:r>
          </w:p>
        </w:tc>
      </w:tr>
      <w:tr w14:paraId="2D8C5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8" w:type="dxa"/>
            <w:tcBorders>
              <w:tl2br w:val="nil"/>
              <w:tr2bl w:val="nil"/>
            </w:tcBorders>
            <w:shd w:val="clear" w:color="auto" w:fill="auto"/>
            <w:vAlign w:val="center"/>
          </w:tcPr>
          <w:p w14:paraId="053091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氨氮</w:t>
            </w:r>
          </w:p>
        </w:tc>
        <w:tc>
          <w:tcPr>
            <w:tcW w:w="2880" w:type="dxa"/>
            <w:tcBorders>
              <w:tl2br w:val="nil"/>
              <w:tr2bl w:val="nil"/>
            </w:tcBorders>
            <w:shd w:val="clear" w:color="auto" w:fill="auto"/>
            <w:vAlign w:val="center"/>
          </w:tcPr>
          <w:p w14:paraId="2F7A8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0.025</w:t>
            </w:r>
          </w:p>
        </w:tc>
        <w:tc>
          <w:tcPr>
            <w:tcW w:w="2951" w:type="dxa"/>
            <w:tcBorders>
              <w:tl2br w:val="nil"/>
              <w:tr2bl w:val="nil"/>
            </w:tcBorders>
            <w:shd w:val="clear" w:color="auto" w:fill="auto"/>
            <w:vAlign w:val="center"/>
          </w:tcPr>
          <w:p w14:paraId="4C24EB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0.2</w:t>
            </w:r>
          </w:p>
        </w:tc>
      </w:tr>
      <w:tr w14:paraId="2ABBD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88" w:type="dxa"/>
            <w:tcBorders>
              <w:tl2br w:val="nil"/>
              <w:tr2bl w:val="nil"/>
            </w:tcBorders>
            <w:shd w:val="clear" w:color="auto" w:fill="auto"/>
            <w:vAlign w:val="center"/>
          </w:tcPr>
          <w:p w14:paraId="0E71D4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spacing w:val="0"/>
                <w:sz w:val="24"/>
                <w:highlight w:val="none"/>
                <w:lang w:val="en-US" w:eastAsia="zh-CN"/>
              </w:rPr>
              <w:t>COD</w:t>
            </w:r>
            <w:r>
              <w:rPr>
                <w:rFonts w:hint="default" w:ascii="Times New Roman" w:hAnsi="Times New Roman" w:eastAsia="宋体" w:cs="Times New Roman"/>
                <w:color w:val="auto"/>
                <w:spacing w:val="0"/>
                <w:sz w:val="24"/>
                <w:highlight w:val="none"/>
                <w:vertAlign w:val="subscript"/>
                <w:lang w:val="en-US" w:eastAsia="zh-CN"/>
              </w:rPr>
              <w:t>Mn</w:t>
            </w:r>
          </w:p>
        </w:tc>
        <w:tc>
          <w:tcPr>
            <w:tcW w:w="2880" w:type="dxa"/>
            <w:tcBorders>
              <w:tl2br w:val="nil"/>
              <w:tr2bl w:val="nil"/>
            </w:tcBorders>
            <w:shd w:val="clear" w:color="auto" w:fill="auto"/>
            <w:vAlign w:val="center"/>
          </w:tcPr>
          <w:p w14:paraId="5A3E7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0.5</w:t>
            </w:r>
          </w:p>
        </w:tc>
        <w:tc>
          <w:tcPr>
            <w:tcW w:w="2951" w:type="dxa"/>
            <w:tcBorders>
              <w:tl2br w:val="nil"/>
              <w:tr2bl w:val="nil"/>
            </w:tcBorders>
            <w:shd w:val="clear" w:color="auto" w:fill="auto"/>
            <w:vAlign w:val="center"/>
          </w:tcPr>
          <w:p w14:paraId="57C98A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3.0</w:t>
            </w:r>
          </w:p>
        </w:tc>
      </w:tr>
    </w:tbl>
    <w:p w14:paraId="67C9142E">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（6）地下水环境影响预测分析</w:t>
      </w:r>
    </w:p>
    <w:p w14:paraId="4D8143D2">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正常状况：</w:t>
      </w:r>
      <w:r>
        <w:rPr>
          <w:rFonts w:hint="default" w:ascii="Times New Roman" w:hAnsi="Times New Roman" w:cs="Times New Roman"/>
          <w:color w:val="auto"/>
          <w:spacing w:val="0"/>
          <w:sz w:val="24"/>
          <w:highlight w:val="none"/>
          <w:lang w:val="en-US" w:eastAsia="zh-CN"/>
        </w:rPr>
        <w:t>污水处理设施</w:t>
      </w:r>
      <w:r>
        <w:rPr>
          <w:rFonts w:hint="default" w:ascii="Times New Roman" w:hAnsi="Times New Roman" w:eastAsia="宋体" w:cs="Times New Roman"/>
          <w:color w:val="auto"/>
          <w:spacing w:val="0"/>
          <w:w w:val="100"/>
          <w:position w:val="0"/>
          <w:sz w:val="24"/>
          <w:szCs w:val="24"/>
        </w:rPr>
        <w:t>防渗有效</w:t>
      </w:r>
    </w:p>
    <w:p w14:paraId="50A588E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正常状况下，</w:t>
      </w:r>
      <w:r>
        <w:rPr>
          <w:rFonts w:hint="default" w:ascii="Times New Roman" w:hAnsi="Times New Roman" w:cs="Times New Roman"/>
          <w:color w:val="auto"/>
          <w:spacing w:val="0"/>
          <w:sz w:val="24"/>
          <w:highlight w:val="none"/>
          <w:lang w:val="en-US" w:eastAsia="zh-CN"/>
        </w:rPr>
        <w:t>污水处理设施</w:t>
      </w:r>
      <w:r>
        <w:rPr>
          <w:rFonts w:hint="default" w:ascii="Times New Roman" w:hAnsi="Times New Roman" w:eastAsia="宋体" w:cs="Times New Roman"/>
          <w:color w:val="auto"/>
          <w:spacing w:val="0"/>
          <w:w w:val="100"/>
          <w:position w:val="0"/>
          <w:sz w:val="24"/>
          <w:szCs w:val="24"/>
        </w:rPr>
        <w:t>防渗结构完好，不会对地下水环境造成明显不利影响。</w:t>
      </w:r>
    </w:p>
    <w:p w14:paraId="56D08E8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非正常状况：</w:t>
      </w:r>
      <w:r>
        <w:rPr>
          <w:rFonts w:hint="default" w:ascii="Times New Roman" w:hAnsi="Times New Roman" w:cs="Times New Roman"/>
          <w:color w:val="auto"/>
          <w:spacing w:val="0"/>
          <w:sz w:val="24"/>
          <w:highlight w:val="none"/>
          <w:lang w:val="en-US" w:eastAsia="zh-CN"/>
        </w:rPr>
        <w:t>污水处理设施</w:t>
      </w:r>
      <w:r>
        <w:rPr>
          <w:rFonts w:hint="default" w:ascii="Times New Roman" w:hAnsi="Times New Roman" w:eastAsia="宋体" w:cs="Times New Roman"/>
          <w:color w:val="auto"/>
          <w:spacing w:val="0"/>
          <w:w w:val="100"/>
          <w:position w:val="0"/>
          <w:sz w:val="24"/>
          <w:szCs w:val="24"/>
        </w:rPr>
        <w:t>池防渗失效，废水泄漏</w:t>
      </w:r>
    </w:p>
    <w:p w14:paraId="2BD9222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评价区含水层特征和污染特点，评价区地下水运动的水文地质概念模型可概化为一维稳定流动一维水动力弥散问题，由于回水池为接地水池，发生泄漏后不易被发现，解析法预测模型选择“一维半无限长多孔介质柱体，一端为定浓度边界”，计算公式如下：</w:t>
      </w:r>
    </w:p>
    <w:p w14:paraId="1FD7B3A0">
      <w:pPr>
        <w:spacing w:before="28" w:line="360" w:lineRule="auto"/>
        <w:ind w:left="0" w:leftChars="0" w:firstLine="0" w:firstLineChars="0"/>
        <w:jc w:val="center"/>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drawing>
          <wp:inline distT="0" distB="0" distL="0" distR="0">
            <wp:extent cx="2844165" cy="421640"/>
            <wp:effectExtent l="0" t="0" r="13335" b="16510"/>
            <wp:docPr id="770" name="IM 770"/>
            <wp:cNvGraphicFramePr/>
            <a:graphic xmlns:a="http://schemas.openxmlformats.org/drawingml/2006/main">
              <a:graphicData uri="http://schemas.openxmlformats.org/drawingml/2006/picture">
                <pic:pic xmlns:pic="http://schemas.openxmlformats.org/drawingml/2006/picture">
                  <pic:nvPicPr>
                    <pic:cNvPr id="770" name="IM 770"/>
                    <pic:cNvPicPr/>
                  </pic:nvPicPr>
                  <pic:blipFill>
                    <a:blip r:embed="rId73"/>
                    <a:stretch>
                      <a:fillRect/>
                    </a:stretch>
                  </pic:blipFill>
                  <pic:spPr>
                    <a:xfrm>
                      <a:off x="0" y="0"/>
                      <a:ext cx="2844394" cy="421690"/>
                    </a:xfrm>
                    <a:prstGeom prst="rect">
                      <a:avLst/>
                    </a:prstGeom>
                  </pic:spPr>
                </pic:pic>
              </a:graphicData>
            </a:graphic>
          </wp:inline>
        </w:drawing>
      </w:r>
    </w:p>
    <w:p w14:paraId="211F9D2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式中：</w:t>
      </w:r>
    </w:p>
    <w:p w14:paraId="2C37CBAD">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x—距注入点的距离，m；</w:t>
      </w:r>
    </w:p>
    <w:p w14:paraId="2CA8A4E0">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t—时间，d；</w:t>
      </w:r>
    </w:p>
    <w:p w14:paraId="222AAF74">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C</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x</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t</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—t时刻x处的示踪剂浓度，g/L；</w:t>
      </w:r>
    </w:p>
    <w:p w14:paraId="542F100A">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C</w:t>
      </w:r>
      <w:r>
        <w:rPr>
          <w:rFonts w:hint="default" w:ascii="Times New Roman" w:hAnsi="Times New Roman" w:eastAsia="宋体" w:cs="Times New Roman"/>
          <w:color w:val="auto"/>
          <w:spacing w:val="0"/>
          <w:w w:val="100"/>
          <w:position w:val="0"/>
          <w:sz w:val="24"/>
          <w:szCs w:val="24"/>
          <w:vertAlign w:val="subscript"/>
        </w:rPr>
        <w:t>0</w:t>
      </w:r>
      <w:r>
        <w:rPr>
          <w:rFonts w:hint="default" w:ascii="Times New Roman" w:hAnsi="Times New Roman" w:eastAsia="宋体" w:cs="Times New Roman"/>
          <w:color w:val="auto"/>
          <w:spacing w:val="0"/>
          <w:w w:val="100"/>
          <w:position w:val="0"/>
          <w:sz w:val="24"/>
          <w:szCs w:val="24"/>
        </w:rPr>
        <w:t>—注入示踪剂的浓度，g/L；</w:t>
      </w:r>
    </w:p>
    <w:p w14:paraId="5FE528FA">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u—水流速度，m/d；</w:t>
      </w:r>
    </w:p>
    <w:p w14:paraId="07F2978A">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DL—纵向弥散系数，m</w:t>
      </w:r>
      <w:r>
        <w:rPr>
          <w:rFonts w:hint="default" w:ascii="Times New Roman" w:hAnsi="Times New Roman" w:eastAsia="宋体" w:cs="Times New Roman"/>
          <w:color w:val="auto"/>
          <w:spacing w:val="0"/>
          <w:w w:val="100"/>
          <w:position w:val="0"/>
          <w:sz w:val="24"/>
          <w:szCs w:val="24"/>
          <w:vertAlign w:val="superscript"/>
        </w:rPr>
        <w:t>2</w:t>
      </w:r>
      <w:r>
        <w:rPr>
          <w:rFonts w:hint="default" w:ascii="Times New Roman" w:hAnsi="Times New Roman" w:eastAsia="宋体" w:cs="Times New Roman"/>
          <w:color w:val="auto"/>
          <w:spacing w:val="0"/>
          <w:w w:val="100"/>
          <w:position w:val="0"/>
          <w:sz w:val="24"/>
          <w:szCs w:val="24"/>
        </w:rPr>
        <w:t>/d；</w:t>
      </w:r>
    </w:p>
    <w:p w14:paraId="2B88896C">
      <w:pPr>
        <w:keepNext w:val="0"/>
        <w:keepLines w:val="0"/>
        <w:pageBreakBefore w:val="0"/>
        <w:widowControl w:val="0"/>
        <w:kinsoku/>
        <w:wordWrap/>
        <w:overflowPunct/>
        <w:topLinePunct w:val="0"/>
        <w:autoSpaceDE/>
        <w:autoSpaceDN/>
        <w:bidi w:val="0"/>
        <w:adjustRightInd/>
        <w:snapToGrid/>
        <w:spacing w:line="480" w:lineRule="exact"/>
        <w:ind w:left="0" w:firstLine="1200" w:firstLineChars="5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erfc</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—余误差函数。</w:t>
      </w:r>
    </w:p>
    <w:p w14:paraId="592F1DE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①C</w:t>
      </w:r>
      <w:r>
        <w:rPr>
          <w:rFonts w:hint="default" w:ascii="Times New Roman" w:hAnsi="Times New Roman" w:eastAsia="宋体" w:cs="Times New Roman"/>
          <w:color w:val="auto"/>
          <w:spacing w:val="0"/>
          <w:w w:val="100"/>
          <w:position w:val="0"/>
          <w:sz w:val="24"/>
          <w:szCs w:val="24"/>
          <w:vertAlign w:val="subscript"/>
        </w:rPr>
        <w:t>0</w:t>
      </w:r>
      <w:r>
        <w:rPr>
          <w:rFonts w:hint="default" w:ascii="Times New Roman" w:hAnsi="Times New Roman" w:eastAsia="宋体" w:cs="Times New Roman"/>
          <w:color w:val="auto"/>
          <w:spacing w:val="0"/>
          <w:w w:val="100"/>
          <w:position w:val="0"/>
          <w:sz w:val="24"/>
          <w:szCs w:val="24"/>
        </w:rPr>
        <w:t>：本次预测评价因子为</w:t>
      </w:r>
      <w:r>
        <w:rPr>
          <w:rFonts w:hint="default" w:ascii="Times New Roman" w:hAnsi="Times New Roman" w:eastAsia="宋体" w:cs="Times New Roman"/>
          <w:color w:val="auto"/>
          <w:spacing w:val="0"/>
          <w:sz w:val="24"/>
          <w:highlight w:val="none"/>
          <w:lang w:val="en-US" w:eastAsia="zh-CN"/>
        </w:rPr>
        <w:t>COD</w:t>
      </w:r>
      <w:r>
        <w:rPr>
          <w:rFonts w:hint="default" w:ascii="Times New Roman" w:hAnsi="Times New Roman" w:eastAsia="宋体" w:cs="Times New Roman"/>
          <w:color w:val="auto"/>
          <w:spacing w:val="0"/>
          <w:sz w:val="24"/>
          <w:highlight w:val="none"/>
          <w:vertAlign w:val="subscript"/>
          <w:lang w:val="en-US" w:eastAsia="zh-CN"/>
        </w:rPr>
        <w:t>Mn</w:t>
      </w:r>
      <w:r>
        <w:rPr>
          <w:rFonts w:hint="default" w:ascii="Times New Roman" w:hAnsi="Times New Roman" w:eastAsia="宋体" w:cs="Times New Roman"/>
          <w:color w:val="auto"/>
          <w:spacing w:val="0"/>
          <w:sz w:val="24"/>
          <w:highlight w:val="none"/>
          <w:vertAlign w:val="baseline"/>
          <w:lang w:val="en-US" w:eastAsia="zh-CN"/>
        </w:rPr>
        <w:t>和氨氮</w:t>
      </w:r>
      <w:r>
        <w:rPr>
          <w:rFonts w:hint="default" w:ascii="Times New Roman" w:hAnsi="Times New Roman" w:eastAsia="宋体" w:cs="Times New Roman"/>
          <w:color w:val="auto"/>
          <w:spacing w:val="0"/>
          <w:w w:val="100"/>
          <w:position w:val="0"/>
          <w:sz w:val="24"/>
          <w:szCs w:val="24"/>
        </w:rPr>
        <w:t>，初始浓度分别为</w:t>
      </w:r>
      <w:r>
        <w:rPr>
          <w:rFonts w:hint="default" w:ascii="Times New Roman" w:hAnsi="Times New Roman" w:eastAsia="宋体" w:cs="Times New Roman"/>
          <w:color w:val="auto"/>
          <w:spacing w:val="0"/>
          <w:w w:val="100"/>
          <w:position w:val="0"/>
          <w:sz w:val="24"/>
          <w:szCs w:val="24"/>
          <w:lang w:val="en-US" w:eastAsia="zh-CN"/>
        </w:rPr>
        <w:t>250</w:t>
      </w:r>
      <w:r>
        <w:rPr>
          <w:rFonts w:hint="default" w:ascii="Times New Roman" w:hAnsi="Times New Roman" w:eastAsia="宋体" w:cs="Times New Roman"/>
          <w:color w:val="auto"/>
          <w:spacing w:val="0"/>
          <w:w w:val="100"/>
          <w:position w:val="0"/>
          <w:sz w:val="24"/>
          <w:szCs w:val="24"/>
        </w:rPr>
        <w:t>mg/L、</w:t>
      </w:r>
      <w:r>
        <w:rPr>
          <w:rFonts w:hint="default" w:ascii="Times New Roman" w:hAnsi="Times New Roman" w:eastAsia="宋体" w:cs="Times New Roman"/>
          <w:color w:val="auto"/>
          <w:spacing w:val="0"/>
          <w:w w:val="100"/>
          <w:position w:val="0"/>
          <w:sz w:val="24"/>
          <w:szCs w:val="24"/>
          <w:lang w:val="en-US" w:eastAsia="zh-CN"/>
        </w:rPr>
        <w:t>25</w:t>
      </w:r>
      <w:r>
        <w:rPr>
          <w:rFonts w:hint="default" w:ascii="Times New Roman" w:hAnsi="Times New Roman" w:eastAsia="宋体" w:cs="Times New Roman"/>
          <w:color w:val="auto"/>
          <w:spacing w:val="0"/>
          <w:w w:val="100"/>
          <w:position w:val="0"/>
          <w:sz w:val="24"/>
          <w:szCs w:val="24"/>
        </w:rPr>
        <w:t>mg/L。</w:t>
      </w:r>
    </w:p>
    <w:p w14:paraId="18CA794A">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②泄漏时间：根据污染源的情景设定，服务年限内均持续泄漏。</w:t>
      </w:r>
    </w:p>
    <w:p w14:paraId="09117A7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③水流速度u：u=KI/ne，根据评价区水文地质条件及水位监测数据，渗透系数K为0.00</w:t>
      </w:r>
      <w:r>
        <w:rPr>
          <w:rFonts w:hint="default" w:ascii="Times New Roman" w:hAnsi="Times New Roman" w:cs="Times New Roman"/>
          <w:color w:val="auto"/>
          <w:spacing w:val="0"/>
          <w:w w:val="100"/>
          <w:position w:val="0"/>
          <w:sz w:val="24"/>
          <w:szCs w:val="24"/>
          <w:lang w:val="en-US" w:eastAsia="zh-CN"/>
        </w:rPr>
        <w:t>15</w:t>
      </w:r>
      <w:r>
        <w:rPr>
          <w:rFonts w:hint="default" w:ascii="Times New Roman" w:hAnsi="Times New Roman" w:eastAsia="宋体" w:cs="Times New Roman"/>
          <w:color w:val="auto"/>
          <w:spacing w:val="0"/>
          <w:w w:val="100"/>
          <w:position w:val="0"/>
          <w:sz w:val="24"/>
          <w:szCs w:val="24"/>
        </w:rPr>
        <w:t>m/d，I为水力坡度，评价范围内平均水力坡度为1%，含水层岩性主要为石炭系浅成~超浅成侵入岩，地下水主要赋存在风化裂隙中，随着深度的增加，裂隙逐渐减少，有效孔隙度ne取0.1，因此，水流速度u为0.000</w:t>
      </w: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5m/d。</w:t>
      </w:r>
    </w:p>
    <w:p w14:paraId="3FA74F6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④纵向弥散系数DL：根据水文地质条件概化，天然条件下地下水的弥散主要在地下水径流方向，垂直径流方向的弥散系数较小，横向弥散系数DT=0.1DL，纵向弥散系数DL采用公式DL=αL×Vm计算，其中αL为纵向弥散度，V为平均流速，m为经验系数，取值接近于1。</w:t>
      </w:r>
    </w:p>
    <w:p w14:paraId="343AC82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于弥散度有尺度效应，弥散度的确定相对比较困难。通常空隙介质中的弥散度随着溶质运移距离的增加而增大，这种现象称之为水动力弥散尺度效应。其具体表现为：野外弥散试验所求出的弥散度远远大于在实验室所测出的值，相差可达4～5个数量级；即使是同一含水层，溶质运移距离越大，所计算出的弥散度也越大。因此，即使是进行野外或室内弥散试验也难以获得准确的弥散度值。因此，本次评价参考前人的研究成果，见图5.4-</w:t>
      </w: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李国敏，陈崇希，空隙介质水动力弥散尺度效应的分形特征及弥散度初步估计），该论文通过尺度效应的分维来确定纵向弥散度与模型尺度的关系，绘制成经验曲线，可以用来对不同尺度模型下的纵向弥散度的初步估计。</w:t>
      </w:r>
    </w:p>
    <w:p w14:paraId="2196D44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综合以上分析，</w:t>
      </w:r>
      <w:r>
        <w:rPr>
          <w:rFonts w:hint="default" w:ascii="Times New Roman" w:hAnsi="Times New Roman" w:eastAsia="宋体" w:cs="Times New Roman"/>
          <w:color w:val="auto"/>
          <w:spacing w:val="0"/>
          <w:w w:val="100"/>
          <w:position w:val="0"/>
          <w:sz w:val="24"/>
          <w:szCs w:val="24"/>
          <w:lang w:val="en-US" w:eastAsia="zh-CN"/>
        </w:rPr>
        <w:t>根据经验取值，</w:t>
      </w:r>
      <w:r>
        <w:rPr>
          <w:rFonts w:hint="default" w:ascii="Times New Roman" w:hAnsi="Times New Roman" w:eastAsia="宋体" w:cs="Times New Roman"/>
          <w:color w:val="auto"/>
          <w:spacing w:val="0"/>
          <w:w w:val="100"/>
          <w:position w:val="0"/>
          <w:sz w:val="24"/>
          <w:szCs w:val="24"/>
        </w:rPr>
        <w:t>纵向弥散度αL约为30m，平均流速取0.000</w:t>
      </w:r>
      <w:r>
        <w:rPr>
          <w:rFonts w:hint="default" w:ascii="Times New Roman" w:hAnsi="Times New Roman" w:cs="Times New Roman"/>
          <w:color w:val="auto"/>
          <w:spacing w:val="0"/>
          <w:w w:val="100"/>
          <w:position w:val="0"/>
          <w:sz w:val="24"/>
          <w:szCs w:val="24"/>
          <w:lang w:val="en-US" w:eastAsia="zh-CN"/>
        </w:rPr>
        <w:t>15</w:t>
      </w:r>
      <w:r>
        <w:rPr>
          <w:rFonts w:hint="default" w:ascii="Times New Roman" w:hAnsi="Times New Roman" w:eastAsia="宋体" w:cs="Times New Roman"/>
          <w:color w:val="auto"/>
          <w:spacing w:val="0"/>
          <w:w w:val="100"/>
          <w:position w:val="0"/>
          <w:sz w:val="24"/>
          <w:szCs w:val="24"/>
        </w:rPr>
        <w:t>m/d，本次评价纵向弥散系数为0.00</w:t>
      </w:r>
      <w:r>
        <w:rPr>
          <w:rFonts w:hint="default" w:ascii="Times New Roman" w:hAnsi="Times New Roman" w:cs="Times New Roman"/>
          <w:color w:val="auto"/>
          <w:spacing w:val="0"/>
          <w:w w:val="100"/>
          <w:position w:val="0"/>
          <w:sz w:val="24"/>
          <w:szCs w:val="24"/>
          <w:lang w:val="en-US" w:eastAsia="zh-CN"/>
        </w:rPr>
        <w:t>45</w:t>
      </w:r>
      <w:r>
        <w:rPr>
          <w:rFonts w:hint="default" w:ascii="Times New Roman" w:hAnsi="Times New Roman" w:eastAsia="宋体" w:cs="Times New Roman"/>
          <w:color w:val="auto"/>
          <w:spacing w:val="0"/>
          <w:w w:val="100"/>
          <w:position w:val="0"/>
          <w:sz w:val="24"/>
          <w:szCs w:val="24"/>
        </w:rPr>
        <w:t>m</w:t>
      </w:r>
      <w:r>
        <w:rPr>
          <w:rFonts w:hint="default" w:ascii="Times New Roman" w:hAnsi="Times New Roman" w:eastAsia="宋体" w:cs="Times New Roman"/>
          <w:color w:val="auto"/>
          <w:spacing w:val="0"/>
          <w:w w:val="100"/>
          <w:position w:val="0"/>
          <w:sz w:val="24"/>
          <w:szCs w:val="24"/>
          <w:vertAlign w:val="superscript"/>
        </w:rPr>
        <w:t>2</w:t>
      </w:r>
      <w:r>
        <w:rPr>
          <w:rFonts w:hint="default" w:ascii="Times New Roman" w:hAnsi="Times New Roman" w:eastAsia="宋体" w:cs="Times New Roman"/>
          <w:color w:val="auto"/>
          <w:spacing w:val="0"/>
          <w:w w:val="100"/>
          <w:position w:val="0"/>
          <w:sz w:val="24"/>
          <w:szCs w:val="24"/>
        </w:rPr>
        <w:t>/d。</w:t>
      </w:r>
    </w:p>
    <w:p w14:paraId="0EE63438">
      <w:pPr>
        <w:spacing w:before="172" w:line="212" w:lineRule="auto"/>
        <w:ind w:left="0" w:leftChars="0" w:firstLine="0" w:firstLineChars="0"/>
        <w:jc w:val="center"/>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position w:val="0"/>
          <w:sz w:val="24"/>
          <w:szCs w:val="24"/>
        </w:rPr>
        <w:t>图5.4-</w:t>
      </w:r>
      <w:r>
        <w:rPr>
          <w:rFonts w:hint="default" w:ascii="Times New Roman" w:hAnsi="Times New Roman" w:cs="Times New Roman"/>
          <w:b/>
          <w:bCs/>
          <w:color w:val="auto"/>
          <w:spacing w:val="0"/>
          <w:w w:val="100"/>
          <w:position w:val="0"/>
          <w:sz w:val="24"/>
          <w:szCs w:val="24"/>
          <w:lang w:val="en-US" w:eastAsia="zh-CN"/>
        </w:rPr>
        <w:t>2</w:t>
      </w:r>
      <w:r>
        <w:rPr>
          <w:rFonts w:hint="default" w:ascii="Times New Roman" w:hAnsi="Times New Roman" w:eastAsia="宋体" w:cs="Times New Roman"/>
          <w:b/>
          <w:bCs/>
          <w:color w:val="auto"/>
          <w:spacing w:val="0"/>
          <w:w w:val="100"/>
          <w:position w:val="0"/>
          <w:sz w:val="24"/>
          <w:szCs w:val="24"/>
          <w:lang w:val="en-US" w:eastAsia="zh-CN"/>
        </w:rPr>
        <w:t xml:space="preserve">    </w:t>
      </w:r>
      <w:r>
        <w:rPr>
          <w:rFonts w:hint="default" w:ascii="Times New Roman" w:hAnsi="Times New Roman" w:eastAsia="宋体" w:cs="Times New Roman"/>
          <w:b/>
          <w:bCs/>
          <w:color w:val="auto"/>
          <w:spacing w:val="0"/>
          <w:w w:val="100"/>
          <w:position w:val="0"/>
          <w:sz w:val="24"/>
          <w:szCs w:val="24"/>
        </w:rPr>
        <w:t>空隙介质数值模型的lgα</w:t>
      </w:r>
      <w:r>
        <w:rPr>
          <w:rFonts w:hint="default" w:ascii="Times New Roman" w:hAnsi="Times New Roman" w:eastAsia="宋体" w:cs="Times New Roman"/>
          <w:b/>
          <w:bCs/>
          <w:color w:val="auto"/>
          <w:spacing w:val="0"/>
          <w:w w:val="100"/>
          <w:position w:val="0"/>
          <w:sz w:val="15"/>
          <w:szCs w:val="15"/>
        </w:rPr>
        <w:t>L</w:t>
      </w:r>
      <w:r>
        <w:rPr>
          <w:rFonts w:hint="default" w:ascii="Times New Roman" w:hAnsi="Times New Roman" w:eastAsia="宋体" w:cs="Times New Roman"/>
          <w:b/>
          <w:bCs/>
          <w:color w:val="auto"/>
          <w:spacing w:val="0"/>
          <w:w w:val="100"/>
          <w:position w:val="0"/>
          <w:sz w:val="24"/>
          <w:szCs w:val="24"/>
        </w:rPr>
        <w:t>-lgL</w:t>
      </w:r>
      <w:r>
        <w:rPr>
          <w:rFonts w:hint="default" w:ascii="Times New Roman" w:hAnsi="Times New Roman" w:eastAsia="宋体" w:cs="Times New Roman"/>
          <w:b/>
          <w:bCs/>
          <w:color w:val="auto"/>
          <w:spacing w:val="0"/>
          <w:w w:val="100"/>
          <w:position w:val="0"/>
          <w:sz w:val="15"/>
          <w:szCs w:val="15"/>
        </w:rPr>
        <w:t>s</w:t>
      </w:r>
      <w:r>
        <w:rPr>
          <w:rFonts w:hint="default" w:ascii="Times New Roman" w:hAnsi="Times New Roman" w:eastAsia="宋体" w:cs="Times New Roman"/>
          <w:b/>
          <w:bCs/>
          <w:color w:val="auto"/>
          <w:spacing w:val="0"/>
          <w:w w:val="100"/>
          <w:position w:val="0"/>
          <w:sz w:val="24"/>
          <w:szCs w:val="24"/>
        </w:rPr>
        <w:t>图</w:t>
      </w:r>
    </w:p>
    <w:p w14:paraId="38D87C4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预测结果如下：</w:t>
      </w:r>
    </w:p>
    <w:p w14:paraId="06EA3C50">
      <w:pPr>
        <w:keepNext w:val="0"/>
        <w:keepLines w:val="0"/>
        <w:pageBreakBefore w:val="0"/>
        <w:widowControl w:val="0"/>
        <w:numPr>
          <w:ilvl w:val="0"/>
          <w:numId w:val="0"/>
        </w:numPr>
        <w:kinsoku/>
        <w:wordWrap/>
        <w:overflowPunct/>
        <w:topLinePunct w:val="0"/>
        <w:autoSpaceDE w:val="0"/>
        <w:autoSpaceDN w:val="0"/>
        <w:bidi w:val="0"/>
        <w:adjustRightInd w:val="0"/>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b w:val="0"/>
          <w:bCs w:val="0"/>
          <w:color w:val="auto"/>
          <w:spacing w:val="0"/>
          <w:sz w:val="24"/>
          <w:highlight w:val="none"/>
          <w:lang w:val="en-US" w:eastAsia="zh-CN"/>
        </w:rPr>
      </w:pPr>
      <w:r>
        <w:rPr>
          <w:rFonts w:hint="default" w:ascii="Times New Roman" w:hAnsi="Times New Roman" w:eastAsia="宋体" w:cs="Times New Roman"/>
          <w:b w:val="0"/>
          <w:bCs w:val="0"/>
          <w:color w:val="auto"/>
          <w:spacing w:val="0"/>
          <w:sz w:val="24"/>
          <w:highlight w:val="none"/>
          <w:lang w:val="en-US" w:eastAsia="zh-CN"/>
        </w:rPr>
        <w:t>COD</w:t>
      </w:r>
      <w:r>
        <w:rPr>
          <w:rFonts w:hint="default" w:ascii="Times New Roman" w:hAnsi="Times New Roman" w:eastAsia="宋体" w:cs="Times New Roman"/>
          <w:b w:val="0"/>
          <w:bCs w:val="0"/>
          <w:color w:val="auto"/>
          <w:spacing w:val="0"/>
          <w:sz w:val="24"/>
          <w:highlight w:val="none"/>
          <w:vertAlign w:val="subscript"/>
          <w:lang w:val="en-US" w:eastAsia="zh-CN"/>
        </w:rPr>
        <w:t>Mn</w:t>
      </w:r>
      <w:r>
        <w:rPr>
          <w:rFonts w:hint="default" w:ascii="Times New Roman" w:hAnsi="Times New Roman" w:eastAsia="宋体" w:cs="Times New Roman"/>
          <w:b w:val="0"/>
          <w:bCs w:val="0"/>
          <w:color w:val="auto"/>
          <w:spacing w:val="0"/>
          <w:sz w:val="24"/>
          <w:szCs w:val="24"/>
        </w:rPr>
        <w:t>预测结果见表</w:t>
      </w:r>
      <w:r>
        <w:rPr>
          <w:rFonts w:hint="default" w:ascii="Times New Roman" w:hAnsi="Times New Roman" w:eastAsia="Times New Roman" w:cs="Times New Roman"/>
          <w:b w:val="0"/>
          <w:bCs w:val="0"/>
          <w:color w:val="auto"/>
          <w:spacing w:val="0"/>
          <w:sz w:val="24"/>
          <w:szCs w:val="24"/>
        </w:rPr>
        <w:t>5.4-</w:t>
      </w:r>
      <w:r>
        <w:rPr>
          <w:rFonts w:hint="default" w:ascii="Times New Roman" w:hAnsi="Times New Roman" w:cs="Times New Roman"/>
          <w:b w:val="0"/>
          <w:bCs w:val="0"/>
          <w:color w:val="auto"/>
          <w:spacing w:val="0"/>
          <w:sz w:val="24"/>
          <w:szCs w:val="24"/>
          <w:lang w:val="en-US" w:eastAsia="zh-CN"/>
        </w:rPr>
        <w:t>4</w:t>
      </w:r>
      <w:r>
        <w:rPr>
          <w:rFonts w:hint="default" w:ascii="Times New Roman" w:hAnsi="Times New Roman" w:eastAsia="宋体" w:cs="Times New Roman"/>
          <w:b w:val="0"/>
          <w:bCs w:val="0"/>
          <w:color w:val="auto"/>
          <w:spacing w:val="0"/>
          <w:sz w:val="24"/>
          <w:szCs w:val="24"/>
        </w:rPr>
        <w:t>及图</w:t>
      </w:r>
      <w:r>
        <w:rPr>
          <w:rFonts w:hint="default" w:ascii="Times New Roman" w:hAnsi="Times New Roman" w:eastAsia="Times New Roman" w:cs="Times New Roman"/>
          <w:b w:val="0"/>
          <w:bCs w:val="0"/>
          <w:color w:val="auto"/>
          <w:spacing w:val="0"/>
          <w:sz w:val="24"/>
          <w:szCs w:val="24"/>
        </w:rPr>
        <w:t>5.4-</w:t>
      </w:r>
      <w:r>
        <w:rPr>
          <w:rFonts w:hint="default" w:ascii="Times New Roman" w:hAnsi="Times New Roman" w:eastAsia="宋体" w:cs="Times New Roman"/>
          <w:b w:val="0"/>
          <w:bCs w:val="0"/>
          <w:color w:val="auto"/>
          <w:spacing w:val="0"/>
          <w:sz w:val="24"/>
          <w:szCs w:val="24"/>
          <w:lang w:val="en-US" w:eastAsia="zh-CN"/>
        </w:rPr>
        <w:t>2</w:t>
      </w:r>
      <w:r>
        <w:rPr>
          <w:rFonts w:hint="default" w:ascii="Times New Roman" w:hAnsi="Times New Roman" w:eastAsia="微软雅黑" w:cs="Times New Roman"/>
          <w:b w:val="0"/>
          <w:bCs w:val="0"/>
          <w:color w:val="auto"/>
          <w:spacing w:val="0"/>
          <w:sz w:val="24"/>
          <w:szCs w:val="24"/>
          <w:lang w:val="en-US" w:eastAsia="zh-CN"/>
        </w:rPr>
        <w:t>～</w:t>
      </w:r>
      <w:r>
        <w:rPr>
          <w:rFonts w:hint="default" w:ascii="Times New Roman" w:hAnsi="Times New Roman" w:eastAsia="宋体" w:cs="Times New Roman"/>
          <w:b w:val="0"/>
          <w:bCs w:val="0"/>
          <w:color w:val="auto"/>
          <w:spacing w:val="0"/>
          <w:sz w:val="24"/>
          <w:szCs w:val="24"/>
          <w:lang w:val="en-US" w:eastAsia="zh-CN"/>
        </w:rPr>
        <w:t>4</w:t>
      </w:r>
      <w:r>
        <w:rPr>
          <w:rFonts w:hint="default" w:ascii="Times New Roman" w:hAnsi="Times New Roman" w:eastAsia="宋体" w:cs="Times New Roman"/>
          <w:b w:val="0"/>
          <w:bCs w:val="0"/>
          <w:color w:val="auto"/>
          <w:spacing w:val="0"/>
          <w:sz w:val="24"/>
          <w:szCs w:val="24"/>
        </w:rPr>
        <w:t>，</w:t>
      </w:r>
      <w:r>
        <w:rPr>
          <w:rFonts w:hint="default" w:ascii="Times New Roman" w:hAnsi="Times New Roman" w:eastAsia="宋体" w:cs="Times New Roman"/>
          <w:b w:val="0"/>
          <w:bCs w:val="0"/>
          <w:color w:val="auto"/>
          <w:spacing w:val="0"/>
          <w:sz w:val="24"/>
          <w:highlight w:val="none"/>
          <w:vertAlign w:val="baseline"/>
          <w:lang w:val="en-US" w:eastAsia="zh-CN"/>
        </w:rPr>
        <w:t>氨氮</w:t>
      </w:r>
      <w:r>
        <w:rPr>
          <w:rFonts w:hint="default" w:ascii="Times New Roman" w:hAnsi="Times New Roman" w:eastAsia="宋体" w:cs="Times New Roman"/>
          <w:b w:val="0"/>
          <w:bCs w:val="0"/>
          <w:color w:val="auto"/>
          <w:spacing w:val="0"/>
          <w:sz w:val="24"/>
          <w:szCs w:val="24"/>
        </w:rPr>
        <w:t>预测结果见表</w:t>
      </w:r>
      <w:r>
        <w:rPr>
          <w:rFonts w:hint="default" w:ascii="Times New Roman" w:hAnsi="Times New Roman" w:eastAsia="Times New Roman" w:cs="Times New Roman"/>
          <w:b w:val="0"/>
          <w:bCs w:val="0"/>
          <w:color w:val="auto"/>
          <w:spacing w:val="0"/>
          <w:sz w:val="24"/>
          <w:szCs w:val="24"/>
        </w:rPr>
        <w:t>5.4-</w:t>
      </w:r>
      <w:r>
        <w:rPr>
          <w:rFonts w:hint="default" w:ascii="Times New Roman" w:hAnsi="Times New Roman" w:cs="Times New Roman"/>
          <w:b w:val="0"/>
          <w:bCs w:val="0"/>
          <w:color w:val="auto"/>
          <w:spacing w:val="0"/>
          <w:sz w:val="24"/>
          <w:szCs w:val="24"/>
          <w:lang w:val="en-US" w:eastAsia="zh-CN"/>
        </w:rPr>
        <w:t>5</w:t>
      </w:r>
      <w:r>
        <w:rPr>
          <w:rFonts w:hint="default" w:ascii="Times New Roman" w:hAnsi="Times New Roman" w:eastAsia="宋体" w:cs="Times New Roman"/>
          <w:b w:val="0"/>
          <w:bCs w:val="0"/>
          <w:color w:val="auto"/>
          <w:spacing w:val="0"/>
          <w:sz w:val="24"/>
          <w:szCs w:val="24"/>
        </w:rPr>
        <w:t>及图</w:t>
      </w:r>
      <w:r>
        <w:rPr>
          <w:rFonts w:hint="default" w:ascii="Times New Roman" w:hAnsi="Times New Roman" w:eastAsia="Times New Roman" w:cs="Times New Roman"/>
          <w:b w:val="0"/>
          <w:bCs w:val="0"/>
          <w:color w:val="auto"/>
          <w:spacing w:val="0"/>
          <w:sz w:val="24"/>
          <w:szCs w:val="24"/>
        </w:rPr>
        <w:t>5.4-</w:t>
      </w:r>
      <w:r>
        <w:rPr>
          <w:rFonts w:hint="default" w:ascii="Times New Roman" w:hAnsi="Times New Roman" w:eastAsia="宋体" w:cs="Times New Roman"/>
          <w:b w:val="0"/>
          <w:bCs w:val="0"/>
          <w:color w:val="auto"/>
          <w:spacing w:val="0"/>
          <w:sz w:val="24"/>
          <w:szCs w:val="24"/>
          <w:lang w:val="en-US" w:eastAsia="zh-CN"/>
        </w:rPr>
        <w:t>5</w:t>
      </w:r>
      <w:r>
        <w:rPr>
          <w:rFonts w:hint="default" w:ascii="Times New Roman" w:hAnsi="Times New Roman" w:eastAsia="微软雅黑" w:cs="Times New Roman"/>
          <w:b w:val="0"/>
          <w:bCs w:val="0"/>
          <w:color w:val="auto"/>
          <w:spacing w:val="0"/>
          <w:sz w:val="24"/>
          <w:szCs w:val="24"/>
          <w:lang w:val="en-US" w:eastAsia="zh-CN"/>
        </w:rPr>
        <w:t>～</w:t>
      </w:r>
      <w:r>
        <w:rPr>
          <w:rFonts w:hint="default" w:ascii="Times New Roman" w:hAnsi="Times New Roman" w:eastAsia="宋体" w:cs="Times New Roman"/>
          <w:b w:val="0"/>
          <w:bCs w:val="0"/>
          <w:color w:val="auto"/>
          <w:spacing w:val="0"/>
          <w:sz w:val="24"/>
          <w:szCs w:val="24"/>
          <w:lang w:val="en-US" w:eastAsia="zh-CN"/>
        </w:rPr>
        <w:t>7</w:t>
      </w:r>
      <w:r>
        <w:rPr>
          <w:rFonts w:hint="default" w:ascii="Times New Roman" w:hAnsi="Times New Roman" w:eastAsia="宋体" w:cs="Times New Roman"/>
          <w:b w:val="0"/>
          <w:bCs w:val="0"/>
          <w:color w:val="auto"/>
          <w:spacing w:val="0"/>
          <w:w w:val="100"/>
          <w:position w:val="0"/>
          <w:sz w:val="24"/>
          <w:szCs w:val="24"/>
        </w:rPr>
        <w:t>。</w:t>
      </w:r>
    </w:p>
    <w:p w14:paraId="135AB649">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表5.4-4    渗入地下CODMn浓度预测结果（mg/l）</w:t>
      </w:r>
    </w:p>
    <w:tbl>
      <w:tblPr>
        <w:tblStyle w:val="22"/>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52"/>
        <w:gridCol w:w="2778"/>
        <w:gridCol w:w="3390"/>
      </w:tblGrid>
      <w:tr w14:paraId="2404B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80" w:type="pct"/>
            <w:tcBorders>
              <w:tl2br w:val="nil"/>
              <w:tr2bl w:val="nil"/>
            </w:tcBorders>
            <w:noWrap w:val="0"/>
            <w:vAlign w:val="center"/>
          </w:tcPr>
          <w:p w14:paraId="113976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预测时段</w:t>
            </w:r>
          </w:p>
        </w:tc>
        <w:tc>
          <w:tcPr>
            <w:tcW w:w="1630" w:type="pct"/>
            <w:tcBorders>
              <w:tl2br w:val="nil"/>
              <w:tr2bl w:val="nil"/>
            </w:tcBorders>
            <w:noWrap w:val="0"/>
            <w:vAlign w:val="center"/>
          </w:tcPr>
          <w:p w14:paraId="0D2642C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超标距离（m）</w:t>
            </w:r>
          </w:p>
        </w:tc>
        <w:tc>
          <w:tcPr>
            <w:tcW w:w="1989" w:type="pct"/>
            <w:tcBorders>
              <w:tl2br w:val="nil"/>
              <w:tr2bl w:val="nil"/>
            </w:tcBorders>
            <w:noWrap w:val="0"/>
            <w:vAlign w:val="center"/>
          </w:tcPr>
          <w:p w14:paraId="303445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预测影响距离m）</w:t>
            </w:r>
          </w:p>
        </w:tc>
      </w:tr>
      <w:tr w14:paraId="2DAE98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380" w:type="pct"/>
            <w:tcBorders>
              <w:tl2br w:val="nil"/>
              <w:tr2bl w:val="nil"/>
            </w:tcBorders>
            <w:noWrap w:val="0"/>
            <w:vAlign w:val="center"/>
          </w:tcPr>
          <w:p w14:paraId="55F6FE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100天</w:t>
            </w:r>
          </w:p>
        </w:tc>
        <w:tc>
          <w:tcPr>
            <w:tcW w:w="1630" w:type="pct"/>
            <w:tcBorders>
              <w:tl2br w:val="nil"/>
              <w:tr2bl w:val="nil"/>
            </w:tcBorders>
            <w:noWrap w:val="0"/>
            <w:vAlign w:val="center"/>
          </w:tcPr>
          <w:p w14:paraId="608F7E2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w:t>
            </w:r>
          </w:p>
        </w:tc>
        <w:tc>
          <w:tcPr>
            <w:tcW w:w="1989" w:type="pct"/>
            <w:tcBorders>
              <w:tl2br w:val="nil"/>
              <w:tr2bl w:val="nil"/>
            </w:tcBorders>
            <w:noWrap w:val="0"/>
            <w:vAlign w:val="center"/>
          </w:tcPr>
          <w:p w14:paraId="687159B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w:t>
            </w:r>
          </w:p>
        </w:tc>
      </w:tr>
      <w:tr w14:paraId="3FB797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0" w:type="pct"/>
            <w:tcBorders>
              <w:tl2br w:val="nil"/>
              <w:tr2bl w:val="nil"/>
            </w:tcBorders>
            <w:noWrap w:val="0"/>
            <w:vAlign w:val="center"/>
          </w:tcPr>
          <w:p w14:paraId="6124EB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300天</w:t>
            </w:r>
          </w:p>
        </w:tc>
        <w:tc>
          <w:tcPr>
            <w:tcW w:w="1630" w:type="pct"/>
            <w:tcBorders>
              <w:tl2br w:val="nil"/>
              <w:tr2bl w:val="nil"/>
            </w:tcBorders>
            <w:noWrap w:val="0"/>
            <w:vAlign w:val="center"/>
          </w:tcPr>
          <w:p w14:paraId="6F47F1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w:t>
            </w:r>
          </w:p>
        </w:tc>
        <w:tc>
          <w:tcPr>
            <w:tcW w:w="1989" w:type="pct"/>
            <w:tcBorders>
              <w:tl2br w:val="nil"/>
              <w:tr2bl w:val="nil"/>
            </w:tcBorders>
            <w:noWrap w:val="0"/>
            <w:vAlign w:val="center"/>
          </w:tcPr>
          <w:p w14:paraId="7A592A3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w:t>
            </w:r>
          </w:p>
        </w:tc>
      </w:tr>
      <w:tr w14:paraId="08A8D6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80" w:type="pct"/>
            <w:tcBorders>
              <w:tl2br w:val="nil"/>
              <w:tr2bl w:val="nil"/>
            </w:tcBorders>
            <w:noWrap w:val="0"/>
            <w:vAlign w:val="center"/>
          </w:tcPr>
          <w:p w14:paraId="02E040F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1000天</w:t>
            </w:r>
          </w:p>
        </w:tc>
        <w:tc>
          <w:tcPr>
            <w:tcW w:w="1630" w:type="pct"/>
            <w:tcBorders>
              <w:tl2br w:val="nil"/>
              <w:tr2bl w:val="nil"/>
            </w:tcBorders>
            <w:noWrap w:val="0"/>
            <w:vAlign w:val="center"/>
          </w:tcPr>
          <w:p w14:paraId="51F946F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4</w:t>
            </w:r>
          </w:p>
        </w:tc>
        <w:tc>
          <w:tcPr>
            <w:tcW w:w="1989" w:type="pct"/>
            <w:tcBorders>
              <w:tl2br w:val="nil"/>
              <w:tr2bl w:val="nil"/>
            </w:tcBorders>
            <w:noWrap w:val="0"/>
            <w:vAlign w:val="center"/>
          </w:tcPr>
          <w:p w14:paraId="2411E85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7</w:t>
            </w:r>
          </w:p>
        </w:tc>
      </w:tr>
    </w:tbl>
    <w:p w14:paraId="52B41BE7">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表5.4-5    渗入地下氨氮浓度预测结果（mg/l）</w:t>
      </w:r>
    </w:p>
    <w:tbl>
      <w:tblPr>
        <w:tblStyle w:val="22"/>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52"/>
        <w:gridCol w:w="2778"/>
        <w:gridCol w:w="3390"/>
      </w:tblGrid>
      <w:tr w14:paraId="640AE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80" w:type="pct"/>
            <w:tcBorders>
              <w:tl2br w:val="nil"/>
              <w:tr2bl w:val="nil"/>
            </w:tcBorders>
            <w:noWrap w:val="0"/>
            <w:vAlign w:val="center"/>
          </w:tcPr>
          <w:p w14:paraId="1052F6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预测时段</w:t>
            </w:r>
          </w:p>
        </w:tc>
        <w:tc>
          <w:tcPr>
            <w:tcW w:w="1630" w:type="pct"/>
            <w:tcBorders>
              <w:tl2br w:val="nil"/>
              <w:tr2bl w:val="nil"/>
            </w:tcBorders>
            <w:noWrap w:val="0"/>
            <w:vAlign w:val="center"/>
          </w:tcPr>
          <w:p w14:paraId="16A7788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超标距离（m）</w:t>
            </w:r>
          </w:p>
        </w:tc>
        <w:tc>
          <w:tcPr>
            <w:tcW w:w="1989" w:type="pct"/>
            <w:tcBorders>
              <w:tl2br w:val="nil"/>
              <w:tr2bl w:val="nil"/>
            </w:tcBorders>
            <w:noWrap w:val="0"/>
            <w:vAlign w:val="center"/>
          </w:tcPr>
          <w:p w14:paraId="3765AF3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预测影响距离m）</w:t>
            </w:r>
          </w:p>
        </w:tc>
      </w:tr>
      <w:tr w14:paraId="59BE4A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0" w:type="pct"/>
            <w:tcBorders>
              <w:tl2br w:val="nil"/>
              <w:tr2bl w:val="nil"/>
            </w:tcBorders>
            <w:noWrap w:val="0"/>
            <w:vAlign w:val="center"/>
          </w:tcPr>
          <w:p w14:paraId="46DA3B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100天</w:t>
            </w:r>
          </w:p>
        </w:tc>
        <w:tc>
          <w:tcPr>
            <w:tcW w:w="1630" w:type="pct"/>
            <w:tcBorders>
              <w:tl2br w:val="nil"/>
              <w:tr2bl w:val="nil"/>
            </w:tcBorders>
            <w:noWrap w:val="0"/>
            <w:vAlign w:val="center"/>
          </w:tcPr>
          <w:p w14:paraId="25A385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w:t>
            </w:r>
          </w:p>
        </w:tc>
        <w:tc>
          <w:tcPr>
            <w:tcW w:w="1989" w:type="pct"/>
            <w:tcBorders>
              <w:tl2br w:val="nil"/>
              <w:tr2bl w:val="nil"/>
            </w:tcBorders>
            <w:noWrap w:val="0"/>
            <w:vAlign w:val="center"/>
          </w:tcPr>
          <w:p w14:paraId="51A926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w:t>
            </w:r>
          </w:p>
        </w:tc>
      </w:tr>
      <w:tr w14:paraId="44FEEF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0" w:type="pct"/>
            <w:tcBorders>
              <w:tl2br w:val="nil"/>
              <w:tr2bl w:val="nil"/>
            </w:tcBorders>
            <w:noWrap w:val="0"/>
            <w:vAlign w:val="center"/>
          </w:tcPr>
          <w:p w14:paraId="1110DE0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300天</w:t>
            </w:r>
          </w:p>
        </w:tc>
        <w:tc>
          <w:tcPr>
            <w:tcW w:w="1630" w:type="pct"/>
            <w:tcBorders>
              <w:tl2br w:val="nil"/>
              <w:tr2bl w:val="nil"/>
            </w:tcBorders>
            <w:noWrap w:val="0"/>
            <w:vAlign w:val="center"/>
          </w:tcPr>
          <w:p w14:paraId="6773A3C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w:t>
            </w:r>
          </w:p>
        </w:tc>
        <w:tc>
          <w:tcPr>
            <w:tcW w:w="1989" w:type="pct"/>
            <w:tcBorders>
              <w:tl2br w:val="nil"/>
              <w:tr2bl w:val="nil"/>
            </w:tcBorders>
            <w:noWrap w:val="0"/>
            <w:vAlign w:val="center"/>
          </w:tcPr>
          <w:p w14:paraId="67EC78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0</w:t>
            </w:r>
          </w:p>
        </w:tc>
      </w:tr>
      <w:tr w14:paraId="294841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80" w:type="pct"/>
            <w:tcBorders>
              <w:tl2br w:val="nil"/>
              <w:tr2bl w:val="nil"/>
            </w:tcBorders>
            <w:noWrap w:val="0"/>
            <w:vAlign w:val="center"/>
          </w:tcPr>
          <w:p w14:paraId="54E4559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1000天</w:t>
            </w:r>
          </w:p>
        </w:tc>
        <w:tc>
          <w:tcPr>
            <w:tcW w:w="1630" w:type="pct"/>
            <w:tcBorders>
              <w:tl2br w:val="nil"/>
              <w:tr2bl w:val="nil"/>
            </w:tcBorders>
            <w:noWrap w:val="0"/>
            <w:vAlign w:val="center"/>
          </w:tcPr>
          <w:p w14:paraId="3120697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w:t>
            </w:r>
          </w:p>
        </w:tc>
        <w:tc>
          <w:tcPr>
            <w:tcW w:w="1989" w:type="pct"/>
            <w:tcBorders>
              <w:tl2br w:val="nil"/>
              <w:tr2bl w:val="nil"/>
            </w:tcBorders>
            <w:noWrap w:val="0"/>
            <w:vAlign w:val="center"/>
          </w:tcPr>
          <w:p w14:paraId="27E1F75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0</w:t>
            </w:r>
          </w:p>
        </w:tc>
      </w:tr>
    </w:tbl>
    <w:p w14:paraId="5EF8F45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lang w:val="en-US" w:eastAsia="zh-CN"/>
        </w:rPr>
      </w:pPr>
    </w:p>
    <w:p w14:paraId="68F0492C">
      <w:pPr>
        <w:bidi w:val="0"/>
        <w:spacing w:line="240" w:lineRule="auto"/>
        <w:ind w:left="0" w:leftChars="0" w:firstLine="0" w:firstLineChars="0"/>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100天</w:t>
      </w:r>
      <w:r>
        <w:rPr>
          <w:rFonts w:hint="default" w:ascii="Times New Roman" w:hAnsi="Times New Roman" w:eastAsia="宋体" w:cs="Times New Roman"/>
          <w:b/>
          <w:bCs/>
          <w:color w:val="auto"/>
          <w:spacing w:val="-3"/>
          <w:sz w:val="24"/>
          <w:szCs w:val="24"/>
          <w:lang w:val="en-US" w:eastAsia="zh-CN"/>
        </w:rPr>
        <w:t>COD</w:t>
      </w:r>
      <w:r>
        <w:rPr>
          <w:rFonts w:hint="default" w:ascii="Times New Roman" w:hAnsi="Times New Roman" w:eastAsia="宋体" w:cs="Times New Roman"/>
          <w:b/>
          <w:bCs/>
          <w:color w:val="auto"/>
          <w:spacing w:val="-3"/>
          <w:sz w:val="24"/>
          <w:szCs w:val="24"/>
          <w:vertAlign w:val="subscript"/>
          <w:lang w:val="en-US" w:eastAsia="zh-CN"/>
        </w:rPr>
        <w:t>Mn</w:t>
      </w:r>
      <w:r>
        <w:rPr>
          <w:rFonts w:hint="default" w:ascii="Times New Roman" w:hAnsi="Times New Roman" w:eastAsia="宋体" w:cs="Times New Roman"/>
          <w:b/>
          <w:bCs/>
          <w:color w:val="auto"/>
          <w:spacing w:val="-3"/>
          <w:sz w:val="24"/>
          <w:szCs w:val="24"/>
        </w:rPr>
        <w:t>浓度变化曲线</w:t>
      </w:r>
    </w:p>
    <w:p w14:paraId="739BE02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color w:val="auto"/>
        </w:rPr>
      </w:pPr>
    </w:p>
    <w:p w14:paraId="6D7E6C7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300天</w:t>
      </w:r>
      <w:r>
        <w:rPr>
          <w:rFonts w:hint="default" w:ascii="Times New Roman" w:hAnsi="Times New Roman" w:eastAsia="宋体" w:cs="Times New Roman"/>
          <w:b/>
          <w:bCs/>
          <w:color w:val="auto"/>
          <w:spacing w:val="-3"/>
          <w:sz w:val="24"/>
          <w:szCs w:val="24"/>
          <w:lang w:val="en-US" w:eastAsia="zh-CN"/>
        </w:rPr>
        <w:t>COD</w:t>
      </w:r>
      <w:r>
        <w:rPr>
          <w:rFonts w:hint="default" w:ascii="Times New Roman" w:hAnsi="Times New Roman" w:eastAsia="宋体" w:cs="Times New Roman"/>
          <w:b/>
          <w:bCs/>
          <w:color w:val="auto"/>
          <w:spacing w:val="-3"/>
          <w:sz w:val="24"/>
          <w:szCs w:val="24"/>
          <w:vertAlign w:val="subscript"/>
          <w:lang w:val="en-US" w:eastAsia="zh-CN"/>
        </w:rPr>
        <w:t>Mn</w:t>
      </w:r>
      <w:r>
        <w:rPr>
          <w:rFonts w:hint="default" w:ascii="Times New Roman" w:hAnsi="Times New Roman" w:eastAsia="宋体" w:cs="Times New Roman"/>
          <w:b/>
          <w:bCs/>
          <w:color w:val="auto"/>
          <w:spacing w:val="-3"/>
          <w:sz w:val="24"/>
          <w:szCs w:val="24"/>
        </w:rPr>
        <w:t>浓度变化曲线</w:t>
      </w:r>
    </w:p>
    <w:p w14:paraId="483C0F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color w:val="auto"/>
        </w:rPr>
      </w:pPr>
    </w:p>
    <w:p w14:paraId="107A542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1000天</w:t>
      </w:r>
      <w:r>
        <w:rPr>
          <w:rFonts w:hint="default" w:ascii="Times New Roman" w:hAnsi="Times New Roman" w:eastAsia="宋体" w:cs="Times New Roman"/>
          <w:b/>
          <w:bCs/>
          <w:color w:val="auto"/>
          <w:spacing w:val="-3"/>
          <w:sz w:val="24"/>
          <w:szCs w:val="24"/>
          <w:lang w:val="en-US" w:eastAsia="zh-CN"/>
        </w:rPr>
        <w:t>COD</w:t>
      </w:r>
      <w:r>
        <w:rPr>
          <w:rFonts w:hint="default" w:ascii="Times New Roman" w:hAnsi="Times New Roman" w:eastAsia="宋体" w:cs="Times New Roman"/>
          <w:b/>
          <w:bCs/>
          <w:color w:val="auto"/>
          <w:spacing w:val="-3"/>
          <w:sz w:val="24"/>
          <w:szCs w:val="24"/>
          <w:vertAlign w:val="subscript"/>
          <w:lang w:val="en-US" w:eastAsia="zh-CN"/>
        </w:rPr>
        <w:t>Mn</w:t>
      </w:r>
      <w:r>
        <w:rPr>
          <w:rFonts w:hint="default" w:ascii="Times New Roman" w:hAnsi="Times New Roman" w:eastAsia="宋体" w:cs="Times New Roman"/>
          <w:b/>
          <w:bCs/>
          <w:color w:val="auto"/>
          <w:spacing w:val="-3"/>
          <w:sz w:val="24"/>
          <w:szCs w:val="24"/>
        </w:rPr>
        <w:t>浓度变化曲线</w:t>
      </w:r>
    </w:p>
    <w:p w14:paraId="4F6009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color w:val="auto"/>
          <w:sz w:val="24"/>
          <w:highlight w:val="none"/>
        </w:rPr>
      </w:pPr>
    </w:p>
    <w:p w14:paraId="5D213E1A">
      <w:pPr>
        <w:keepNext w:val="0"/>
        <w:keepLines w:val="0"/>
        <w:pageBreakBefore w:val="0"/>
        <w:widowControl w:val="0"/>
        <w:kinsoku/>
        <w:wordWrap/>
        <w:overflowPunct/>
        <w:topLinePunct w:val="0"/>
        <w:bidi w:val="0"/>
        <w:adjustRightInd/>
        <w:snapToGrid/>
        <w:spacing w:line="480" w:lineRule="exact"/>
        <w:ind w:left="0" w:leftChars="0" w:right="0" w:rightChars="0" w:firstLine="0" w:firstLineChars="0"/>
        <w:jc w:val="center"/>
        <w:textAlignment w:val="auto"/>
        <w:outlineLvl w:val="9"/>
        <w:rPr>
          <w:rFonts w:hint="default" w:ascii="Times New Roman" w:hAnsi="Times New Roman" w:cs="Times New Roman"/>
          <w:color w:val="auto"/>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100天</w:t>
      </w:r>
      <w:r>
        <w:rPr>
          <w:rFonts w:hint="default" w:ascii="Times New Roman" w:hAnsi="Times New Roman" w:eastAsia="宋体" w:cs="Times New Roman"/>
          <w:b/>
          <w:bCs/>
          <w:color w:val="auto"/>
          <w:spacing w:val="-3"/>
          <w:sz w:val="24"/>
          <w:szCs w:val="24"/>
          <w:lang w:val="en-US" w:eastAsia="zh-CN"/>
        </w:rPr>
        <w:t>氨氮</w:t>
      </w:r>
      <w:r>
        <w:rPr>
          <w:rFonts w:hint="default" w:ascii="Times New Roman" w:hAnsi="Times New Roman" w:eastAsia="宋体" w:cs="Times New Roman"/>
          <w:b/>
          <w:bCs/>
          <w:color w:val="auto"/>
          <w:spacing w:val="-3"/>
          <w:sz w:val="24"/>
          <w:szCs w:val="24"/>
        </w:rPr>
        <w:t>浓度变化曲线</w:t>
      </w:r>
    </w:p>
    <w:p w14:paraId="7A19A798">
      <w:pPr>
        <w:keepNext w:val="0"/>
        <w:keepLines w:val="0"/>
        <w:pageBreakBefore w:val="0"/>
        <w:widowControl w:val="0"/>
        <w:kinsoku/>
        <w:wordWrap/>
        <w:overflowPunct/>
        <w:topLinePunct w:val="0"/>
        <w:bidi w:val="0"/>
        <w:adjustRightInd/>
        <w:snapToGrid/>
        <w:spacing w:line="360" w:lineRule="auto"/>
        <w:ind w:left="0" w:leftChars="0" w:right="0" w:rightChars="0" w:firstLine="0" w:firstLineChars="0"/>
        <w:jc w:val="center"/>
        <w:textAlignment w:val="auto"/>
        <w:outlineLvl w:val="9"/>
        <w:rPr>
          <w:rFonts w:hint="default" w:ascii="Times New Roman" w:hAnsi="Times New Roman" w:cs="Times New Roman"/>
          <w:color w:val="auto"/>
        </w:rPr>
      </w:pPr>
    </w:p>
    <w:p w14:paraId="2E6A8FC5">
      <w:pPr>
        <w:keepNext w:val="0"/>
        <w:keepLines w:val="0"/>
        <w:pageBreakBefore w:val="0"/>
        <w:widowControl w:val="0"/>
        <w:kinsoku/>
        <w:wordWrap/>
        <w:overflowPunct/>
        <w:topLinePunct w:val="0"/>
        <w:bidi w:val="0"/>
        <w:adjustRightInd/>
        <w:snapToGrid/>
        <w:spacing w:line="36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6</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300天</w:t>
      </w:r>
      <w:r>
        <w:rPr>
          <w:rFonts w:hint="default" w:ascii="Times New Roman" w:hAnsi="Times New Roman" w:eastAsia="宋体" w:cs="Times New Roman"/>
          <w:b/>
          <w:bCs/>
          <w:color w:val="auto"/>
          <w:spacing w:val="-3"/>
          <w:sz w:val="24"/>
          <w:szCs w:val="24"/>
          <w:lang w:val="en-US" w:eastAsia="zh-CN"/>
        </w:rPr>
        <w:t>氨氮</w:t>
      </w:r>
      <w:r>
        <w:rPr>
          <w:rFonts w:hint="default" w:ascii="Times New Roman" w:hAnsi="Times New Roman" w:eastAsia="宋体" w:cs="Times New Roman"/>
          <w:b/>
          <w:bCs/>
          <w:color w:val="auto"/>
          <w:spacing w:val="-3"/>
          <w:sz w:val="24"/>
          <w:szCs w:val="24"/>
        </w:rPr>
        <w:t>浓度变化曲线</w:t>
      </w:r>
    </w:p>
    <w:p w14:paraId="5119CFEA">
      <w:pPr>
        <w:keepNext w:val="0"/>
        <w:keepLines w:val="0"/>
        <w:pageBreakBefore w:val="0"/>
        <w:widowControl w:val="0"/>
        <w:kinsoku/>
        <w:wordWrap/>
        <w:overflowPunct/>
        <w:topLinePunct w:val="0"/>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szCs w:val="24"/>
          <w:lang w:val="en-US" w:eastAsia="zh-CN"/>
        </w:rPr>
        <w:t>图5.4-</w:t>
      </w:r>
      <w:r>
        <w:rPr>
          <w:rFonts w:hint="default" w:ascii="Times New Roman" w:hAnsi="Times New Roman" w:cs="Times New Roman"/>
          <w:b/>
          <w:bCs/>
          <w:color w:val="auto"/>
          <w:sz w:val="24"/>
          <w:szCs w:val="24"/>
          <w:lang w:val="en-US" w:eastAsia="zh-CN"/>
        </w:rPr>
        <w:t>7</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pacing w:val="-3"/>
          <w:sz w:val="24"/>
          <w:szCs w:val="24"/>
        </w:rPr>
        <w:t>泄漏点下游</w:t>
      </w:r>
      <w:r>
        <w:rPr>
          <w:rFonts w:hint="default" w:ascii="Times New Roman" w:hAnsi="Times New Roman" w:cs="Times New Roman"/>
          <w:b/>
          <w:bCs/>
          <w:color w:val="auto"/>
          <w:spacing w:val="-3"/>
          <w:sz w:val="24"/>
          <w:szCs w:val="24"/>
          <w:lang w:val="en-US" w:eastAsia="zh-CN"/>
        </w:rPr>
        <w:t>1000天</w:t>
      </w:r>
      <w:r>
        <w:rPr>
          <w:rFonts w:hint="default" w:ascii="Times New Roman" w:hAnsi="Times New Roman" w:eastAsia="宋体" w:cs="Times New Roman"/>
          <w:b/>
          <w:bCs/>
          <w:color w:val="auto"/>
          <w:spacing w:val="-3"/>
          <w:sz w:val="24"/>
          <w:szCs w:val="24"/>
          <w:lang w:val="en-US" w:eastAsia="zh-CN"/>
        </w:rPr>
        <w:t>氨氮</w:t>
      </w:r>
      <w:r>
        <w:rPr>
          <w:rFonts w:hint="default" w:ascii="Times New Roman" w:hAnsi="Times New Roman" w:eastAsia="宋体" w:cs="Times New Roman"/>
          <w:b/>
          <w:bCs/>
          <w:color w:val="auto"/>
          <w:spacing w:val="-3"/>
          <w:sz w:val="24"/>
          <w:szCs w:val="24"/>
        </w:rPr>
        <w:t>浓度变化曲线</w:t>
      </w:r>
    </w:p>
    <w:p w14:paraId="1596F286">
      <w:pPr>
        <w:keepNext w:val="0"/>
        <w:keepLines w:val="0"/>
        <w:pageBreakBefore w:val="0"/>
        <w:widowControl w:val="0"/>
        <w:kinsoku/>
        <w:wordWrap/>
        <w:overflowPunct/>
        <w:topLinePunct w:val="0"/>
        <w:bidi w:val="0"/>
        <w:adjustRightInd/>
        <w:snapToGrid/>
        <w:spacing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从</w:t>
      </w:r>
      <w:r>
        <w:rPr>
          <w:rFonts w:hint="default" w:ascii="Times New Roman" w:hAnsi="Times New Roman" w:eastAsia="宋体" w:cs="Times New Roman"/>
          <w:color w:val="auto"/>
          <w:sz w:val="24"/>
          <w:highlight w:val="none"/>
          <w:lang w:eastAsia="zh-CN"/>
        </w:rPr>
        <w:t>表</w:t>
      </w:r>
      <w:r>
        <w:rPr>
          <w:rFonts w:hint="default" w:ascii="Times New Roman" w:hAnsi="Times New Roman" w:eastAsia="宋体" w:cs="Times New Roman"/>
          <w:color w:val="auto"/>
          <w:sz w:val="24"/>
          <w:highlight w:val="none"/>
          <w:lang w:val="en-US" w:eastAsia="zh-CN"/>
        </w:rPr>
        <w:t>5.4-</w:t>
      </w:r>
      <w:r>
        <w:rPr>
          <w:rFonts w:hint="default" w:ascii="Times New Roman" w:hAnsi="Times New Roman" w:cs="Times New Roman"/>
          <w:color w:val="auto"/>
          <w:sz w:val="24"/>
          <w:highlight w:val="none"/>
          <w:lang w:val="en-US" w:eastAsia="zh-CN"/>
        </w:rPr>
        <w:t>4</w:t>
      </w:r>
      <w:r>
        <w:rPr>
          <w:rFonts w:hint="default" w:ascii="Times New Roman" w:hAnsi="Times New Roman" w:eastAsia="宋体" w:cs="Times New Roman"/>
          <w:color w:val="auto"/>
          <w:sz w:val="24"/>
          <w:highlight w:val="none"/>
        </w:rPr>
        <w:t>预测结果可以看出，</w:t>
      </w:r>
      <w:r>
        <w:rPr>
          <w:rFonts w:hint="default" w:ascii="Times New Roman" w:hAnsi="Times New Roman" w:eastAsia="宋体" w:cs="Times New Roman"/>
          <w:color w:val="auto"/>
          <w:kern w:val="2"/>
          <w:sz w:val="24"/>
          <w:szCs w:val="24"/>
          <w:lang w:val="en-US" w:eastAsia="zh-CN" w:bidi="ar"/>
        </w:rPr>
        <w:t>地下水COD</w:t>
      </w:r>
      <w:r>
        <w:rPr>
          <w:rFonts w:hint="default" w:ascii="Times New Roman" w:hAnsi="Times New Roman" w:eastAsia="宋体" w:cs="Times New Roman"/>
          <w:color w:val="auto"/>
          <w:kern w:val="2"/>
          <w:sz w:val="24"/>
          <w:szCs w:val="24"/>
          <w:vertAlign w:val="subscript"/>
          <w:lang w:val="en-US" w:eastAsia="zh-CN" w:bidi="ar"/>
        </w:rPr>
        <w:t>Mn</w:t>
      </w:r>
      <w:r>
        <w:rPr>
          <w:rFonts w:hint="default" w:ascii="Times New Roman" w:hAnsi="Times New Roman" w:eastAsia="宋体" w:cs="Times New Roman"/>
          <w:color w:val="auto"/>
          <w:kern w:val="2"/>
          <w:sz w:val="24"/>
          <w:szCs w:val="24"/>
          <w:lang w:val="en-US" w:eastAsia="zh-CN" w:bidi="ar"/>
        </w:rPr>
        <w:t>的预测结果在100d时，超标距离为</w:t>
      </w:r>
      <w:r>
        <w:rPr>
          <w:rFonts w:hint="default" w:ascii="Times New Roman" w:hAnsi="Times New Roman" w:cs="Times New Roman"/>
          <w:color w:val="auto"/>
          <w:kern w:val="2"/>
          <w:sz w:val="24"/>
          <w:szCs w:val="24"/>
          <w:lang w:val="en-US" w:eastAsia="zh-CN" w:bidi="ar"/>
        </w:rPr>
        <w:t>2</w:t>
      </w:r>
      <w:r>
        <w:rPr>
          <w:rFonts w:hint="default" w:ascii="Times New Roman" w:hAnsi="Times New Roman" w:eastAsia="宋体" w:cs="Times New Roman"/>
          <w:color w:val="auto"/>
          <w:kern w:val="2"/>
          <w:sz w:val="24"/>
          <w:szCs w:val="24"/>
          <w:lang w:val="en-US" w:eastAsia="zh-CN" w:bidi="ar"/>
        </w:rPr>
        <w:t>m，影响距离为</w:t>
      </w:r>
      <w:r>
        <w:rPr>
          <w:rFonts w:hint="default" w:ascii="Times New Roman" w:hAnsi="Times New Roman" w:cs="Times New Roman"/>
          <w:color w:val="auto"/>
          <w:kern w:val="2"/>
          <w:sz w:val="24"/>
          <w:szCs w:val="24"/>
          <w:lang w:val="en-US" w:eastAsia="zh-CN" w:bidi="ar"/>
        </w:rPr>
        <w:t>2</w:t>
      </w:r>
      <w:r>
        <w:rPr>
          <w:rFonts w:hint="default" w:ascii="Times New Roman" w:hAnsi="Times New Roman" w:eastAsia="宋体" w:cs="Times New Roman"/>
          <w:color w:val="auto"/>
          <w:kern w:val="2"/>
          <w:sz w:val="24"/>
          <w:szCs w:val="24"/>
          <w:lang w:val="en-US" w:eastAsia="zh-CN" w:bidi="ar"/>
        </w:rPr>
        <w:t>m。在300d时，超标距离为</w:t>
      </w:r>
      <w:r>
        <w:rPr>
          <w:rFonts w:hint="default" w:ascii="Times New Roman" w:hAnsi="Times New Roman" w:cs="Times New Roman"/>
          <w:color w:val="auto"/>
          <w:kern w:val="2"/>
          <w:sz w:val="24"/>
          <w:szCs w:val="24"/>
          <w:lang w:val="en-US" w:eastAsia="zh-CN" w:bidi="ar"/>
        </w:rPr>
        <w:t>3</w:t>
      </w:r>
      <w:r>
        <w:rPr>
          <w:rFonts w:hint="default" w:ascii="Times New Roman" w:hAnsi="Times New Roman" w:eastAsia="宋体" w:cs="Times New Roman"/>
          <w:color w:val="auto"/>
          <w:kern w:val="2"/>
          <w:sz w:val="24"/>
          <w:szCs w:val="24"/>
          <w:lang w:val="en-US" w:eastAsia="zh-CN" w:bidi="ar"/>
        </w:rPr>
        <w:t>m，影响距离为</w:t>
      </w:r>
      <w:r>
        <w:rPr>
          <w:rFonts w:hint="default" w:ascii="Times New Roman" w:hAnsi="Times New Roman" w:cs="Times New Roman"/>
          <w:color w:val="auto"/>
          <w:kern w:val="2"/>
          <w:sz w:val="24"/>
          <w:szCs w:val="24"/>
          <w:lang w:val="en-US" w:eastAsia="zh-CN" w:bidi="ar"/>
        </w:rPr>
        <w:t>4</w:t>
      </w:r>
      <w:r>
        <w:rPr>
          <w:rFonts w:hint="default" w:ascii="Times New Roman" w:hAnsi="Times New Roman" w:eastAsia="宋体" w:cs="Times New Roman"/>
          <w:color w:val="auto"/>
          <w:kern w:val="2"/>
          <w:sz w:val="24"/>
          <w:szCs w:val="24"/>
          <w:lang w:val="en-US" w:eastAsia="zh-CN" w:bidi="ar"/>
        </w:rPr>
        <w:t>m。在1000d时，超标距离为</w:t>
      </w:r>
      <w:r>
        <w:rPr>
          <w:rFonts w:hint="default" w:ascii="Times New Roman" w:hAnsi="Times New Roman" w:cs="Times New Roman"/>
          <w:color w:val="auto"/>
          <w:kern w:val="2"/>
          <w:sz w:val="24"/>
          <w:szCs w:val="24"/>
          <w:lang w:val="en-US" w:eastAsia="zh-CN" w:bidi="ar"/>
        </w:rPr>
        <w:t>4</w:t>
      </w:r>
      <w:r>
        <w:rPr>
          <w:rFonts w:hint="default" w:ascii="Times New Roman" w:hAnsi="Times New Roman" w:eastAsia="宋体" w:cs="Times New Roman"/>
          <w:color w:val="auto"/>
          <w:kern w:val="2"/>
          <w:sz w:val="24"/>
          <w:szCs w:val="24"/>
          <w:lang w:val="en-US" w:eastAsia="zh-CN" w:bidi="ar"/>
        </w:rPr>
        <w:t>m，影响距离为</w:t>
      </w:r>
      <w:r>
        <w:rPr>
          <w:rFonts w:hint="default" w:ascii="Times New Roman" w:hAnsi="Times New Roman" w:cs="Times New Roman"/>
          <w:color w:val="auto"/>
          <w:kern w:val="2"/>
          <w:sz w:val="24"/>
          <w:szCs w:val="24"/>
          <w:lang w:val="en-US" w:eastAsia="zh-CN" w:bidi="ar"/>
        </w:rPr>
        <w:t>7</w:t>
      </w:r>
      <w:r>
        <w:rPr>
          <w:rFonts w:hint="default" w:ascii="Times New Roman" w:hAnsi="Times New Roman" w:eastAsia="宋体" w:cs="Times New Roman"/>
          <w:color w:val="auto"/>
          <w:kern w:val="2"/>
          <w:sz w:val="24"/>
          <w:szCs w:val="24"/>
          <w:lang w:val="en-US" w:eastAsia="zh-CN" w:bidi="ar"/>
        </w:rPr>
        <w:t>m。污染物运移到下游污染浓度满足《地下水质量标准》（GB/T14848-2017）中的Ⅲ类标准</w:t>
      </w:r>
      <w:r>
        <w:rPr>
          <w:rFonts w:hint="default" w:ascii="Times New Roman" w:hAnsi="Times New Roman" w:eastAsia="宋体" w:cs="Times New Roman"/>
          <w:color w:val="auto"/>
          <w:sz w:val="24"/>
          <w:highlight w:val="none"/>
        </w:rPr>
        <w:t>。</w:t>
      </w:r>
    </w:p>
    <w:p w14:paraId="1AFD1048">
      <w:pPr>
        <w:keepNext w:val="0"/>
        <w:keepLines w:val="0"/>
        <w:pageBreakBefore w:val="0"/>
        <w:widowControl w:val="0"/>
        <w:kinsoku/>
        <w:wordWrap/>
        <w:overflowPunct/>
        <w:topLinePunct w:val="0"/>
        <w:bidi w:val="0"/>
        <w:adjustRightInd/>
        <w:snapToGrid/>
        <w:spacing w:line="480" w:lineRule="exact"/>
        <w:ind w:left="0" w:leftChars="0" w:right="0" w:rightChars="0" w:firstLine="480" w:firstLineChars="200"/>
        <w:jc w:val="left"/>
        <w:textAlignment w:val="auto"/>
        <w:outlineLvl w:val="9"/>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从</w:t>
      </w:r>
      <w:r>
        <w:rPr>
          <w:rFonts w:hint="default" w:ascii="Times New Roman" w:hAnsi="Times New Roman" w:eastAsia="宋体" w:cs="Times New Roman"/>
          <w:color w:val="auto"/>
          <w:sz w:val="24"/>
          <w:highlight w:val="none"/>
          <w:lang w:eastAsia="zh-CN"/>
        </w:rPr>
        <w:t>表</w:t>
      </w:r>
      <w:r>
        <w:rPr>
          <w:rFonts w:hint="default" w:ascii="Times New Roman" w:hAnsi="Times New Roman" w:eastAsia="宋体" w:cs="Times New Roman"/>
          <w:color w:val="auto"/>
          <w:sz w:val="24"/>
          <w:highlight w:val="none"/>
          <w:lang w:val="en-US" w:eastAsia="zh-CN"/>
        </w:rPr>
        <w:t>5.4-</w:t>
      </w:r>
      <w:r>
        <w:rPr>
          <w:rFonts w:hint="default" w:ascii="Times New Roman" w:hAnsi="Times New Roman" w:cs="Times New Roman"/>
          <w:color w:val="auto"/>
          <w:sz w:val="24"/>
          <w:highlight w:val="none"/>
          <w:lang w:val="en-US" w:eastAsia="zh-CN"/>
        </w:rPr>
        <w:t>5</w:t>
      </w:r>
      <w:r>
        <w:rPr>
          <w:rFonts w:hint="default" w:ascii="Times New Roman" w:hAnsi="Times New Roman" w:eastAsia="宋体" w:cs="Times New Roman"/>
          <w:color w:val="auto"/>
          <w:sz w:val="24"/>
          <w:highlight w:val="none"/>
        </w:rPr>
        <w:t>预测结果可以看出，</w:t>
      </w:r>
      <w:r>
        <w:rPr>
          <w:rFonts w:hint="default" w:ascii="Times New Roman" w:hAnsi="Times New Roman" w:eastAsia="宋体" w:cs="Times New Roman"/>
          <w:color w:val="auto"/>
          <w:kern w:val="2"/>
          <w:sz w:val="24"/>
          <w:szCs w:val="24"/>
          <w:lang w:val="en-US" w:eastAsia="zh-CN" w:bidi="ar"/>
        </w:rPr>
        <w:t>地下水氨氮的预测结果在100d时，超标距离为0m，影响距离为0m。在300d时，超标距离为0m，影响距离为</w:t>
      </w:r>
      <w:r>
        <w:rPr>
          <w:rFonts w:hint="default" w:ascii="Times New Roman" w:hAnsi="Times New Roman" w:cs="Times New Roman"/>
          <w:color w:val="auto"/>
          <w:kern w:val="2"/>
          <w:sz w:val="24"/>
          <w:szCs w:val="24"/>
          <w:lang w:val="en-US" w:eastAsia="zh-CN" w:bidi="ar"/>
        </w:rPr>
        <w:t>0</w:t>
      </w:r>
      <w:r>
        <w:rPr>
          <w:rFonts w:hint="default" w:ascii="Times New Roman" w:hAnsi="Times New Roman" w:eastAsia="宋体" w:cs="Times New Roman"/>
          <w:color w:val="auto"/>
          <w:kern w:val="2"/>
          <w:sz w:val="24"/>
          <w:szCs w:val="24"/>
          <w:lang w:val="en-US" w:eastAsia="zh-CN" w:bidi="ar"/>
        </w:rPr>
        <w:t>m。在1000d时，超标距离为0m，影响距离为</w:t>
      </w:r>
      <w:r>
        <w:rPr>
          <w:rFonts w:hint="default" w:ascii="Times New Roman" w:hAnsi="Times New Roman" w:cs="Times New Roman"/>
          <w:color w:val="auto"/>
          <w:kern w:val="2"/>
          <w:sz w:val="24"/>
          <w:szCs w:val="24"/>
          <w:lang w:val="en-US" w:eastAsia="zh-CN" w:bidi="ar"/>
        </w:rPr>
        <w:t>0</w:t>
      </w:r>
      <w:r>
        <w:rPr>
          <w:rFonts w:hint="default" w:ascii="Times New Roman" w:hAnsi="Times New Roman" w:eastAsia="宋体" w:cs="Times New Roman"/>
          <w:color w:val="auto"/>
          <w:kern w:val="2"/>
          <w:sz w:val="24"/>
          <w:szCs w:val="24"/>
          <w:lang w:val="en-US" w:eastAsia="zh-CN" w:bidi="ar"/>
        </w:rPr>
        <w:t>m。污染物运移到下游污染浓度满足《地下水质量标准》（GB/T14848-2017）中的Ⅲ类标准</w:t>
      </w:r>
      <w:r>
        <w:rPr>
          <w:rFonts w:hint="default" w:ascii="Times New Roman" w:hAnsi="Times New Roman" w:eastAsia="宋体" w:cs="Times New Roman"/>
          <w:color w:val="auto"/>
          <w:sz w:val="24"/>
          <w:highlight w:val="none"/>
        </w:rPr>
        <w:t>。</w:t>
      </w:r>
    </w:p>
    <w:p w14:paraId="5632FBE2">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由于评价区内含水层富水性及导水性均较差，评价区内地下水基本处于停滞状态，泄漏的废水在地下水对流、弥散作用下向下游运移，但由于含水层导水性能较差，运移距离较短，</w:t>
      </w:r>
      <w:r>
        <w:rPr>
          <w:rFonts w:hint="default" w:ascii="Times New Roman" w:hAnsi="Times New Roman" w:cs="Times New Roman"/>
          <w:color w:val="auto"/>
          <w:spacing w:val="0"/>
          <w:w w:val="100"/>
          <w:position w:val="0"/>
          <w:sz w:val="24"/>
          <w:szCs w:val="24"/>
          <w:lang w:val="en-US" w:eastAsia="zh-CN"/>
        </w:rPr>
        <w:t>1000天内最大运移距离为7</w:t>
      </w:r>
      <w:r>
        <w:rPr>
          <w:rFonts w:hint="default" w:ascii="Times New Roman" w:hAnsi="Times New Roman" w:eastAsia="宋体" w:cs="Times New Roman"/>
          <w:color w:val="auto"/>
          <w:spacing w:val="0"/>
          <w:w w:val="100"/>
          <w:position w:val="0"/>
          <w:sz w:val="24"/>
          <w:szCs w:val="24"/>
        </w:rPr>
        <w:t>m，污染晕全部在厂区范围内，在小范围内对地下水水质造成影响。因此，需要</w:t>
      </w:r>
      <w:r>
        <w:rPr>
          <w:rFonts w:hint="default" w:ascii="Times New Roman" w:hAnsi="Times New Roman" w:cs="Times New Roman"/>
          <w:color w:val="auto"/>
          <w:spacing w:val="0"/>
          <w:w w:val="100"/>
          <w:position w:val="0"/>
          <w:sz w:val="24"/>
          <w:szCs w:val="24"/>
          <w:lang w:val="en-US" w:eastAsia="zh-CN"/>
        </w:rPr>
        <w:t>尽量</w:t>
      </w:r>
      <w:r>
        <w:rPr>
          <w:rFonts w:hint="default" w:ascii="Times New Roman" w:hAnsi="Times New Roman" w:eastAsia="宋体" w:cs="Times New Roman"/>
          <w:color w:val="auto"/>
          <w:spacing w:val="0"/>
          <w:w w:val="100"/>
          <w:position w:val="0"/>
          <w:sz w:val="24"/>
          <w:szCs w:val="24"/>
        </w:rPr>
        <w:t>避免出现泄漏情况，加强对防渗结构的检漏和地下水水质监测。</w:t>
      </w:r>
    </w:p>
    <w:p w14:paraId="33CB4A68">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"5.4.5.4"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5.4.5.3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其他工程内容对地下水环境影响分析</w:t>
      </w:r>
    </w:p>
    <w:p w14:paraId="68E7BB0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本项目废石为第I类一般工业固体废物，开采期间的废石</w:t>
      </w:r>
      <w:r>
        <w:rPr>
          <w:rFonts w:hint="default" w:ascii="Times New Roman" w:hAnsi="Times New Roman" w:cs="Times New Roman"/>
          <w:color w:val="auto"/>
          <w:spacing w:val="0"/>
          <w:w w:val="100"/>
          <w:position w:val="0"/>
          <w:sz w:val="24"/>
          <w:szCs w:val="24"/>
          <w:lang w:val="en-US" w:eastAsia="zh-CN"/>
        </w:rPr>
        <w:t>临时堆放于废石场，全部作为充填站原料，用于井下充填</w:t>
      </w:r>
      <w:r>
        <w:rPr>
          <w:rFonts w:hint="default" w:ascii="Times New Roman" w:hAnsi="Times New Roman" w:eastAsia="宋体" w:cs="Times New Roman"/>
          <w:color w:val="auto"/>
          <w:spacing w:val="0"/>
          <w:w w:val="100"/>
          <w:position w:val="0"/>
          <w:sz w:val="24"/>
          <w:szCs w:val="24"/>
        </w:rPr>
        <w:t>。</w:t>
      </w:r>
    </w:p>
    <w:p w14:paraId="41E65B4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所在区域气候特征为干旱、少雨、多风，属典型的大陆干旱气候，多年平均降水量为38.6mm，多年平均蒸发量为2639.7mm。据此推测，废石堆存过程中淋溶水量极少，并且废石不属于危险废物，故废石淋溶水对环境影响甚微。</w:t>
      </w:r>
    </w:p>
    <w:p w14:paraId="4508A9A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废石淋溶水渗透到地下水的可能性极小，固体废物淋溶水通过垂直渗透或补给方式污染地下水环境的可能性几乎没有。因此，生产过程中产生的废石按规划合理堆放，废石淋溶水对区域地下水环境影响甚微。</w:t>
      </w:r>
    </w:p>
    <w:p w14:paraId="301CCE1B">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"5.4.5.5"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5.4.5.4</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地下水环境影响小结</w:t>
      </w:r>
    </w:p>
    <w:p w14:paraId="6213007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矿体开采后会疏干部分含水层中的地下水，地下开采最大影响范围为</w:t>
      </w:r>
      <w:r>
        <w:rPr>
          <w:rFonts w:hint="default" w:ascii="Times New Roman" w:hAnsi="Times New Roman" w:cs="Times New Roman"/>
          <w:color w:val="auto"/>
          <w:spacing w:val="0"/>
          <w:w w:val="100"/>
          <w:position w:val="0"/>
          <w:sz w:val="24"/>
          <w:szCs w:val="24"/>
          <w:lang w:val="en-US" w:eastAsia="zh-CN"/>
        </w:rPr>
        <w:t>380</w:t>
      </w:r>
      <w:r>
        <w:rPr>
          <w:rFonts w:hint="default" w:ascii="Times New Roman" w:hAnsi="Times New Roman" w:eastAsia="宋体" w:cs="Times New Roman"/>
          <w:color w:val="auto"/>
          <w:spacing w:val="0"/>
          <w:w w:val="100"/>
          <w:position w:val="0"/>
          <w:sz w:val="24"/>
          <w:szCs w:val="24"/>
        </w:rPr>
        <w:t>m。在该范围内的含水层的地下水水位降深由影响范围边界向中部逐渐变大。矿区地下水极度贫乏，含水层富水性差，矿化度高，地下水无开发利用价值，且矿区周边无居民，无地下水开发利用情况，矿山开采不会对周边敏感点造成影响。矿区大部分为裸地，仅有的少部分其他草地主要依靠土壤中的水分及少量降雨存活，地下水水位埋深较深，根系无法从地下水含水层中汲取水分，因此，矿体开采不会对地表植被生长造成明显不利影响。</w:t>
      </w:r>
    </w:p>
    <w:p w14:paraId="2C8975D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正常状况下渗漏的水量特别微小，渗漏的水量甚至不能进入含水层中，不会对地下水环境造成明显不利影响。非正常状况下，</w:t>
      </w:r>
      <w:r>
        <w:rPr>
          <w:rFonts w:hint="default" w:ascii="Times New Roman" w:hAnsi="Times New Roman" w:eastAsia="宋体"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废水泄漏会对</w:t>
      </w:r>
      <w:r>
        <w:rPr>
          <w:rFonts w:hint="default" w:ascii="Times New Roman" w:hAnsi="Times New Roman" w:eastAsia="宋体" w:cs="Times New Roman"/>
          <w:color w:val="auto"/>
          <w:spacing w:val="0"/>
          <w:w w:val="100"/>
          <w:position w:val="0"/>
          <w:sz w:val="24"/>
          <w:szCs w:val="24"/>
          <w:lang w:val="en-US" w:eastAsia="zh-CN"/>
        </w:rPr>
        <w:t>矿区</w:t>
      </w:r>
      <w:r>
        <w:rPr>
          <w:rFonts w:hint="default" w:ascii="Times New Roman" w:hAnsi="Times New Roman" w:eastAsia="宋体" w:cs="Times New Roman"/>
          <w:color w:val="auto"/>
          <w:spacing w:val="0"/>
          <w:w w:val="100"/>
          <w:position w:val="0"/>
          <w:sz w:val="24"/>
          <w:szCs w:val="24"/>
        </w:rPr>
        <w:t>内地下水水质造成污染，</w:t>
      </w:r>
      <w:r>
        <w:rPr>
          <w:rFonts w:hint="default" w:ascii="Times New Roman" w:hAnsi="Times New Roman" w:eastAsia="宋体" w:cs="Times New Roman"/>
          <w:color w:val="auto"/>
          <w:spacing w:val="0"/>
          <w:w w:val="100"/>
          <w:position w:val="0"/>
          <w:sz w:val="24"/>
          <w:szCs w:val="24"/>
          <w:lang w:val="en-US" w:eastAsia="zh-CN"/>
        </w:rPr>
        <w:t>根据预测</w:t>
      </w:r>
      <w:r>
        <w:rPr>
          <w:rFonts w:hint="default" w:ascii="Times New Roman" w:hAnsi="Times New Roman" w:eastAsia="宋体" w:cs="Times New Roman"/>
          <w:color w:val="auto"/>
          <w:spacing w:val="0"/>
          <w:w w:val="100"/>
          <w:position w:val="0"/>
          <w:sz w:val="24"/>
          <w:szCs w:val="24"/>
        </w:rPr>
        <w:t>，污染物的迁移距离较短，基本位于</w:t>
      </w:r>
      <w:r>
        <w:rPr>
          <w:rFonts w:hint="default" w:ascii="Times New Roman" w:hAnsi="Times New Roman" w:eastAsia="宋体" w:cs="Times New Roman"/>
          <w:color w:val="auto"/>
          <w:spacing w:val="0"/>
          <w:w w:val="100"/>
          <w:position w:val="0"/>
          <w:sz w:val="24"/>
          <w:szCs w:val="24"/>
          <w:lang w:val="en-US" w:eastAsia="zh-CN"/>
        </w:rPr>
        <w:t>矿区</w:t>
      </w:r>
      <w:r>
        <w:rPr>
          <w:rFonts w:hint="default" w:ascii="Times New Roman" w:hAnsi="Times New Roman" w:eastAsia="宋体" w:cs="Times New Roman"/>
          <w:color w:val="auto"/>
          <w:spacing w:val="0"/>
          <w:w w:val="100"/>
          <w:position w:val="0"/>
          <w:sz w:val="24"/>
          <w:szCs w:val="24"/>
        </w:rPr>
        <w:t>范围内，</w:t>
      </w:r>
      <w:r>
        <w:rPr>
          <w:rFonts w:hint="default" w:ascii="Times New Roman" w:hAnsi="Times New Roman" w:eastAsia="宋体" w:cs="Times New Roman"/>
          <w:color w:val="auto"/>
          <w:spacing w:val="0"/>
          <w:w w:val="100"/>
          <w:position w:val="0"/>
          <w:sz w:val="24"/>
          <w:szCs w:val="24"/>
          <w:lang w:val="en-US" w:eastAsia="zh-CN"/>
        </w:rPr>
        <w:t>虽不会</w:t>
      </w:r>
      <w:r>
        <w:rPr>
          <w:rFonts w:hint="default" w:ascii="Times New Roman" w:hAnsi="Times New Roman" w:eastAsia="宋体" w:cs="Times New Roman"/>
          <w:color w:val="auto"/>
          <w:spacing w:val="0"/>
          <w:w w:val="100"/>
          <w:position w:val="0"/>
          <w:sz w:val="24"/>
          <w:szCs w:val="24"/>
        </w:rPr>
        <w:t>导致污染晕范围内的地下水水质恶化，</w:t>
      </w:r>
      <w:r>
        <w:rPr>
          <w:rFonts w:hint="default" w:ascii="Times New Roman" w:hAnsi="Times New Roman" w:eastAsia="宋体" w:cs="Times New Roman"/>
          <w:color w:val="auto"/>
          <w:spacing w:val="0"/>
          <w:w w:val="100"/>
          <w:position w:val="0"/>
          <w:sz w:val="24"/>
          <w:szCs w:val="24"/>
          <w:lang w:val="en-US" w:eastAsia="zh-CN"/>
        </w:rPr>
        <w:t>但</w:t>
      </w:r>
      <w:r>
        <w:rPr>
          <w:rFonts w:hint="default" w:ascii="Times New Roman" w:hAnsi="Times New Roman" w:eastAsia="宋体" w:cs="Times New Roman"/>
          <w:color w:val="auto"/>
          <w:spacing w:val="0"/>
          <w:w w:val="100"/>
          <w:position w:val="0"/>
          <w:sz w:val="24"/>
          <w:szCs w:val="24"/>
        </w:rPr>
        <w:t>需要极力避免出现泄漏情况，加强对防渗结构的检漏。</w:t>
      </w:r>
    </w:p>
    <w:p w14:paraId="11A10D2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本项目废石为第I类一般工业固体废物，矿区降雨量极少，形成淋溶水量较少，废石场不会对地下水环境造成明显不利影响。</w:t>
      </w:r>
    </w:p>
    <w:p w14:paraId="6B3491B8">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地下水保护措施</w:t>
      </w:r>
    </w:p>
    <w:p w14:paraId="23FDF6B1">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"5.4.6.1"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5.4.6.1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源头控制措施</w:t>
      </w:r>
    </w:p>
    <w:p w14:paraId="7CA05E2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严格按照国家相关规范要求，对</w:t>
      </w:r>
      <w:r>
        <w:rPr>
          <w:rFonts w:hint="default" w:ascii="Times New Roman" w:hAnsi="Times New Roman"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生产设备、管道等采取相应措施，以防止和降低污染物的跑、冒、滴、漏，将污染物泄漏的环境风险事故降到最低程度。</w:t>
      </w:r>
    </w:p>
    <w:p w14:paraId="71C8D6B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采用“可视化”设备原则，设置企业在线监控装置、视频监控系统及自控阀门。做到污染物“早发现、早处理”，以减少由于埋地泄漏而可能造成的地下水污染。对各种地下管道，根据输送物质不同，采用不同类型的管道，管道内外均采用防腐处理，定期对管道进行检漏。</w:t>
      </w:r>
    </w:p>
    <w:p w14:paraId="4368A32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堆放各种原辅材料、固体废物的堆放场地按照国家相关规范要求，采取防泄漏措施。</w:t>
      </w:r>
    </w:p>
    <w:p w14:paraId="24A8C08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矿区断裂带脉状含水带多不发育，但不排除矿区有较宽大导水裂隙存在的可能，在矿体的开采过程应进行超前探水，对导水裂隙进行封堵，防止发生突水事故。</w:t>
      </w:r>
    </w:p>
    <w:p w14:paraId="3A3A2242">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"5.4.6.2"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5.4.6.2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分区防渗措施</w:t>
      </w:r>
    </w:p>
    <w:p w14:paraId="7364165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w:t>
      </w: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工业场地分区防渗</w:t>
      </w:r>
    </w:p>
    <w:p w14:paraId="5A68AD4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为保证项目运行过程不对周边地下水环境造成影响，本次评价对项目工程内容进行分区防渗，本项目包气带主要为第四系透水不含水层，该层透水性好，渗透系数较大，天然包气带防污性能弱。按照防渗级别要求不同分为重点防渗区、一般防渗区及简单防渗区。</w:t>
      </w:r>
    </w:p>
    <w:p w14:paraId="4C228C6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重点防渗区：主要针对接地的水池及污染泄漏难以被发现的地段，除有单独防渗要求按规范要求设置防渗外，其余重点防渗结构的渗透系数需等效厚度Mb≥6.0m、K≤1×10</w:t>
      </w:r>
      <w:r>
        <w:rPr>
          <w:rFonts w:hint="default" w:ascii="Times New Roman" w:hAnsi="Times New Roman" w:cs="Times New Roman"/>
          <w:color w:val="auto"/>
          <w:spacing w:val="0"/>
          <w:w w:val="100"/>
          <w:position w:val="0"/>
          <w:sz w:val="24"/>
          <w:szCs w:val="24"/>
          <w:vertAlign w:val="superscript"/>
          <w:lang w:val="en-US" w:eastAsia="zh-CN"/>
        </w:rPr>
        <w:t>-</w:t>
      </w:r>
      <w:r>
        <w:rPr>
          <w:rFonts w:hint="default" w:ascii="Times New Roman" w:hAnsi="Times New Roman" w:eastAsia="宋体" w:cs="Times New Roman"/>
          <w:color w:val="auto"/>
          <w:spacing w:val="0"/>
          <w:w w:val="100"/>
          <w:position w:val="0"/>
          <w:sz w:val="24"/>
          <w:szCs w:val="24"/>
          <w:vertAlign w:val="superscript"/>
        </w:rPr>
        <w:t>7</w:t>
      </w:r>
      <w:r>
        <w:rPr>
          <w:rFonts w:hint="default" w:ascii="Times New Roman" w:hAnsi="Times New Roman" w:eastAsia="宋体" w:cs="Times New Roman"/>
          <w:color w:val="auto"/>
          <w:spacing w:val="0"/>
          <w:w w:val="100"/>
          <w:position w:val="0"/>
          <w:sz w:val="24"/>
          <w:szCs w:val="24"/>
        </w:rPr>
        <w:t>cm/s的黏土防渗层，或参照GB18598执行。本项目需采取重点防渗的区域包括：采矿工业场地机汽修车间</w:t>
      </w:r>
      <w:r>
        <w:rPr>
          <w:rFonts w:hint="eastAsia" w:ascii="Times New Roman" w:hAnsi="Times New Roman" w:cs="Times New Roman"/>
          <w:color w:val="auto"/>
          <w:spacing w:val="0"/>
          <w:w w:val="100"/>
          <w:position w:val="0"/>
          <w:sz w:val="24"/>
          <w:szCs w:val="24"/>
          <w:lang w:eastAsia="zh-CN"/>
        </w:rPr>
        <w:t>、</w:t>
      </w:r>
      <w:r>
        <w:rPr>
          <w:rFonts w:hint="eastAsia" w:ascii="Times New Roman" w:hAnsi="Times New Roman" w:cs="Times New Roman"/>
          <w:color w:val="auto"/>
          <w:spacing w:val="0"/>
          <w:w w:val="100"/>
          <w:position w:val="0"/>
          <w:sz w:val="24"/>
          <w:szCs w:val="24"/>
          <w:lang w:val="en-US" w:eastAsia="zh-CN"/>
        </w:rPr>
        <w:t>危废暂存库</w:t>
      </w:r>
      <w:r>
        <w:rPr>
          <w:rFonts w:hint="default" w:ascii="Times New Roman" w:hAnsi="Times New Roman" w:eastAsia="宋体" w:cs="Times New Roman"/>
          <w:color w:val="auto"/>
          <w:spacing w:val="0"/>
          <w:w w:val="100"/>
          <w:position w:val="0"/>
          <w:sz w:val="24"/>
          <w:szCs w:val="24"/>
        </w:rPr>
        <w:t>等。</w:t>
      </w:r>
    </w:p>
    <w:p w14:paraId="1EE19E9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一般防渗区：防渗结构渗透系数需等效厚度Mb≥1.5m、K≤1×10</w:t>
      </w:r>
      <w:r>
        <w:rPr>
          <w:rFonts w:hint="default" w:ascii="Times New Roman" w:hAnsi="Times New Roman" w:cs="Times New Roman"/>
          <w:color w:val="auto"/>
          <w:spacing w:val="0"/>
          <w:w w:val="100"/>
          <w:position w:val="0"/>
          <w:sz w:val="24"/>
          <w:szCs w:val="24"/>
          <w:vertAlign w:val="superscript"/>
          <w:lang w:val="en-US" w:eastAsia="zh-CN"/>
        </w:rPr>
        <w:t>-</w:t>
      </w:r>
      <w:r>
        <w:rPr>
          <w:rFonts w:hint="default" w:ascii="Times New Roman" w:hAnsi="Times New Roman" w:eastAsia="宋体" w:cs="Times New Roman"/>
          <w:color w:val="auto"/>
          <w:spacing w:val="0"/>
          <w:w w:val="100"/>
          <w:position w:val="0"/>
          <w:sz w:val="24"/>
          <w:szCs w:val="24"/>
          <w:vertAlign w:val="superscript"/>
        </w:rPr>
        <w:t>7</w:t>
      </w:r>
      <w:r>
        <w:rPr>
          <w:rFonts w:hint="default" w:ascii="Times New Roman" w:hAnsi="Times New Roman" w:eastAsia="宋体" w:cs="Times New Roman"/>
          <w:color w:val="auto"/>
          <w:spacing w:val="0"/>
          <w:w w:val="100"/>
          <w:position w:val="0"/>
          <w:sz w:val="24"/>
          <w:szCs w:val="24"/>
        </w:rPr>
        <w:t>cm/s的黏土防渗层，或参照GB16889执行。本项目需采取一般防渗的区域包括：生活污水处理站等。</w:t>
      </w:r>
    </w:p>
    <w:p w14:paraId="173500F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简单防渗区：矿石堆场等除重点防渗区及一般防渗区以外的区域。</w:t>
      </w:r>
    </w:p>
    <w:p w14:paraId="4A29D6C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采选工业场地分区防渗见表5.4-</w:t>
      </w:r>
      <w:r>
        <w:rPr>
          <w:rFonts w:hint="default" w:ascii="Times New Roman" w:hAnsi="Times New Roman" w:cs="Times New Roman"/>
          <w:color w:val="auto"/>
          <w:spacing w:val="0"/>
          <w:w w:val="100"/>
          <w:position w:val="0"/>
          <w:sz w:val="24"/>
          <w:szCs w:val="24"/>
          <w:lang w:val="en-US" w:eastAsia="zh-CN"/>
        </w:rPr>
        <w:t>8</w:t>
      </w:r>
      <w:r>
        <w:rPr>
          <w:rFonts w:hint="default" w:ascii="Times New Roman" w:hAnsi="Times New Roman" w:eastAsia="宋体" w:cs="Times New Roman"/>
          <w:color w:val="auto"/>
          <w:spacing w:val="0"/>
          <w:w w:val="100"/>
          <w:position w:val="0"/>
          <w:sz w:val="24"/>
          <w:szCs w:val="24"/>
        </w:rPr>
        <w:t>。</w:t>
      </w:r>
    </w:p>
    <w:p w14:paraId="620B587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表5.4-</w:t>
      </w:r>
      <w:r>
        <w:rPr>
          <w:rFonts w:hint="default" w:ascii="Times New Roman" w:hAnsi="Times New Roman" w:eastAsia="宋体" w:cs="Times New Roman"/>
          <w:b/>
          <w:bCs/>
          <w:color w:val="auto"/>
          <w:spacing w:val="-2"/>
          <w:sz w:val="21"/>
          <w:szCs w:val="21"/>
          <w:lang w:val="en-US" w:eastAsia="zh-CN"/>
        </w:rPr>
        <w:t xml:space="preserve">8     </w:t>
      </w:r>
      <w:r>
        <w:rPr>
          <w:rFonts w:hint="default" w:ascii="Times New Roman" w:hAnsi="Times New Roman" w:eastAsia="宋体" w:cs="Times New Roman"/>
          <w:b/>
          <w:bCs/>
          <w:color w:val="auto"/>
          <w:spacing w:val="-2"/>
          <w:sz w:val="21"/>
          <w:szCs w:val="21"/>
        </w:rPr>
        <w:t>工业场地分区防渗一览表</w:t>
      </w:r>
    </w:p>
    <w:tbl>
      <w:tblPr>
        <w:tblStyle w:val="31"/>
        <w:tblW w:w="507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1854"/>
        <w:gridCol w:w="972"/>
        <w:gridCol w:w="2828"/>
        <w:gridCol w:w="2799"/>
      </w:tblGrid>
      <w:tr w14:paraId="51C46E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096" w:type="pct"/>
            <w:tcBorders>
              <w:tl2br w:val="nil"/>
              <w:tr2bl w:val="nil"/>
            </w:tcBorders>
            <w:vAlign w:val="center"/>
          </w:tcPr>
          <w:p w14:paraId="3780727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防渗级别</w:t>
            </w:r>
          </w:p>
        </w:tc>
        <w:tc>
          <w:tcPr>
            <w:tcW w:w="2247" w:type="pct"/>
            <w:gridSpan w:val="2"/>
            <w:tcBorders>
              <w:tl2br w:val="nil"/>
              <w:tr2bl w:val="nil"/>
            </w:tcBorders>
            <w:vAlign w:val="center"/>
          </w:tcPr>
          <w:p w14:paraId="4A7D530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工作区</w:t>
            </w:r>
          </w:p>
        </w:tc>
        <w:tc>
          <w:tcPr>
            <w:tcW w:w="1655" w:type="pct"/>
            <w:tcBorders>
              <w:tl2br w:val="nil"/>
              <w:tr2bl w:val="nil"/>
            </w:tcBorders>
            <w:vAlign w:val="center"/>
          </w:tcPr>
          <w:p w14:paraId="0C92F16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防渗要求</w:t>
            </w:r>
          </w:p>
        </w:tc>
      </w:tr>
      <w:tr w14:paraId="032CD9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096" w:type="pct"/>
            <w:tcBorders>
              <w:tl2br w:val="nil"/>
              <w:tr2bl w:val="nil"/>
            </w:tcBorders>
            <w:vAlign w:val="center"/>
          </w:tcPr>
          <w:p w14:paraId="71F3D79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重点防渗区</w:t>
            </w:r>
          </w:p>
        </w:tc>
        <w:tc>
          <w:tcPr>
            <w:tcW w:w="575" w:type="pct"/>
            <w:tcBorders>
              <w:tl2br w:val="nil"/>
              <w:tr2bl w:val="nil"/>
            </w:tcBorders>
            <w:vAlign w:val="center"/>
          </w:tcPr>
          <w:p w14:paraId="75BABD9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采矿工业场地</w:t>
            </w:r>
          </w:p>
        </w:tc>
        <w:tc>
          <w:tcPr>
            <w:tcW w:w="1672" w:type="pct"/>
            <w:tcBorders>
              <w:tl2br w:val="nil"/>
              <w:tr2bl w:val="nil"/>
            </w:tcBorders>
            <w:vAlign w:val="center"/>
          </w:tcPr>
          <w:p w14:paraId="6A8C509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lang w:val="en-US"/>
              </w:rPr>
            </w:pPr>
            <w:r>
              <w:rPr>
                <w:rFonts w:hint="default" w:ascii="Times New Roman" w:hAnsi="Times New Roman" w:eastAsia="宋体" w:cs="Times New Roman"/>
                <w:color w:val="auto"/>
                <w:spacing w:val="0"/>
                <w:w w:val="100"/>
                <w:position w:val="0"/>
              </w:rPr>
              <w:t>机汽修车间</w:t>
            </w:r>
            <w:r>
              <w:rPr>
                <w:rFonts w:hint="eastAsia" w:ascii="Times New Roman" w:hAnsi="Times New Roman" w:cs="Times New Roman"/>
                <w:color w:val="auto"/>
                <w:spacing w:val="0"/>
                <w:w w:val="100"/>
                <w:position w:val="0"/>
                <w:lang w:eastAsia="zh-CN"/>
              </w:rPr>
              <w:t>、</w:t>
            </w:r>
            <w:r>
              <w:rPr>
                <w:rFonts w:hint="eastAsia" w:ascii="Times New Roman" w:hAnsi="Times New Roman" w:cs="Times New Roman"/>
                <w:color w:val="auto"/>
                <w:spacing w:val="0"/>
                <w:w w:val="100"/>
                <w:position w:val="0"/>
                <w:lang w:val="en-US" w:eastAsia="zh-CN"/>
              </w:rPr>
              <w:t>危废贮存库</w:t>
            </w:r>
          </w:p>
        </w:tc>
        <w:tc>
          <w:tcPr>
            <w:tcW w:w="1655" w:type="pct"/>
            <w:tcBorders>
              <w:tl2br w:val="nil"/>
              <w:tr2bl w:val="nil"/>
            </w:tcBorders>
            <w:vAlign w:val="center"/>
          </w:tcPr>
          <w:p w14:paraId="774C1EB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等效粘土防渗层</w:t>
            </w:r>
          </w:p>
          <w:p w14:paraId="6A4F630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Mb≥6.0m、K≤1×10</w:t>
            </w:r>
            <w:r>
              <w:rPr>
                <w:rFonts w:hint="default" w:ascii="Times New Roman" w:hAnsi="Times New Roman" w:eastAsia="宋体" w:cs="Times New Roman"/>
                <w:color w:val="auto"/>
                <w:spacing w:val="0"/>
                <w:w w:val="100"/>
                <w:position w:val="0"/>
                <w:vertAlign w:val="superscript"/>
                <w:lang w:val="en-US" w:eastAsia="zh-CN"/>
              </w:rPr>
              <w:t>-7</w:t>
            </w:r>
            <w:r>
              <w:rPr>
                <w:rFonts w:hint="default" w:ascii="Times New Roman" w:hAnsi="Times New Roman" w:eastAsia="宋体" w:cs="Times New Roman"/>
                <w:color w:val="auto"/>
                <w:spacing w:val="0"/>
                <w:w w:val="100"/>
                <w:position w:val="0"/>
              </w:rPr>
              <w:t>cm/s；</w:t>
            </w:r>
          </w:p>
          <w:p w14:paraId="27FE049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或参照GB18598执行</w:t>
            </w:r>
          </w:p>
        </w:tc>
      </w:tr>
      <w:tr w14:paraId="5C7BC6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096" w:type="pct"/>
            <w:tcBorders>
              <w:tl2br w:val="nil"/>
              <w:tr2bl w:val="nil"/>
            </w:tcBorders>
            <w:vAlign w:val="center"/>
          </w:tcPr>
          <w:p w14:paraId="728D373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防渗级别</w:t>
            </w:r>
          </w:p>
        </w:tc>
        <w:tc>
          <w:tcPr>
            <w:tcW w:w="2247" w:type="pct"/>
            <w:gridSpan w:val="2"/>
            <w:tcBorders>
              <w:tl2br w:val="nil"/>
              <w:tr2bl w:val="nil"/>
            </w:tcBorders>
            <w:vAlign w:val="center"/>
          </w:tcPr>
          <w:p w14:paraId="3209805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工作区</w:t>
            </w:r>
          </w:p>
        </w:tc>
        <w:tc>
          <w:tcPr>
            <w:tcW w:w="1655" w:type="pct"/>
            <w:tcBorders>
              <w:tl2br w:val="nil"/>
              <w:tr2bl w:val="nil"/>
            </w:tcBorders>
            <w:vAlign w:val="center"/>
          </w:tcPr>
          <w:p w14:paraId="3C8B66E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防渗要求</w:t>
            </w:r>
          </w:p>
        </w:tc>
      </w:tr>
      <w:tr w14:paraId="3064F9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096" w:type="pct"/>
            <w:tcBorders>
              <w:tl2br w:val="nil"/>
              <w:tr2bl w:val="nil"/>
            </w:tcBorders>
            <w:vAlign w:val="center"/>
          </w:tcPr>
          <w:p w14:paraId="675280F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一般防渗区</w:t>
            </w:r>
          </w:p>
        </w:tc>
        <w:tc>
          <w:tcPr>
            <w:tcW w:w="575" w:type="pct"/>
            <w:tcBorders>
              <w:tl2br w:val="nil"/>
              <w:tr2bl w:val="nil"/>
            </w:tcBorders>
            <w:vAlign w:val="center"/>
          </w:tcPr>
          <w:p w14:paraId="10C7784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办公区</w:t>
            </w:r>
          </w:p>
        </w:tc>
        <w:tc>
          <w:tcPr>
            <w:tcW w:w="1672" w:type="pct"/>
            <w:tcBorders>
              <w:tl2br w:val="nil"/>
              <w:tr2bl w:val="nil"/>
            </w:tcBorders>
            <w:vAlign w:val="center"/>
          </w:tcPr>
          <w:p w14:paraId="1B8B061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生活污水处理站</w:t>
            </w:r>
          </w:p>
        </w:tc>
        <w:tc>
          <w:tcPr>
            <w:tcW w:w="1655" w:type="pct"/>
            <w:tcBorders>
              <w:tl2br w:val="nil"/>
              <w:tr2bl w:val="nil"/>
            </w:tcBorders>
            <w:vAlign w:val="center"/>
          </w:tcPr>
          <w:p w14:paraId="7A518DD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等效粘土防渗层</w:t>
            </w:r>
          </w:p>
          <w:p w14:paraId="055FB18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Mb≥1.5m、K≤1×10</w:t>
            </w:r>
            <w:r>
              <w:rPr>
                <w:rFonts w:hint="default"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sz w:val="14"/>
                <w:szCs w:val="14"/>
              </w:rPr>
              <w:t>7</w:t>
            </w:r>
            <w:r>
              <w:rPr>
                <w:rFonts w:hint="default" w:ascii="Times New Roman" w:hAnsi="Times New Roman" w:eastAsia="宋体" w:cs="Times New Roman"/>
                <w:color w:val="auto"/>
                <w:spacing w:val="0"/>
                <w:w w:val="100"/>
                <w:position w:val="0"/>
              </w:rPr>
              <w:t>cm/s；</w:t>
            </w:r>
          </w:p>
          <w:p w14:paraId="30EB1A2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或参照GB16889执行</w:t>
            </w:r>
          </w:p>
        </w:tc>
      </w:tr>
      <w:tr w14:paraId="77E6D2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096" w:type="pct"/>
            <w:tcBorders>
              <w:tl2br w:val="nil"/>
              <w:tr2bl w:val="nil"/>
            </w:tcBorders>
            <w:vAlign w:val="center"/>
          </w:tcPr>
          <w:p w14:paraId="5CCF3EF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简单防渗区</w:t>
            </w:r>
          </w:p>
        </w:tc>
        <w:tc>
          <w:tcPr>
            <w:tcW w:w="2247" w:type="pct"/>
            <w:gridSpan w:val="2"/>
            <w:tcBorders>
              <w:tl2br w:val="nil"/>
              <w:tr2bl w:val="nil"/>
            </w:tcBorders>
            <w:vAlign w:val="center"/>
          </w:tcPr>
          <w:p w14:paraId="3A7E13D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项目其他部分对厂区地下水基本不存在风险的车间以及路面、室外地面等部分</w:t>
            </w:r>
          </w:p>
        </w:tc>
        <w:tc>
          <w:tcPr>
            <w:tcW w:w="1655" w:type="pct"/>
            <w:tcBorders>
              <w:tl2br w:val="nil"/>
              <w:tr2bl w:val="nil"/>
            </w:tcBorders>
            <w:vAlign w:val="center"/>
          </w:tcPr>
          <w:p w14:paraId="3D61C66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视情况进行防渗或地面硬化处理</w:t>
            </w:r>
          </w:p>
        </w:tc>
      </w:tr>
    </w:tbl>
    <w:p w14:paraId="47B832E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）废石场</w:t>
      </w:r>
    </w:p>
    <w:p w14:paraId="4A20B1F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经鉴别，本项目废石为第I类一般工业固体废物，</w:t>
      </w:r>
    </w:p>
    <w:p w14:paraId="096D4B75">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根据《大红山北铜矿勘探报告》及收集的周边矿山、区域地质调查等相关地质资料，</w:t>
      </w:r>
      <w:r>
        <w:rPr>
          <w:rFonts w:hint="default" w:ascii="Times New Roman" w:hAnsi="Times New Roman" w:cs="Times New Roman"/>
          <w:color w:val="auto"/>
          <w:spacing w:val="0"/>
          <w:w w:val="100"/>
          <w:position w:val="0"/>
          <w:sz w:val="24"/>
          <w:szCs w:val="24"/>
          <w:lang w:val="en-US" w:eastAsia="zh-CN"/>
        </w:rPr>
        <w:t>废石场</w:t>
      </w:r>
      <w:r>
        <w:rPr>
          <w:rFonts w:hint="default" w:ascii="Times New Roman" w:hAnsi="Times New Roman" w:eastAsia="宋体" w:cs="Times New Roman"/>
          <w:color w:val="auto"/>
          <w:spacing w:val="0"/>
          <w:w w:val="100"/>
          <w:position w:val="0"/>
          <w:sz w:val="24"/>
          <w:szCs w:val="24"/>
        </w:rPr>
        <w:t>所在地层范围内基本不含水，渗透性较差，渗透系数约0.00</w:t>
      </w:r>
      <w:r>
        <w:rPr>
          <w:rFonts w:hint="default" w:ascii="Times New Roman" w:hAnsi="Times New Roman" w:cs="Times New Roman"/>
          <w:color w:val="auto"/>
          <w:spacing w:val="0"/>
          <w:w w:val="100"/>
          <w:position w:val="0"/>
          <w:sz w:val="24"/>
          <w:szCs w:val="24"/>
          <w:lang w:val="en-US" w:eastAsia="zh-CN"/>
        </w:rPr>
        <w:t>15</w:t>
      </w:r>
      <w:r>
        <w:rPr>
          <w:rFonts w:hint="default" w:ascii="Times New Roman" w:hAnsi="Times New Roman" w:eastAsia="宋体" w:cs="Times New Roman"/>
          <w:color w:val="auto"/>
          <w:spacing w:val="0"/>
          <w:w w:val="100"/>
          <w:position w:val="0"/>
          <w:sz w:val="24"/>
          <w:szCs w:val="24"/>
        </w:rPr>
        <w:t>m/d（约</w:t>
      </w: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×10</w:t>
      </w:r>
      <w:r>
        <w:rPr>
          <w:rFonts w:hint="default" w:ascii="Times New Roman" w:hAnsi="Times New Roman" w:cs="Times New Roman"/>
          <w:color w:val="auto"/>
          <w:spacing w:val="0"/>
          <w:w w:val="100"/>
          <w:position w:val="0"/>
          <w:sz w:val="24"/>
          <w:szCs w:val="24"/>
          <w:vertAlign w:val="superscript"/>
          <w:lang w:val="en-US" w:eastAsia="zh-CN"/>
        </w:rPr>
        <w:t>-6</w:t>
      </w:r>
      <w:r>
        <w:rPr>
          <w:rFonts w:hint="default" w:ascii="Times New Roman" w:hAnsi="Times New Roman" w:eastAsia="宋体" w:cs="Times New Roman"/>
          <w:color w:val="auto"/>
          <w:spacing w:val="0"/>
          <w:w w:val="100"/>
          <w:position w:val="0"/>
          <w:sz w:val="24"/>
          <w:szCs w:val="24"/>
        </w:rPr>
        <w:t>cm/s），可采用天然基础层作为防渗衬层，无需进行底部人工防渗。因此</w:t>
      </w:r>
      <w:r>
        <w:rPr>
          <w:rFonts w:hint="default" w:ascii="Times New Roman" w:hAnsi="Times New Roman" w:cs="Times New Roman"/>
          <w:color w:val="auto"/>
          <w:spacing w:val="0"/>
          <w:w w:val="100"/>
          <w:position w:val="0"/>
          <w:sz w:val="24"/>
          <w:szCs w:val="24"/>
          <w:lang w:val="en-US" w:eastAsia="zh-CN"/>
        </w:rPr>
        <w:t>废石场</w:t>
      </w:r>
      <w:r>
        <w:rPr>
          <w:rFonts w:hint="default" w:ascii="Times New Roman" w:hAnsi="Times New Roman" w:eastAsia="宋体" w:cs="Times New Roman"/>
          <w:color w:val="auto"/>
          <w:spacing w:val="0"/>
          <w:w w:val="100"/>
          <w:position w:val="0"/>
          <w:sz w:val="24"/>
          <w:szCs w:val="24"/>
        </w:rPr>
        <w:t>建设可按照《金属非金属矿山排土场安全生产规则》《一般工业固体废物贮存和填埋污染控制标准》（GB18599-2020）中Ⅰ类一般工业固体废物贮存有关规定进行设计和建设和管理。即：①当天然基础层饱和渗透系数不大于1.0×10</w:t>
      </w:r>
      <w:r>
        <w:rPr>
          <w:rFonts w:hint="default" w:ascii="Times New Roman" w:hAnsi="Times New Roman" w:cs="Times New Roman"/>
          <w:color w:val="auto"/>
          <w:spacing w:val="0"/>
          <w:w w:val="100"/>
          <w:position w:val="0"/>
          <w:sz w:val="24"/>
          <w:szCs w:val="24"/>
          <w:vertAlign w:val="superscript"/>
          <w:lang w:val="en-US" w:eastAsia="zh-CN"/>
        </w:rPr>
        <w:t>-5</w:t>
      </w:r>
      <w:r>
        <w:rPr>
          <w:rFonts w:hint="default" w:ascii="Times New Roman" w:hAnsi="Times New Roman" w:eastAsia="宋体" w:cs="Times New Roman"/>
          <w:color w:val="auto"/>
          <w:spacing w:val="0"/>
          <w:w w:val="100"/>
          <w:position w:val="0"/>
          <w:sz w:val="24"/>
          <w:szCs w:val="24"/>
        </w:rPr>
        <w:t>cm/s，且厚度不小于0.75m时，可以采用天然基础层作为防渗衬层。②当天然基础层不能满足①条防渗要求时，可采用改性压实粘土类衬层或具有同等以上隔水效力的其他材料防渗衬层，其防渗性能应至少相当于渗透系数为1.0×10</w:t>
      </w:r>
      <w:r>
        <w:rPr>
          <w:rFonts w:hint="default" w:ascii="Times New Roman" w:hAnsi="Times New Roman" w:cs="Times New Roman"/>
          <w:color w:val="auto"/>
          <w:spacing w:val="0"/>
          <w:w w:val="100"/>
          <w:position w:val="0"/>
          <w:sz w:val="24"/>
          <w:szCs w:val="24"/>
          <w:vertAlign w:val="superscript"/>
          <w:lang w:val="en-US" w:eastAsia="zh-CN"/>
        </w:rPr>
        <w:t>-5</w:t>
      </w:r>
      <w:r>
        <w:rPr>
          <w:rFonts w:hint="default" w:ascii="Times New Roman" w:hAnsi="Times New Roman" w:eastAsia="宋体" w:cs="Times New Roman"/>
          <w:color w:val="auto"/>
          <w:spacing w:val="0"/>
          <w:w w:val="100"/>
          <w:position w:val="0"/>
          <w:sz w:val="24"/>
          <w:szCs w:val="24"/>
        </w:rPr>
        <w:t>cm/s且厚度为0.75m的天然基础层。</w:t>
      </w:r>
    </w:p>
    <w:p w14:paraId="63DC8A9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本次分区防渗主要分为重点防渗区、一般防渗区及简单防渗区，</w:t>
      </w:r>
      <w:r>
        <w:rPr>
          <w:rFonts w:hint="eastAsia" w:ascii="Times New Roman" w:hAnsi="Times New Roman" w:cs="Times New Roman"/>
          <w:color w:val="auto"/>
          <w:spacing w:val="0"/>
          <w:w w:val="100"/>
          <w:position w:val="0"/>
          <w:sz w:val="24"/>
          <w:szCs w:val="24"/>
          <w:lang w:val="en-US" w:eastAsia="zh-CN"/>
        </w:rPr>
        <w:t>建</w:t>
      </w:r>
      <w:r>
        <w:rPr>
          <w:rFonts w:hint="default" w:ascii="Times New Roman" w:hAnsi="Times New Roman" w:eastAsia="宋体" w:cs="Times New Roman"/>
          <w:color w:val="auto"/>
          <w:spacing w:val="0"/>
          <w:w w:val="100"/>
          <w:position w:val="0"/>
          <w:sz w:val="24"/>
          <w:szCs w:val="24"/>
        </w:rPr>
        <w:t>议在今后的建设项目中应加强分区防渗，根据不同的工程内容采取不同的防渗措施，保证矿区及周边地下水环境不受影响，具体防渗措施应以工程设计、对应项目环评文件提出的要求或相关处置规范为准。</w:t>
      </w:r>
    </w:p>
    <w:p w14:paraId="043AA3C3">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"5.4.6.3"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5.4.6.3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监测措施</w:t>
      </w:r>
    </w:p>
    <w:p w14:paraId="0FFB2EB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为保证项目所在地及下游地下水不受项目生产运行的影响，除采取必要的分区防渗措施并保证防渗措施施工到位、定期对防渗结构进行巡检等措施外，还需在项目主要污染源下游采取监测预警措施。</w:t>
      </w:r>
    </w:p>
    <w:p w14:paraId="1489E23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（1）监测点位</w:t>
      </w:r>
    </w:p>
    <w:p w14:paraId="55AC31DD">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预测结果，由于当地地下水含水层导水性及富水性较差、水动力条件较差，监测点应尽量靠近潜在污染源附近，结合《排污单位自行监测技术指南总则》（HJ819-2017）及《地下水环境监测技术规范》（HJ164-2020）的相关要求，本项目共布设</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rPr>
        <w:t>个地下水水质跟踪监测井，监测井布设见表5.4-</w:t>
      </w:r>
      <w:r>
        <w:rPr>
          <w:rFonts w:hint="default" w:ascii="Times New Roman" w:hAnsi="Times New Roman" w:cs="Times New Roman"/>
          <w:color w:val="auto"/>
          <w:spacing w:val="0"/>
          <w:w w:val="100"/>
          <w:position w:val="0"/>
          <w:sz w:val="24"/>
          <w:szCs w:val="24"/>
          <w:lang w:val="en-US" w:eastAsia="zh-CN"/>
        </w:rPr>
        <w:t>9</w:t>
      </w:r>
      <w:r>
        <w:rPr>
          <w:rFonts w:hint="default" w:ascii="Times New Roman" w:hAnsi="Times New Roman" w:eastAsia="宋体" w:cs="Times New Roman"/>
          <w:color w:val="auto"/>
          <w:spacing w:val="0"/>
          <w:w w:val="100"/>
          <w:position w:val="0"/>
          <w:sz w:val="24"/>
          <w:szCs w:val="24"/>
        </w:rPr>
        <w:t>。</w:t>
      </w:r>
    </w:p>
    <w:p w14:paraId="2122FB0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表5.4-</w:t>
      </w:r>
      <w:r>
        <w:rPr>
          <w:rFonts w:hint="default" w:ascii="Times New Roman" w:hAnsi="Times New Roman" w:eastAsia="宋体" w:cs="Times New Roman"/>
          <w:b/>
          <w:bCs/>
          <w:color w:val="auto"/>
          <w:spacing w:val="-2"/>
          <w:sz w:val="21"/>
          <w:szCs w:val="21"/>
          <w:lang w:val="en-US" w:eastAsia="zh-CN"/>
        </w:rPr>
        <w:t xml:space="preserve">9    </w:t>
      </w:r>
      <w:r>
        <w:rPr>
          <w:rFonts w:hint="default" w:ascii="Times New Roman" w:hAnsi="Times New Roman" w:eastAsia="宋体" w:cs="Times New Roman"/>
          <w:b/>
          <w:bCs/>
          <w:color w:val="auto"/>
          <w:spacing w:val="-2"/>
          <w:sz w:val="21"/>
          <w:szCs w:val="21"/>
        </w:rPr>
        <w:t>地下水跟踪监测井布设</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86"/>
        <w:gridCol w:w="2130"/>
        <w:gridCol w:w="706"/>
        <w:gridCol w:w="1049"/>
        <w:gridCol w:w="926"/>
        <w:gridCol w:w="919"/>
        <w:gridCol w:w="1009"/>
        <w:gridCol w:w="808"/>
      </w:tblGrid>
      <w:tr w14:paraId="2BBCE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4" w:hRule="atLeast"/>
          <w:tblHeader/>
        </w:trPr>
        <w:tc>
          <w:tcPr>
            <w:tcW w:w="471" w:type="pct"/>
            <w:tcBorders>
              <w:tl2br w:val="nil"/>
              <w:tr2bl w:val="nil"/>
            </w:tcBorders>
            <w:vAlign w:val="center"/>
          </w:tcPr>
          <w:p w14:paraId="7CD7501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w:t>
            </w:r>
          </w:p>
          <w:p w14:paraId="6D9C92B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井编</w:t>
            </w:r>
          </w:p>
          <w:p w14:paraId="498AF7C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号</w:t>
            </w:r>
          </w:p>
        </w:tc>
        <w:tc>
          <w:tcPr>
            <w:tcW w:w="1277" w:type="pct"/>
            <w:tcBorders>
              <w:tl2br w:val="nil"/>
              <w:tr2bl w:val="nil"/>
            </w:tcBorders>
            <w:vAlign w:val="center"/>
          </w:tcPr>
          <w:p w14:paraId="43D1EB0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位置</w:t>
            </w:r>
          </w:p>
        </w:tc>
        <w:tc>
          <w:tcPr>
            <w:tcW w:w="423" w:type="pct"/>
            <w:tcBorders>
              <w:tl2br w:val="nil"/>
              <w:tr2bl w:val="nil"/>
            </w:tcBorders>
            <w:vAlign w:val="center"/>
          </w:tcPr>
          <w:p w14:paraId="4DDF626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eastAsia="宋体" w:cs="Times New Roman"/>
                <w:color w:val="auto"/>
                <w:spacing w:val="0"/>
                <w:w w:val="100"/>
                <w:position w:val="0"/>
                <w:sz w:val="21"/>
                <w:szCs w:val="21"/>
              </w:rPr>
              <w:t>井深</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m</w:t>
            </w:r>
            <w:r>
              <w:rPr>
                <w:rFonts w:hint="default" w:ascii="Times New Roman" w:hAnsi="Times New Roman" w:eastAsia="宋体" w:cs="Times New Roman"/>
                <w:color w:val="auto"/>
                <w:spacing w:val="0"/>
                <w:w w:val="100"/>
                <w:position w:val="0"/>
                <w:sz w:val="21"/>
                <w:szCs w:val="21"/>
                <w:lang w:eastAsia="zh-CN"/>
              </w:rPr>
              <w:t>）</w:t>
            </w:r>
          </w:p>
        </w:tc>
        <w:tc>
          <w:tcPr>
            <w:tcW w:w="629" w:type="pct"/>
            <w:tcBorders>
              <w:tl2br w:val="nil"/>
              <w:tr2bl w:val="nil"/>
            </w:tcBorders>
            <w:vAlign w:val="center"/>
          </w:tcPr>
          <w:p w14:paraId="6A86038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井径（mm）</w:t>
            </w:r>
          </w:p>
        </w:tc>
        <w:tc>
          <w:tcPr>
            <w:tcW w:w="555" w:type="pct"/>
            <w:tcBorders>
              <w:tl2br w:val="nil"/>
              <w:tr2bl w:val="nil"/>
            </w:tcBorders>
            <w:vAlign w:val="center"/>
          </w:tcPr>
          <w:p w14:paraId="4730002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井结构</w:t>
            </w:r>
          </w:p>
        </w:tc>
        <w:tc>
          <w:tcPr>
            <w:tcW w:w="551" w:type="pct"/>
            <w:tcBorders>
              <w:tl2br w:val="nil"/>
              <w:tr2bl w:val="nil"/>
            </w:tcBorders>
            <w:vAlign w:val="center"/>
          </w:tcPr>
          <w:p w14:paraId="1BC4FAC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监测层位</w:t>
            </w:r>
          </w:p>
        </w:tc>
        <w:tc>
          <w:tcPr>
            <w:tcW w:w="605" w:type="pct"/>
            <w:tcBorders>
              <w:tl2br w:val="nil"/>
              <w:tr2bl w:val="nil"/>
            </w:tcBorders>
            <w:vAlign w:val="center"/>
          </w:tcPr>
          <w:p w14:paraId="34A5F0A2">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监测点性质</w:t>
            </w:r>
          </w:p>
        </w:tc>
        <w:tc>
          <w:tcPr>
            <w:tcW w:w="484" w:type="pct"/>
            <w:tcBorders>
              <w:tl2br w:val="nil"/>
              <w:tr2bl w:val="nil"/>
            </w:tcBorders>
            <w:vAlign w:val="center"/>
          </w:tcPr>
          <w:p w14:paraId="2B3A84E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备注</w:t>
            </w:r>
          </w:p>
        </w:tc>
      </w:tr>
      <w:tr w14:paraId="6541C1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471" w:type="pct"/>
            <w:tcBorders>
              <w:tl2br w:val="nil"/>
              <w:tr2bl w:val="nil"/>
            </w:tcBorders>
            <w:vAlign w:val="center"/>
          </w:tcPr>
          <w:p w14:paraId="25250E0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G1</w:t>
            </w:r>
          </w:p>
        </w:tc>
        <w:tc>
          <w:tcPr>
            <w:tcW w:w="1277" w:type="pct"/>
            <w:tcBorders>
              <w:tl2br w:val="nil"/>
              <w:tr2bl w:val="nil"/>
            </w:tcBorders>
            <w:vAlign w:val="center"/>
          </w:tcPr>
          <w:p w14:paraId="3581F2A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lang w:val="en-US" w:eastAsia="zh-CN"/>
              </w:rPr>
              <w:t>地下水1#</w:t>
            </w:r>
          </w:p>
        </w:tc>
        <w:tc>
          <w:tcPr>
            <w:tcW w:w="423" w:type="pct"/>
            <w:tcBorders>
              <w:tl2br w:val="nil"/>
              <w:tr2bl w:val="nil"/>
            </w:tcBorders>
            <w:shd w:val="clear" w:color="auto" w:fill="auto"/>
            <w:vAlign w:val="center"/>
          </w:tcPr>
          <w:p w14:paraId="7A238E36">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51</w:t>
            </w:r>
            <w:r>
              <w:rPr>
                <w:rFonts w:hint="default" w:ascii="Times New Roman" w:hAnsi="Times New Roman" w:cs="Times New Roman"/>
                <w:b w:val="0"/>
                <w:bCs w:val="0"/>
                <w:color w:val="auto"/>
                <w:sz w:val="21"/>
                <w:szCs w:val="21"/>
                <w:highlight w:val="none"/>
                <w:lang w:val="en-US" w:eastAsia="zh-CN"/>
              </w:rPr>
              <w:t>m</w:t>
            </w:r>
          </w:p>
        </w:tc>
        <w:tc>
          <w:tcPr>
            <w:tcW w:w="629" w:type="pct"/>
            <w:tcBorders>
              <w:tl2br w:val="nil"/>
              <w:tr2bl w:val="nil"/>
            </w:tcBorders>
            <w:vAlign w:val="center"/>
          </w:tcPr>
          <w:p w14:paraId="4A732399">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110</w:t>
            </w:r>
          </w:p>
        </w:tc>
        <w:tc>
          <w:tcPr>
            <w:tcW w:w="555" w:type="pct"/>
            <w:tcBorders>
              <w:tl2br w:val="nil"/>
              <w:tr2bl w:val="nil"/>
            </w:tcBorders>
            <w:vAlign w:val="center"/>
          </w:tcPr>
          <w:p w14:paraId="11EBD73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PVC</w:t>
            </w:r>
          </w:p>
        </w:tc>
        <w:tc>
          <w:tcPr>
            <w:tcW w:w="551" w:type="pct"/>
            <w:tcBorders>
              <w:tl2br w:val="nil"/>
              <w:tr2bl w:val="nil"/>
            </w:tcBorders>
            <w:vAlign w:val="center"/>
          </w:tcPr>
          <w:p w14:paraId="6C0414E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基岩</w:t>
            </w:r>
          </w:p>
          <w:p w14:paraId="2DED5A3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裂隙</w:t>
            </w:r>
          </w:p>
          <w:p w14:paraId="1C9C54D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w:t>
            </w:r>
          </w:p>
        </w:tc>
        <w:tc>
          <w:tcPr>
            <w:tcW w:w="605" w:type="pct"/>
            <w:tcBorders>
              <w:tl2br w:val="nil"/>
              <w:tr2bl w:val="nil"/>
            </w:tcBorders>
            <w:vAlign w:val="center"/>
          </w:tcPr>
          <w:p w14:paraId="46740D3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上游背</w:t>
            </w:r>
          </w:p>
          <w:p w14:paraId="4AA5B31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景对照</w:t>
            </w:r>
          </w:p>
          <w:p w14:paraId="51AA95E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点</w:t>
            </w:r>
          </w:p>
        </w:tc>
        <w:tc>
          <w:tcPr>
            <w:tcW w:w="484" w:type="pct"/>
            <w:tcBorders>
              <w:tl2br w:val="nil"/>
              <w:tr2bl w:val="nil"/>
            </w:tcBorders>
            <w:vAlign w:val="center"/>
          </w:tcPr>
          <w:p w14:paraId="62C800C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地下水上游</w:t>
            </w:r>
          </w:p>
        </w:tc>
      </w:tr>
      <w:tr w14:paraId="44BF63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471" w:type="pct"/>
            <w:tcBorders>
              <w:tl2br w:val="nil"/>
              <w:tr2bl w:val="nil"/>
            </w:tcBorders>
            <w:vAlign w:val="center"/>
          </w:tcPr>
          <w:p w14:paraId="20A82D9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G2</w:t>
            </w:r>
          </w:p>
        </w:tc>
        <w:tc>
          <w:tcPr>
            <w:tcW w:w="1277" w:type="pct"/>
            <w:tcBorders>
              <w:tl2br w:val="nil"/>
              <w:tr2bl w:val="nil"/>
            </w:tcBorders>
            <w:vAlign w:val="center"/>
          </w:tcPr>
          <w:p w14:paraId="25D4056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val="0"/>
                <w:bCs w:val="0"/>
                <w:color w:val="auto"/>
                <w:sz w:val="21"/>
                <w:szCs w:val="21"/>
                <w:highlight w:val="none"/>
                <w:lang w:val="en-US" w:eastAsia="zh-CN"/>
              </w:rPr>
              <w:t>地下水2#</w:t>
            </w:r>
          </w:p>
        </w:tc>
        <w:tc>
          <w:tcPr>
            <w:tcW w:w="423" w:type="pct"/>
            <w:tcBorders>
              <w:tl2br w:val="nil"/>
              <w:tr2bl w:val="nil"/>
            </w:tcBorders>
            <w:shd w:val="clear" w:color="auto" w:fill="auto"/>
            <w:vAlign w:val="center"/>
          </w:tcPr>
          <w:p w14:paraId="510AE72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53</w:t>
            </w:r>
            <w:r>
              <w:rPr>
                <w:rFonts w:hint="default" w:ascii="Times New Roman" w:hAnsi="Times New Roman" w:cs="Times New Roman"/>
                <w:b w:val="0"/>
                <w:bCs w:val="0"/>
                <w:color w:val="auto"/>
                <w:sz w:val="21"/>
                <w:szCs w:val="21"/>
                <w:highlight w:val="none"/>
                <w:lang w:val="en-US" w:eastAsia="zh-CN"/>
              </w:rPr>
              <w:t>m</w:t>
            </w:r>
          </w:p>
        </w:tc>
        <w:tc>
          <w:tcPr>
            <w:tcW w:w="629" w:type="pct"/>
            <w:tcBorders>
              <w:tl2br w:val="nil"/>
              <w:tr2bl w:val="nil"/>
            </w:tcBorders>
            <w:vAlign w:val="center"/>
          </w:tcPr>
          <w:p w14:paraId="243FB59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110</w:t>
            </w:r>
          </w:p>
        </w:tc>
        <w:tc>
          <w:tcPr>
            <w:tcW w:w="555" w:type="pct"/>
            <w:tcBorders>
              <w:tl2br w:val="nil"/>
              <w:tr2bl w:val="nil"/>
            </w:tcBorders>
            <w:vAlign w:val="center"/>
          </w:tcPr>
          <w:p w14:paraId="366A72EF">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PVC</w:t>
            </w:r>
          </w:p>
        </w:tc>
        <w:tc>
          <w:tcPr>
            <w:tcW w:w="551" w:type="pct"/>
            <w:tcBorders>
              <w:tl2br w:val="nil"/>
              <w:tr2bl w:val="nil"/>
            </w:tcBorders>
            <w:vAlign w:val="center"/>
          </w:tcPr>
          <w:p w14:paraId="56848C2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基岩</w:t>
            </w:r>
          </w:p>
          <w:p w14:paraId="0783A68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裂隙</w:t>
            </w:r>
          </w:p>
          <w:p w14:paraId="371ED0C6">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w:t>
            </w:r>
          </w:p>
        </w:tc>
        <w:tc>
          <w:tcPr>
            <w:tcW w:w="605" w:type="pct"/>
            <w:tcBorders>
              <w:tl2br w:val="nil"/>
              <w:tr2bl w:val="nil"/>
            </w:tcBorders>
            <w:vAlign w:val="center"/>
          </w:tcPr>
          <w:p w14:paraId="05188177">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污染扩</w:t>
            </w:r>
          </w:p>
          <w:p w14:paraId="794C7C4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散监测</w:t>
            </w:r>
          </w:p>
          <w:p w14:paraId="6DDFA1E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点</w:t>
            </w:r>
          </w:p>
        </w:tc>
        <w:tc>
          <w:tcPr>
            <w:tcW w:w="484" w:type="pct"/>
            <w:tcBorders>
              <w:tl2br w:val="nil"/>
              <w:tr2bl w:val="nil"/>
            </w:tcBorders>
            <w:vAlign w:val="center"/>
          </w:tcPr>
          <w:p w14:paraId="26D47D9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地下水侧向</w:t>
            </w:r>
          </w:p>
        </w:tc>
      </w:tr>
      <w:tr w14:paraId="78E87E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471" w:type="pct"/>
            <w:tcBorders>
              <w:tl2br w:val="nil"/>
              <w:tr2bl w:val="nil"/>
            </w:tcBorders>
            <w:vAlign w:val="center"/>
          </w:tcPr>
          <w:p w14:paraId="532DAFF4">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G3</w:t>
            </w:r>
          </w:p>
        </w:tc>
        <w:tc>
          <w:tcPr>
            <w:tcW w:w="1277" w:type="pct"/>
            <w:tcBorders>
              <w:tl2br w:val="nil"/>
              <w:tr2bl w:val="nil"/>
            </w:tcBorders>
            <w:vAlign w:val="center"/>
          </w:tcPr>
          <w:p w14:paraId="044B60D3">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val="0"/>
                <w:bCs w:val="0"/>
                <w:color w:val="auto"/>
                <w:sz w:val="21"/>
                <w:szCs w:val="21"/>
                <w:highlight w:val="none"/>
                <w:lang w:val="en-US" w:eastAsia="zh-CN"/>
              </w:rPr>
              <w:t>地下水</w:t>
            </w:r>
            <w:r>
              <w:rPr>
                <w:rFonts w:hint="default" w:ascii="Times New Roman" w:hAnsi="Times New Roman" w:cs="Times New Roman"/>
                <w:b w:val="0"/>
                <w:bCs w:val="0"/>
                <w:color w:val="auto"/>
                <w:sz w:val="21"/>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w:t>
            </w:r>
          </w:p>
        </w:tc>
        <w:tc>
          <w:tcPr>
            <w:tcW w:w="423" w:type="pct"/>
            <w:tcBorders>
              <w:tl2br w:val="nil"/>
              <w:tr2bl w:val="nil"/>
            </w:tcBorders>
            <w:shd w:val="clear" w:color="auto" w:fill="auto"/>
            <w:vAlign w:val="center"/>
          </w:tcPr>
          <w:p w14:paraId="0BF362EF">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68</w:t>
            </w:r>
            <w:r>
              <w:rPr>
                <w:rFonts w:hint="default" w:ascii="Times New Roman" w:hAnsi="Times New Roman" w:cs="Times New Roman"/>
                <w:b w:val="0"/>
                <w:bCs w:val="0"/>
                <w:color w:val="auto"/>
                <w:sz w:val="21"/>
                <w:szCs w:val="21"/>
                <w:highlight w:val="none"/>
                <w:lang w:val="en-US" w:eastAsia="zh-CN"/>
              </w:rPr>
              <w:t>m</w:t>
            </w:r>
          </w:p>
        </w:tc>
        <w:tc>
          <w:tcPr>
            <w:tcW w:w="629" w:type="pct"/>
            <w:tcBorders>
              <w:tl2br w:val="nil"/>
              <w:tr2bl w:val="nil"/>
            </w:tcBorders>
            <w:vAlign w:val="center"/>
          </w:tcPr>
          <w:p w14:paraId="6A1E1E6E">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110</w:t>
            </w:r>
          </w:p>
        </w:tc>
        <w:tc>
          <w:tcPr>
            <w:tcW w:w="555" w:type="pct"/>
            <w:tcBorders>
              <w:tl2br w:val="nil"/>
              <w:tr2bl w:val="nil"/>
            </w:tcBorders>
            <w:vAlign w:val="center"/>
          </w:tcPr>
          <w:p w14:paraId="4CBCBBB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PVC</w:t>
            </w:r>
          </w:p>
        </w:tc>
        <w:tc>
          <w:tcPr>
            <w:tcW w:w="551" w:type="pct"/>
            <w:tcBorders>
              <w:tl2br w:val="nil"/>
              <w:tr2bl w:val="nil"/>
            </w:tcBorders>
            <w:vAlign w:val="center"/>
          </w:tcPr>
          <w:p w14:paraId="653629D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基岩</w:t>
            </w:r>
          </w:p>
          <w:p w14:paraId="31775A5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裂隙</w:t>
            </w:r>
          </w:p>
          <w:p w14:paraId="5582CDAB">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w:t>
            </w:r>
          </w:p>
        </w:tc>
        <w:tc>
          <w:tcPr>
            <w:tcW w:w="605" w:type="pct"/>
            <w:tcBorders>
              <w:tl2br w:val="nil"/>
              <w:tr2bl w:val="nil"/>
            </w:tcBorders>
            <w:vAlign w:val="center"/>
          </w:tcPr>
          <w:p w14:paraId="586FD860">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污染扩</w:t>
            </w:r>
          </w:p>
          <w:p w14:paraId="70ADA09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散监测</w:t>
            </w:r>
          </w:p>
          <w:p w14:paraId="674697D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点</w:t>
            </w:r>
          </w:p>
        </w:tc>
        <w:tc>
          <w:tcPr>
            <w:tcW w:w="484" w:type="pct"/>
            <w:tcBorders>
              <w:tl2br w:val="nil"/>
              <w:tr2bl w:val="nil"/>
            </w:tcBorders>
            <w:vAlign w:val="center"/>
          </w:tcPr>
          <w:p w14:paraId="0C29DDD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cs="Times New Roman"/>
                <w:color w:val="auto"/>
                <w:spacing w:val="0"/>
                <w:w w:val="100"/>
                <w:position w:val="0"/>
                <w:sz w:val="21"/>
                <w:szCs w:val="21"/>
                <w:lang w:val="en-US" w:eastAsia="zh-CN"/>
              </w:rPr>
              <w:t>地下水侧向</w:t>
            </w:r>
          </w:p>
        </w:tc>
      </w:tr>
      <w:tr w14:paraId="372CA3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471" w:type="pct"/>
            <w:tcBorders>
              <w:tl2br w:val="nil"/>
              <w:tr2bl w:val="nil"/>
            </w:tcBorders>
            <w:vAlign w:val="center"/>
          </w:tcPr>
          <w:p w14:paraId="1CB69A0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G4</w:t>
            </w:r>
          </w:p>
        </w:tc>
        <w:tc>
          <w:tcPr>
            <w:tcW w:w="1277" w:type="pct"/>
            <w:tcBorders>
              <w:tl2br w:val="nil"/>
              <w:tr2bl w:val="nil"/>
            </w:tcBorders>
            <w:vAlign w:val="center"/>
          </w:tcPr>
          <w:p w14:paraId="38C3C77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val="0"/>
                <w:bCs w:val="0"/>
                <w:color w:val="auto"/>
                <w:sz w:val="21"/>
                <w:szCs w:val="21"/>
                <w:highlight w:val="none"/>
                <w:lang w:val="en-US" w:eastAsia="zh-CN"/>
              </w:rPr>
              <w:t>地下水</w:t>
            </w:r>
            <w:r>
              <w:rPr>
                <w:rFonts w:hint="default" w:ascii="Times New Roman" w:hAnsi="Times New Roman" w:cs="Times New Roman"/>
                <w:b w:val="0"/>
                <w:bCs w:val="0"/>
                <w:color w:val="auto"/>
                <w:sz w:val="21"/>
                <w:szCs w:val="21"/>
                <w:highlight w:val="none"/>
                <w:lang w:val="en-US" w:eastAsia="zh-CN"/>
              </w:rPr>
              <w:t>4</w:t>
            </w:r>
            <w:r>
              <w:rPr>
                <w:rFonts w:hint="default" w:ascii="Times New Roman" w:hAnsi="Times New Roman" w:eastAsia="宋体" w:cs="Times New Roman"/>
                <w:b w:val="0"/>
                <w:bCs w:val="0"/>
                <w:color w:val="auto"/>
                <w:sz w:val="21"/>
                <w:szCs w:val="21"/>
                <w:highlight w:val="none"/>
                <w:lang w:val="en-US" w:eastAsia="zh-CN"/>
              </w:rPr>
              <w:t>#</w:t>
            </w:r>
          </w:p>
        </w:tc>
        <w:tc>
          <w:tcPr>
            <w:tcW w:w="423" w:type="pct"/>
            <w:tcBorders>
              <w:tl2br w:val="nil"/>
              <w:tr2bl w:val="nil"/>
            </w:tcBorders>
            <w:shd w:val="clear" w:color="auto" w:fill="auto"/>
            <w:vAlign w:val="center"/>
          </w:tcPr>
          <w:p w14:paraId="47441D12">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41</w:t>
            </w:r>
            <w:r>
              <w:rPr>
                <w:rFonts w:hint="default" w:ascii="Times New Roman" w:hAnsi="Times New Roman" w:cs="Times New Roman"/>
                <w:b w:val="0"/>
                <w:bCs w:val="0"/>
                <w:color w:val="auto"/>
                <w:sz w:val="21"/>
                <w:szCs w:val="21"/>
                <w:highlight w:val="none"/>
                <w:lang w:val="en-US" w:eastAsia="zh-CN"/>
              </w:rPr>
              <w:t>m</w:t>
            </w:r>
          </w:p>
        </w:tc>
        <w:tc>
          <w:tcPr>
            <w:tcW w:w="629" w:type="pct"/>
            <w:tcBorders>
              <w:tl2br w:val="nil"/>
              <w:tr2bl w:val="nil"/>
            </w:tcBorders>
            <w:vAlign w:val="center"/>
          </w:tcPr>
          <w:p w14:paraId="120C973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110</w:t>
            </w:r>
          </w:p>
        </w:tc>
        <w:tc>
          <w:tcPr>
            <w:tcW w:w="555" w:type="pct"/>
            <w:tcBorders>
              <w:tl2br w:val="nil"/>
              <w:tr2bl w:val="nil"/>
            </w:tcBorders>
            <w:vAlign w:val="center"/>
          </w:tcPr>
          <w:p w14:paraId="0151A28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PVC</w:t>
            </w:r>
          </w:p>
        </w:tc>
        <w:tc>
          <w:tcPr>
            <w:tcW w:w="551" w:type="pct"/>
            <w:tcBorders>
              <w:tl2br w:val="nil"/>
              <w:tr2bl w:val="nil"/>
            </w:tcBorders>
            <w:vAlign w:val="center"/>
          </w:tcPr>
          <w:p w14:paraId="358DF2A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基岩</w:t>
            </w:r>
          </w:p>
          <w:p w14:paraId="24423499">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裂隙</w:t>
            </w:r>
          </w:p>
          <w:p w14:paraId="53D36228">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水</w:t>
            </w:r>
          </w:p>
        </w:tc>
        <w:tc>
          <w:tcPr>
            <w:tcW w:w="605" w:type="pct"/>
            <w:tcBorders>
              <w:tl2br w:val="nil"/>
              <w:tr2bl w:val="nil"/>
            </w:tcBorders>
            <w:vAlign w:val="center"/>
          </w:tcPr>
          <w:p w14:paraId="1C8AA7F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下游监控点</w:t>
            </w:r>
          </w:p>
        </w:tc>
        <w:tc>
          <w:tcPr>
            <w:tcW w:w="484" w:type="pct"/>
            <w:tcBorders>
              <w:tl2br w:val="nil"/>
              <w:tr2bl w:val="nil"/>
            </w:tcBorders>
            <w:vAlign w:val="center"/>
          </w:tcPr>
          <w:p w14:paraId="040E177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eastAsia" w:ascii="Times New Roman" w:hAnsi="Times New Roman" w:cs="Times New Roman"/>
                <w:color w:val="auto"/>
                <w:spacing w:val="0"/>
                <w:w w:val="100"/>
                <w:position w:val="0"/>
                <w:sz w:val="21"/>
                <w:szCs w:val="21"/>
                <w:lang w:val="en-US" w:eastAsia="zh-CN"/>
              </w:rPr>
              <w:t>地下水下游</w:t>
            </w:r>
          </w:p>
        </w:tc>
      </w:tr>
    </w:tbl>
    <w:p w14:paraId="2A37D3D3">
      <w:pPr>
        <w:spacing w:before="51" w:line="218" w:lineRule="auto"/>
        <w:ind w:left="40"/>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备注：监测井的深度为初步估算，具体深度宜进入稳定水面下2m。污染扩散监测点必要时可作为应急抽水井，控制污染物继续扩散。</w:t>
      </w:r>
    </w:p>
    <w:p w14:paraId="7110CA45">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（2）监测因子</w:t>
      </w:r>
    </w:p>
    <w:p w14:paraId="31BCE9B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基本水质因子：pH、溶解性总固体、耗氧量、氯化物、硝酸盐（以N计）、亚硝酸盐（以N计）、铅、砷、镉、汞、六价铬；</w:t>
      </w:r>
    </w:p>
    <w:p w14:paraId="2405CDF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特征因子：铜、石油类</w:t>
      </w:r>
    </w:p>
    <w:p w14:paraId="6737961C">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（3）监测频次</w:t>
      </w:r>
    </w:p>
    <w:p w14:paraId="65C1505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每季度一次。如发现污染和水质恶化时，应加密监测频次。</w:t>
      </w:r>
    </w:p>
    <w:p w14:paraId="3BD82F6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（4）监测管理</w:t>
      </w:r>
    </w:p>
    <w:p w14:paraId="254BBDA6">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sz w:val="24"/>
          <w:szCs w:val="24"/>
        </w:rPr>
        <w:t>将每次的监测数据及时进行统计、整理，并将每次的监测结果与相关标准及历史监测结果进行比较，以分析地下水水质各项指标的变化情况，确保矿区周围及下游地下水环境的安全。</w:t>
      </w:r>
    </w:p>
    <w:p w14:paraId="76D7A4B9">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"5.4.6.4"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5.4.6.4</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风险应急措施</w:t>
      </w:r>
    </w:p>
    <w:p w14:paraId="456299A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应急预案</w:t>
      </w:r>
    </w:p>
    <w:p w14:paraId="012805B3">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在制定全矿安全管理体制的基础上，制订专门的地下水污染事故的应急措施，并应与</w:t>
      </w:r>
      <w:r>
        <w:rPr>
          <w:rFonts w:hint="default" w:ascii="Times New Roman" w:hAnsi="Times New Roman" w:cs="Times New Roman"/>
          <w:color w:val="auto"/>
          <w:spacing w:val="0"/>
          <w:w w:val="100"/>
          <w:position w:val="0"/>
          <w:sz w:val="24"/>
          <w:szCs w:val="24"/>
          <w:lang w:eastAsia="zh-CN"/>
        </w:rPr>
        <w:t>其他</w:t>
      </w:r>
      <w:r>
        <w:rPr>
          <w:rFonts w:hint="default" w:ascii="Times New Roman" w:hAnsi="Times New Roman" w:eastAsia="宋体" w:cs="Times New Roman"/>
          <w:color w:val="auto"/>
          <w:spacing w:val="0"/>
          <w:w w:val="100"/>
          <w:position w:val="0"/>
          <w:sz w:val="24"/>
          <w:szCs w:val="24"/>
        </w:rPr>
        <w:t>应急预案相协调。</w:t>
      </w:r>
    </w:p>
    <w:p w14:paraId="71A1E17D">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地下水应急预案应包括以下内容：</w:t>
      </w:r>
    </w:p>
    <w:p w14:paraId="46EE7CE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①应急预案的日常协调和指挥机构。</w:t>
      </w:r>
    </w:p>
    <w:p w14:paraId="13AD5B8D">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②相关部门在应急预案中的职责和分工。</w:t>
      </w:r>
    </w:p>
    <w:p w14:paraId="05F7F5D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③地下水环境保护目标的确定，采取的紧急处置措施和潜在污染源评估。</w:t>
      </w:r>
    </w:p>
    <w:p w14:paraId="27F4A21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④特大事故应急救援组织状况和人员、装备情况，平常的训练和演习。</w:t>
      </w:r>
    </w:p>
    <w:p w14:paraId="639C358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⑤特大事故的社会支持和援助，应急救援的经费保障。</w:t>
      </w:r>
    </w:p>
    <w:p w14:paraId="0D21CDD0">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应急处置</w:t>
      </w:r>
    </w:p>
    <w:p w14:paraId="7A1D7111">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一旦发现地下水发生异常情况，必须按照应急预案马上采取紧急措施：</w:t>
      </w:r>
    </w:p>
    <w:p w14:paraId="5E51471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①当确定发生地下水异常情况时，按照制订的地下水应急预案，在第一时间内尽快上报公司主管领导，密切关注地下水水质变化情况。</w:t>
      </w:r>
    </w:p>
    <w:p w14:paraId="617B15F0">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②组织专业队伍对事故现场进行调查、监测，查找环境事故发生点、分析事故原因，尽量将紧急事件局部化，如可能应予以消除，采取包括切断生产装置或设施等措施，防止事故的扩散、蔓延及连锁反应，尽量缩小地下水污染事故对人员和财产的影响。</w:t>
      </w:r>
    </w:p>
    <w:p w14:paraId="5D69B137">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③当通过监测发现对周围地下水造成污染时，根据观测井的反馈信息，对污染区地下水进行人工抽采形成地下水降落漏斗，控制污染区地下水流场，防止污染物扩散，并抽取已污染的地下水处理后回用。</w:t>
      </w:r>
    </w:p>
    <w:p w14:paraId="63D8855D">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④对事故后果进行评估，并制定防止类似事件发生的措施。</w:t>
      </w:r>
    </w:p>
    <w:p w14:paraId="1DEB1BCB">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⑤必要时应请求社会应急力量协助处理。</w:t>
      </w:r>
    </w:p>
    <w:p w14:paraId="01CAF162">
      <w:pPr>
        <w:keepNext w:val="0"/>
        <w:keepLines w:val="0"/>
        <w:pageBreakBefore w:val="0"/>
        <w:widowControl w:val="0"/>
        <w:kinsoku/>
        <w:wordWrap/>
        <w:overflowPunct/>
        <w:topLinePunct w:val="0"/>
        <w:autoSpaceDE/>
        <w:autoSpaceDN/>
        <w:bidi w:val="0"/>
        <w:adjustRightInd/>
        <w:snapToGrid/>
        <w:spacing w:line="480" w:lineRule="exact"/>
        <w:ind w:left="0" w:firstLine="482" w:firstLineChars="200"/>
        <w:textAlignment w:val="auto"/>
        <w:outlineLvl w:val="3"/>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"5.4.6.5"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5.4.6.5</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其他措施</w:t>
      </w:r>
    </w:p>
    <w:p w14:paraId="4A7BCFD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加强管理，增设环保工作组，定期检查矿内的生产运行是否规范，禁止乱排垃圾、生产过程中的废渣、废水，防止降雨淋溶产生的淋滤液下渗污染地下水。</w:t>
      </w:r>
    </w:p>
    <w:p w14:paraId="6ABEE839">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每天每个班组均要重点关注各可能的地下水污染源，尤其关注接地水池，检查其正常积水位有无变化，若水位较正常积水位明显降低，则迅速查明是否出现了泄漏，并及时处理，确保矿区各污染源处于安全防护状态。</w:t>
      </w:r>
    </w:p>
    <w:p w14:paraId="4E3E392F">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各跟踪监测井的井口应高出地面并加井盖，井周围应</w:t>
      </w:r>
      <w:r>
        <w:rPr>
          <w:rFonts w:hint="eastAsia" w:ascii="Times New Roman" w:hAnsi="Times New Roman" w:cs="Times New Roman"/>
          <w:color w:val="auto"/>
          <w:spacing w:val="0"/>
          <w:w w:val="100"/>
          <w:position w:val="0"/>
          <w:sz w:val="24"/>
          <w:szCs w:val="24"/>
          <w:lang w:eastAsia="zh-CN"/>
        </w:rPr>
        <w:t>设置</w:t>
      </w:r>
      <w:r>
        <w:rPr>
          <w:rFonts w:hint="default" w:ascii="Times New Roman" w:hAnsi="Times New Roman" w:eastAsia="宋体" w:cs="Times New Roman"/>
          <w:color w:val="auto"/>
          <w:spacing w:val="0"/>
          <w:w w:val="100"/>
          <w:position w:val="0"/>
          <w:sz w:val="24"/>
          <w:szCs w:val="24"/>
        </w:rPr>
        <w:t>密闭防护设施，以避免跟踪监测井受到污染。</w:t>
      </w:r>
    </w:p>
    <w:p w14:paraId="625AE728">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地下水环境影响评价结论</w:t>
      </w:r>
    </w:p>
    <w:p w14:paraId="43B4D144">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lang w:val="en-US" w:eastAsia="zh-CN"/>
        </w:rPr>
        <w:t>1</w:t>
      </w:r>
      <w:r>
        <w:rPr>
          <w:rFonts w:hint="default" w:ascii="Times New Roman" w:hAnsi="Times New Roman" w:eastAsia="宋体" w:cs="Times New Roman"/>
          <w:color w:val="auto"/>
          <w:spacing w:val="0"/>
          <w:w w:val="100"/>
          <w:position w:val="0"/>
          <w:sz w:val="24"/>
          <w:szCs w:val="24"/>
        </w:rPr>
        <w:t>）矿区地下水水位变幅不大，和气象诸要素联系不太密切，地下水循环交替较差，基本上处于停滞状态，含水层之间水力联系不密切。矿区地下水矿化度高，无开发利用价值，矿区周边无居民，无地下水开发利用情况。</w:t>
      </w:r>
    </w:p>
    <w:p w14:paraId="555E628C">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）矿体开采后会疏干部分含水层中的地下水，地下开采后，最大影响范围为</w:t>
      </w:r>
      <w:r>
        <w:rPr>
          <w:rFonts w:hint="default" w:ascii="Times New Roman" w:hAnsi="Times New Roman" w:cs="Times New Roman"/>
          <w:color w:val="auto"/>
          <w:spacing w:val="0"/>
          <w:w w:val="100"/>
          <w:position w:val="0"/>
          <w:sz w:val="24"/>
          <w:szCs w:val="24"/>
          <w:lang w:val="en-US" w:eastAsia="zh-CN"/>
        </w:rPr>
        <w:t>380</w:t>
      </w:r>
      <w:r>
        <w:rPr>
          <w:rFonts w:hint="default" w:ascii="Times New Roman" w:hAnsi="Times New Roman" w:eastAsia="宋体" w:cs="Times New Roman"/>
          <w:color w:val="auto"/>
          <w:spacing w:val="0"/>
          <w:w w:val="100"/>
          <w:position w:val="0"/>
          <w:sz w:val="24"/>
          <w:szCs w:val="24"/>
        </w:rPr>
        <w:t>m。在该范围内的含水层的地下水水位降深由影响范围边界向中部逐渐变大。矿区地下水极度贫乏，含水层富水性差，矿化度高，地下水无开发利用价值，且矿区周边无居民，无地下水开发利用情况，矿山开采不会对周边敏感点造成影响。矿区大部分为裸岩石砾地，仅有的少部分其他草地主要依靠土壤中的水分及少量降雨存活，地下水水位埋深较深，根系无法从地下水含水层中汲取水分，因此，矿体开采不会对地表植被生长造成明显不利影响。</w:t>
      </w:r>
    </w:p>
    <w:p w14:paraId="4D14B237">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正常状况下渗漏的水量特别微小，渗漏的水量甚至不能进入含水层中，不会对地下水环境造成明显不利影响。非正常状况下</w:t>
      </w:r>
      <w:r>
        <w:rPr>
          <w:rFonts w:hint="default" w:ascii="Times New Roman" w:hAnsi="Times New Roman" w:eastAsia="宋体" w:cs="Times New Roman"/>
          <w:color w:val="auto"/>
          <w:spacing w:val="0"/>
          <w:w w:val="100"/>
          <w:position w:val="0"/>
          <w:sz w:val="24"/>
          <w:szCs w:val="24"/>
          <w:lang w:val="en-US" w:eastAsia="zh-CN"/>
        </w:rPr>
        <w:t>污水处理站</w:t>
      </w:r>
      <w:r>
        <w:rPr>
          <w:rFonts w:hint="default" w:ascii="Times New Roman" w:hAnsi="Times New Roman" w:eastAsia="宋体" w:cs="Times New Roman"/>
          <w:color w:val="auto"/>
          <w:spacing w:val="0"/>
          <w:w w:val="100"/>
          <w:position w:val="0"/>
          <w:sz w:val="24"/>
          <w:szCs w:val="24"/>
        </w:rPr>
        <w:t>废水泄漏会对</w:t>
      </w:r>
      <w:r>
        <w:rPr>
          <w:rFonts w:hint="default" w:ascii="Times New Roman" w:hAnsi="Times New Roman" w:eastAsia="宋体" w:cs="Times New Roman"/>
          <w:color w:val="auto"/>
          <w:spacing w:val="0"/>
          <w:w w:val="100"/>
          <w:position w:val="0"/>
          <w:sz w:val="24"/>
          <w:szCs w:val="24"/>
          <w:lang w:val="en-US" w:eastAsia="zh-CN"/>
        </w:rPr>
        <w:t>矿区</w:t>
      </w:r>
      <w:r>
        <w:rPr>
          <w:rFonts w:hint="default" w:ascii="Times New Roman" w:hAnsi="Times New Roman" w:eastAsia="宋体" w:cs="Times New Roman"/>
          <w:color w:val="auto"/>
          <w:spacing w:val="0"/>
          <w:w w:val="100"/>
          <w:position w:val="0"/>
          <w:sz w:val="24"/>
          <w:szCs w:val="24"/>
        </w:rPr>
        <w:t>内地下水水质造成污染，由于评价区内含水层导水性较差，污染物的迁移距离较短，基本位于</w:t>
      </w:r>
      <w:r>
        <w:rPr>
          <w:rFonts w:hint="default" w:ascii="Times New Roman" w:hAnsi="Times New Roman" w:eastAsia="宋体" w:cs="Times New Roman"/>
          <w:color w:val="auto"/>
          <w:spacing w:val="0"/>
          <w:w w:val="100"/>
          <w:position w:val="0"/>
          <w:sz w:val="24"/>
          <w:szCs w:val="24"/>
          <w:lang w:val="en-US" w:eastAsia="zh-CN"/>
        </w:rPr>
        <w:t>矿区</w:t>
      </w:r>
      <w:r>
        <w:rPr>
          <w:rFonts w:hint="default" w:ascii="Times New Roman" w:hAnsi="Times New Roman" w:eastAsia="宋体" w:cs="Times New Roman"/>
          <w:color w:val="auto"/>
          <w:spacing w:val="0"/>
          <w:w w:val="100"/>
          <w:position w:val="0"/>
          <w:sz w:val="24"/>
          <w:szCs w:val="24"/>
        </w:rPr>
        <w:t>范围内，会导致</w:t>
      </w:r>
      <w:r>
        <w:rPr>
          <w:rFonts w:hint="eastAsia" w:ascii="Times New Roman" w:hAnsi="Times New Roman" w:cs="Times New Roman"/>
          <w:color w:val="auto"/>
          <w:spacing w:val="0"/>
          <w:w w:val="100"/>
          <w:position w:val="0"/>
          <w:sz w:val="24"/>
          <w:szCs w:val="24"/>
          <w:lang w:eastAsia="zh-CN"/>
        </w:rPr>
        <w:t>污染</w:t>
      </w:r>
      <w:r>
        <w:rPr>
          <w:rFonts w:hint="default" w:ascii="Times New Roman" w:hAnsi="Times New Roman" w:eastAsia="宋体" w:cs="Times New Roman"/>
          <w:color w:val="auto"/>
          <w:spacing w:val="0"/>
          <w:w w:val="100"/>
          <w:position w:val="0"/>
          <w:sz w:val="24"/>
          <w:szCs w:val="24"/>
        </w:rPr>
        <w:t>范围内的地下水水质恶化，因此，需要极力避免出现泄漏情况，加强对防渗结构的检漏。</w:t>
      </w:r>
    </w:p>
    <w:p w14:paraId="5D761B5A">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rPr>
        <w:t>）本次评价提出了源头控制、分区防渗、监测措施及风险应急措施。对采矿工业场地机修车间等进行重点防渗，对生活污水处理站等采取一般防渗，其余地段采用简单防渗；废石场采用人工材料进行防渗，防渗结构渗透系数满足《一般工业固体废物贮存和填埋污染控制标准》（GB18599-2020）I类场要求。本次评价在矿区上游、主要污染源下游布设了</w:t>
      </w:r>
      <w:r>
        <w:rPr>
          <w:rFonts w:hint="default" w:ascii="Times New Roman" w:hAnsi="Times New Roman" w:cs="Times New Roman"/>
          <w:color w:val="auto"/>
          <w:spacing w:val="0"/>
          <w:w w:val="100"/>
          <w:position w:val="0"/>
          <w:sz w:val="24"/>
          <w:szCs w:val="24"/>
          <w:lang w:val="en-US" w:eastAsia="zh-CN"/>
        </w:rPr>
        <w:t>4</w:t>
      </w:r>
      <w:r>
        <w:rPr>
          <w:rFonts w:hint="default" w:ascii="Times New Roman" w:hAnsi="Times New Roman" w:eastAsia="宋体" w:cs="Times New Roman"/>
          <w:color w:val="auto"/>
          <w:spacing w:val="0"/>
          <w:w w:val="100"/>
          <w:position w:val="0"/>
          <w:sz w:val="24"/>
          <w:szCs w:val="24"/>
        </w:rPr>
        <w:t>个地下水跟踪监测井，基本监测因子为pH、溶解性总固体、耗氧量、氯化物、硝酸盐（以N计）、亚硝酸盐（以N计）、铅、砷、镉、汞、六价铬，特征监测因子为铜、石油类，每季度监测一次。本次评价还要求建设单位制定专门的地下水风险应急预案，并定期进行演练。</w:t>
      </w:r>
    </w:p>
    <w:p w14:paraId="37F6BAAE">
      <w:pPr>
        <w:pStyle w:val="12"/>
        <w:pageBreakBefore w:val="0"/>
        <w:widowControl w:val="0"/>
        <w:kinsoku/>
        <w:wordWrap/>
        <w:overflowPunct/>
        <w:topLinePunct w:val="0"/>
        <w:autoSpaceDE/>
        <w:autoSpaceDN/>
        <w:bidi w:val="0"/>
        <w:adjustRightInd/>
        <w:snapToGrid/>
        <w:spacing w:after="0"/>
        <w:ind w:left="0" w:firstLine="480" w:firstLineChars="200"/>
        <w:textAlignment w:val="auto"/>
        <w:rPr>
          <w:rFonts w:hint="default" w:ascii="Times New Roman" w:hAnsi="Times New Roman" w:eastAsia="宋体" w:cs="Times New Roman"/>
          <w:color w:val="auto"/>
          <w:spacing w:val="0"/>
          <w:w w:val="100"/>
          <w:position w:val="0"/>
          <w:sz w:val="24"/>
          <w:szCs w:val="24"/>
        </w:rPr>
        <w:sectPr>
          <w:headerReference r:id="rId44" w:type="default"/>
          <w:footerReference r:id="rId45" w:type="default"/>
          <w:footerReference r:id="rId46" w:type="even"/>
          <w:pgSz w:w="11906" w:h="16838"/>
          <w:pgMar w:top="1440" w:right="1800" w:bottom="1440" w:left="1800" w:header="680" w:footer="850"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color w:val="auto"/>
          <w:spacing w:val="0"/>
          <w:w w:val="100"/>
          <w:position w:val="0"/>
          <w:sz w:val="24"/>
          <w:szCs w:val="24"/>
        </w:rPr>
        <w:t>本次评价认为，在采取了本项目提出的源头控制、分区防渗、监测措施、风险应急措施的基础上，从地下水环境影响角度分析，本项目可行。</w:t>
      </w:r>
    </w:p>
    <w:p w14:paraId="057881FF">
      <w:pPr>
        <w:pStyle w:val="3"/>
        <w:bidi w:val="0"/>
        <w:rPr>
          <w:rFonts w:hint="default" w:ascii="Times New Roman" w:hAnsi="Times New Roman" w:cs="Times New Roman"/>
          <w:color w:val="auto"/>
        </w:rPr>
      </w:pPr>
      <w:bookmarkStart w:id="621" w:name="_Toc5878"/>
      <w:bookmarkStart w:id="622" w:name="_Toc27843"/>
      <w:r>
        <w:rPr>
          <w:rFonts w:hint="default" w:ascii="Times New Roman" w:hAnsi="Times New Roman" w:cs="Times New Roman"/>
          <w:color w:val="auto"/>
        </w:rPr>
        <w:t>声环境影响预测与评价</w:t>
      </w:r>
      <w:bookmarkEnd w:id="621"/>
      <w:bookmarkEnd w:id="622"/>
    </w:p>
    <w:p w14:paraId="422582CE">
      <w:pPr>
        <w:pStyle w:val="4"/>
        <w:bidi w:val="0"/>
        <w:rPr>
          <w:rFonts w:hint="default" w:ascii="Times New Roman" w:hAnsi="Times New Roman" w:cs="Times New Roman"/>
          <w:color w:val="auto"/>
        </w:rPr>
      </w:pPr>
      <w:r>
        <w:rPr>
          <w:rFonts w:hint="default" w:ascii="Times New Roman" w:hAnsi="Times New Roman" w:cs="Times New Roman"/>
          <w:color w:val="auto"/>
        </w:rPr>
        <w:t>声环境敏感目标</w:t>
      </w:r>
    </w:p>
    <w:p w14:paraId="5FB9DDE7">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本拟建项目周边200m范围内无声环境</w:t>
      </w:r>
      <w:r>
        <w:rPr>
          <w:rFonts w:hint="default" w:ascii="Times New Roman" w:hAnsi="Times New Roman" w:eastAsia="宋体" w:cs="Times New Roman"/>
          <w:color w:val="auto"/>
          <w:spacing w:val="0"/>
          <w:w w:val="100"/>
          <w:position w:val="0"/>
          <w:sz w:val="24"/>
          <w:szCs w:val="24"/>
          <w:lang w:val="en-US" w:eastAsia="zh-CN"/>
        </w:rPr>
        <w:t>保护目标</w:t>
      </w:r>
      <w:r>
        <w:rPr>
          <w:rFonts w:hint="default" w:ascii="Times New Roman" w:hAnsi="Times New Roman" w:eastAsia="宋体" w:cs="Times New Roman"/>
          <w:color w:val="auto"/>
          <w:spacing w:val="0"/>
          <w:w w:val="100"/>
          <w:position w:val="0"/>
          <w:sz w:val="24"/>
          <w:szCs w:val="24"/>
        </w:rPr>
        <w:t>。</w:t>
      </w:r>
    </w:p>
    <w:p w14:paraId="1738F1AC">
      <w:pPr>
        <w:pStyle w:val="4"/>
        <w:bidi w:val="0"/>
        <w:rPr>
          <w:rFonts w:hint="default" w:ascii="Times New Roman" w:hAnsi="Times New Roman" w:cs="Times New Roman"/>
          <w:color w:val="auto"/>
        </w:rPr>
      </w:pPr>
      <w:r>
        <w:rPr>
          <w:rFonts w:hint="default" w:ascii="Times New Roman" w:hAnsi="Times New Roman" w:cs="Times New Roman"/>
          <w:color w:val="auto"/>
        </w:rPr>
        <w:t>工业场地噪声环境影响预测</w:t>
      </w:r>
    </w:p>
    <w:p w14:paraId="25CC572A">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3"/>
          <w:sz w:val="24"/>
          <w:szCs w:val="24"/>
        </w:rPr>
        <w:t>根据项目生产特点，将进入运行期后主要产生噪声影响的采矿工业场地</w:t>
      </w:r>
      <w:r>
        <w:rPr>
          <w:rFonts w:hint="default" w:ascii="Times New Roman" w:hAnsi="Times New Roman" w:eastAsia="宋体" w:cs="Times New Roman"/>
          <w:color w:val="auto"/>
          <w:spacing w:val="-4"/>
          <w:sz w:val="24"/>
          <w:szCs w:val="24"/>
        </w:rPr>
        <w:t>作</w:t>
      </w:r>
      <w:r>
        <w:rPr>
          <w:rFonts w:hint="default" w:ascii="Times New Roman" w:hAnsi="Times New Roman" w:eastAsia="宋体" w:cs="Times New Roman"/>
          <w:color w:val="auto"/>
          <w:spacing w:val="-6"/>
          <w:sz w:val="24"/>
          <w:szCs w:val="24"/>
        </w:rPr>
        <w:t>为评价重点区。</w:t>
      </w:r>
    </w:p>
    <w:p w14:paraId="0C6450FC">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0"/>
          <w:w w:val="100"/>
          <w:position w:val="0"/>
          <w:szCs w:val="24"/>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"5.5.2.1"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5.5.2.1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噪声源强</w:t>
      </w:r>
    </w:p>
    <w:p w14:paraId="18EA47D0">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地面噪声源主要是固定设备产生的噪声。噪声源主要集中在</w:t>
      </w:r>
      <w:r>
        <w:rPr>
          <w:rFonts w:hint="default" w:ascii="Times New Roman" w:hAnsi="Times New Roman" w:eastAsia="宋体" w:cs="Times New Roman"/>
          <w:color w:val="auto"/>
          <w:spacing w:val="-3"/>
          <w:sz w:val="24"/>
          <w:szCs w:val="24"/>
          <w:lang w:val="en-US" w:eastAsia="zh-CN"/>
        </w:rPr>
        <w:t>破</w:t>
      </w:r>
      <w:r>
        <w:rPr>
          <w:rFonts w:hint="default" w:ascii="Times New Roman" w:hAnsi="Times New Roman" w:eastAsia="宋体" w:cs="Times New Roman"/>
          <w:color w:val="auto"/>
          <w:spacing w:val="-3"/>
          <w:sz w:val="24"/>
          <w:szCs w:val="24"/>
        </w:rPr>
        <w:t>碎</w:t>
      </w:r>
      <w:r>
        <w:rPr>
          <w:rFonts w:hint="default" w:ascii="Times New Roman" w:hAnsi="Times New Roman" w:eastAsia="宋体" w:cs="Times New Roman"/>
          <w:color w:val="auto"/>
          <w:spacing w:val="-3"/>
          <w:sz w:val="24"/>
          <w:szCs w:val="24"/>
          <w:lang w:val="en-US" w:eastAsia="zh-CN"/>
        </w:rPr>
        <w:t>站</w:t>
      </w:r>
      <w:r>
        <w:rPr>
          <w:rFonts w:hint="default" w:ascii="Times New Roman" w:hAnsi="Times New Roman" w:eastAsia="宋体" w:cs="Times New Roman"/>
          <w:color w:val="auto"/>
          <w:spacing w:val="-3"/>
          <w:sz w:val="24"/>
          <w:szCs w:val="24"/>
        </w:rPr>
        <w:t>、</w:t>
      </w:r>
      <w:r>
        <w:rPr>
          <w:rFonts w:hint="default" w:ascii="Times New Roman" w:hAnsi="Times New Roman" w:eastAsia="宋体" w:cs="Times New Roman"/>
          <w:color w:val="auto"/>
          <w:spacing w:val="-3"/>
          <w:sz w:val="24"/>
          <w:szCs w:val="24"/>
          <w:lang w:val="en-US" w:eastAsia="zh-CN"/>
        </w:rPr>
        <w:t>矿区工业场地</w:t>
      </w:r>
      <w:r>
        <w:rPr>
          <w:rFonts w:hint="default" w:ascii="Times New Roman" w:hAnsi="Times New Roman" w:eastAsia="宋体" w:cs="Times New Roman"/>
          <w:color w:val="auto"/>
          <w:spacing w:val="-3"/>
          <w:sz w:val="24"/>
          <w:szCs w:val="24"/>
        </w:rPr>
        <w:t>等。项目源强采用《采掘类环境影响评价环境影响评价工程师职业资格登记培训教材》中确定的金属矿山的主要噪声源。工程主要噪声源及其源强见表5.5-1。</w:t>
      </w:r>
    </w:p>
    <w:p w14:paraId="4A144C14">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zh-CN" w:eastAsia="zh-CN"/>
        </w:rPr>
      </w:pPr>
      <w:r>
        <w:rPr>
          <w:rFonts w:hint="default" w:ascii="Times New Roman" w:hAnsi="Times New Roman" w:eastAsia="宋体" w:cs="Times New Roman"/>
          <w:b/>
          <w:bCs/>
          <w:color w:val="auto"/>
          <w:spacing w:val="-2"/>
          <w:sz w:val="21"/>
          <w:szCs w:val="21"/>
          <w:lang w:val="zh-CN" w:eastAsia="zh-CN"/>
        </w:rPr>
        <w:t>表5.5-1</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lang w:val="zh-CN" w:eastAsia="zh-CN"/>
        </w:rPr>
        <w:t>噪声源设备及源强表</w:t>
      </w:r>
    </w:p>
    <w:tbl>
      <w:tblPr>
        <w:tblStyle w:val="21"/>
        <w:tblW w:w="510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565"/>
        <w:gridCol w:w="1842"/>
        <w:gridCol w:w="925"/>
        <w:gridCol w:w="1295"/>
        <w:gridCol w:w="552"/>
        <w:gridCol w:w="552"/>
        <w:gridCol w:w="559"/>
        <w:gridCol w:w="736"/>
        <w:gridCol w:w="731"/>
        <w:gridCol w:w="756"/>
      </w:tblGrid>
      <w:tr w14:paraId="165943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vMerge w:val="restart"/>
            <w:tcBorders>
              <w:tl2br w:val="nil"/>
              <w:tr2bl w:val="nil"/>
            </w:tcBorders>
            <w:vAlign w:val="center"/>
          </w:tcPr>
          <w:p w14:paraId="70263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序号</w:t>
            </w:r>
          </w:p>
        </w:tc>
        <w:tc>
          <w:tcPr>
            <w:tcW w:w="1081" w:type="pct"/>
            <w:vMerge w:val="restart"/>
            <w:tcBorders>
              <w:tl2br w:val="nil"/>
              <w:tr2bl w:val="nil"/>
            </w:tcBorders>
            <w:vAlign w:val="center"/>
          </w:tcPr>
          <w:p w14:paraId="756E8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声源位置及名称</w:t>
            </w:r>
          </w:p>
        </w:tc>
        <w:tc>
          <w:tcPr>
            <w:tcW w:w="543" w:type="pct"/>
            <w:vMerge w:val="restart"/>
            <w:tcBorders>
              <w:tl2br w:val="nil"/>
              <w:tr2bl w:val="nil"/>
            </w:tcBorders>
            <w:vAlign w:val="center"/>
          </w:tcPr>
          <w:p w14:paraId="19451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声源源强dB（A）</w:t>
            </w:r>
          </w:p>
        </w:tc>
        <w:tc>
          <w:tcPr>
            <w:tcW w:w="760" w:type="pct"/>
            <w:vMerge w:val="restart"/>
            <w:tcBorders>
              <w:tl2br w:val="nil"/>
              <w:tr2bl w:val="nil"/>
            </w:tcBorders>
            <w:vAlign w:val="center"/>
          </w:tcPr>
          <w:p w14:paraId="2F026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声源控制措施</w:t>
            </w:r>
          </w:p>
        </w:tc>
        <w:tc>
          <w:tcPr>
            <w:tcW w:w="976" w:type="pct"/>
            <w:gridSpan w:val="3"/>
            <w:tcBorders>
              <w:tl2br w:val="nil"/>
              <w:tr2bl w:val="nil"/>
            </w:tcBorders>
            <w:vAlign w:val="center"/>
          </w:tcPr>
          <w:p w14:paraId="581C9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空间相对位置</w:t>
            </w:r>
          </w:p>
        </w:tc>
        <w:tc>
          <w:tcPr>
            <w:tcW w:w="432" w:type="pct"/>
            <w:vMerge w:val="restart"/>
            <w:tcBorders>
              <w:tl2br w:val="nil"/>
              <w:tr2bl w:val="nil"/>
            </w:tcBorders>
            <w:vAlign w:val="center"/>
          </w:tcPr>
          <w:p w14:paraId="14965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运行时段</w:t>
            </w:r>
          </w:p>
        </w:tc>
        <w:tc>
          <w:tcPr>
            <w:tcW w:w="873" w:type="pct"/>
            <w:gridSpan w:val="2"/>
            <w:tcBorders>
              <w:tl2br w:val="nil"/>
              <w:tr2bl w:val="nil"/>
            </w:tcBorders>
            <w:vAlign w:val="center"/>
          </w:tcPr>
          <w:p w14:paraId="3445B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建筑物外噪声</w:t>
            </w:r>
          </w:p>
        </w:tc>
      </w:tr>
      <w:tr w14:paraId="25B69E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502" w:hRule="atLeast"/>
          <w:jc w:val="center"/>
        </w:trPr>
        <w:tc>
          <w:tcPr>
            <w:tcW w:w="332" w:type="pct"/>
            <w:vMerge w:val="continue"/>
            <w:tcBorders>
              <w:tl2br w:val="nil"/>
              <w:tr2bl w:val="nil"/>
            </w:tcBorders>
            <w:vAlign w:val="center"/>
          </w:tcPr>
          <w:p w14:paraId="2888EE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p>
        </w:tc>
        <w:tc>
          <w:tcPr>
            <w:tcW w:w="1081" w:type="pct"/>
            <w:vMerge w:val="continue"/>
            <w:tcBorders>
              <w:tl2br w:val="nil"/>
              <w:tr2bl w:val="nil"/>
            </w:tcBorders>
            <w:vAlign w:val="center"/>
          </w:tcPr>
          <w:p w14:paraId="4FAB4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p>
        </w:tc>
        <w:tc>
          <w:tcPr>
            <w:tcW w:w="543" w:type="pct"/>
            <w:vMerge w:val="continue"/>
            <w:tcBorders>
              <w:tl2br w:val="nil"/>
              <w:tr2bl w:val="nil"/>
            </w:tcBorders>
            <w:vAlign w:val="center"/>
          </w:tcPr>
          <w:p w14:paraId="7FB812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p>
        </w:tc>
        <w:tc>
          <w:tcPr>
            <w:tcW w:w="760" w:type="pct"/>
            <w:vMerge w:val="continue"/>
            <w:tcBorders>
              <w:tl2br w:val="nil"/>
              <w:tr2bl w:val="nil"/>
            </w:tcBorders>
            <w:vAlign w:val="center"/>
          </w:tcPr>
          <w:p w14:paraId="4A626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p>
        </w:tc>
        <w:tc>
          <w:tcPr>
            <w:tcW w:w="324" w:type="pct"/>
            <w:tcBorders>
              <w:tl2br w:val="nil"/>
              <w:tr2bl w:val="nil"/>
            </w:tcBorders>
            <w:vAlign w:val="center"/>
          </w:tcPr>
          <w:p w14:paraId="2FD8D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X</w:t>
            </w:r>
          </w:p>
        </w:tc>
        <w:tc>
          <w:tcPr>
            <w:tcW w:w="324" w:type="pct"/>
            <w:tcBorders>
              <w:tl2br w:val="nil"/>
              <w:tr2bl w:val="nil"/>
            </w:tcBorders>
            <w:vAlign w:val="center"/>
          </w:tcPr>
          <w:p w14:paraId="7D10F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Y</w:t>
            </w:r>
          </w:p>
        </w:tc>
        <w:tc>
          <w:tcPr>
            <w:tcW w:w="328" w:type="pct"/>
            <w:tcBorders>
              <w:tl2br w:val="nil"/>
              <w:tr2bl w:val="nil"/>
            </w:tcBorders>
            <w:vAlign w:val="center"/>
          </w:tcPr>
          <w:p w14:paraId="6ABEC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Z</w:t>
            </w:r>
          </w:p>
        </w:tc>
        <w:tc>
          <w:tcPr>
            <w:tcW w:w="432" w:type="pct"/>
            <w:vMerge w:val="continue"/>
            <w:tcBorders>
              <w:tl2br w:val="nil"/>
              <w:tr2bl w:val="nil"/>
            </w:tcBorders>
            <w:vAlign w:val="center"/>
          </w:tcPr>
          <w:p w14:paraId="2FA8D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p>
        </w:tc>
        <w:tc>
          <w:tcPr>
            <w:tcW w:w="429" w:type="pct"/>
            <w:tcBorders>
              <w:tl2br w:val="nil"/>
              <w:tr2bl w:val="nil"/>
            </w:tcBorders>
            <w:vAlign w:val="center"/>
          </w:tcPr>
          <w:p w14:paraId="47194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声压级/dB（A）</w:t>
            </w:r>
          </w:p>
        </w:tc>
        <w:tc>
          <w:tcPr>
            <w:tcW w:w="444" w:type="pct"/>
            <w:tcBorders>
              <w:tl2br w:val="nil"/>
              <w:tr2bl w:val="nil"/>
            </w:tcBorders>
            <w:vAlign w:val="center"/>
          </w:tcPr>
          <w:p w14:paraId="2C72E3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建筑物外距离（m）</w:t>
            </w:r>
          </w:p>
        </w:tc>
      </w:tr>
      <w:tr w14:paraId="3D5170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45C74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w:t>
            </w:r>
          </w:p>
        </w:tc>
        <w:tc>
          <w:tcPr>
            <w:tcW w:w="1081" w:type="pct"/>
            <w:tcBorders>
              <w:tl2br w:val="nil"/>
              <w:tr2bl w:val="nil"/>
            </w:tcBorders>
            <w:shd w:val="clear" w:color="auto" w:fill="auto"/>
            <w:vAlign w:val="center"/>
          </w:tcPr>
          <w:p w14:paraId="17D89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bidi="ar-SA"/>
              </w:rPr>
            </w:pPr>
            <w:r>
              <w:rPr>
                <w:rFonts w:hint="default" w:ascii="Times New Roman" w:hAnsi="Times New Roman" w:eastAsia="宋体" w:cs="Times New Roman"/>
                <w:b w:val="0"/>
                <w:bCs w:val="0"/>
                <w:snapToGrid/>
                <w:color w:val="auto"/>
                <w:kern w:val="2"/>
                <w:sz w:val="21"/>
                <w:szCs w:val="21"/>
                <w:lang w:val="en-US" w:eastAsia="zh-CN"/>
              </w:rPr>
              <w:t>空压机</w:t>
            </w:r>
          </w:p>
        </w:tc>
        <w:tc>
          <w:tcPr>
            <w:tcW w:w="543" w:type="pct"/>
            <w:tcBorders>
              <w:tl2br w:val="nil"/>
              <w:tr2bl w:val="nil"/>
            </w:tcBorders>
            <w:vAlign w:val="center"/>
          </w:tcPr>
          <w:p w14:paraId="7D994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98</w:t>
            </w:r>
          </w:p>
        </w:tc>
        <w:tc>
          <w:tcPr>
            <w:tcW w:w="760" w:type="pct"/>
            <w:vMerge w:val="restart"/>
            <w:tcBorders>
              <w:tl2br w:val="nil"/>
              <w:tr2bl w:val="nil"/>
            </w:tcBorders>
            <w:vAlign w:val="center"/>
          </w:tcPr>
          <w:p w14:paraId="67077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增加消声设备、基础消声减震、置于实体墙结构室内</w:t>
            </w:r>
          </w:p>
        </w:tc>
        <w:tc>
          <w:tcPr>
            <w:tcW w:w="324" w:type="pct"/>
            <w:tcBorders>
              <w:tl2br w:val="nil"/>
              <w:tr2bl w:val="nil"/>
            </w:tcBorders>
            <w:vAlign w:val="center"/>
          </w:tcPr>
          <w:p w14:paraId="5C49F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-130</w:t>
            </w:r>
          </w:p>
        </w:tc>
        <w:tc>
          <w:tcPr>
            <w:tcW w:w="324" w:type="pct"/>
            <w:tcBorders>
              <w:tl2br w:val="nil"/>
              <w:tr2bl w:val="nil"/>
            </w:tcBorders>
            <w:vAlign w:val="center"/>
          </w:tcPr>
          <w:p w14:paraId="2B3AF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230</w:t>
            </w:r>
          </w:p>
        </w:tc>
        <w:tc>
          <w:tcPr>
            <w:tcW w:w="328" w:type="pct"/>
            <w:tcBorders>
              <w:tl2br w:val="nil"/>
              <w:tr2bl w:val="nil"/>
            </w:tcBorders>
            <w:vAlign w:val="center"/>
          </w:tcPr>
          <w:p w14:paraId="4EAF0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2.0</w:t>
            </w:r>
          </w:p>
        </w:tc>
        <w:tc>
          <w:tcPr>
            <w:tcW w:w="432" w:type="pct"/>
            <w:tcBorders>
              <w:tl2br w:val="nil"/>
              <w:tr2bl w:val="nil"/>
            </w:tcBorders>
            <w:vAlign w:val="center"/>
          </w:tcPr>
          <w:p w14:paraId="3ED0D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0F511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58</w:t>
            </w:r>
          </w:p>
        </w:tc>
        <w:tc>
          <w:tcPr>
            <w:tcW w:w="444" w:type="pct"/>
            <w:tcBorders>
              <w:tl2br w:val="nil"/>
              <w:tr2bl w:val="nil"/>
            </w:tcBorders>
            <w:vAlign w:val="center"/>
          </w:tcPr>
          <w:p w14:paraId="089608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r w14:paraId="61358E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22499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2</w:t>
            </w:r>
          </w:p>
        </w:tc>
        <w:tc>
          <w:tcPr>
            <w:tcW w:w="1081" w:type="pct"/>
            <w:tcBorders>
              <w:tl2br w:val="nil"/>
              <w:tr2bl w:val="nil"/>
            </w:tcBorders>
            <w:shd w:val="clear" w:color="auto" w:fill="auto"/>
            <w:vAlign w:val="center"/>
          </w:tcPr>
          <w:p w14:paraId="1673964F">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color w:val="auto"/>
                <w:spacing w:val="0"/>
                <w:w w:val="100"/>
                <w:kern w:val="2"/>
                <w:position w:val="0"/>
                <w:sz w:val="21"/>
                <w:szCs w:val="21"/>
                <w:lang w:val="en-US" w:eastAsia="zh-CN" w:bidi="ar-SA"/>
              </w:rPr>
            </w:pPr>
            <w:r>
              <w:rPr>
                <w:rFonts w:hint="default" w:ascii="Times New Roman" w:hAnsi="Times New Roman" w:eastAsia="宋体" w:cs="Times New Roman"/>
                <w:b w:val="0"/>
                <w:bCs w:val="0"/>
                <w:color w:val="auto"/>
                <w:spacing w:val="0"/>
                <w:w w:val="100"/>
                <w:position w:val="0"/>
              </w:rPr>
              <w:t>风机</w:t>
            </w:r>
          </w:p>
        </w:tc>
        <w:tc>
          <w:tcPr>
            <w:tcW w:w="543" w:type="pct"/>
            <w:tcBorders>
              <w:tl2br w:val="nil"/>
              <w:tr2bl w:val="nil"/>
            </w:tcBorders>
            <w:vAlign w:val="center"/>
          </w:tcPr>
          <w:p w14:paraId="22C3A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95</w:t>
            </w:r>
          </w:p>
        </w:tc>
        <w:tc>
          <w:tcPr>
            <w:tcW w:w="760" w:type="pct"/>
            <w:vMerge w:val="continue"/>
            <w:tcBorders>
              <w:tl2br w:val="nil"/>
              <w:tr2bl w:val="nil"/>
            </w:tcBorders>
            <w:vAlign w:val="center"/>
          </w:tcPr>
          <w:p w14:paraId="7A029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p>
        </w:tc>
        <w:tc>
          <w:tcPr>
            <w:tcW w:w="324" w:type="pct"/>
            <w:tcBorders>
              <w:tl2br w:val="nil"/>
              <w:tr2bl w:val="nil"/>
            </w:tcBorders>
            <w:vAlign w:val="center"/>
          </w:tcPr>
          <w:p w14:paraId="1042D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-135</w:t>
            </w:r>
          </w:p>
        </w:tc>
        <w:tc>
          <w:tcPr>
            <w:tcW w:w="324" w:type="pct"/>
            <w:tcBorders>
              <w:tl2br w:val="nil"/>
              <w:tr2bl w:val="nil"/>
            </w:tcBorders>
            <w:vAlign w:val="center"/>
          </w:tcPr>
          <w:p w14:paraId="795DA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240</w:t>
            </w:r>
          </w:p>
        </w:tc>
        <w:tc>
          <w:tcPr>
            <w:tcW w:w="328" w:type="pct"/>
            <w:tcBorders>
              <w:tl2br w:val="nil"/>
              <w:tr2bl w:val="nil"/>
            </w:tcBorders>
            <w:vAlign w:val="center"/>
          </w:tcPr>
          <w:p w14:paraId="6EAE3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1.0</w:t>
            </w:r>
          </w:p>
        </w:tc>
        <w:tc>
          <w:tcPr>
            <w:tcW w:w="432" w:type="pct"/>
            <w:tcBorders>
              <w:tl2br w:val="nil"/>
              <w:tr2bl w:val="nil"/>
            </w:tcBorders>
            <w:vAlign w:val="center"/>
          </w:tcPr>
          <w:p w14:paraId="7C9F33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35E29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53</w:t>
            </w:r>
          </w:p>
        </w:tc>
        <w:tc>
          <w:tcPr>
            <w:tcW w:w="444" w:type="pct"/>
            <w:tcBorders>
              <w:tl2br w:val="nil"/>
              <w:tr2bl w:val="nil"/>
            </w:tcBorders>
            <w:vAlign w:val="center"/>
          </w:tcPr>
          <w:p w14:paraId="7B9D5F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r w14:paraId="64A436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600D96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3</w:t>
            </w:r>
          </w:p>
        </w:tc>
        <w:tc>
          <w:tcPr>
            <w:tcW w:w="1081" w:type="pct"/>
            <w:tcBorders>
              <w:tl2br w:val="nil"/>
              <w:tr2bl w:val="nil"/>
            </w:tcBorders>
            <w:shd w:val="clear" w:color="auto" w:fill="auto"/>
            <w:vAlign w:val="center"/>
          </w:tcPr>
          <w:p w14:paraId="5051021E">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color w:val="auto"/>
                <w:spacing w:val="0"/>
                <w:w w:val="100"/>
                <w:kern w:val="2"/>
                <w:position w:val="0"/>
                <w:sz w:val="21"/>
                <w:szCs w:val="21"/>
                <w:lang w:val="en-US" w:eastAsia="zh-CN" w:bidi="ar-SA"/>
              </w:rPr>
            </w:pPr>
            <w:r>
              <w:rPr>
                <w:rFonts w:hint="default" w:ascii="Times New Roman" w:hAnsi="Times New Roman" w:eastAsia="宋体" w:cs="Times New Roman"/>
                <w:b w:val="0"/>
                <w:bCs w:val="0"/>
                <w:color w:val="auto"/>
                <w:spacing w:val="0"/>
                <w:w w:val="100"/>
                <w:position w:val="0"/>
              </w:rPr>
              <w:t>提升机</w:t>
            </w:r>
          </w:p>
        </w:tc>
        <w:tc>
          <w:tcPr>
            <w:tcW w:w="543" w:type="pct"/>
            <w:tcBorders>
              <w:tl2br w:val="nil"/>
              <w:tr2bl w:val="nil"/>
            </w:tcBorders>
            <w:vAlign w:val="center"/>
          </w:tcPr>
          <w:p w14:paraId="6371B0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87</w:t>
            </w:r>
          </w:p>
        </w:tc>
        <w:tc>
          <w:tcPr>
            <w:tcW w:w="760" w:type="pct"/>
            <w:vMerge w:val="continue"/>
            <w:tcBorders>
              <w:tl2br w:val="nil"/>
              <w:tr2bl w:val="nil"/>
            </w:tcBorders>
            <w:vAlign w:val="center"/>
          </w:tcPr>
          <w:p w14:paraId="15DBB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p>
        </w:tc>
        <w:tc>
          <w:tcPr>
            <w:tcW w:w="324" w:type="pct"/>
            <w:tcBorders>
              <w:tl2br w:val="nil"/>
              <w:tr2bl w:val="nil"/>
            </w:tcBorders>
            <w:vAlign w:val="center"/>
          </w:tcPr>
          <w:p w14:paraId="657B0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-133</w:t>
            </w:r>
          </w:p>
        </w:tc>
        <w:tc>
          <w:tcPr>
            <w:tcW w:w="324" w:type="pct"/>
            <w:tcBorders>
              <w:tl2br w:val="nil"/>
              <w:tr2bl w:val="nil"/>
            </w:tcBorders>
            <w:vAlign w:val="center"/>
          </w:tcPr>
          <w:p w14:paraId="68273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116</w:t>
            </w:r>
          </w:p>
        </w:tc>
        <w:tc>
          <w:tcPr>
            <w:tcW w:w="328" w:type="pct"/>
            <w:tcBorders>
              <w:tl2br w:val="nil"/>
              <w:tr2bl w:val="nil"/>
            </w:tcBorders>
            <w:vAlign w:val="center"/>
          </w:tcPr>
          <w:p w14:paraId="2E2FE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3.0</w:t>
            </w:r>
          </w:p>
        </w:tc>
        <w:tc>
          <w:tcPr>
            <w:tcW w:w="432" w:type="pct"/>
            <w:tcBorders>
              <w:tl2br w:val="nil"/>
              <w:tr2bl w:val="nil"/>
            </w:tcBorders>
            <w:vAlign w:val="center"/>
          </w:tcPr>
          <w:p w14:paraId="01CB0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76B67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51</w:t>
            </w:r>
          </w:p>
        </w:tc>
        <w:tc>
          <w:tcPr>
            <w:tcW w:w="444" w:type="pct"/>
            <w:tcBorders>
              <w:tl2br w:val="nil"/>
              <w:tr2bl w:val="nil"/>
            </w:tcBorders>
            <w:vAlign w:val="center"/>
          </w:tcPr>
          <w:p w14:paraId="09811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r w14:paraId="229A1E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65A27E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4</w:t>
            </w:r>
          </w:p>
        </w:tc>
        <w:tc>
          <w:tcPr>
            <w:tcW w:w="1081" w:type="pct"/>
            <w:tcBorders>
              <w:tl2br w:val="nil"/>
              <w:tr2bl w:val="nil"/>
            </w:tcBorders>
            <w:shd w:val="clear" w:color="auto" w:fill="auto"/>
            <w:vAlign w:val="center"/>
          </w:tcPr>
          <w:p w14:paraId="2228F079">
            <w:pPr>
              <w:pStyle w:val="3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val="0"/>
                <w:color w:val="auto"/>
                <w:spacing w:val="0"/>
                <w:w w:val="100"/>
                <w:kern w:val="2"/>
                <w:position w:val="0"/>
                <w:sz w:val="21"/>
                <w:szCs w:val="21"/>
                <w:lang w:val="en-US" w:eastAsia="zh-CN" w:bidi="ar-SA"/>
              </w:rPr>
            </w:pPr>
            <w:r>
              <w:rPr>
                <w:rFonts w:hint="default" w:ascii="Times New Roman" w:hAnsi="Times New Roman" w:eastAsia="宋体" w:cs="Times New Roman"/>
                <w:b w:val="0"/>
                <w:bCs w:val="0"/>
                <w:color w:val="auto"/>
                <w:spacing w:val="0"/>
                <w:w w:val="100"/>
                <w:position w:val="0"/>
              </w:rPr>
              <w:t>绞车</w:t>
            </w:r>
          </w:p>
        </w:tc>
        <w:tc>
          <w:tcPr>
            <w:tcW w:w="543" w:type="pct"/>
            <w:tcBorders>
              <w:tl2br w:val="nil"/>
              <w:tr2bl w:val="nil"/>
            </w:tcBorders>
            <w:vAlign w:val="center"/>
          </w:tcPr>
          <w:p w14:paraId="4EB4A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90</w:t>
            </w:r>
          </w:p>
        </w:tc>
        <w:tc>
          <w:tcPr>
            <w:tcW w:w="760" w:type="pct"/>
            <w:vMerge w:val="continue"/>
            <w:tcBorders>
              <w:tl2br w:val="nil"/>
              <w:tr2bl w:val="nil"/>
            </w:tcBorders>
            <w:vAlign w:val="center"/>
          </w:tcPr>
          <w:p w14:paraId="75E757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p>
        </w:tc>
        <w:tc>
          <w:tcPr>
            <w:tcW w:w="324" w:type="pct"/>
            <w:tcBorders>
              <w:tl2br w:val="nil"/>
              <w:tr2bl w:val="nil"/>
            </w:tcBorders>
            <w:vAlign w:val="center"/>
          </w:tcPr>
          <w:p w14:paraId="203CA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-122</w:t>
            </w:r>
          </w:p>
        </w:tc>
        <w:tc>
          <w:tcPr>
            <w:tcW w:w="324" w:type="pct"/>
            <w:tcBorders>
              <w:tl2br w:val="nil"/>
              <w:tr2bl w:val="nil"/>
            </w:tcBorders>
            <w:vAlign w:val="center"/>
          </w:tcPr>
          <w:p w14:paraId="133E1A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210</w:t>
            </w:r>
          </w:p>
        </w:tc>
        <w:tc>
          <w:tcPr>
            <w:tcW w:w="328" w:type="pct"/>
            <w:tcBorders>
              <w:tl2br w:val="nil"/>
              <w:tr2bl w:val="nil"/>
            </w:tcBorders>
            <w:vAlign w:val="center"/>
          </w:tcPr>
          <w:p w14:paraId="21397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2.0</w:t>
            </w:r>
          </w:p>
        </w:tc>
        <w:tc>
          <w:tcPr>
            <w:tcW w:w="432" w:type="pct"/>
            <w:tcBorders>
              <w:tl2br w:val="nil"/>
              <w:tr2bl w:val="nil"/>
            </w:tcBorders>
            <w:vAlign w:val="center"/>
          </w:tcPr>
          <w:p w14:paraId="5FE4BF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491B4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55</w:t>
            </w:r>
          </w:p>
        </w:tc>
        <w:tc>
          <w:tcPr>
            <w:tcW w:w="444" w:type="pct"/>
            <w:tcBorders>
              <w:tl2br w:val="nil"/>
              <w:tr2bl w:val="nil"/>
            </w:tcBorders>
            <w:vAlign w:val="center"/>
          </w:tcPr>
          <w:p w14:paraId="343A6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r w14:paraId="30ACCB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4F81D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w:t>
            </w:r>
          </w:p>
        </w:tc>
        <w:tc>
          <w:tcPr>
            <w:tcW w:w="1081" w:type="pct"/>
            <w:tcBorders>
              <w:tl2br w:val="nil"/>
              <w:tr2bl w:val="nil"/>
            </w:tcBorders>
            <w:shd w:val="clear" w:color="auto" w:fill="auto"/>
            <w:vAlign w:val="center"/>
          </w:tcPr>
          <w:p w14:paraId="0AEDE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bidi="ar-SA"/>
              </w:rPr>
            </w:pPr>
            <w:r>
              <w:rPr>
                <w:rFonts w:hint="eastAsia" w:ascii="Times New Roman" w:hAnsi="Times New Roman" w:cs="Times New Roman"/>
                <w:b w:val="0"/>
                <w:bCs w:val="0"/>
                <w:snapToGrid/>
                <w:color w:val="auto"/>
                <w:kern w:val="2"/>
                <w:sz w:val="21"/>
                <w:szCs w:val="21"/>
                <w:lang w:val="en-US" w:eastAsia="zh-CN"/>
              </w:rPr>
              <w:t>颚</w:t>
            </w:r>
            <w:r>
              <w:rPr>
                <w:rFonts w:hint="default" w:ascii="Times New Roman" w:hAnsi="Times New Roman" w:eastAsia="宋体" w:cs="Times New Roman"/>
                <w:b w:val="0"/>
                <w:bCs w:val="0"/>
                <w:snapToGrid/>
                <w:color w:val="auto"/>
                <w:kern w:val="2"/>
                <w:sz w:val="21"/>
                <w:szCs w:val="21"/>
                <w:lang w:val="en-US" w:eastAsia="zh-CN"/>
              </w:rPr>
              <w:t>式破碎机</w:t>
            </w:r>
          </w:p>
        </w:tc>
        <w:tc>
          <w:tcPr>
            <w:tcW w:w="543" w:type="pct"/>
            <w:tcBorders>
              <w:tl2br w:val="nil"/>
              <w:tr2bl w:val="nil"/>
            </w:tcBorders>
            <w:vAlign w:val="center"/>
          </w:tcPr>
          <w:p w14:paraId="5421FC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98</w:t>
            </w:r>
          </w:p>
        </w:tc>
        <w:tc>
          <w:tcPr>
            <w:tcW w:w="760" w:type="pct"/>
            <w:vMerge w:val="restart"/>
            <w:tcBorders>
              <w:tl2br w:val="nil"/>
              <w:tr2bl w:val="nil"/>
            </w:tcBorders>
            <w:vAlign w:val="center"/>
          </w:tcPr>
          <w:p w14:paraId="0145A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置于地上室内、减震</w:t>
            </w:r>
          </w:p>
        </w:tc>
        <w:tc>
          <w:tcPr>
            <w:tcW w:w="324" w:type="pct"/>
            <w:tcBorders>
              <w:tl2br w:val="nil"/>
              <w:tr2bl w:val="nil"/>
            </w:tcBorders>
            <w:vAlign w:val="center"/>
          </w:tcPr>
          <w:p w14:paraId="0C7E58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-266</w:t>
            </w:r>
          </w:p>
        </w:tc>
        <w:tc>
          <w:tcPr>
            <w:tcW w:w="324" w:type="pct"/>
            <w:tcBorders>
              <w:tl2br w:val="nil"/>
              <w:tr2bl w:val="nil"/>
            </w:tcBorders>
            <w:vAlign w:val="center"/>
          </w:tcPr>
          <w:p w14:paraId="4C55E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18</w:t>
            </w:r>
          </w:p>
        </w:tc>
        <w:tc>
          <w:tcPr>
            <w:tcW w:w="328" w:type="pct"/>
            <w:tcBorders>
              <w:tl2br w:val="nil"/>
              <w:tr2bl w:val="nil"/>
            </w:tcBorders>
            <w:vAlign w:val="center"/>
          </w:tcPr>
          <w:p w14:paraId="2DF00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2.0</w:t>
            </w:r>
          </w:p>
        </w:tc>
        <w:tc>
          <w:tcPr>
            <w:tcW w:w="432" w:type="pct"/>
            <w:tcBorders>
              <w:tl2br w:val="nil"/>
              <w:tr2bl w:val="nil"/>
            </w:tcBorders>
            <w:vAlign w:val="center"/>
          </w:tcPr>
          <w:p w14:paraId="13432C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4CE78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52</w:t>
            </w:r>
          </w:p>
        </w:tc>
        <w:tc>
          <w:tcPr>
            <w:tcW w:w="444" w:type="pct"/>
            <w:tcBorders>
              <w:tl2br w:val="nil"/>
              <w:tr2bl w:val="nil"/>
            </w:tcBorders>
            <w:vAlign w:val="center"/>
          </w:tcPr>
          <w:p w14:paraId="3F511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r w14:paraId="1ED36B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32" w:type="pct"/>
            <w:tcBorders>
              <w:tl2br w:val="nil"/>
              <w:tr2bl w:val="nil"/>
            </w:tcBorders>
            <w:vAlign w:val="center"/>
          </w:tcPr>
          <w:p w14:paraId="3D146C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6</w:t>
            </w:r>
          </w:p>
        </w:tc>
        <w:tc>
          <w:tcPr>
            <w:tcW w:w="1081" w:type="pct"/>
            <w:tcBorders>
              <w:tl2br w:val="nil"/>
              <w:tr2bl w:val="nil"/>
            </w:tcBorders>
            <w:shd w:val="clear" w:color="auto" w:fill="auto"/>
            <w:vAlign w:val="center"/>
          </w:tcPr>
          <w:p w14:paraId="7396D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bidi="ar-SA"/>
              </w:rPr>
            </w:pPr>
            <w:r>
              <w:rPr>
                <w:rFonts w:hint="default" w:ascii="Times New Roman" w:hAnsi="Times New Roman" w:eastAsia="宋体" w:cs="Times New Roman"/>
                <w:b w:val="0"/>
                <w:bCs w:val="0"/>
                <w:snapToGrid/>
                <w:color w:val="auto"/>
                <w:kern w:val="2"/>
                <w:sz w:val="21"/>
                <w:szCs w:val="21"/>
                <w:lang w:val="en-US" w:eastAsia="zh-CN"/>
              </w:rPr>
              <w:t>重型板式给料机</w:t>
            </w:r>
          </w:p>
        </w:tc>
        <w:tc>
          <w:tcPr>
            <w:tcW w:w="543" w:type="pct"/>
            <w:tcBorders>
              <w:tl2br w:val="nil"/>
              <w:tr2bl w:val="nil"/>
            </w:tcBorders>
            <w:vAlign w:val="center"/>
          </w:tcPr>
          <w:p w14:paraId="5A5DEE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95</w:t>
            </w:r>
          </w:p>
        </w:tc>
        <w:tc>
          <w:tcPr>
            <w:tcW w:w="760" w:type="pct"/>
            <w:vMerge w:val="continue"/>
            <w:tcBorders>
              <w:tl2br w:val="nil"/>
              <w:tr2bl w:val="nil"/>
            </w:tcBorders>
            <w:vAlign w:val="center"/>
          </w:tcPr>
          <w:p w14:paraId="002C6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p>
        </w:tc>
        <w:tc>
          <w:tcPr>
            <w:tcW w:w="324" w:type="pct"/>
            <w:tcBorders>
              <w:tl2br w:val="nil"/>
              <w:tr2bl w:val="nil"/>
            </w:tcBorders>
            <w:vAlign w:val="center"/>
          </w:tcPr>
          <w:p w14:paraId="63C541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-280</w:t>
            </w:r>
          </w:p>
        </w:tc>
        <w:tc>
          <w:tcPr>
            <w:tcW w:w="324" w:type="pct"/>
            <w:tcBorders>
              <w:tl2br w:val="nil"/>
              <w:tr2bl w:val="nil"/>
            </w:tcBorders>
            <w:vAlign w:val="center"/>
          </w:tcPr>
          <w:p w14:paraId="3DAEB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35</w:t>
            </w:r>
          </w:p>
        </w:tc>
        <w:tc>
          <w:tcPr>
            <w:tcW w:w="328" w:type="pct"/>
            <w:tcBorders>
              <w:tl2br w:val="nil"/>
              <w:tr2bl w:val="nil"/>
            </w:tcBorders>
            <w:vAlign w:val="center"/>
          </w:tcPr>
          <w:p w14:paraId="162D3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2.0</w:t>
            </w:r>
          </w:p>
        </w:tc>
        <w:tc>
          <w:tcPr>
            <w:tcW w:w="432" w:type="pct"/>
            <w:tcBorders>
              <w:tl2br w:val="nil"/>
              <w:tr2bl w:val="nil"/>
            </w:tcBorders>
            <w:vAlign w:val="center"/>
          </w:tcPr>
          <w:p w14:paraId="38891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val="0"/>
                <w:bCs w:val="0"/>
                <w:snapToGrid/>
                <w:color w:val="auto"/>
                <w:kern w:val="2"/>
                <w:sz w:val="21"/>
                <w:szCs w:val="21"/>
                <w:lang w:val="en-US" w:eastAsia="zh-CN"/>
              </w:rPr>
            </w:pPr>
            <w:r>
              <w:rPr>
                <w:rFonts w:hint="default" w:ascii="Times New Roman" w:hAnsi="Times New Roman" w:eastAsia="宋体" w:cs="Times New Roman"/>
                <w:b w:val="0"/>
                <w:bCs w:val="0"/>
                <w:snapToGrid/>
                <w:color w:val="auto"/>
                <w:kern w:val="2"/>
                <w:sz w:val="21"/>
                <w:szCs w:val="21"/>
                <w:lang w:val="en-US" w:eastAsia="zh-CN"/>
              </w:rPr>
              <w:t>昼夜</w:t>
            </w:r>
          </w:p>
        </w:tc>
        <w:tc>
          <w:tcPr>
            <w:tcW w:w="429" w:type="pct"/>
            <w:tcBorders>
              <w:tl2br w:val="nil"/>
              <w:tr2bl w:val="nil"/>
            </w:tcBorders>
            <w:vAlign w:val="center"/>
          </w:tcPr>
          <w:p w14:paraId="47DC3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51</w:t>
            </w:r>
          </w:p>
        </w:tc>
        <w:tc>
          <w:tcPr>
            <w:tcW w:w="444" w:type="pct"/>
            <w:tcBorders>
              <w:tl2br w:val="nil"/>
              <w:tr2bl w:val="nil"/>
            </w:tcBorders>
            <w:vAlign w:val="center"/>
          </w:tcPr>
          <w:p w14:paraId="45FCF8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1.0</w:t>
            </w:r>
          </w:p>
        </w:tc>
      </w:tr>
    </w:tbl>
    <w:p w14:paraId="3AE48993">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0"/>
          <w:w w:val="100"/>
          <w:position w:val="0"/>
          <w:szCs w:val="24"/>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"5.5.2.2"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5.5.2.2</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预测范围</w:t>
      </w:r>
    </w:p>
    <w:p w14:paraId="0A34B10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本次噪声评价范围为</w:t>
      </w:r>
      <w:r>
        <w:rPr>
          <w:rFonts w:hint="default" w:ascii="Times New Roman" w:hAnsi="Times New Roman" w:eastAsia="宋体" w:cs="Times New Roman"/>
          <w:color w:val="auto"/>
          <w:spacing w:val="0"/>
          <w:w w:val="100"/>
          <w:position w:val="0"/>
          <w:sz w:val="24"/>
          <w:szCs w:val="24"/>
          <w:lang w:val="en-US" w:eastAsia="zh-CN"/>
        </w:rPr>
        <w:t>采矿工业场地场界</w:t>
      </w:r>
      <w:r>
        <w:rPr>
          <w:rFonts w:hint="default" w:ascii="Times New Roman" w:hAnsi="Times New Roman" w:eastAsia="宋体" w:cs="Times New Roman"/>
          <w:color w:val="auto"/>
          <w:spacing w:val="0"/>
          <w:w w:val="100"/>
          <w:position w:val="0"/>
          <w:sz w:val="24"/>
          <w:szCs w:val="24"/>
        </w:rPr>
        <w:t>四周200m，厂界四周200m范围内无</w:t>
      </w:r>
      <w:r>
        <w:rPr>
          <w:rFonts w:hint="default" w:ascii="Times New Roman" w:hAnsi="Times New Roman" w:eastAsia="宋体" w:cs="Times New Roman"/>
          <w:color w:val="auto"/>
          <w:spacing w:val="0"/>
          <w:w w:val="100"/>
          <w:position w:val="0"/>
          <w:sz w:val="24"/>
          <w:szCs w:val="24"/>
          <w:lang w:val="en-US" w:eastAsia="zh-CN"/>
        </w:rPr>
        <w:t>声环境保护目标。</w:t>
      </w:r>
    </w:p>
    <w:p w14:paraId="4B413AB9">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b/>
          <w:bCs/>
          <w:color w:val="auto"/>
          <w:spacing w:val="-3"/>
          <w:szCs w:val="24"/>
          <w:lang w:val="en-US" w:eastAsia="zh-C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"5.5.2.3"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5.5.2.3</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预测</w:t>
      </w:r>
      <w:r>
        <w:rPr>
          <w:rFonts w:hint="default" w:ascii="Times New Roman" w:hAnsi="Times New Roman" w:eastAsia="宋体" w:cs="Times New Roman"/>
          <w:color w:val="auto"/>
          <w:lang w:val="en-US" w:eastAsia="zh-CN"/>
        </w:rPr>
        <w:t>条件及模式</w:t>
      </w:r>
    </w:p>
    <w:p w14:paraId="3E37C17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（1）预测条件假设</w:t>
      </w:r>
    </w:p>
    <w:p w14:paraId="21EFCFB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①所有产噪设备均在正常工况条件下运行；</w:t>
      </w:r>
    </w:p>
    <w:p w14:paraId="28BC4C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②室内噪声源考虑声源所在车间围护结构的隔声作用；</w:t>
      </w:r>
    </w:p>
    <w:p w14:paraId="0D31765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③为便于预测计算，将各车间噪声源概化叠加作为源强；</w:t>
      </w:r>
    </w:p>
    <w:p w14:paraId="4398DDA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④考虑声源至预测点的距离衰减，忽略传播中建筑物的阻挡、地面反射以及空气吸收、雨、雪、温度等影响。</w:t>
      </w:r>
    </w:p>
    <w:p w14:paraId="7F7B02E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（2）预测模式</w:t>
      </w:r>
    </w:p>
    <w:p w14:paraId="3D1B7CF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1、预测因子：等效A声级。</w:t>
      </w:r>
    </w:p>
    <w:p w14:paraId="5526613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2、预测模式：采用工业噪声预测模式和声压级叠加模式，预测噪声源对厂界噪声的贡献值。</w:t>
      </w:r>
    </w:p>
    <w:p w14:paraId="0AE0A6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①室外声源</w:t>
      </w:r>
    </w:p>
    <w:p w14:paraId="4E6D13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30" o:spt="75" type="#_x0000_t75" style="height:19pt;width:157.95pt;" o:ole="t" filled="f" o:preferrelative="t" stroked="f" coordsize="21600,21600">
            <v:path/>
            <v:fill on="f" focussize="0,0"/>
            <v:stroke on="f"/>
            <v:imagedata r:id="rId75" o:title=""/>
            <o:lock v:ext="edit" grouping="f" rotation="f" text="f" aspectratio="t"/>
            <w10:wrap type="none"/>
            <w10:anchorlock/>
          </v:shape>
          <o:OLEObject Type="Embed" ProgID="Equation.DSMT4" ShapeID="_x0000_i1030" DrawAspect="Content" ObjectID="_1468075732" r:id="rId74">
            <o:LockedField>false</o:LockedField>
          </o:OLEObject>
        </w:object>
      </w:r>
    </w:p>
    <w:p w14:paraId="4CF89D7B">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color w:val="auto"/>
          <w:position w:val="-14"/>
          <w:sz w:val="24"/>
          <w:highlight w:val="none"/>
        </w:rPr>
        <w:object>
          <v:shape id="_x0000_i1031" o:spt="75" type="#_x0000_t75" style="height:19pt;width:30pt;" o:ole="t" filled="f" o:preferrelative="t" stroked="f" coordsize="21600,21600">
            <v:path/>
            <v:fill on="f" focussize="0,0"/>
            <v:stroke on="f"/>
            <v:imagedata r:id="rId77" o:title=""/>
            <o:lock v:ext="edit" grouping="f" rotation="f" text="f" aspectratio="t"/>
            <w10:wrap type="none"/>
            <w10:anchorlock/>
          </v:shape>
          <o:OLEObject Type="Embed" ProgID="Equation.DSMT4" ShapeID="_x0000_i1031" DrawAspect="Content" ObjectID="_1468075733" r:id="rId76">
            <o:LockedField>false</o:LockedField>
          </o:OLEObject>
        </w:object>
      </w:r>
      <w:r>
        <w:rPr>
          <w:rFonts w:hint="default" w:ascii="Times New Roman" w:hAnsi="Times New Roman" w:eastAsia="宋体" w:cs="Times New Roman"/>
          <w:color w:val="auto"/>
          <w:sz w:val="24"/>
          <w:highlight w:val="none"/>
        </w:rPr>
        <w:t>—噪声源在预测点的声压级，dB</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02D8F93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32" o:spt="75" type="#_x0000_t75" style="height:19pt;width:33pt;" o:ole="t" filled="f" o:preferrelative="t" stroked="f" coordsize="21600,21600">
            <v:path/>
            <v:fill on="f" focussize="0,0"/>
            <v:stroke on="f"/>
            <v:imagedata r:id="rId79" o:title=""/>
            <o:lock v:ext="edit" grouping="f" rotation="f" text="f" aspectratio="t"/>
            <w10:wrap type="none"/>
            <w10:anchorlock/>
          </v:shape>
          <o:OLEObject Type="Embed" ProgID="Equation.DSMT4" ShapeID="_x0000_i1032" DrawAspect="Content" ObjectID="_1468075734" r:id="rId78">
            <o:LockedField>false</o:LockedField>
          </o:OLEObject>
        </w:object>
      </w:r>
      <w:r>
        <w:rPr>
          <w:rFonts w:hint="default" w:ascii="Times New Roman" w:hAnsi="Times New Roman" w:eastAsia="宋体" w:cs="Times New Roman"/>
          <w:color w:val="auto"/>
          <w:sz w:val="24"/>
          <w:highlight w:val="none"/>
        </w:rPr>
        <w:t>—参考位置</w:t>
      </w:r>
      <w:r>
        <w:rPr>
          <w:rFonts w:hint="default" w:ascii="Times New Roman" w:hAnsi="Times New Roman" w:eastAsia="宋体" w:cs="Times New Roman"/>
          <w:color w:val="auto"/>
          <w:position w:val="-12"/>
          <w:sz w:val="24"/>
          <w:highlight w:val="none"/>
        </w:rPr>
        <w:object>
          <v:shape id="_x0000_i1033" o:spt="75" type="#_x0000_t75" style="height:18pt;width:11pt;" o:ole="t" filled="f" o:preferrelative="t" stroked="f" coordsize="21600,21600">
            <v:path/>
            <v:fill on="f" focussize="0,0"/>
            <v:stroke on="f"/>
            <v:imagedata r:id="rId81" o:title=""/>
            <o:lock v:ext="edit" grouping="f" rotation="f" text="f" aspectratio="t"/>
            <w10:wrap type="none"/>
            <w10:anchorlock/>
          </v:shape>
          <o:OLEObject Type="Embed" ProgID="Equation.DSMT4" ShapeID="_x0000_i1033" DrawAspect="Content" ObjectID="_1468075735" r:id="rId80">
            <o:LockedField>false</o:LockedField>
          </o:OLEObject>
        </w:object>
      </w:r>
      <w:r>
        <w:rPr>
          <w:rFonts w:hint="default" w:ascii="Times New Roman" w:hAnsi="Times New Roman" w:eastAsia="宋体" w:cs="Times New Roman"/>
          <w:color w:val="auto"/>
          <w:sz w:val="24"/>
          <w:highlight w:val="none"/>
        </w:rPr>
        <w:t>处的声压级，dB</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2903FE02">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2"/>
          <w:sz w:val="24"/>
          <w:highlight w:val="none"/>
        </w:rPr>
        <w:object>
          <v:shape id="_x0000_i1034" o:spt="75" type="#_x0000_t75" style="height:18pt;width:11pt;" o:ole="t" filled="f" o:preferrelative="t" stroked="f" coordsize="21600,21600">
            <v:path/>
            <v:fill on="f" focussize="0,0"/>
            <v:stroke on="f"/>
            <v:imagedata r:id="rId81" o:title=""/>
            <o:lock v:ext="edit" grouping="f" rotation="f" text="f" aspectratio="t"/>
            <w10:wrap type="none"/>
            <w10:anchorlock/>
          </v:shape>
          <o:OLEObject Type="Embed" ProgID="Equation.DSMT4" ShapeID="_x0000_i1034" DrawAspect="Content" ObjectID="_1468075736" r:id="rId82">
            <o:LockedField>false</o:LockedField>
          </o:OLEObject>
        </w:object>
      </w:r>
      <w:r>
        <w:rPr>
          <w:rFonts w:hint="default" w:ascii="Times New Roman" w:hAnsi="Times New Roman" w:eastAsia="宋体" w:cs="Times New Roman"/>
          <w:color w:val="auto"/>
          <w:sz w:val="24"/>
          <w:highlight w:val="none"/>
        </w:rPr>
        <w:t>—参考位置距声源中心的位置，m；</w:t>
      </w:r>
    </w:p>
    <w:p w14:paraId="06FCB6FC">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4"/>
          <w:sz w:val="24"/>
          <w:highlight w:val="none"/>
        </w:rPr>
        <w:object>
          <v:shape id="_x0000_i1035" o:spt="75" type="#_x0000_t75" style="height:10pt;width:9pt;" o:ole="t" filled="f" o:preferrelative="t" stroked="f" coordsize="21600,21600">
            <v:path/>
            <v:fill on="f" focussize="0,0"/>
            <v:stroke on="f"/>
            <v:imagedata r:id="rId84" o:title=""/>
            <o:lock v:ext="edit" grouping="f" rotation="f" text="f" aspectratio="t"/>
            <w10:wrap type="none"/>
            <w10:anchorlock/>
          </v:shape>
          <o:OLEObject Type="Embed" ProgID="Equation.DSMT4" ShapeID="_x0000_i1035" DrawAspect="Content" ObjectID="_1468075737" r:id="rId83">
            <o:LockedField>false</o:LockedField>
          </o:OLEObject>
        </w:object>
      </w:r>
      <w:r>
        <w:rPr>
          <w:rFonts w:hint="default" w:ascii="Times New Roman" w:hAnsi="Times New Roman" w:eastAsia="宋体" w:cs="Times New Roman"/>
          <w:color w:val="auto"/>
          <w:sz w:val="24"/>
          <w:highlight w:val="none"/>
        </w:rPr>
        <w:t>—声源中心至预测点的距离，m；</w:t>
      </w:r>
    </w:p>
    <w:p w14:paraId="6479D9AC">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4"/>
          <w:sz w:val="24"/>
          <w:highlight w:val="none"/>
        </w:rPr>
        <w:object>
          <v:shape id="_x0000_i1036" o:spt="75" type="#_x0000_t75" style="height:13pt;width:18pt;" o:ole="t" filled="f" o:preferrelative="t" stroked="f" coordsize="21600,21600">
            <v:path/>
            <v:fill on="f" focussize="0,0"/>
            <v:stroke on="f"/>
            <v:imagedata r:id="rId86" o:title=""/>
            <o:lock v:ext="edit" grouping="f" rotation="f" text="f" aspectratio="t"/>
            <w10:wrap type="none"/>
            <w10:anchorlock/>
          </v:shape>
          <o:OLEObject Type="Embed" ProgID="Equation.DSMT4" ShapeID="_x0000_i1036" DrawAspect="Content" ObjectID="_1468075738" r:id="rId85">
            <o:LockedField>false</o:LockedField>
          </o:OLEObject>
        </w:object>
      </w:r>
      <w:r>
        <w:rPr>
          <w:rFonts w:hint="default" w:ascii="Times New Roman" w:hAnsi="Times New Roman" w:eastAsia="宋体" w:cs="Times New Roman"/>
          <w:color w:val="auto"/>
          <w:sz w:val="24"/>
          <w:highlight w:val="none"/>
        </w:rPr>
        <w:t>—各种因素引起的声衰减量（如声屏障，遮挡物，空气吸收，地面吸收等引起的声衰减），dB</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0B97032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②</w:t>
      </w:r>
      <w:r>
        <w:rPr>
          <w:rFonts w:hint="default" w:ascii="Times New Roman" w:hAnsi="Times New Roman" w:eastAsia="宋体" w:cs="Times New Roman"/>
          <w:color w:val="auto"/>
          <w:sz w:val="24"/>
          <w:highlight w:val="none"/>
        </w:rPr>
        <w:t>室内声源</w:t>
      </w:r>
    </w:p>
    <w:p w14:paraId="6F31FC46">
      <w:pPr>
        <w:keepNext w:val="0"/>
        <w:keepLines w:val="0"/>
        <w:pageBreakBefore w:val="0"/>
        <w:widowControl w:val="0"/>
        <w:numPr>
          <w:ilvl w:val="0"/>
          <w:numId w:val="9"/>
        </w:numPr>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计算车间室内声源靠近围护结构处产生的声压级：</w:t>
      </w:r>
    </w:p>
    <w:p w14:paraId="7B0EC36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32"/>
          <w:sz w:val="24"/>
          <w:highlight w:val="none"/>
        </w:rPr>
        <w:object>
          <v:shape id="_x0000_i1037" o:spt="75" type="#_x0000_t75" style="height:35pt;width:137pt;" o:ole="t" filled="f" o:preferrelative="t" stroked="f" coordsize="21600,21600">
            <v:path/>
            <v:fill on="f" focussize="0,0"/>
            <v:stroke on="f"/>
            <v:imagedata r:id="rId88" o:title=""/>
            <o:lock v:ext="edit" grouping="f" rotation="f" text="f" aspectratio="t"/>
            <w10:wrap type="none"/>
            <w10:anchorlock/>
          </v:shape>
          <o:OLEObject Type="Embed" ProgID="Equation.3" ShapeID="_x0000_i1037" DrawAspect="Content" ObjectID="_1468075739" r:id="rId87">
            <o:LockedField>false</o:LockedField>
          </o:OLEObject>
        </w:object>
      </w:r>
    </w:p>
    <w:p w14:paraId="191A3E05">
      <w:pPr>
        <w:keepNext w:val="0"/>
        <w:keepLines w:val="0"/>
        <w:pageBreakBefore w:val="0"/>
        <w:widowControl w:val="0"/>
        <w:kinsoku/>
        <w:wordWrap/>
        <w:overflowPunct/>
        <w:topLinePunct w:val="0"/>
        <w:autoSpaceDE/>
        <w:autoSpaceDN/>
        <w:bidi w:val="0"/>
        <w:adjustRightInd/>
        <w:snapToGrid/>
        <w:spacing w:line="480" w:lineRule="exact"/>
        <w:ind w:left="48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color w:val="auto"/>
          <w:position w:val="-10"/>
          <w:sz w:val="24"/>
          <w:highlight w:val="none"/>
        </w:rPr>
        <w:object>
          <v:shape id="_x0000_i1038" o:spt="75" type="#_x0000_t75" style="height:16pt;width:12pt;" o:ole="t" filled="f" o:preferrelative="t" stroked="f" coordsize="21600,21600">
            <v:path/>
            <v:fill on="f" focussize="0,0"/>
            <v:stroke on="f"/>
            <v:imagedata r:id="rId90" o:title=""/>
            <o:lock v:ext="edit" grouping="f" rotation="f" text="f" aspectratio="t"/>
            <w10:wrap type="none"/>
            <w10:anchorlock/>
          </v:shape>
          <o:OLEObject Type="Embed" ProgID="Equation.DSMT4" ShapeID="_x0000_i1038" DrawAspect="Content" ObjectID="_1468075740" r:id="rId89">
            <o:LockedField>false</o:LockedField>
          </o:OLEObject>
        </w:object>
      </w:r>
      <w:r>
        <w:rPr>
          <w:rFonts w:hint="default" w:ascii="Times New Roman" w:hAnsi="Times New Roman" w:eastAsia="宋体" w:cs="Times New Roman"/>
          <w:color w:val="auto"/>
          <w:sz w:val="24"/>
          <w:highlight w:val="none"/>
        </w:rPr>
        <w:t>—指向性因子；</w:t>
      </w:r>
    </w:p>
    <w:p w14:paraId="04DC9D98">
      <w:pPr>
        <w:keepNext w:val="0"/>
        <w:keepLines w:val="0"/>
        <w:pageBreakBefore w:val="0"/>
        <w:widowControl w:val="0"/>
        <w:kinsoku/>
        <w:wordWrap/>
        <w:overflowPunct/>
        <w:topLinePunct w:val="0"/>
        <w:autoSpaceDE/>
        <w:autoSpaceDN/>
        <w:bidi w:val="0"/>
        <w:adjustRightInd/>
        <w:snapToGrid/>
        <w:spacing w:line="480" w:lineRule="exact"/>
        <w:ind w:left="481" w:leftChars="229"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L</w:t>
      </w:r>
      <w:r>
        <w:rPr>
          <w:rFonts w:hint="default" w:ascii="Times New Roman" w:hAnsi="Times New Roman" w:eastAsia="宋体" w:cs="Times New Roman"/>
          <w:color w:val="auto"/>
          <w:sz w:val="24"/>
          <w:highlight w:val="none"/>
          <w:vertAlign w:val="subscript"/>
        </w:rPr>
        <w:t>W</w:t>
      </w:r>
      <w:r>
        <w:rPr>
          <w:rFonts w:hint="default" w:ascii="Times New Roman" w:hAnsi="Times New Roman" w:eastAsia="宋体" w:cs="Times New Roman"/>
          <w:color w:val="auto"/>
          <w:sz w:val="24"/>
          <w:highlight w:val="none"/>
        </w:rPr>
        <w:t>—室内声源声功率级，dB；</w:t>
      </w:r>
    </w:p>
    <w:p w14:paraId="39D48531">
      <w:pPr>
        <w:keepNext w:val="0"/>
        <w:keepLines w:val="0"/>
        <w:pageBreakBefore w:val="0"/>
        <w:widowControl w:val="0"/>
        <w:kinsoku/>
        <w:wordWrap/>
        <w:overflowPunct/>
        <w:topLinePunct w:val="0"/>
        <w:autoSpaceDE/>
        <w:autoSpaceDN/>
        <w:bidi w:val="0"/>
        <w:adjustRightInd/>
        <w:snapToGrid/>
        <w:spacing w:line="480" w:lineRule="exact"/>
        <w:ind w:left="481" w:leftChars="229"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4"/>
          <w:sz w:val="24"/>
          <w:highlight w:val="none"/>
        </w:rPr>
        <w:object>
          <v:shape id="_x0000_i1039" o:spt="75" type="#_x0000_t75" style="height:13pt;width:12pt;" o:ole="t" filled="f" o:preferrelative="t" stroked="f" coordsize="21600,21600">
            <v:path/>
            <v:fill on="f" focussize="0,0"/>
            <v:stroke on="f"/>
            <v:imagedata r:id="rId92" o:title=""/>
            <o:lock v:ext="edit" grouping="f" rotation="f" text="f" aspectratio="t"/>
            <w10:wrap type="none"/>
            <w10:anchorlock/>
          </v:shape>
          <o:OLEObject Type="Embed" ProgID="Equation.DSMT4" ShapeID="_x0000_i1039" DrawAspect="Content" ObjectID="_1468075741" r:id="rId91">
            <o:LockedField>false</o:LockedField>
          </o:OLEObject>
        </w:object>
      </w:r>
      <w:r>
        <w:rPr>
          <w:rFonts w:hint="default" w:ascii="Times New Roman" w:hAnsi="Times New Roman" w:eastAsia="宋体" w:cs="Times New Roman"/>
          <w:color w:val="auto"/>
          <w:sz w:val="24"/>
          <w:highlight w:val="none"/>
        </w:rPr>
        <w:t>—房间常数；</w:t>
      </w:r>
    </w:p>
    <w:p w14:paraId="4295B6D6">
      <w:pPr>
        <w:keepNext w:val="0"/>
        <w:keepLines w:val="0"/>
        <w:pageBreakBefore w:val="0"/>
        <w:widowControl w:val="0"/>
        <w:kinsoku/>
        <w:wordWrap/>
        <w:overflowPunct/>
        <w:topLinePunct w:val="0"/>
        <w:autoSpaceDE/>
        <w:autoSpaceDN/>
        <w:bidi w:val="0"/>
        <w:adjustRightInd/>
        <w:snapToGrid/>
        <w:spacing w:line="480" w:lineRule="exact"/>
        <w:ind w:left="481" w:leftChars="229"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2"/>
          <w:sz w:val="24"/>
          <w:highlight w:val="none"/>
        </w:rPr>
        <w:object>
          <v:shape id="_x0000_i1040" o:spt="75" type="#_x0000_t75" style="height:18pt;width:10pt;" o:ole="t" filled="f" o:preferrelative="t" stroked="f" coordsize="21600,21600">
            <v:path/>
            <v:fill on="f" focussize="0,0"/>
            <v:stroke on="f"/>
            <v:imagedata r:id="rId94" o:title=""/>
            <o:lock v:ext="edit" grouping="f" rotation="f" text="f" aspectratio="t"/>
            <w10:wrap type="none"/>
            <w10:anchorlock/>
          </v:shape>
          <o:OLEObject Type="Embed" ProgID="Equation.DSMT4" ShapeID="_x0000_i1040" DrawAspect="Content" ObjectID="_1468075742" r:id="rId93">
            <o:LockedField>false</o:LockedField>
          </o:OLEObject>
        </w:object>
      </w:r>
      <w:r>
        <w:rPr>
          <w:rFonts w:hint="default" w:ascii="Times New Roman" w:hAnsi="Times New Roman" w:eastAsia="宋体" w:cs="Times New Roman"/>
          <w:color w:val="auto"/>
          <w:sz w:val="24"/>
          <w:highlight w:val="none"/>
        </w:rPr>
        <w:t>—声源到靠近围护结构某点处的距离，m。</w:t>
      </w:r>
    </w:p>
    <w:p w14:paraId="201BE6B6">
      <w:pPr>
        <w:keepNext w:val="0"/>
        <w:keepLines w:val="0"/>
        <w:pageBreakBefore w:val="0"/>
        <w:widowControl w:val="0"/>
        <w:kinsoku/>
        <w:wordWrap/>
        <w:overflowPunct/>
        <w:topLinePunct w:val="0"/>
        <w:autoSpaceDE/>
        <w:autoSpaceDN/>
        <w:bidi w:val="0"/>
        <w:adjustRightInd/>
        <w:snapToGrid/>
        <w:spacing w:line="480" w:lineRule="exact"/>
        <w:ind w:left="481" w:leftChars="229" w:firstLine="67" w:firstLineChars="28"/>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B.计算所有室内声源在围护结构处产生的叠加声压级：</w:t>
      </w:r>
    </w:p>
    <w:p w14:paraId="33A7016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30"/>
          <w:sz w:val="24"/>
          <w:highlight w:val="none"/>
        </w:rPr>
        <w:object>
          <v:shape id="_x0000_i1041" o:spt="75" type="#_x0000_t75" style="height:35pt;width:128pt;" o:ole="t" filled="f" o:preferrelative="t" stroked="f" coordsize="21600,21600">
            <v:path/>
            <v:fill on="f" focussize="0,0"/>
            <v:stroke on="f"/>
            <v:imagedata r:id="rId96" o:title=""/>
            <o:lock v:ext="edit" grouping="f" rotation="f" text="f" aspectratio="t"/>
            <w10:wrap type="none"/>
            <w10:anchorlock/>
          </v:shape>
          <o:OLEObject Type="Embed" ProgID="Equation.3" ShapeID="_x0000_i1041" DrawAspect="Content" ObjectID="_1468075743" r:id="rId95">
            <o:LockedField>false</o:LockedField>
          </o:OLEObject>
        </w:object>
      </w:r>
    </w:p>
    <w:p w14:paraId="6EA9E73C">
      <w:pPr>
        <w:keepNext w:val="0"/>
        <w:keepLines w:val="0"/>
        <w:pageBreakBefore w:val="0"/>
        <w:widowControl w:val="0"/>
        <w:kinsoku/>
        <w:wordWrap/>
        <w:overflowPunct/>
        <w:topLinePunct w:val="0"/>
        <w:autoSpaceDE/>
        <w:autoSpaceDN/>
        <w:bidi w:val="0"/>
        <w:adjustRightInd/>
        <w:snapToGrid/>
        <w:spacing w:line="480" w:lineRule="exact"/>
        <w:ind w:firstLine="616" w:firstLineChars="257"/>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式中：L</w:t>
      </w:r>
      <w:r>
        <w:rPr>
          <w:rFonts w:hint="default" w:ascii="Times New Roman" w:hAnsi="Times New Roman" w:eastAsia="宋体" w:cs="Times New Roman"/>
          <w:color w:val="auto"/>
          <w:sz w:val="24"/>
          <w:highlight w:val="none"/>
          <w:vertAlign w:val="subscript"/>
        </w:rPr>
        <w:t>p1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—靠近围护结构处室内N个声源的叠加声压级，dB；</w:t>
      </w:r>
    </w:p>
    <w:p w14:paraId="1E2716B0">
      <w:pPr>
        <w:keepNext w:val="0"/>
        <w:keepLines w:val="0"/>
        <w:pageBreakBefore w:val="0"/>
        <w:widowControl w:val="0"/>
        <w:kinsoku/>
        <w:wordWrap/>
        <w:overflowPunct/>
        <w:topLinePunct w:val="0"/>
        <w:autoSpaceDE/>
        <w:autoSpaceDN/>
        <w:bidi w:val="0"/>
        <w:adjustRightInd/>
        <w:snapToGrid/>
        <w:spacing w:line="480" w:lineRule="exact"/>
        <w:ind w:firstLine="1233" w:firstLineChars="514"/>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L</w:t>
      </w:r>
      <w:r>
        <w:rPr>
          <w:rFonts w:hint="default" w:ascii="Times New Roman" w:hAnsi="Times New Roman" w:eastAsia="宋体" w:cs="Times New Roman"/>
          <w:color w:val="auto"/>
          <w:sz w:val="24"/>
          <w:highlight w:val="none"/>
          <w:vertAlign w:val="subscript"/>
        </w:rPr>
        <w:t>p1j</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—室内j声源声压级，dB；</w:t>
      </w:r>
    </w:p>
    <w:p w14:paraId="1A39AD05">
      <w:pPr>
        <w:keepNext w:val="0"/>
        <w:keepLines w:val="0"/>
        <w:pageBreakBefore w:val="0"/>
        <w:widowControl w:val="0"/>
        <w:kinsoku/>
        <w:wordWrap/>
        <w:overflowPunct/>
        <w:topLinePunct w:val="0"/>
        <w:autoSpaceDE/>
        <w:autoSpaceDN/>
        <w:bidi w:val="0"/>
        <w:adjustRightInd/>
        <w:snapToGrid/>
        <w:spacing w:line="480" w:lineRule="exact"/>
        <w:ind w:firstLine="1233" w:firstLineChars="514"/>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N—室内声源总数。</w:t>
      </w:r>
    </w:p>
    <w:p w14:paraId="6D08C20F">
      <w:pPr>
        <w:keepNext w:val="0"/>
        <w:keepLines w:val="0"/>
        <w:pageBreakBefore w:val="0"/>
        <w:widowControl w:val="0"/>
        <w:kinsoku/>
        <w:wordWrap/>
        <w:overflowPunct/>
        <w:topLinePunct w:val="0"/>
        <w:autoSpaceDE/>
        <w:autoSpaceDN/>
        <w:bidi w:val="0"/>
        <w:adjustRightInd/>
        <w:snapToGrid/>
        <w:spacing w:line="480" w:lineRule="exact"/>
        <w:ind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C.计算靠近室外</w:t>
      </w:r>
      <w:r>
        <w:rPr>
          <w:rFonts w:hint="default" w:ascii="Times New Roman" w:hAnsi="Times New Roman" w:eastAsia="宋体" w:cs="Times New Roman"/>
          <w:color w:val="auto"/>
          <w:sz w:val="24"/>
          <w:highlight w:val="none"/>
          <w:lang w:eastAsia="zh-CN"/>
        </w:rPr>
        <w:t>围</w:t>
      </w:r>
      <w:r>
        <w:rPr>
          <w:rFonts w:hint="default" w:ascii="Times New Roman" w:hAnsi="Times New Roman" w:eastAsia="宋体" w:cs="Times New Roman"/>
          <w:color w:val="auto"/>
          <w:sz w:val="24"/>
          <w:highlight w:val="none"/>
        </w:rPr>
        <w:t>护结构处的声压级：</w:t>
      </w:r>
    </w:p>
    <w:p w14:paraId="2F6D01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42" o:spt="75" type="#_x0000_t75" style="height:19pt;width:132.95pt;" o:ole="t" filled="f" o:preferrelative="t" stroked="f" coordsize="21600,21600">
            <v:path/>
            <v:fill on="f" focussize="0,0"/>
            <v:stroke on="f"/>
            <v:imagedata r:id="rId98" o:title=""/>
            <o:lock v:ext="edit" grouping="f" rotation="f" text="f" aspectratio="t"/>
            <w10:wrap type="none"/>
            <w10:anchorlock/>
          </v:shape>
          <o:OLEObject Type="Embed" ProgID="Equation.3" ShapeID="_x0000_i1042" DrawAspect="Content" ObjectID="_1468075744" r:id="rId97">
            <o:LockedField>false</o:LockedField>
          </o:OLEObject>
        </w:object>
      </w:r>
    </w:p>
    <w:p w14:paraId="312C6C34">
      <w:pPr>
        <w:keepNext w:val="0"/>
        <w:keepLines w:val="0"/>
        <w:pageBreakBefore w:val="0"/>
        <w:widowControl w:val="0"/>
        <w:kinsoku/>
        <w:wordWrap/>
        <w:overflowPunct/>
        <w:topLinePunct w:val="0"/>
        <w:autoSpaceDE/>
        <w:autoSpaceDN/>
        <w:bidi w:val="0"/>
        <w:adjustRightInd/>
        <w:snapToGrid/>
        <w:spacing w:line="480" w:lineRule="exact"/>
        <w:ind w:firstLine="720" w:firstLineChars="3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式中：L</w:t>
      </w:r>
      <w:r>
        <w:rPr>
          <w:rFonts w:hint="default" w:ascii="Times New Roman" w:hAnsi="Times New Roman" w:eastAsia="宋体" w:cs="Times New Roman"/>
          <w:color w:val="auto"/>
          <w:sz w:val="24"/>
          <w:highlight w:val="none"/>
          <w:vertAlign w:val="subscript"/>
        </w:rPr>
        <w:t>p2i</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—靠近围护结构处室内N个声源的叠加声压级，dB；</w:t>
      </w:r>
    </w:p>
    <w:p w14:paraId="2376B9F8">
      <w:pPr>
        <w:keepNext w:val="0"/>
        <w:keepLines w:val="0"/>
        <w:pageBreakBefore w:val="0"/>
        <w:widowControl w:val="0"/>
        <w:kinsoku/>
        <w:wordWrap/>
        <w:overflowPunct/>
        <w:topLinePunct w:val="0"/>
        <w:autoSpaceDE/>
        <w:autoSpaceDN/>
        <w:bidi w:val="0"/>
        <w:adjustRightInd/>
        <w:snapToGrid/>
        <w:spacing w:line="480" w:lineRule="exact"/>
        <w:ind w:firstLine="1233" w:firstLineChars="514"/>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TL—围护结构的隔声量，dB；</w:t>
      </w:r>
    </w:p>
    <w:p w14:paraId="0C19208F">
      <w:pPr>
        <w:keepNext w:val="0"/>
        <w:keepLines w:val="0"/>
        <w:pageBreakBefore w:val="0"/>
        <w:widowControl w:val="0"/>
        <w:kinsoku/>
        <w:wordWrap/>
        <w:overflowPunct/>
        <w:topLinePunct w:val="0"/>
        <w:autoSpaceDE/>
        <w:autoSpaceDN/>
        <w:bidi w:val="0"/>
        <w:adjustRightInd/>
        <w:snapToGrid/>
        <w:spacing w:line="480" w:lineRule="exact"/>
        <w:ind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D.将室外声源的声压级和透过面积换算成等效的室外声源，计算中心位置位于透声面积处的等效声源的声功率级：</w:t>
      </w:r>
    </w:p>
    <w:p w14:paraId="741B4250">
      <w:pPr>
        <w:keepNext w:val="0"/>
        <w:keepLines w:val="0"/>
        <w:pageBreakBefore w:val="0"/>
        <w:widowControl w:val="0"/>
        <w:kinsoku/>
        <w:wordWrap/>
        <w:overflowPunct/>
        <w:topLinePunct w:val="0"/>
        <w:autoSpaceDE/>
        <w:autoSpaceDN/>
        <w:bidi w:val="0"/>
        <w:adjustRightInd/>
        <w:snapToGrid/>
        <w:spacing w:line="480" w:lineRule="exact"/>
        <w:ind w:firstLine="600" w:firstLineChars="25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2"/>
          <w:sz w:val="24"/>
          <w:highlight w:val="none"/>
        </w:rPr>
        <w:object>
          <v:shape id="_x0000_i1043" o:spt="75" type="#_x0000_t75" style="height:18pt;width:105pt;" o:ole="t" filled="f" o:preferrelative="t" stroked="f" coordsize="21600,21600">
            <v:path/>
            <v:fill on="f" focussize="0,0"/>
            <v:stroke on="f"/>
            <v:imagedata r:id="rId100" o:title=""/>
            <o:lock v:ext="edit" grouping="f" rotation="f" text="f" aspectratio="t"/>
            <w10:wrap type="none"/>
            <w10:anchorlock/>
          </v:shape>
          <o:OLEObject Type="Embed" ProgID="Equation.3" ShapeID="_x0000_i1043" DrawAspect="Content" ObjectID="_1468075745" r:id="rId99">
            <o:LockedField>false</o:LockedField>
          </o:OLEObject>
        </w:object>
      </w:r>
    </w:p>
    <w:p w14:paraId="1D28ED6A">
      <w:pPr>
        <w:keepNext w:val="0"/>
        <w:keepLines w:val="0"/>
        <w:pageBreakBefore w:val="0"/>
        <w:widowControl w:val="0"/>
        <w:kinsoku/>
        <w:wordWrap/>
        <w:overflowPunct/>
        <w:topLinePunct w:val="0"/>
        <w:autoSpaceDE/>
        <w:autoSpaceDN/>
        <w:bidi w:val="0"/>
        <w:adjustRightInd/>
        <w:snapToGrid/>
        <w:spacing w:line="480" w:lineRule="exact"/>
        <w:ind w:firstLine="600" w:firstLineChars="25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E.按室外声源预测方法计算预测点处的声压级。</w:t>
      </w:r>
    </w:p>
    <w:p w14:paraId="3617EFCD">
      <w:pPr>
        <w:keepNext w:val="0"/>
        <w:keepLines w:val="0"/>
        <w:pageBreakBefore w:val="0"/>
        <w:widowControl w:val="0"/>
        <w:kinsoku/>
        <w:wordWrap/>
        <w:overflowPunct/>
        <w:topLinePunct w:val="0"/>
        <w:autoSpaceDE/>
        <w:autoSpaceDN/>
        <w:bidi w:val="0"/>
        <w:adjustRightInd/>
        <w:snapToGrid/>
        <w:spacing w:line="480" w:lineRule="exact"/>
        <w:ind w:firstLine="600" w:firstLineChars="25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44" o:spt="75" type="#_x0000_t75" style="height:19pt;width:135pt;" o:ole="t" filled="f" o:preferrelative="t" stroked="f" coordsize="21600,21600">
            <v:path/>
            <v:fill on="f" focussize="0,0"/>
            <v:stroke on="f"/>
            <v:imagedata r:id="rId102" o:title=""/>
            <o:lock v:ext="edit" grouping="f" rotation="f" text="f" aspectratio="t"/>
            <w10:wrap type="none"/>
            <w10:anchorlock/>
          </v:shape>
          <o:OLEObject Type="Embed" ProgID="Equation.DSMT4" ShapeID="_x0000_i1044" DrawAspect="Content" ObjectID="_1468075746" r:id="rId101">
            <o:LockedField>false</o:LockedField>
          </o:OLEObject>
        </w:object>
      </w:r>
    </w:p>
    <w:p w14:paraId="22C7976B">
      <w:pPr>
        <w:keepNext w:val="0"/>
        <w:keepLines w:val="0"/>
        <w:pageBreakBefore w:val="0"/>
        <w:widowControl w:val="0"/>
        <w:kinsoku/>
        <w:wordWrap/>
        <w:overflowPunct/>
        <w:topLinePunct w:val="0"/>
        <w:autoSpaceDE/>
        <w:autoSpaceDN/>
        <w:bidi w:val="0"/>
        <w:adjustRightInd/>
        <w:snapToGrid/>
        <w:spacing w:line="480" w:lineRule="exact"/>
        <w:ind w:firstLine="600" w:firstLineChars="25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F.如预测点在靠近声源处，但不能满足声源条件时，需按线声源或面声源模式计算。</w:t>
      </w:r>
    </w:p>
    <w:p w14:paraId="74EAA87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③</w:t>
      </w:r>
      <w:r>
        <w:rPr>
          <w:rFonts w:hint="default" w:ascii="Times New Roman" w:hAnsi="Times New Roman" w:eastAsia="宋体" w:cs="Times New Roman"/>
          <w:color w:val="auto"/>
          <w:sz w:val="24"/>
          <w:highlight w:val="none"/>
        </w:rPr>
        <w:t>总声压级</w:t>
      </w:r>
    </w:p>
    <w:p w14:paraId="56BAA32D">
      <w:pPr>
        <w:keepNext w:val="0"/>
        <w:keepLines w:val="0"/>
        <w:pageBreakBefore w:val="0"/>
        <w:widowControl w:val="0"/>
        <w:kinsoku/>
        <w:wordWrap/>
        <w:overflowPunct/>
        <w:topLinePunct w:val="0"/>
        <w:autoSpaceDE/>
        <w:autoSpaceDN/>
        <w:bidi w:val="0"/>
        <w:adjustRightInd/>
        <w:snapToGrid/>
        <w:spacing w:line="360" w:lineRule="auto"/>
        <w:ind w:firstLine="1320" w:firstLineChars="550"/>
        <w:jc w:val="center"/>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30"/>
          <w:sz w:val="24"/>
          <w:highlight w:val="none"/>
        </w:rPr>
        <w:object>
          <v:shape id="_x0000_i1045" o:spt="75" type="#_x0000_t75" style="height:35pt;width:240pt;" o:ole="t" filled="f" o:preferrelative="t" stroked="f" coordsize="21600,21600">
            <v:path/>
            <v:fill on="f" focussize="0,0"/>
            <v:stroke on="f"/>
            <v:imagedata r:id="rId104" o:title=""/>
            <o:lock v:ext="edit" grouping="f" rotation="f" text="f" aspectratio="t"/>
            <w10:wrap type="none"/>
            <w10:anchorlock/>
          </v:shape>
          <o:OLEObject Type="Embed" ProgID="Equation.DSMT4" ShapeID="_x0000_i1045" DrawAspect="Content" ObjectID="_1468075747" r:id="rId103">
            <o:LockedField>false</o:LockedField>
          </o:OLEObject>
        </w:object>
      </w:r>
    </w:p>
    <w:p w14:paraId="5AF2F432">
      <w:pPr>
        <w:keepNext w:val="0"/>
        <w:keepLines w:val="0"/>
        <w:pageBreakBefore w:val="0"/>
        <w:widowControl w:val="0"/>
        <w:kinsoku/>
        <w:wordWrap/>
        <w:overflowPunct/>
        <w:topLinePunct w:val="0"/>
        <w:autoSpaceDE/>
        <w:autoSpaceDN/>
        <w:bidi w:val="0"/>
        <w:adjustRightInd/>
        <w:snapToGrid/>
        <w:spacing w:line="480" w:lineRule="exact"/>
        <w:ind w:firstLine="540" w:firstLineChars="225"/>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T为计算等效声级的时间；</w:t>
      </w:r>
    </w:p>
    <w:p w14:paraId="1E134E15">
      <w:pPr>
        <w:keepNext w:val="0"/>
        <w:keepLines w:val="0"/>
        <w:pageBreakBefore w:val="0"/>
        <w:widowControl w:val="0"/>
        <w:kinsoku/>
        <w:wordWrap/>
        <w:overflowPunct/>
        <w:topLinePunct w:val="0"/>
        <w:autoSpaceDE/>
        <w:autoSpaceDN/>
        <w:bidi w:val="0"/>
        <w:adjustRightInd/>
        <w:snapToGrid/>
        <w:spacing w:line="480" w:lineRule="exact"/>
        <w:ind w:firstLine="1260" w:firstLineChars="525"/>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M为室外声源个数；N为室内声源个数；</w:t>
      </w:r>
    </w:p>
    <w:p w14:paraId="2D476F08">
      <w:pPr>
        <w:keepNext w:val="0"/>
        <w:keepLines w:val="0"/>
        <w:pageBreakBefore w:val="0"/>
        <w:widowControl w:val="0"/>
        <w:kinsoku/>
        <w:wordWrap/>
        <w:overflowPunct/>
        <w:topLinePunct w:val="0"/>
        <w:autoSpaceDE/>
        <w:autoSpaceDN/>
        <w:bidi w:val="0"/>
        <w:adjustRightInd/>
        <w:snapToGrid/>
        <w:spacing w:line="480" w:lineRule="exact"/>
        <w:ind w:firstLine="1260" w:firstLineChars="525"/>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46" o:spt="75" type="#_x0000_t75" style="height:19pt;width:21pt;" o:ole="t" filled="f" stroked="f" coordsize="21600,21600">
            <v:path/>
            <v:fill on="f" focussize="0,0"/>
            <v:stroke on="f"/>
            <v:imagedata r:id="rId106" o:title=""/>
            <o:lock v:ext="edit" grouping="f" rotation="f" text="f" aspectratio="t"/>
            <w10:wrap type="none"/>
            <w10:anchorlock/>
          </v:shape>
          <o:OLEObject Type="Embed" ProgID="Equation.DSMT4" ShapeID="_x0000_i1046" DrawAspect="Content" ObjectID="_1468075748" r:id="rId105">
            <o:LockedField>false</o:LockedField>
          </o:OLEObject>
        </w:object>
      </w:r>
      <w:r>
        <w:rPr>
          <w:rFonts w:hint="default" w:ascii="Times New Roman" w:hAnsi="Times New Roman" w:eastAsia="宋体" w:cs="Times New Roman"/>
          <w:color w:val="auto"/>
          <w:sz w:val="24"/>
          <w:highlight w:val="none"/>
        </w:rPr>
        <w:t>为T时间内第i个室外声源的工作时间；</w:t>
      </w:r>
    </w:p>
    <w:p w14:paraId="47003BB9">
      <w:pPr>
        <w:keepNext w:val="0"/>
        <w:keepLines w:val="0"/>
        <w:pageBreakBefore w:val="0"/>
        <w:widowControl w:val="0"/>
        <w:kinsoku/>
        <w:wordWrap/>
        <w:overflowPunct/>
        <w:topLinePunct w:val="0"/>
        <w:autoSpaceDE/>
        <w:autoSpaceDN/>
        <w:bidi w:val="0"/>
        <w:adjustRightInd/>
        <w:snapToGrid/>
        <w:spacing w:line="480" w:lineRule="exact"/>
        <w:ind w:firstLine="1260" w:firstLineChars="525"/>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14"/>
          <w:sz w:val="24"/>
          <w:highlight w:val="none"/>
        </w:rPr>
        <w:object>
          <v:shape id="_x0000_i1047" o:spt="75" type="#_x0000_t75" style="height:19pt;width:18pt;" o:ole="t" filled="f" o:preferrelative="t" stroked="f" coordsize="21600,21600">
            <v:path/>
            <v:fill on="f" focussize="0,0"/>
            <v:stroke on="f"/>
            <v:imagedata r:id="rId108" o:title=""/>
            <o:lock v:ext="edit" grouping="f" rotation="f" text="f" aspectratio="t"/>
            <w10:wrap type="none"/>
            <w10:anchorlock/>
          </v:shape>
          <o:OLEObject Type="Embed" ProgID="Equation.DSMT4" ShapeID="_x0000_i1047" DrawAspect="Content" ObjectID="_1468075749" r:id="rId107">
            <o:LockedField>false</o:LockedField>
          </o:OLEObject>
        </w:object>
      </w:r>
      <w:r>
        <w:rPr>
          <w:rFonts w:hint="default" w:ascii="Times New Roman" w:hAnsi="Times New Roman" w:eastAsia="宋体" w:cs="Times New Roman"/>
          <w:color w:val="auto"/>
          <w:sz w:val="24"/>
          <w:highlight w:val="none"/>
        </w:rPr>
        <w:t>为T时间内第j个室内声源的工作时间。</w:t>
      </w:r>
    </w:p>
    <w:p w14:paraId="71B05DE5">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color w:val="auto"/>
          <w:position w:val="-12"/>
          <w:sz w:val="24"/>
          <w:highlight w:val="none"/>
        </w:rPr>
        <w:object>
          <v:shape id="_x0000_i1048" o:spt="75" type="#_x0000_t75" style="height:18pt;width:16pt;" o:ole="t" filled="f" o:preferrelative="t" stroked="f" coordsize="21600,21600">
            <v:path/>
            <v:fill on="f" focussize="0,0"/>
            <v:stroke on="f"/>
            <v:imagedata r:id="rId110" o:title=""/>
            <o:lock v:ext="edit" grouping="f" rotation="f" text="f" aspectratio="t"/>
            <w10:wrap type="none"/>
            <w10:anchorlock/>
          </v:shape>
          <o:OLEObject Type="Embed" ProgID="Equation.DSMT4" ShapeID="_x0000_i1048" DrawAspect="Content" ObjectID="_1468075750" r:id="rId109">
            <o:LockedField>false</o:LockedField>
          </o:OLEObject>
        </w:object>
      </w:r>
      <w:r>
        <w:rPr>
          <w:rFonts w:hint="default" w:ascii="Times New Roman" w:hAnsi="Times New Roman" w:eastAsia="宋体" w:cs="Times New Roman"/>
          <w:color w:val="auto"/>
          <w:sz w:val="24"/>
          <w:highlight w:val="none"/>
        </w:rPr>
        <w:t>和</w:t>
      </w:r>
      <w:r>
        <w:rPr>
          <w:rFonts w:hint="default" w:ascii="Times New Roman" w:hAnsi="Times New Roman" w:eastAsia="宋体" w:cs="Times New Roman"/>
          <w:color w:val="auto"/>
          <w:position w:val="-12"/>
          <w:sz w:val="24"/>
          <w:highlight w:val="none"/>
        </w:rPr>
        <w:object>
          <v:shape id="_x0000_i1049" o:spt="75" type="#_x0000_t75" style="height:18pt;width:12pt;" o:ole="t" filled="f" o:preferrelative="t" stroked="f" coordsize="21600,21600">
            <v:path/>
            <v:fill on="f" focussize="0,0"/>
            <v:stroke on="f"/>
            <v:imagedata r:id="rId112" o:title=""/>
            <o:lock v:ext="edit" grouping="f" rotation="f" text="f" aspectratio="t"/>
            <w10:wrap type="none"/>
            <w10:anchorlock/>
          </v:shape>
          <o:OLEObject Type="Embed" ProgID="Equation.DSMT4" ShapeID="_x0000_i1049" DrawAspect="Content" ObjectID="_1468075751" r:id="rId111">
            <o:LockedField>false</o:LockedField>
          </o:OLEObject>
        </w:object>
      </w:r>
      <w:r>
        <w:rPr>
          <w:rFonts w:hint="default" w:ascii="Times New Roman" w:hAnsi="Times New Roman" w:eastAsia="宋体" w:cs="Times New Roman"/>
          <w:color w:val="auto"/>
          <w:sz w:val="24"/>
          <w:highlight w:val="none"/>
        </w:rPr>
        <w:t>均按T时间内实际工作时间计算。</w:t>
      </w:r>
    </w:p>
    <w:p w14:paraId="7EAD672E">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b/>
          <w:bCs/>
          <w:color w:val="auto"/>
          <w:spacing w:val="-3"/>
          <w:szCs w:val="24"/>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"5.5.2.5"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5.5.2.5</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预测结果及评价</w:t>
      </w:r>
    </w:p>
    <w:p w14:paraId="17086BF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本次环评针对各种噪声源的特征对噪声防治措施进行了细化，预测按照采取治理措施后的影响进行计算，场界噪声预测结果见表5.5-2。</w:t>
      </w:r>
    </w:p>
    <w:p w14:paraId="6AA95E15">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eastAsia="zh-CN"/>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5.5-2     </w:t>
      </w:r>
      <w:r>
        <w:rPr>
          <w:rFonts w:hint="default" w:ascii="Times New Roman" w:hAnsi="Times New Roman" w:eastAsia="宋体" w:cs="Times New Roman"/>
          <w:b/>
          <w:bCs/>
          <w:color w:val="auto"/>
          <w:spacing w:val="-2"/>
          <w:sz w:val="21"/>
          <w:szCs w:val="21"/>
        </w:rPr>
        <w:t>噪声影响预测结果表单位：dB</w:t>
      </w:r>
      <w:r>
        <w:rPr>
          <w:rFonts w:hint="default" w:ascii="Times New Roman" w:hAnsi="Times New Roman" w:eastAsia="宋体" w:cs="Times New Roman"/>
          <w:b/>
          <w:bCs/>
          <w:color w:val="auto"/>
          <w:spacing w:val="-2"/>
          <w:sz w:val="21"/>
          <w:szCs w:val="21"/>
          <w:lang w:eastAsia="zh-CN"/>
        </w:rPr>
        <w:t>（</w:t>
      </w:r>
      <w:r>
        <w:rPr>
          <w:rFonts w:hint="default" w:ascii="Times New Roman" w:hAnsi="Times New Roman" w:eastAsia="宋体" w:cs="Times New Roman"/>
          <w:b/>
          <w:bCs/>
          <w:color w:val="auto"/>
          <w:spacing w:val="-2"/>
          <w:sz w:val="21"/>
          <w:szCs w:val="21"/>
        </w:rPr>
        <w:t>A</w:t>
      </w:r>
      <w:r>
        <w:rPr>
          <w:rFonts w:hint="default" w:ascii="Times New Roman" w:hAnsi="Times New Roman" w:eastAsia="宋体" w:cs="Times New Roman"/>
          <w:b/>
          <w:bCs/>
          <w:color w:val="auto"/>
          <w:spacing w:val="-2"/>
          <w:sz w:val="21"/>
          <w:szCs w:val="21"/>
          <w:lang w:eastAsia="zh-CN"/>
        </w:rPr>
        <w:t>）</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923"/>
        <w:gridCol w:w="923"/>
        <w:gridCol w:w="932"/>
        <w:gridCol w:w="923"/>
        <w:gridCol w:w="933"/>
        <w:gridCol w:w="923"/>
        <w:gridCol w:w="934"/>
        <w:gridCol w:w="924"/>
        <w:gridCol w:w="931"/>
      </w:tblGrid>
      <w:tr w14:paraId="45B418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553" w:type="pct"/>
            <w:vMerge w:val="restart"/>
            <w:tcBorders>
              <w:tl2br w:val="nil"/>
              <w:tr2bl w:val="nil"/>
            </w:tcBorders>
            <w:noWrap w:val="0"/>
            <w:tcMar>
              <w:left w:w="28" w:type="dxa"/>
              <w:right w:w="28" w:type="dxa"/>
            </w:tcMar>
            <w:vAlign w:val="center"/>
          </w:tcPr>
          <w:p w14:paraId="6E21328D">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受声点</w:t>
            </w:r>
          </w:p>
        </w:tc>
        <w:tc>
          <w:tcPr>
            <w:tcW w:w="1111" w:type="pct"/>
            <w:gridSpan w:val="2"/>
            <w:tcBorders>
              <w:tl2br w:val="nil"/>
              <w:tr2bl w:val="nil"/>
            </w:tcBorders>
            <w:noWrap w:val="0"/>
            <w:vAlign w:val="center"/>
          </w:tcPr>
          <w:p w14:paraId="43398AA3">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东场界</w:t>
            </w:r>
          </w:p>
        </w:tc>
        <w:tc>
          <w:tcPr>
            <w:tcW w:w="1112" w:type="pct"/>
            <w:gridSpan w:val="2"/>
            <w:tcBorders>
              <w:tl2br w:val="nil"/>
              <w:tr2bl w:val="nil"/>
            </w:tcBorders>
            <w:noWrap w:val="0"/>
            <w:vAlign w:val="center"/>
          </w:tcPr>
          <w:p w14:paraId="75365481">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南场界</w:t>
            </w:r>
          </w:p>
        </w:tc>
        <w:tc>
          <w:tcPr>
            <w:tcW w:w="1112" w:type="pct"/>
            <w:gridSpan w:val="2"/>
            <w:tcBorders>
              <w:tl2br w:val="nil"/>
              <w:tr2bl w:val="nil"/>
            </w:tcBorders>
            <w:noWrap w:val="0"/>
            <w:vAlign w:val="center"/>
          </w:tcPr>
          <w:p w14:paraId="75BA11C6">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西场界</w:t>
            </w:r>
          </w:p>
        </w:tc>
        <w:tc>
          <w:tcPr>
            <w:tcW w:w="1110" w:type="pct"/>
            <w:gridSpan w:val="2"/>
            <w:tcBorders>
              <w:tl2br w:val="nil"/>
              <w:tr2bl w:val="nil"/>
            </w:tcBorders>
            <w:noWrap w:val="0"/>
            <w:vAlign w:val="center"/>
          </w:tcPr>
          <w:p w14:paraId="7E014ABD">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北场界</w:t>
            </w:r>
          </w:p>
        </w:tc>
      </w:tr>
      <w:tr w14:paraId="0E1C6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553" w:type="pct"/>
            <w:vMerge w:val="continue"/>
            <w:tcBorders>
              <w:tl2br w:val="nil"/>
              <w:tr2bl w:val="nil"/>
            </w:tcBorders>
            <w:noWrap w:val="0"/>
            <w:tcMar>
              <w:left w:w="28" w:type="dxa"/>
              <w:right w:w="28" w:type="dxa"/>
            </w:tcMar>
            <w:vAlign w:val="center"/>
          </w:tcPr>
          <w:p w14:paraId="5E8D5B85">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p>
        </w:tc>
        <w:tc>
          <w:tcPr>
            <w:tcW w:w="553" w:type="pct"/>
            <w:tcBorders>
              <w:tl2br w:val="nil"/>
              <w:tr2bl w:val="nil"/>
            </w:tcBorders>
            <w:noWrap w:val="0"/>
            <w:vAlign w:val="center"/>
          </w:tcPr>
          <w:p w14:paraId="199BAC22">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昼间</w:t>
            </w:r>
          </w:p>
        </w:tc>
        <w:tc>
          <w:tcPr>
            <w:tcW w:w="557" w:type="pct"/>
            <w:tcBorders>
              <w:tl2br w:val="nil"/>
              <w:tr2bl w:val="nil"/>
            </w:tcBorders>
            <w:noWrap w:val="0"/>
            <w:vAlign w:val="center"/>
          </w:tcPr>
          <w:p w14:paraId="370FF4C7">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夜间</w:t>
            </w:r>
          </w:p>
        </w:tc>
        <w:tc>
          <w:tcPr>
            <w:tcW w:w="553" w:type="pct"/>
            <w:tcBorders>
              <w:tl2br w:val="nil"/>
              <w:tr2bl w:val="nil"/>
            </w:tcBorders>
            <w:noWrap w:val="0"/>
            <w:vAlign w:val="center"/>
          </w:tcPr>
          <w:p w14:paraId="73D8CCC0">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昼间</w:t>
            </w:r>
          </w:p>
        </w:tc>
        <w:tc>
          <w:tcPr>
            <w:tcW w:w="558" w:type="pct"/>
            <w:tcBorders>
              <w:tl2br w:val="nil"/>
              <w:tr2bl w:val="nil"/>
            </w:tcBorders>
            <w:noWrap w:val="0"/>
            <w:vAlign w:val="center"/>
          </w:tcPr>
          <w:p w14:paraId="6CA4BA36">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夜间</w:t>
            </w:r>
          </w:p>
        </w:tc>
        <w:tc>
          <w:tcPr>
            <w:tcW w:w="553" w:type="pct"/>
            <w:tcBorders>
              <w:tl2br w:val="nil"/>
              <w:tr2bl w:val="nil"/>
            </w:tcBorders>
            <w:noWrap w:val="0"/>
            <w:vAlign w:val="center"/>
          </w:tcPr>
          <w:p w14:paraId="3AE3C94A">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昼间</w:t>
            </w:r>
          </w:p>
        </w:tc>
        <w:tc>
          <w:tcPr>
            <w:tcW w:w="558" w:type="pct"/>
            <w:tcBorders>
              <w:tl2br w:val="nil"/>
              <w:tr2bl w:val="nil"/>
            </w:tcBorders>
            <w:noWrap w:val="0"/>
            <w:vAlign w:val="center"/>
          </w:tcPr>
          <w:p w14:paraId="409B7AC3">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夜间</w:t>
            </w:r>
          </w:p>
        </w:tc>
        <w:tc>
          <w:tcPr>
            <w:tcW w:w="553" w:type="pct"/>
            <w:tcBorders>
              <w:tl2br w:val="nil"/>
              <w:tr2bl w:val="nil"/>
            </w:tcBorders>
            <w:noWrap w:val="0"/>
            <w:vAlign w:val="center"/>
          </w:tcPr>
          <w:p w14:paraId="48B988B4">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昼间</w:t>
            </w:r>
          </w:p>
        </w:tc>
        <w:tc>
          <w:tcPr>
            <w:tcW w:w="556" w:type="pct"/>
            <w:tcBorders>
              <w:tl2br w:val="nil"/>
              <w:tr2bl w:val="nil"/>
            </w:tcBorders>
            <w:noWrap w:val="0"/>
            <w:vAlign w:val="center"/>
          </w:tcPr>
          <w:p w14:paraId="503297D8">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夜间</w:t>
            </w:r>
          </w:p>
        </w:tc>
      </w:tr>
      <w:tr w14:paraId="1A92E9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553" w:type="pct"/>
            <w:tcBorders>
              <w:tl2br w:val="nil"/>
              <w:tr2bl w:val="nil"/>
            </w:tcBorders>
            <w:noWrap w:val="0"/>
            <w:tcMar>
              <w:left w:w="28" w:type="dxa"/>
              <w:right w:w="28" w:type="dxa"/>
            </w:tcMar>
            <w:vAlign w:val="center"/>
          </w:tcPr>
          <w:p w14:paraId="359A0BFC">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贡献值</w:t>
            </w:r>
          </w:p>
        </w:tc>
        <w:tc>
          <w:tcPr>
            <w:tcW w:w="553" w:type="pct"/>
            <w:tcBorders>
              <w:tl2br w:val="nil"/>
              <w:tr2bl w:val="nil"/>
            </w:tcBorders>
            <w:noWrap w:val="0"/>
            <w:vAlign w:val="center"/>
          </w:tcPr>
          <w:p w14:paraId="3609C4A8">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36.1</w:t>
            </w:r>
          </w:p>
        </w:tc>
        <w:tc>
          <w:tcPr>
            <w:tcW w:w="557" w:type="pct"/>
            <w:tcBorders>
              <w:tl2br w:val="nil"/>
              <w:tr2bl w:val="nil"/>
            </w:tcBorders>
            <w:noWrap w:val="0"/>
            <w:vAlign w:val="center"/>
          </w:tcPr>
          <w:p w14:paraId="5D271ED7">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36.1</w:t>
            </w:r>
          </w:p>
        </w:tc>
        <w:tc>
          <w:tcPr>
            <w:tcW w:w="553" w:type="pct"/>
            <w:tcBorders>
              <w:tl2br w:val="nil"/>
              <w:tr2bl w:val="nil"/>
            </w:tcBorders>
            <w:noWrap w:val="0"/>
            <w:vAlign w:val="center"/>
          </w:tcPr>
          <w:p w14:paraId="35C1FBDE">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35.9</w:t>
            </w:r>
          </w:p>
        </w:tc>
        <w:tc>
          <w:tcPr>
            <w:tcW w:w="558" w:type="pct"/>
            <w:tcBorders>
              <w:tl2br w:val="nil"/>
              <w:tr2bl w:val="nil"/>
            </w:tcBorders>
            <w:noWrap w:val="0"/>
            <w:vAlign w:val="center"/>
          </w:tcPr>
          <w:p w14:paraId="1B733D9B">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35.9</w:t>
            </w:r>
          </w:p>
        </w:tc>
        <w:tc>
          <w:tcPr>
            <w:tcW w:w="553" w:type="pct"/>
            <w:tcBorders>
              <w:tl2br w:val="nil"/>
              <w:tr2bl w:val="nil"/>
            </w:tcBorders>
            <w:noWrap w:val="0"/>
            <w:vAlign w:val="center"/>
          </w:tcPr>
          <w:p w14:paraId="2D1D84F3">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33.5</w:t>
            </w:r>
          </w:p>
        </w:tc>
        <w:tc>
          <w:tcPr>
            <w:tcW w:w="558" w:type="pct"/>
            <w:tcBorders>
              <w:tl2br w:val="nil"/>
              <w:tr2bl w:val="nil"/>
            </w:tcBorders>
            <w:noWrap w:val="0"/>
            <w:vAlign w:val="center"/>
          </w:tcPr>
          <w:p w14:paraId="50C004EF">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33.5</w:t>
            </w:r>
          </w:p>
        </w:tc>
        <w:tc>
          <w:tcPr>
            <w:tcW w:w="553" w:type="pct"/>
            <w:tcBorders>
              <w:tl2br w:val="nil"/>
              <w:tr2bl w:val="nil"/>
            </w:tcBorders>
            <w:noWrap w:val="0"/>
            <w:vAlign w:val="center"/>
          </w:tcPr>
          <w:p w14:paraId="188DC9DA">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35.3</w:t>
            </w:r>
          </w:p>
        </w:tc>
        <w:tc>
          <w:tcPr>
            <w:tcW w:w="556" w:type="pct"/>
            <w:tcBorders>
              <w:tl2br w:val="nil"/>
              <w:tr2bl w:val="nil"/>
            </w:tcBorders>
            <w:noWrap w:val="0"/>
            <w:vAlign w:val="center"/>
          </w:tcPr>
          <w:p w14:paraId="5517FADD">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35.3</w:t>
            </w:r>
          </w:p>
        </w:tc>
      </w:tr>
      <w:tr w14:paraId="68310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0" w:hRule="atLeast"/>
          <w:jc w:val="center"/>
        </w:trPr>
        <w:tc>
          <w:tcPr>
            <w:tcW w:w="553" w:type="pct"/>
            <w:tcBorders>
              <w:tl2br w:val="nil"/>
              <w:tr2bl w:val="nil"/>
            </w:tcBorders>
            <w:noWrap w:val="0"/>
            <w:tcMar>
              <w:left w:w="28" w:type="dxa"/>
              <w:right w:w="28" w:type="dxa"/>
            </w:tcMar>
            <w:vAlign w:val="center"/>
          </w:tcPr>
          <w:p w14:paraId="40511D99">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标准值</w:t>
            </w:r>
          </w:p>
        </w:tc>
        <w:tc>
          <w:tcPr>
            <w:tcW w:w="553" w:type="pct"/>
            <w:tcBorders>
              <w:tl2br w:val="nil"/>
              <w:tr2bl w:val="nil"/>
            </w:tcBorders>
            <w:noWrap w:val="0"/>
            <w:vAlign w:val="center"/>
          </w:tcPr>
          <w:p w14:paraId="7FE5C7F1">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57" w:type="pct"/>
            <w:tcBorders>
              <w:tl2br w:val="nil"/>
              <w:tr2bl w:val="nil"/>
            </w:tcBorders>
            <w:noWrap w:val="0"/>
            <w:vAlign w:val="center"/>
          </w:tcPr>
          <w:p w14:paraId="2C99C6CF">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553" w:type="pct"/>
            <w:tcBorders>
              <w:tl2br w:val="nil"/>
              <w:tr2bl w:val="nil"/>
            </w:tcBorders>
            <w:noWrap w:val="0"/>
            <w:vAlign w:val="center"/>
          </w:tcPr>
          <w:p w14:paraId="5BC7132C">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58" w:type="pct"/>
            <w:tcBorders>
              <w:tl2br w:val="nil"/>
              <w:tr2bl w:val="nil"/>
            </w:tcBorders>
            <w:noWrap w:val="0"/>
            <w:vAlign w:val="center"/>
          </w:tcPr>
          <w:p w14:paraId="73D90625">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553" w:type="pct"/>
            <w:tcBorders>
              <w:tl2br w:val="nil"/>
              <w:tr2bl w:val="nil"/>
            </w:tcBorders>
            <w:noWrap w:val="0"/>
            <w:vAlign w:val="center"/>
          </w:tcPr>
          <w:p w14:paraId="13AD993D">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58" w:type="pct"/>
            <w:tcBorders>
              <w:tl2br w:val="nil"/>
              <w:tr2bl w:val="nil"/>
            </w:tcBorders>
            <w:noWrap w:val="0"/>
            <w:vAlign w:val="center"/>
          </w:tcPr>
          <w:p w14:paraId="18538785">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c>
          <w:tcPr>
            <w:tcW w:w="553" w:type="pct"/>
            <w:tcBorders>
              <w:tl2br w:val="nil"/>
              <w:tr2bl w:val="nil"/>
            </w:tcBorders>
            <w:noWrap w:val="0"/>
            <w:vAlign w:val="center"/>
          </w:tcPr>
          <w:p w14:paraId="4A70652F">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56" w:type="pct"/>
            <w:tcBorders>
              <w:tl2br w:val="nil"/>
              <w:tr2bl w:val="nil"/>
            </w:tcBorders>
            <w:noWrap w:val="0"/>
            <w:vAlign w:val="center"/>
          </w:tcPr>
          <w:p w14:paraId="3E59090D">
            <w:pPr>
              <w:pStyle w:val="20"/>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50</w:t>
            </w:r>
          </w:p>
        </w:tc>
      </w:tr>
    </w:tbl>
    <w:p w14:paraId="26A8CA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项目</w:t>
      </w:r>
      <w:r>
        <w:rPr>
          <w:rFonts w:hint="eastAsia" w:ascii="Times New Roman" w:hAnsi="Times New Roman" w:cs="Times New Roman"/>
          <w:color w:val="auto"/>
          <w:spacing w:val="0"/>
          <w:kern w:val="0"/>
          <w:sz w:val="24"/>
          <w:szCs w:val="24"/>
          <w:highlight w:val="none"/>
          <w:lang w:val="en-US" w:eastAsia="zh-CN" w:bidi="ar-SA"/>
        </w:rPr>
        <w:t>厂</w:t>
      </w:r>
      <w:r>
        <w:rPr>
          <w:rFonts w:hint="default" w:ascii="Times New Roman" w:hAnsi="Times New Roman" w:eastAsia="宋体" w:cs="Times New Roman"/>
          <w:color w:val="auto"/>
          <w:spacing w:val="0"/>
          <w:kern w:val="0"/>
          <w:sz w:val="24"/>
          <w:szCs w:val="24"/>
          <w:highlight w:val="none"/>
          <w:lang w:val="en-US" w:eastAsia="zh-CN" w:bidi="ar-SA"/>
        </w:rPr>
        <w:t>界噪声执行《工业企业厂界环境噪声排放标准》（GB12348-2008）2类标准。</w:t>
      </w:r>
    </w:p>
    <w:p w14:paraId="7A6862B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预测结果表明，项目在各场界的最大预测值在33.5～36.1dB（A）之间，均符合《工业企业厂界环境噪声排放标准》（GB12348-2008）中2类标准，拟建项目不会降低厂界声环境质量级别，同时项目建设过程中加强噪声源的减噪、降噪，则本项目的建设不会对外环境噪声造成显著影响。</w:t>
      </w:r>
    </w:p>
    <w:p w14:paraId="24F2D6B8">
      <w:pPr>
        <w:pStyle w:val="4"/>
        <w:numPr>
          <w:ilvl w:val="2"/>
          <w:numId w:val="0"/>
        </w:numPr>
        <w:bidi w:val="0"/>
        <w:ind w:left="0" w:leftChars="0"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5.5.3爆破振动环境影响预测</w:t>
      </w:r>
    </w:p>
    <w:p w14:paraId="7768A40E">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项目生产爆破主要为采矿爆破，爆破存在于矿山的整个服务期限内，频繁的采矿爆破作用形成的振动对岩体结构及边坡稳定有一定影响。爆破作用在振动区内所导致的现象和后果，称为爆破地震效应。爆破作用在振动区内所引起的振动强烈程度，随着一次爆破炸药量的多少而不同。大的振动将带来较大的危害，小的振动一般影响较小，若十分频繁亦将造成损害。这些危害包括：矿区内的建筑物、构筑物可能遭致破坏；诱发边坡崩塌、滑动等。</w:t>
      </w:r>
    </w:p>
    <w:p w14:paraId="255FF8AA">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kern w:val="0"/>
          <w:sz w:val="24"/>
          <w:szCs w:val="24"/>
          <w:highlight w:val="none"/>
          <w:lang w:val="en-US" w:eastAsia="zh-CN" w:bidi="ar-SA"/>
        </w:rPr>
      </w:pPr>
      <w:r>
        <w:rPr>
          <w:rFonts w:hint="default" w:ascii="Times New Roman" w:hAnsi="Times New Roman" w:eastAsia="宋体" w:cs="Times New Roman"/>
          <w:color w:val="auto"/>
          <w:spacing w:val="0"/>
          <w:kern w:val="0"/>
          <w:sz w:val="24"/>
          <w:szCs w:val="24"/>
          <w:highlight w:val="none"/>
          <w:lang w:val="en-US" w:eastAsia="zh-CN" w:bidi="ar-SA"/>
        </w:rPr>
        <w:t>爆破振动安全允许距离（m）</w:t>
      </w:r>
    </w:p>
    <w:p w14:paraId="01DD0B45">
      <w:pPr>
        <w:spacing w:before="187" w:line="360" w:lineRule="auto"/>
        <w:ind w:left="51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position w:val="-3"/>
          <w:sz w:val="24"/>
          <w:szCs w:val="24"/>
        </w:rPr>
        <w:t>根据公式</w:t>
      </w:r>
      <w:r>
        <w:rPr>
          <w:rFonts w:hint="default" w:ascii="Times New Roman" w:hAnsi="Times New Roman" w:eastAsia="宋体" w:cs="Times New Roman"/>
          <w:color w:val="auto"/>
          <w:position w:val="-11"/>
          <w:sz w:val="24"/>
          <w:szCs w:val="24"/>
        </w:rPr>
        <w:drawing>
          <wp:inline distT="0" distB="0" distL="0" distR="0">
            <wp:extent cx="681355" cy="437515"/>
            <wp:effectExtent l="0" t="0" r="4445" b="635"/>
            <wp:docPr id="938" name="IM 938"/>
            <wp:cNvGraphicFramePr/>
            <a:graphic xmlns:a="http://schemas.openxmlformats.org/drawingml/2006/main">
              <a:graphicData uri="http://schemas.openxmlformats.org/drawingml/2006/picture">
                <pic:pic xmlns:pic="http://schemas.openxmlformats.org/drawingml/2006/picture">
                  <pic:nvPicPr>
                    <pic:cNvPr id="938" name="IM 938"/>
                    <pic:cNvPicPr/>
                  </pic:nvPicPr>
                  <pic:blipFill>
                    <a:blip r:embed="rId113"/>
                    <a:stretch>
                      <a:fillRect/>
                    </a:stretch>
                  </pic:blipFill>
                  <pic:spPr>
                    <a:xfrm>
                      <a:off x="0" y="0"/>
                      <a:ext cx="681959" cy="437739"/>
                    </a:xfrm>
                    <a:prstGeom prst="rect">
                      <a:avLst/>
                    </a:prstGeom>
                  </pic:spPr>
                </pic:pic>
              </a:graphicData>
            </a:graphic>
          </wp:inline>
        </w:drawing>
      </w:r>
      <w:r>
        <w:rPr>
          <w:rFonts w:hint="default" w:ascii="Times New Roman" w:hAnsi="Times New Roman" w:eastAsia="宋体" w:cs="Times New Roman"/>
          <w:color w:val="auto"/>
          <w:spacing w:val="-5"/>
          <w:position w:val="-3"/>
          <w:sz w:val="24"/>
          <w:szCs w:val="24"/>
        </w:rPr>
        <w:t>1/a×</w:t>
      </w:r>
      <w:r>
        <w:rPr>
          <w:rFonts w:hint="default" w:ascii="Times New Roman" w:hAnsi="Times New Roman" w:eastAsia="宋体" w:cs="Times New Roman"/>
          <w:color w:val="auto"/>
          <w:position w:val="-7"/>
          <w:sz w:val="24"/>
          <w:szCs w:val="24"/>
        </w:rPr>
        <w:drawing>
          <wp:inline distT="0" distB="0" distL="0" distR="0">
            <wp:extent cx="1197610" cy="224155"/>
            <wp:effectExtent l="0" t="0" r="2540" b="4445"/>
            <wp:docPr id="940" name="IM 940"/>
            <wp:cNvGraphicFramePr/>
            <a:graphic xmlns:a="http://schemas.openxmlformats.org/drawingml/2006/main">
              <a:graphicData uri="http://schemas.openxmlformats.org/drawingml/2006/picture">
                <pic:pic xmlns:pic="http://schemas.openxmlformats.org/drawingml/2006/picture">
                  <pic:nvPicPr>
                    <pic:cNvPr id="940" name="IM 940"/>
                    <pic:cNvPicPr/>
                  </pic:nvPicPr>
                  <pic:blipFill>
                    <a:blip r:embed="rId114"/>
                    <a:stretch>
                      <a:fillRect/>
                    </a:stretch>
                  </pic:blipFill>
                  <pic:spPr>
                    <a:xfrm>
                      <a:off x="0" y="0"/>
                      <a:ext cx="1198199" cy="224186"/>
                    </a:xfrm>
                    <a:prstGeom prst="rect">
                      <a:avLst/>
                    </a:prstGeom>
                  </pic:spPr>
                </pic:pic>
              </a:graphicData>
            </a:graphic>
          </wp:inline>
        </w:drawing>
      </w:r>
    </w:p>
    <w:p w14:paraId="33215A61">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式中R—爆破</w:t>
      </w:r>
      <w:r>
        <w:rPr>
          <w:rFonts w:hint="eastAsia" w:ascii="Times New Roman" w:hAnsi="Times New Roman" w:cs="Times New Roman"/>
          <w:color w:val="auto"/>
          <w:spacing w:val="-1"/>
          <w:sz w:val="24"/>
          <w:szCs w:val="24"/>
          <w:lang w:eastAsia="zh-CN"/>
        </w:rPr>
        <w:t>地震</w:t>
      </w:r>
      <w:r>
        <w:rPr>
          <w:rFonts w:hint="default" w:ascii="Times New Roman" w:hAnsi="Times New Roman" w:eastAsia="宋体" w:cs="Times New Roman"/>
          <w:color w:val="auto"/>
          <w:spacing w:val="-1"/>
          <w:sz w:val="24"/>
          <w:szCs w:val="24"/>
        </w:rPr>
        <w:t>安全允许最小距离（m</w:t>
      </w:r>
      <w:r>
        <w:rPr>
          <w:rFonts w:hint="default" w:ascii="Times New Roman" w:hAnsi="Times New Roman" w:eastAsia="宋体" w:cs="Times New Roman"/>
          <w:color w:val="auto"/>
          <w:spacing w:val="-62"/>
          <w:w w:val="97"/>
          <w:sz w:val="24"/>
          <w:szCs w:val="24"/>
        </w:rPr>
        <w:t>）；</w:t>
      </w:r>
    </w:p>
    <w:p w14:paraId="3E781E41">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Q—单段最大装药量（kg</w:t>
      </w:r>
      <w:r>
        <w:rPr>
          <w:rFonts w:hint="default" w:ascii="Times New Roman" w:hAnsi="Times New Roman" w:eastAsia="宋体" w:cs="Times New Roman"/>
          <w:color w:val="auto"/>
          <w:spacing w:val="-58"/>
          <w:sz w:val="24"/>
          <w:szCs w:val="24"/>
        </w:rPr>
        <w:t>），</w:t>
      </w:r>
      <w:r>
        <w:rPr>
          <w:rFonts w:hint="default" w:ascii="Times New Roman" w:hAnsi="Times New Roman" w:eastAsia="宋体" w:cs="Times New Roman"/>
          <w:color w:val="auto"/>
          <w:spacing w:val="-2"/>
          <w:sz w:val="24"/>
          <w:szCs w:val="24"/>
        </w:rPr>
        <w:t>此处Q=545（kg</w:t>
      </w:r>
      <w:r>
        <w:rPr>
          <w:rFonts w:hint="default" w:ascii="Times New Roman" w:hAnsi="Times New Roman" w:eastAsia="宋体" w:cs="Times New Roman"/>
          <w:color w:val="auto"/>
          <w:spacing w:val="-58"/>
          <w:sz w:val="24"/>
          <w:szCs w:val="24"/>
        </w:rPr>
        <w:t>）；</w:t>
      </w:r>
    </w:p>
    <w:p w14:paraId="611BAE73">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K、a—参照《爆破安全规程》（GB6722-2014）规定，此处取k=150，</w:t>
      </w:r>
      <w:r>
        <w:rPr>
          <w:rFonts w:hint="default" w:ascii="Times New Roman" w:hAnsi="Times New Roman" w:eastAsia="宋体" w:cs="Times New Roman"/>
          <w:color w:val="auto"/>
          <w:spacing w:val="-2"/>
          <w:sz w:val="24"/>
          <w:szCs w:val="24"/>
        </w:rPr>
        <w:t>a=1.7；</w:t>
      </w:r>
    </w:p>
    <w:p w14:paraId="0DC1CB75">
      <w:pPr>
        <w:keepNext w:val="0"/>
        <w:keepLines w:val="0"/>
        <w:pageBreakBefore w:val="0"/>
        <w:widowControl w:val="0"/>
        <w:kinsoku/>
        <w:wordWrap/>
        <w:overflowPunct/>
        <w:topLinePunct w:val="0"/>
        <w:autoSpaceDE/>
        <w:autoSpaceDN/>
        <w:bidi w:val="0"/>
        <w:adjustRightInd/>
        <w:snapToGrid/>
        <w:spacing w:line="480" w:lineRule="exact"/>
        <w:ind w:left="0" w:right="0" w:firstLine="469"/>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v—保护对象所在地质点振动安全允许速度，单位为厘米每秒（cm/s</w:t>
      </w:r>
      <w:r>
        <w:rPr>
          <w:rFonts w:hint="default" w:ascii="Times New Roman" w:hAnsi="Times New Roman" w:eastAsia="宋体" w:cs="Times New Roman"/>
          <w:color w:val="auto"/>
          <w:spacing w:val="-62"/>
          <w:sz w:val="24"/>
          <w:szCs w:val="24"/>
        </w:rPr>
        <w:t>），</w:t>
      </w:r>
      <w:r>
        <w:rPr>
          <w:rFonts w:hint="default" w:ascii="Times New Roman" w:hAnsi="Times New Roman" w:eastAsia="宋体" w:cs="Times New Roman"/>
          <w:color w:val="auto"/>
          <w:spacing w:val="-2"/>
          <w:sz w:val="24"/>
          <w:szCs w:val="24"/>
        </w:rPr>
        <w:t>此处</w:t>
      </w:r>
      <w:r>
        <w:rPr>
          <w:rFonts w:hint="default" w:ascii="Times New Roman" w:hAnsi="Times New Roman" w:eastAsia="宋体" w:cs="Times New Roman"/>
          <w:color w:val="auto"/>
          <w:spacing w:val="-8"/>
          <w:sz w:val="24"/>
          <w:szCs w:val="24"/>
        </w:rPr>
        <w:t>取v为5；</w:t>
      </w:r>
    </w:p>
    <w:p w14:paraId="2BC41E0D">
      <w:pPr>
        <w:spacing w:before="57" w:line="360" w:lineRule="auto"/>
        <w:ind w:left="514"/>
        <w:rPr>
          <w:rFonts w:hint="default" w:ascii="Times New Roman" w:hAnsi="Times New Roman" w:eastAsia="宋体" w:cs="Times New Roman"/>
          <w:color w:val="auto"/>
        </w:rPr>
      </w:pPr>
      <w:r>
        <w:rPr>
          <w:rFonts w:hint="default" w:ascii="Times New Roman" w:hAnsi="Times New Roman" w:eastAsia="宋体" w:cs="Times New Roman"/>
          <w:color w:val="auto"/>
          <w:position w:val="-14"/>
        </w:rPr>
        <w:drawing>
          <wp:inline distT="0" distB="0" distL="0" distR="0">
            <wp:extent cx="3443605" cy="437515"/>
            <wp:effectExtent l="0" t="0" r="4445" b="635"/>
            <wp:docPr id="942" name="IM 942"/>
            <wp:cNvGraphicFramePr/>
            <a:graphic xmlns:a="http://schemas.openxmlformats.org/drawingml/2006/main">
              <a:graphicData uri="http://schemas.openxmlformats.org/drawingml/2006/picture">
                <pic:pic xmlns:pic="http://schemas.openxmlformats.org/drawingml/2006/picture">
                  <pic:nvPicPr>
                    <pic:cNvPr id="942" name="IM 942"/>
                    <pic:cNvPicPr/>
                  </pic:nvPicPr>
                  <pic:blipFill>
                    <a:blip r:embed="rId115"/>
                    <a:stretch>
                      <a:fillRect/>
                    </a:stretch>
                  </pic:blipFill>
                  <pic:spPr>
                    <a:xfrm>
                      <a:off x="0" y="0"/>
                      <a:ext cx="3443782" cy="437719"/>
                    </a:xfrm>
                    <a:prstGeom prst="rect">
                      <a:avLst/>
                    </a:prstGeom>
                  </pic:spPr>
                </pic:pic>
              </a:graphicData>
            </a:graphic>
          </wp:inline>
        </w:drawing>
      </w:r>
    </w:p>
    <w:p w14:paraId="4B4A468E">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3"/>
          <w:sz w:val="24"/>
          <w:szCs w:val="24"/>
          <w:lang w:val="en-US" w:eastAsia="zh-CN"/>
        </w:rPr>
      </w:pPr>
      <w:r>
        <w:rPr>
          <w:rFonts w:hint="default" w:ascii="Times New Roman" w:hAnsi="Times New Roman" w:eastAsia="宋体" w:cs="Times New Roman"/>
          <w:color w:val="auto"/>
          <w:spacing w:val="-9"/>
          <w:sz w:val="24"/>
          <w:szCs w:val="24"/>
        </w:rPr>
        <w:t>经计算，爆破振动安全允许距离为129米，爆破点距厂生活区直线距离</w:t>
      </w:r>
      <w:r>
        <w:rPr>
          <w:rFonts w:hint="default" w:ascii="Times New Roman" w:hAnsi="Times New Roman" w:eastAsia="宋体" w:cs="Times New Roman"/>
          <w:color w:val="auto"/>
          <w:spacing w:val="-9"/>
          <w:sz w:val="24"/>
          <w:szCs w:val="24"/>
          <w:lang w:val="en-US" w:eastAsia="zh-CN"/>
        </w:rPr>
        <w:t>77</w:t>
      </w:r>
      <w:r>
        <w:rPr>
          <w:rFonts w:hint="default" w:ascii="Times New Roman" w:hAnsi="Times New Roman" w:eastAsia="宋体" w:cs="Times New Roman"/>
          <w:color w:val="auto"/>
          <w:spacing w:val="-9"/>
          <w:sz w:val="24"/>
          <w:szCs w:val="24"/>
        </w:rPr>
        <w:t>0m，</w:t>
      </w:r>
      <w:r>
        <w:rPr>
          <w:rFonts w:hint="default" w:ascii="Times New Roman" w:hAnsi="Times New Roman" w:eastAsia="宋体" w:cs="Times New Roman"/>
          <w:color w:val="auto"/>
          <w:spacing w:val="-3"/>
          <w:sz w:val="24"/>
          <w:szCs w:val="24"/>
        </w:rPr>
        <w:t>爆破振动对其影响较小</w:t>
      </w:r>
      <w:r>
        <w:rPr>
          <w:rFonts w:hint="default" w:ascii="Times New Roman" w:hAnsi="Times New Roman" w:cs="Times New Roman"/>
          <w:color w:val="auto"/>
          <w:spacing w:val="-3"/>
          <w:sz w:val="24"/>
          <w:szCs w:val="24"/>
          <w:lang w:val="en-US" w:eastAsia="zh-CN"/>
        </w:rPr>
        <w:t>。</w:t>
      </w:r>
    </w:p>
    <w:p w14:paraId="483211A1">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表5.5-3    声环境影响评价自查表</w:t>
      </w:r>
    </w:p>
    <w:tbl>
      <w:tblPr>
        <w:tblStyle w:val="21"/>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045"/>
        <w:gridCol w:w="1265"/>
        <w:gridCol w:w="992"/>
        <w:gridCol w:w="553"/>
        <w:gridCol w:w="453"/>
        <w:gridCol w:w="147"/>
        <w:gridCol w:w="157"/>
        <w:gridCol w:w="617"/>
        <w:gridCol w:w="933"/>
        <w:gridCol w:w="702"/>
        <w:gridCol w:w="433"/>
        <w:gridCol w:w="1037"/>
      </w:tblGrid>
      <w:tr w14:paraId="13288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6" w:hRule="atLeast"/>
          <w:tblHeader/>
        </w:trPr>
        <w:tc>
          <w:tcPr>
            <w:tcW w:w="1386" w:type="pct"/>
            <w:gridSpan w:val="2"/>
            <w:tcBorders>
              <w:tl2br w:val="nil"/>
              <w:tr2bl w:val="nil"/>
            </w:tcBorders>
            <w:vAlign w:val="center"/>
          </w:tcPr>
          <w:p w14:paraId="3E967CC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bCs/>
                <w:color w:val="auto"/>
                <w:sz w:val="21"/>
                <w:szCs w:val="21"/>
                <w:highlight w:val="none"/>
              </w:rPr>
            </w:pPr>
            <w:bookmarkStart w:id="623" w:name="_Toc22001"/>
            <w:r>
              <w:rPr>
                <w:rFonts w:hint="default" w:ascii="Times New Roman" w:hAnsi="Times New Roman" w:cs="Times New Roman"/>
                <w:b/>
                <w:bCs/>
                <w:color w:val="auto"/>
                <w:sz w:val="21"/>
                <w:szCs w:val="21"/>
                <w:highlight w:val="none"/>
              </w:rPr>
              <w:t>工作内容</w:t>
            </w:r>
          </w:p>
        </w:tc>
        <w:tc>
          <w:tcPr>
            <w:tcW w:w="3613" w:type="pct"/>
            <w:gridSpan w:val="10"/>
            <w:tcBorders>
              <w:tl2br w:val="nil"/>
              <w:tr2bl w:val="nil"/>
            </w:tcBorders>
            <w:vAlign w:val="center"/>
          </w:tcPr>
          <w:p w14:paraId="1A8CA6E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自查项目</w:t>
            </w:r>
          </w:p>
        </w:tc>
      </w:tr>
      <w:tr w14:paraId="79B769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627" w:type="pct"/>
            <w:vMerge w:val="restart"/>
            <w:tcBorders>
              <w:tl2br w:val="nil"/>
              <w:tr2bl w:val="nil"/>
            </w:tcBorders>
            <w:vAlign w:val="center"/>
          </w:tcPr>
          <w:p w14:paraId="73D7C0C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评价等级与范围</w:t>
            </w:r>
          </w:p>
        </w:tc>
        <w:tc>
          <w:tcPr>
            <w:tcW w:w="759" w:type="pct"/>
            <w:tcBorders>
              <w:tl2br w:val="nil"/>
              <w:tr2bl w:val="nil"/>
            </w:tcBorders>
            <w:vAlign w:val="center"/>
          </w:tcPr>
          <w:p w14:paraId="4212D04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评价等级</w:t>
            </w:r>
          </w:p>
        </w:tc>
        <w:tc>
          <w:tcPr>
            <w:tcW w:w="3613" w:type="pct"/>
            <w:gridSpan w:val="10"/>
            <w:tcBorders>
              <w:tl2br w:val="nil"/>
              <w:tr2bl w:val="nil"/>
            </w:tcBorders>
            <w:vAlign w:val="center"/>
          </w:tcPr>
          <w:p w14:paraId="00ED36BF">
            <w:pPr>
              <w:pStyle w:val="32"/>
              <w:keepNext w:val="0"/>
              <w:keepLines w:val="0"/>
              <w:pageBreakBefore w:val="0"/>
              <w:widowControl w:val="0"/>
              <w:suppressLineNumbers w:val="0"/>
              <w:tabs>
                <w:tab w:val="left" w:pos="2103"/>
                <w:tab w:val="left" w:pos="3635"/>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一级□</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二</w:t>
            </w:r>
            <w:r>
              <w:rPr>
                <w:rFonts w:hint="default" w:ascii="Times New Roman" w:hAnsi="Times New Roman" w:cs="Times New Roman"/>
                <w:color w:val="auto"/>
                <w:spacing w:val="-3"/>
                <w:sz w:val="21"/>
                <w:szCs w:val="21"/>
                <w:highlight w:val="none"/>
              </w:rPr>
              <w:t>级</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三级□</w:t>
            </w:r>
          </w:p>
        </w:tc>
      </w:tr>
      <w:tr w14:paraId="72A23A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627" w:type="pct"/>
            <w:vMerge w:val="continue"/>
            <w:tcBorders>
              <w:tl2br w:val="nil"/>
              <w:tr2bl w:val="nil"/>
            </w:tcBorders>
            <w:vAlign w:val="center"/>
          </w:tcPr>
          <w:p w14:paraId="2EE54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54FB107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评价范围</w:t>
            </w:r>
          </w:p>
        </w:tc>
        <w:tc>
          <w:tcPr>
            <w:tcW w:w="3613" w:type="pct"/>
            <w:gridSpan w:val="10"/>
            <w:tcBorders>
              <w:tl2br w:val="nil"/>
              <w:tr2bl w:val="nil"/>
            </w:tcBorders>
            <w:vAlign w:val="center"/>
          </w:tcPr>
          <w:p w14:paraId="1ED860CD">
            <w:pPr>
              <w:pStyle w:val="32"/>
              <w:keepNext w:val="0"/>
              <w:keepLines w:val="0"/>
              <w:pageBreakBefore w:val="0"/>
              <w:widowControl w:val="0"/>
              <w:suppressLineNumbers w:val="0"/>
              <w:tabs>
                <w:tab w:val="left" w:pos="2384"/>
                <w:tab w:val="left" w:pos="5315"/>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200</w:t>
            </w:r>
            <w:r>
              <w:rPr>
                <w:rFonts w:hint="default" w:ascii="Times New Roman" w:hAnsi="Times New Roman" w:eastAsia="Times New Roman" w:cs="Times New Roman"/>
                <w:color w:val="auto"/>
                <w:spacing w:val="-2"/>
                <w:sz w:val="21"/>
                <w:szCs w:val="21"/>
                <w:highlight w:val="none"/>
              </w:rPr>
              <w:t xml:space="preserve"> </w:t>
            </w:r>
            <w:r>
              <w:rPr>
                <w:rFonts w:hint="default" w:ascii="Times New Roman" w:hAnsi="Times New Roman" w:eastAsia="Times New Roman" w:cs="Times New Roman"/>
                <w:color w:val="auto"/>
                <w:sz w:val="21"/>
                <w:szCs w:val="21"/>
                <w:highlight w:val="none"/>
              </w:rPr>
              <w:t>m</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pacing w:val="-3"/>
                <w:sz w:val="21"/>
                <w:szCs w:val="21"/>
                <w:highlight w:val="none"/>
              </w:rPr>
              <w:t>大</w:t>
            </w:r>
            <w:r>
              <w:rPr>
                <w:rFonts w:hint="default" w:ascii="Times New Roman" w:hAnsi="Times New Roman" w:cs="Times New Roman"/>
                <w:color w:val="auto"/>
                <w:sz w:val="21"/>
                <w:szCs w:val="21"/>
                <w:highlight w:val="none"/>
              </w:rPr>
              <w:t>于</w:t>
            </w:r>
            <w:r>
              <w:rPr>
                <w:rFonts w:hint="default" w:ascii="Times New Roman" w:hAnsi="Times New Roman" w:cs="Times New Roman"/>
                <w:color w:val="auto"/>
                <w:spacing w:val="-46"/>
                <w:sz w:val="21"/>
                <w:szCs w:val="21"/>
                <w:highlight w:val="none"/>
              </w:rPr>
              <w:t xml:space="preserve"> </w:t>
            </w:r>
            <w:r>
              <w:rPr>
                <w:rFonts w:hint="default" w:ascii="Times New Roman" w:hAnsi="Times New Roman" w:eastAsia="Times New Roman" w:cs="Times New Roman"/>
                <w:color w:val="auto"/>
                <w:sz w:val="21"/>
                <w:szCs w:val="21"/>
                <w:highlight w:val="none"/>
              </w:rPr>
              <w:t>200 m</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小于</w:t>
            </w:r>
            <w:r>
              <w:rPr>
                <w:rFonts w:hint="default" w:ascii="Times New Roman" w:hAnsi="Times New Roman" w:cs="Times New Roman"/>
                <w:color w:val="auto"/>
                <w:spacing w:val="-48"/>
                <w:sz w:val="21"/>
                <w:szCs w:val="21"/>
                <w:highlight w:val="none"/>
              </w:rPr>
              <w:t xml:space="preserve"> </w:t>
            </w:r>
            <w:r>
              <w:rPr>
                <w:rFonts w:hint="default" w:ascii="Times New Roman" w:hAnsi="Times New Roman" w:eastAsia="Times New Roman" w:cs="Times New Roman"/>
                <w:color w:val="auto"/>
                <w:sz w:val="21"/>
                <w:szCs w:val="21"/>
                <w:highlight w:val="none"/>
              </w:rPr>
              <w:t>200 m</w:t>
            </w:r>
            <w:r>
              <w:rPr>
                <w:rFonts w:hint="default" w:ascii="Times New Roman" w:hAnsi="Times New Roman" w:cs="Times New Roman"/>
                <w:color w:val="auto"/>
                <w:sz w:val="21"/>
                <w:szCs w:val="21"/>
                <w:highlight w:val="none"/>
              </w:rPr>
              <w:t>□</w:t>
            </w:r>
          </w:p>
        </w:tc>
      </w:tr>
      <w:tr w14:paraId="0DDA20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627" w:type="pct"/>
            <w:tcBorders>
              <w:tl2br w:val="nil"/>
              <w:tr2bl w:val="nil"/>
            </w:tcBorders>
            <w:vAlign w:val="center"/>
          </w:tcPr>
          <w:p w14:paraId="184BBA0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评价因子</w:t>
            </w:r>
          </w:p>
        </w:tc>
        <w:tc>
          <w:tcPr>
            <w:tcW w:w="759" w:type="pct"/>
            <w:tcBorders>
              <w:tl2br w:val="nil"/>
              <w:tr2bl w:val="nil"/>
            </w:tcBorders>
            <w:vAlign w:val="center"/>
          </w:tcPr>
          <w:p w14:paraId="317DB24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评价因子</w:t>
            </w:r>
          </w:p>
        </w:tc>
        <w:tc>
          <w:tcPr>
            <w:tcW w:w="3613" w:type="pct"/>
            <w:gridSpan w:val="10"/>
            <w:tcBorders>
              <w:tl2br w:val="nil"/>
              <w:tr2bl w:val="nil"/>
            </w:tcBorders>
            <w:vAlign w:val="center"/>
          </w:tcPr>
          <w:p w14:paraId="1E88526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等效连续</w:t>
            </w:r>
            <w:r>
              <w:rPr>
                <w:rFonts w:hint="default" w:ascii="Times New Roman" w:hAnsi="Times New Roman" w:eastAsia="Times New Roman" w:cs="Times New Roman"/>
                <w:color w:val="auto"/>
                <w:sz w:val="21"/>
                <w:szCs w:val="21"/>
                <w:highlight w:val="none"/>
              </w:rPr>
              <w:t>A</w:t>
            </w:r>
            <w:r>
              <w:rPr>
                <w:rFonts w:hint="default" w:ascii="Times New Roman" w:hAnsi="Times New Roman" w:cs="Times New Roman"/>
                <w:color w:val="auto"/>
                <w:sz w:val="21"/>
                <w:szCs w:val="21"/>
                <w:highlight w:val="none"/>
              </w:rPr>
              <w:t>声级</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最大</w:t>
            </w:r>
            <w:r>
              <w:rPr>
                <w:rFonts w:hint="default" w:ascii="Times New Roman" w:hAnsi="Times New Roman" w:eastAsia="Times New Roman" w:cs="Times New Roman"/>
                <w:color w:val="auto"/>
                <w:sz w:val="21"/>
                <w:szCs w:val="21"/>
                <w:highlight w:val="none"/>
              </w:rPr>
              <w:t>A</w:t>
            </w:r>
            <w:r>
              <w:rPr>
                <w:rFonts w:hint="default" w:ascii="Times New Roman" w:hAnsi="Times New Roman" w:cs="Times New Roman"/>
                <w:color w:val="auto"/>
                <w:sz w:val="21"/>
                <w:szCs w:val="21"/>
                <w:highlight w:val="none"/>
              </w:rPr>
              <w:t>声级□</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计权等效连续感觉噪声级□</w:t>
            </w:r>
          </w:p>
        </w:tc>
      </w:tr>
      <w:tr w14:paraId="6A1B39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70" w:hRule="atLeast"/>
        </w:trPr>
        <w:tc>
          <w:tcPr>
            <w:tcW w:w="627" w:type="pct"/>
            <w:tcBorders>
              <w:tl2br w:val="nil"/>
              <w:tr2bl w:val="nil"/>
            </w:tcBorders>
            <w:vAlign w:val="center"/>
          </w:tcPr>
          <w:p w14:paraId="3A0AAB7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评价标准</w:t>
            </w:r>
          </w:p>
        </w:tc>
        <w:tc>
          <w:tcPr>
            <w:tcW w:w="759" w:type="pct"/>
            <w:tcBorders>
              <w:tl2br w:val="nil"/>
              <w:tr2bl w:val="nil"/>
            </w:tcBorders>
            <w:vAlign w:val="center"/>
          </w:tcPr>
          <w:p w14:paraId="01B593F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评价标准</w:t>
            </w:r>
          </w:p>
        </w:tc>
        <w:tc>
          <w:tcPr>
            <w:tcW w:w="3613" w:type="pct"/>
            <w:gridSpan w:val="10"/>
            <w:tcBorders>
              <w:tl2br w:val="nil"/>
              <w:tr2bl w:val="nil"/>
            </w:tcBorders>
            <w:vAlign w:val="center"/>
          </w:tcPr>
          <w:p w14:paraId="79ECB1AC">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国家标准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地方标准□</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国外标准□</w:t>
            </w:r>
          </w:p>
        </w:tc>
      </w:tr>
      <w:tr w14:paraId="2C125E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627" w:type="pct"/>
            <w:vMerge w:val="restart"/>
            <w:tcBorders>
              <w:tl2br w:val="nil"/>
              <w:tr2bl w:val="nil"/>
            </w:tcBorders>
            <w:vAlign w:val="center"/>
          </w:tcPr>
          <w:p w14:paraId="2DEF9B4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现状评价</w:t>
            </w:r>
          </w:p>
        </w:tc>
        <w:tc>
          <w:tcPr>
            <w:tcW w:w="759" w:type="pct"/>
            <w:tcBorders>
              <w:tl2br w:val="nil"/>
              <w:tr2bl w:val="nil"/>
            </w:tcBorders>
            <w:vAlign w:val="center"/>
          </w:tcPr>
          <w:p w14:paraId="1111C41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环境功能区</w:t>
            </w:r>
          </w:p>
        </w:tc>
        <w:tc>
          <w:tcPr>
            <w:tcW w:w="595" w:type="pct"/>
            <w:tcBorders>
              <w:tl2br w:val="nil"/>
              <w:tr2bl w:val="nil"/>
            </w:tcBorders>
            <w:vAlign w:val="center"/>
          </w:tcPr>
          <w:p w14:paraId="050D0762">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Times New Roman" w:cs="Times New Roman"/>
                <w:color w:val="auto"/>
                <w:sz w:val="21"/>
                <w:szCs w:val="21"/>
                <w:highlight w:val="none"/>
              </w:rPr>
              <w:t xml:space="preserve">0 </w:t>
            </w:r>
            <w:r>
              <w:rPr>
                <w:rFonts w:hint="default" w:ascii="Times New Roman" w:hAnsi="Times New Roman" w:cs="Times New Roman"/>
                <w:color w:val="auto"/>
                <w:sz w:val="21"/>
                <w:szCs w:val="21"/>
                <w:highlight w:val="none"/>
              </w:rPr>
              <w:t>类区</w:t>
            </w:r>
            <w:r>
              <w:rPr>
                <w:rFonts w:hint="default" w:ascii="Times New Roman" w:hAnsi="Times New Roman" w:cs="Times New Roman"/>
                <w:color w:val="auto"/>
                <w:sz w:val="21"/>
                <w:szCs w:val="21"/>
                <w:highlight w:val="none"/>
                <w:lang w:eastAsia="zh-CN"/>
              </w:rPr>
              <w:t>□</w:t>
            </w:r>
          </w:p>
        </w:tc>
        <w:tc>
          <w:tcPr>
            <w:tcW w:w="604" w:type="pct"/>
            <w:gridSpan w:val="2"/>
            <w:tcBorders>
              <w:tl2br w:val="nil"/>
              <w:tr2bl w:val="nil"/>
            </w:tcBorders>
            <w:vAlign w:val="center"/>
          </w:tcPr>
          <w:p w14:paraId="79532C6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Times New Roman" w:cs="Times New Roman"/>
                <w:color w:val="auto"/>
                <w:sz w:val="21"/>
                <w:szCs w:val="21"/>
                <w:highlight w:val="none"/>
              </w:rPr>
              <w:t xml:space="preserve">1 </w:t>
            </w:r>
            <w:r>
              <w:rPr>
                <w:rFonts w:hint="default" w:ascii="Times New Roman" w:hAnsi="Times New Roman" w:cs="Times New Roman"/>
                <w:color w:val="auto"/>
                <w:sz w:val="21"/>
                <w:szCs w:val="21"/>
                <w:highlight w:val="none"/>
              </w:rPr>
              <w:t>类区</w:t>
            </w:r>
            <w:r>
              <w:rPr>
                <w:rFonts w:hint="default" w:ascii="Times New Roman" w:hAnsi="Times New Roman" w:cs="Times New Roman"/>
                <w:color w:val="auto"/>
                <w:sz w:val="21"/>
                <w:szCs w:val="21"/>
                <w:highlight w:val="none"/>
                <w:lang w:eastAsia="zh-CN"/>
              </w:rPr>
              <w:t>□</w:t>
            </w:r>
          </w:p>
        </w:tc>
        <w:tc>
          <w:tcPr>
            <w:tcW w:w="552" w:type="pct"/>
            <w:gridSpan w:val="3"/>
            <w:tcBorders>
              <w:tl2br w:val="nil"/>
              <w:tr2bl w:val="nil"/>
            </w:tcBorders>
            <w:vAlign w:val="center"/>
          </w:tcPr>
          <w:p w14:paraId="169A1C8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 xml:space="preserve">2 </w:t>
            </w:r>
            <w:r>
              <w:rPr>
                <w:rFonts w:hint="default" w:ascii="Times New Roman" w:hAnsi="Times New Roman" w:cs="Times New Roman"/>
                <w:color w:val="auto"/>
                <w:sz w:val="21"/>
                <w:szCs w:val="21"/>
                <w:highlight w:val="none"/>
              </w:rPr>
              <w:t>类区</w:t>
            </w:r>
            <w:r>
              <w:rPr>
                <w:rFonts w:hint="default" w:ascii="Times New Roman" w:hAnsi="Times New Roman" w:cs="Times New Roman"/>
                <w:color w:val="auto"/>
                <w:sz w:val="21"/>
                <w:szCs w:val="21"/>
                <w:highlight w:val="none"/>
                <w:lang w:eastAsia="zh-CN"/>
              </w:rPr>
              <w:t>☑</w:t>
            </w:r>
          </w:p>
        </w:tc>
        <w:tc>
          <w:tcPr>
            <w:tcW w:w="559" w:type="pct"/>
            <w:tcBorders>
              <w:tl2br w:val="nil"/>
              <w:tr2bl w:val="nil"/>
            </w:tcBorders>
            <w:vAlign w:val="center"/>
          </w:tcPr>
          <w:p w14:paraId="1D2D49C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 xml:space="preserve">3 </w:t>
            </w:r>
            <w:r>
              <w:rPr>
                <w:rFonts w:hint="default" w:ascii="Times New Roman" w:hAnsi="Times New Roman" w:cs="Times New Roman"/>
                <w:color w:val="auto"/>
                <w:sz w:val="21"/>
                <w:szCs w:val="21"/>
                <w:highlight w:val="none"/>
              </w:rPr>
              <w:t>类区□</w:t>
            </w:r>
          </w:p>
        </w:tc>
        <w:tc>
          <w:tcPr>
            <w:tcW w:w="681" w:type="pct"/>
            <w:gridSpan w:val="2"/>
            <w:tcBorders>
              <w:tl2br w:val="nil"/>
              <w:tr2bl w:val="nil"/>
            </w:tcBorders>
            <w:vAlign w:val="center"/>
          </w:tcPr>
          <w:p w14:paraId="6834697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Times New Roman" w:cs="Times New Roman"/>
                <w:color w:val="auto"/>
                <w:sz w:val="21"/>
                <w:szCs w:val="21"/>
                <w:highlight w:val="none"/>
              </w:rPr>
              <w:t xml:space="preserve">4a </w:t>
            </w:r>
            <w:r>
              <w:rPr>
                <w:rFonts w:hint="default" w:ascii="Times New Roman" w:hAnsi="Times New Roman" w:cs="Times New Roman"/>
                <w:color w:val="auto"/>
                <w:sz w:val="21"/>
                <w:szCs w:val="21"/>
                <w:highlight w:val="none"/>
              </w:rPr>
              <w:t>类区□</w:t>
            </w:r>
          </w:p>
        </w:tc>
        <w:tc>
          <w:tcPr>
            <w:tcW w:w="619" w:type="pct"/>
            <w:tcBorders>
              <w:tl2br w:val="nil"/>
              <w:tr2bl w:val="nil"/>
            </w:tcBorders>
            <w:vAlign w:val="center"/>
          </w:tcPr>
          <w:p w14:paraId="133F7A9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Times New Roman" w:cs="Times New Roman"/>
                <w:color w:val="auto"/>
                <w:sz w:val="21"/>
                <w:szCs w:val="21"/>
                <w:highlight w:val="none"/>
              </w:rPr>
            </w:pPr>
            <w:r>
              <w:rPr>
                <w:rFonts w:hint="default" w:ascii="Times New Roman" w:hAnsi="Times New Roman" w:eastAsia="Times New Roman" w:cs="Times New Roman"/>
                <w:color w:val="auto"/>
                <w:sz w:val="21"/>
                <w:szCs w:val="21"/>
                <w:highlight w:val="none"/>
              </w:rPr>
              <w:t xml:space="preserve">4b </w:t>
            </w:r>
            <w:r>
              <w:rPr>
                <w:rFonts w:hint="default" w:ascii="Times New Roman" w:hAnsi="Times New Roman" w:cs="Times New Roman"/>
                <w:color w:val="auto"/>
                <w:sz w:val="21"/>
                <w:szCs w:val="21"/>
                <w:highlight w:val="none"/>
              </w:rPr>
              <w:t>类区□</w:t>
            </w:r>
          </w:p>
        </w:tc>
      </w:tr>
      <w:tr w14:paraId="741853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627" w:type="pct"/>
            <w:vMerge w:val="continue"/>
            <w:tcBorders>
              <w:tl2br w:val="nil"/>
              <w:tr2bl w:val="nil"/>
            </w:tcBorders>
            <w:vAlign w:val="center"/>
          </w:tcPr>
          <w:p w14:paraId="2E29F8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58BD443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评价年度</w:t>
            </w:r>
          </w:p>
        </w:tc>
        <w:tc>
          <w:tcPr>
            <w:tcW w:w="927" w:type="pct"/>
            <w:gridSpan w:val="2"/>
            <w:tcBorders>
              <w:tl2br w:val="nil"/>
              <w:tr2bl w:val="nil"/>
            </w:tcBorders>
            <w:vAlign w:val="center"/>
          </w:tcPr>
          <w:p w14:paraId="4049DDA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初期□</w:t>
            </w:r>
          </w:p>
        </w:tc>
        <w:tc>
          <w:tcPr>
            <w:tcW w:w="824" w:type="pct"/>
            <w:gridSpan w:val="4"/>
            <w:tcBorders>
              <w:tl2br w:val="nil"/>
              <w:tr2bl w:val="nil"/>
            </w:tcBorders>
            <w:vAlign w:val="center"/>
          </w:tcPr>
          <w:p w14:paraId="3097660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近期□</w:t>
            </w:r>
          </w:p>
        </w:tc>
        <w:tc>
          <w:tcPr>
            <w:tcW w:w="980" w:type="pct"/>
            <w:gridSpan w:val="2"/>
            <w:tcBorders>
              <w:tl2br w:val="nil"/>
              <w:tr2bl w:val="nil"/>
            </w:tcBorders>
            <w:vAlign w:val="center"/>
          </w:tcPr>
          <w:p w14:paraId="0C22BA1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中期□</w:t>
            </w:r>
          </w:p>
        </w:tc>
        <w:tc>
          <w:tcPr>
            <w:tcW w:w="880" w:type="pct"/>
            <w:gridSpan w:val="2"/>
            <w:tcBorders>
              <w:tl2br w:val="nil"/>
              <w:tr2bl w:val="nil"/>
            </w:tcBorders>
            <w:vAlign w:val="center"/>
          </w:tcPr>
          <w:p w14:paraId="0A2FFFC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远期□</w:t>
            </w:r>
          </w:p>
        </w:tc>
      </w:tr>
      <w:tr w14:paraId="7D7D11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627" w:type="pct"/>
            <w:vMerge w:val="continue"/>
            <w:tcBorders>
              <w:tl2br w:val="nil"/>
              <w:tr2bl w:val="nil"/>
            </w:tcBorders>
            <w:vAlign w:val="center"/>
          </w:tcPr>
          <w:p w14:paraId="2DCE6B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70B1C06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现状调查方法</w:t>
            </w:r>
          </w:p>
        </w:tc>
        <w:tc>
          <w:tcPr>
            <w:tcW w:w="3613" w:type="pct"/>
            <w:gridSpan w:val="10"/>
            <w:tcBorders>
              <w:tl2br w:val="nil"/>
              <w:tr2bl w:val="nil"/>
            </w:tcBorders>
            <w:vAlign w:val="center"/>
          </w:tcPr>
          <w:p w14:paraId="00CC91A8">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现场实测法</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现场实测加模型计算法□</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收集资料□</w:t>
            </w:r>
          </w:p>
        </w:tc>
      </w:tr>
      <w:tr w14:paraId="0AEFCC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627" w:type="pct"/>
            <w:vMerge w:val="continue"/>
            <w:tcBorders>
              <w:tl2br w:val="nil"/>
              <w:tr2bl w:val="nil"/>
            </w:tcBorders>
            <w:vAlign w:val="center"/>
          </w:tcPr>
          <w:p w14:paraId="4A7081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6FB8772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现状评价</w:t>
            </w:r>
          </w:p>
        </w:tc>
        <w:tc>
          <w:tcPr>
            <w:tcW w:w="1381" w:type="pct"/>
            <w:gridSpan w:val="5"/>
            <w:tcBorders>
              <w:tl2br w:val="nil"/>
              <w:tr2bl w:val="nil"/>
            </w:tcBorders>
            <w:vAlign w:val="center"/>
          </w:tcPr>
          <w:p w14:paraId="6C7B44D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达标百分比</w:t>
            </w:r>
          </w:p>
        </w:tc>
        <w:tc>
          <w:tcPr>
            <w:tcW w:w="2231" w:type="pct"/>
            <w:gridSpan w:val="5"/>
            <w:tcBorders>
              <w:tl2br w:val="nil"/>
              <w:tr2bl w:val="nil"/>
            </w:tcBorders>
            <w:vAlign w:val="center"/>
          </w:tcPr>
          <w:p w14:paraId="1DC24B6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100%</w:t>
            </w:r>
          </w:p>
        </w:tc>
      </w:tr>
      <w:tr w14:paraId="13920A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41" w:hRule="atLeast"/>
        </w:trPr>
        <w:tc>
          <w:tcPr>
            <w:tcW w:w="627" w:type="pct"/>
            <w:tcBorders>
              <w:tl2br w:val="nil"/>
              <w:tr2bl w:val="nil"/>
            </w:tcBorders>
            <w:vAlign w:val="center"/>
          </w:tcPr>
          <w:p w14:paraId="17B8BCB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噪声源调查</w:t>
            </w:r>
          </w:p>
        </w:tc>
        <w:tc>
          <w:tcPr>
            <w:tcW w:w="759" w:type="pct"/>
            <w:tcBorders>
              <w:tl2br w:val="nil"/>
              <w:tr2bl w:val="nil"/>
            </w:tcBorders>
            <w:vAlign w:val="center"/>
          </w:tcPr>
          <w:p w14:paraId="67982260">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噪声源调查方法</w:t>
            </w:r>
          </w:p>
        </w:tc>
        <w:tc>
          <w:tcPr>
            <w:tcW w:w="3613" w:type="pct"/>
            <w:gridSpan w:val="10"/>
            <w:tcBorders>
              <w:tl2br w:val="nil"/>
              <w:tr2bl w:val="nil"/>
            </w:tcBorders>
            <w:vAlign w:val="center"/>
          </w:tcPr>
          <w:p w14:paraId="3556553D">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现场实测□</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已有资料□</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研究成果</w:t>
            </w:r>
            <w:r>
              <w:rPr>
                <w:rFonts w:hint="default" w:ascii="Times New Roman" w:hAnsi="Times New Roman" w:cs="Times New Roman"/>
                <w:color w:val="auto"/>
                <w:sz w:val="21"/>
                <w:szCs w:val="21"/>
                <w:highlight w:val="none"/>
                <w:lang w:eastAsia="zh-CN"/>
              </w:rPr>
              <w:t>☑</w:t>
            </w:r>
          </w:p>
        </w:tc>
      </w:tr>
      <w:tr w14:paraId="12F358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6" w:hRule="atLeast"/>
        </w:trPr>
        <w:tc>
          <w:tcPr>
            <w:tcW w:w="627" w:type="pct"/>
            <w:vMerge w:val="restart"/>
            <w:tcBorders>
              <w:tl2br w:val="nil"/>
              <w:tr2bl w:val="nil"/>
            </w:tcBorders>
            <w:vAlign w:val="center"/>
          </w:tcPr>
          <w:p w14:paraId="5B0B208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声环境影响预测与评价</w:t>
            </w:r>
          </w:p>
        </w:tc>
        <w:tc>
          <w:tcPr>
            <w:tcW w:w="759" w:type="pct"/>
            <w:tcBorders>
              <w:tl2br w:val="nil"/>
              <w:tr2bl w:val="nil"/>
            </w:tcBorders>
            <w:vAlign w:val="center"/>
          </w:tcPr>
          <w:p w14:paraId="38945C3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预测模型</w:t>
            </w:r>
          </w:p>
        </w:tc>
        <w:tc>
          <w:tcPr>
            <w:tcW w:w="3613" w:type="pct"/>
            <w:gridSpan w:val="10"/>
            <w:tcBorders>
              <w:tl2br w:val="nil"/>
              <w:tr2bl w:val="nil"/>
            </w:tcBorders>
            <w:vAlign w:val="center"/>
          </w:tcPr>
          <w:p w14:paraId="3055B76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导则推荐模型</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其他</w:t>
            </w:r>
            <w:r>
              <w:rPr>
                <w:rFonts w:hint="default" w:ascii="Times New Roman" w:hAnsi="Times New Roman" w:cs="Times New Roman"/>
                <w:color w:val="auto"/>
                <w:sz w:val="21"/>
                <w:szCs w:val="21"/>
                <w:highlight w:val="none"/>
                <w:lang w:eastAsia="zh-CN"/>
              </w:rPr>
              <w:t>☑</w:t>
            </w:r>
          </w:p>
        </w:tc>
      </w:tr>
      <w:tr w14:paraId="4C02E6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627" w:type="pct"/>
            <w:vMerge w:val="continue"/>
            <w:tcBorders>
              <w:tl2br w:val="nil"/>
              <w:tr2bl w:val="nil"/>
            </w:tcBorders>
            <w:vAlign w:val="center"/>
          </w:tcPr>
          <w:p w14:paraId="5D0D4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51D4478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预测范围</w:t>
            </w:r>
          </w:p>
        </w:tc>
        <w:tc>
          <w:tcPr>
            <w:tcW w:w="3613" w:type="pct"/>
            <w:gridSpan w:val="10"/>
            <w:tcBorders>
              <w:tl2br w:val="nil"/>
              <w:tr2bl w:val="nil"/>
            </w:tcBorders>
            <w:vAlign w:val="center"/>
          </w:tcPr>
          <w:p w14:paraId="425E94D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200 m</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 xml:space="preserve">大于 </w:t>
            </w:r>
            <w:r>
              <w:rPr>
                <w:rFonts w:hint="default" w:ascii="Times New Roman" w:hAnsi="Times New Roman" w:eastAsia="Times New Roman" w:cs="Times New Roman"/>
                <w:color w:val="auto"/>
                <w:sz w:val="21"/>
                <w:szCs w:val="21"/>
                <w:highlight w:val="none"/>
              </w:rPr>
              <w:t>200 m</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 xml:space="preserve">小于 </w:t>
            </w:r>
            <w:r>
              <w:rPr>
                <w:rFonts w:hint="default" w:ascii="Times New Roman" w:hAnsi="Times New Roman" w:eastAsia="Times New Roman" w:cs="Times New Roman"/>
                <w:color w:val="auto"/>
                <w:sz w:val="21"/>
                <w:szCs w:val="21"/>
                <w:highlight w:val="none"/>
              </w:rPr>
              <w:t>200 m</w:t>
            </w:r>
            <w:r>
              <w:rPr>
                <w:rFonts w:hint="default" w:ascii="Times New Roman" w:hAnsi="Times New Roman" w:cs="Times New Roman"/>
                <w:color w:val="auto"/>
                <w:sz w:val="21"/>
                <w:szCs w:val="21"/>
                <w:highlight w:val="none"/>
              </w:rPr>
              <w:t>□</w:t>
            </w:r>
          </w:p>
        </w:tc>
      </w:tr>
      <w:tr w14:paraId="57D60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627" w:type="pct"/>
            <w:vMerge w:val="continue"/>
            <w:tcBorders>
              <w:tl2br w:val="nil"/>
              <w:tr2bl w:val="nil"/>
            </w:tcBorders>
            <w:vAlign w:val="center"/>
          </w:tcPr>
          <w:p w14:paraId="75DFDA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676AAB6A">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预测因子</w:t>
            </w:r>
          </w:p>
        </w:tc>
        <w:tc>
          <w:tcPr>
            <w:tcW w:w="3613" w:type="pct"/>
            <w:gridSpan w:val="10"/>
            <w:tcBorders>
              <w:tl2br w:val="nil"/>
              <w:tr2bl w:val="nil"/>
            </w:tcBorders>
            <w:vAlign w:val="center"/>
          </w:tcPr>
          <w:p w14:paraId="3868B124">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 xml:space="preserve">等效连续 </w:t>
            </w:r>
            <w:r>
              <w:rPr>
                <w:rFonts w:hint="default" w:ascii="Times New Roman" w:hAnsi="Times New Roman" w:eastAsia="Times New Roman" w:cs="Times New Roman"/>
                <w:color w:val="auto"/>
                <w:sz w:val="21"/>
                <w:szCs w:val="21"/>
                <w:highlight w:val="none"/>
              </w:rPr>
              <w:t xml:space="preserve">A </w:t>
            </w:r>
            <w:r>
              <w:rPr>
                <w:rFonts w:hint="default" w:ascii="Times New Roman" w:hAnsi="Times New Roman" w:cs="Times New Roman"/>
                <w:color w:val="auto"/>
                <w:sz w:val="21"/>
                <w:szCs w:val="21"/>
                <w:highlight w:val="none"/>
              </w:rPr>
              <w:t>声级</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最大</w:t>
            </w:r>
            <w:r>
              <w:rPr>
                <w:rFonts w:hint="default" w:ascii="Times New Roman" w:hAnsi="Times New Roman" w:eastAsia="Times New Roman" w:cs="Times New Roman"/>
                <w:color w:val="auto"/>
                <w:sz w:val="21"/>
                <w:szCs w:val="21"/>
                <w:highlight w:val="none"/>
              </w:rPr>
              <w:t>A</w:t>
            </w:r>
            <w:r>
              <w:rPr>
                <w:rFonts w:hint="default" w:ascii="Times New Roman" w:hAnsi="Times New Roman" w:cs="Times New Roman"/>
                <w:color w:val="auto"/>
                <w:sz w:val="21"/>
                <w:szCs w:val="21"/>
                <w:highlight w:val="none"/>
              </w:rPr>
              <w:t>声级□</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计权等效连续感觉噪声级□</w:t>
            </w:r>
          </w:p>
        </w:tc>
      </w:tr>
      <w:tr w14:paraId="0E0B5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627" w:type="pct"/>
            <w:vMerge w:val="continue"/>
            <w:tcBorders>
              <w:tl2br w:val="nil"/>
              <w:tr2bl w:val="nil"/>
            </w:tcBorders>
            <w:vAlign w:val="center"/>
          </w:tcPr>
          <w:p w14:paraId="1743DB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0CF82A4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厂界噪声贡献值</w:t>
            </w:r>
          </w:p>
        </w:tc>
        <w:tc>
          <w:tcPr>
            <w:tcW w:w="3613" w:type="pct"/>
            <w:gridSpan w:val="10"/>
            <w:tcBorders>
              <w:tl2br w:val="nil"/>
              <w:tr2bl w:val="nil"/>
            </w:tcBorders>
            <w:vAlign w:val="center"/>
          </w:tcPr>
          <w:p w14:paraId="4FADB543">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达标</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不达标</w:t>
            </w:r>
            <w:r>
              <w:rPr>
                <w:rFonts w:hint="default" w:ascii="Times New Roman" w:hAnsi="Times New Roman" w:cs="Times New Roman"/>
                <w:color w:val="auto"/>
                <w:sz w:val="21"/>
                <w:szCs w:val="21"/>
                <w:highlight w:val="none"/>
                <w:lang w:eastAsia="zh-CN"/>
              </w:rPr>
              <w:t>（</w:t>
            </w:r>
          </w:p>
        </w:tc>
      </w:tr>
      <w:tr w14:paraId="52BD61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627" w:type="pct"/>
            <w:vMerge w:val="continue"/>
            <w:tcBorders>
              <w:tl2br w:val="nil"/>
              <w:tr2bl w:val="nil"/>
            </w:tcBorders>
            <w:vAlign w:val="center"/>
          </w:tcPr>
          <w:p w14:paraId="2AF5A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0E27048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声环境保护目标处噪声值</w:t>
            </w:r>
          </w:p>
        </w:tc>
        <w:tc>
          <w:tcPr>
            <w:tcW w:w="3613" w:type="pct"/>
            <w:gridSpan w:val="10"/>
            <w:tcBorders>
              <w:tl2br w:val="nil"/>
              <w:tr2bl w:val="nil"/>
            </w:tcBorders>
            <w:vAlign w:val="center"/>
          </w:tcPr>
          <w:p w14:paraId="36D926E5">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不达标□</w:t>
            </w:r>
          </w:p>
        </w:tc>
      </w:tr>
      <w:tr w14:paraId="72DDB2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627" w:type="pct"/>
            <w:vMerge w:val="restart"/>
            <w:tcBorders>
              <w:tl2br w:val="nil"/>
              <w:tr2bl w:val="nil"/>
            </w:tcBorders>
            <w:vAlign w:val="center"/>
          </w:tcPr>
          <w:p w14:paraId="2D9DD0B6">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环境监测计划</w:t>
            </w:r>
          </w:p>
        </w:tc>
        <w:tc>
          <w:tcPr>
            <w:tcW w:w="759" w:type="pct"/>
            <w:tcBorders>
              <w:tl2br w:val="nil"/>
              <w:tr2bl w:val="nil"/>
            </w:tcBorders>
            <w:vAlign w:val="center"/>
          </w:tcPr>
          <w:p w14:paraId="4E643FC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排放监测</w:t>
            </w:r>
          </w:p>
        </w:tc>
        <w:tc>
          <w:tcPr>
            <w:tcW w:w="3613" w:type="pct"/>
            <w:gridSpan w:val="10"/>
            <w:tcBorders>
              <w:tl2br w:val="nil"/>
              <w:tr2bl w:val="nil"/>
            </w:tcBorders>
            <w:vAlign w:val="center"/>
          </w:tcPr>
          <w:p w14:paraId="59C6273F">
            <w:pPr>
              <w:pStyle w:val="32"/>
              <w:keepNext w:val="0"/>
              <w:keepLines w:val="0"/>
              <w:pageBreakBefore w:val="0"/>
              <w:widowControl w:val="0"/>
              <w:suppressLineNumbers w:val="0"/>
              <w:tabs>
                <w:tab w:val="left" w:pos="1621"/>
              </w:tabs>
              <w:kinsoku/>
              <w:wordWrap/>
              <w:overflowPunct/>
              <w:topLinePunct w:val="0"/>
              <w:autoSpaceDE/>
              <w:autoSpaceDN/>
              <w:bidi w:val="0"/>
              <w:adjustRightInd/>
              <w:snapToGrid/>
              <w:spacing w:before="0" w:beforeAutospacing="0" w:after="0" w:afterAutospacing="0" w:line="360" w:lineRule="exact"/>
              <w:ind w:left="0" w:right="0" w:firstLine="0" w:firstLineChars="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厂界监测</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固定位置监</w:t>
            </w:r>
            <w:r>
              <w:rPr>
                <w:rFonts w:hint="default" w:ascii="Times New Roman" w:hAnsi="Times New Roman" w:cs="Times New Roman"/>
                <w:color w:val="auto"/>
                <w:spacing w:val="-3"/>
                <w:sz w:val="21"/>
                <w:szCs w:val="21"/>
                <w:highlight w:val="none"/>
              </w:rPr>
              <w:t>测</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 xml:space="preserve">自动监测□ </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手动监测</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无监测□</w:t>
            </w:r>
          </w:p>
        </w:tc>
      </w:tr>
      <w:tr w14:paraId="2FB2C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627" w:type="pct"/>
            <w:vMerge w:val="continue"/>
            <w:tcBorders>
              <w:tl2br w:val="nil"/>
              <w:tr2bl w:val="nil"/>
            </w:tcBorders>
            <w:vAlign w:val="center"/>
          </w:tcPr>
          <w:p w14:paraId="4C121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p>
        </w:tc>
        <w:tc>
          <w:tcPr>
            <w:tcW w:w="759" w:type="pct"/>
            <w:tcBorders>
              <w:tl2br w:val="nil"/>
              <w:tr2bl w:val="nil"/>
            </w:tcBorders>
            <w:vAlign w:val="center"/>
          </w:tcPr>
          <w:p w14:paraId="3BB57337">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声环境保护目标处噪声监测</w:t>
            </w:r>
          </w:p>
        </w:tc>
        <w:tc>
          <w:tcPr>
            <w:tcW w:w="1287" w:type="pct"/>
            <w:gridSpan w:val="4"/>
            <w:tcBorders>
              <w:tl2br w:val="nil"/>
              <w:tr2bl w:val="nil"/>
            </w:tcBorders>
            <w:vAlign w:val="center"/>
          </w:tcPr>
          <w:p w14:paraId="3716D20B">
            <w:pPr>
              <w:pStyle w:val="32"/>
              <w:keepNext w:val="0"/>
              <w:keepLines w:val="0"/>
              <w:pageBreakBefore w:val="0"/>
              <w:widowControl w:val="0"/>
              <w:suppressLineNumbers w:val="0"/>
              <w:tabs>
                <w:tab w:val="left" w:pos="2252"/>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监测因子</w:t>
            </w:r>
            <w:r>
              <w:rPr>
                <w:rFonts w:hint="default" w:ascii="Times New Roman" w:hAnsi="Times New Roman" w:cs="Times New Roman"/>
                <w:color w:val="auto"/>
                <w:spacing w:val="-92"/>
                <w:sz w:val="21"/>
                <w:szCs w:val="21"/>
                <w:highlight w:val="none"/>
              </w:rPr>
              <w:t>：</w:t>
            </w:r>
            <w:r>
              <w:rPr>
                <w:rFonts w:hint="default" w:ascii="Times New Roman" w:hAnsi="Times New Roman" w:cs="Times New Roman"/>
                <w:color w:val="auto"/>
                <w:sz w:val="21"/>
                <w:szCs w:val="21"/>
                <w:highlight w:val="none"/>
              </w:rPr>
              <w:t xml:space="preserve">（等效连续 </w:t>
            </w:r>
            <w:r>
              <w:rPr>
                <w:rFonts w:hint="default" w:ascii="Times New Roman" w:hAnsi="Times New Roman" w:eastAsia="Times New Roman" w:cs="Times New Roman"/>
                <w:color w:val="auto"/>
                <w:sz w:val="21"/>
                <w:szCs w:val="21"/>
                <w:highlight w:val="none"/>
              </w:rPr>
              <w:t xml:space="preserve">A </w:t>
            </w:r>
            <w:r>
              <w:rPr>
                <w:rFonts w:hint="default" w:ascii="Times New Roman" w:hAnsi="Times New Roman" w:cs="Times New Roman"/>
                <w:color w:val="auto"/>
                <w:sz w:val="21"/>
                <w:szCs w:val="21"/>
                <w:highlight w:val="none"/>
              </w:rPr>
              <w:t>声级）</w:t>
            </w:r>
          </w:p>
        </w:tc>
        <w:tc>
          <w:tcPr>
            <w:tcW w:w="1024" w:type="pct"/>
            <w:gridSpan w:val="3"/>
            <w:tcBorders>
              <w:tl2br w:val="nil"/>
              <w:tr2bl w:val="nil"/>
            </w:tcBorders>
            <w:vAlign w:val="center"/>
          </w:tcPr>
          <w:p w14:paraId="390A055A">
            <w:pPr>
              <w:pStyle w:val="32"/>
              <w:keepNext w:val="0"/>
              <w:keepLines w:val="0"/>
              <w:pageBreakBefore w:val="0"/>
              <w:widowControl w:val="0"/>
              <w:suppressLineNumbers w:val="0"/>
              <w:tabs>
                <w:tab w:val="left" w:pos="1735"/>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监测点位数（</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w:t>
            </w:r>
          </w:p>
        </w:tc>
        <w:tc>
          <w:tcPr>
            <w:tcW w:w="1301" w:type="pct"/>
            <w:gridSpan w:val="3"/>
            <w:tcBorders>
              <w:tl2br w:val="nil"/>
              <w:tr2bl w:val="nil"/>
            </w:tcBorders>
            <w:vAlign w:val="center"/>
          </w:tcPr>
          <w:p w14:paraId="44F7F4BB">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无监测□</w:t>
            </w:r>
          </w:p>
        </w:tc>
      </w:tr>
      <w:tr w14:paraId="25306C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627" w:type="pct"/>
            <w:tcBorders>
              <w:tl2br w:val="nil"/>
              <w:tr2bl w:val="nil"/>
            </w:tcBorders>
            <w:vAlign w:val="center"/>
          </w:tcPr>
          <w:p w14:paraId="2A926161">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评价结论</w:t>
            </w:r>
          </w:p>
        </w:tc>
        <w:tc>
          <w:tcPr>
            <w:tcW w:w="759" w:type="pct"/>
            <w:tcBorders>
              <w:tl2br w:val="nil"/>
              <w:tr2bl w:val="nil"/>
            </w:tcBorders>
            <w:vAlign w:val="center"/>
          </w:tcPr>
          <w:p w14:paraId="6DCB0539">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环境影响</w:t>
            </w:r>
          </w:p>
        </w:tc>
        <w:tc>
          <w:tcPr>
            <w:tcW w:w="3613" w:type="pct"/>
            <w:gridSpan w:val="10"/>
            <w:tcBorders>
              <w:tl2br w:val="nil"/>
              <w:tr2bl w:val="nil"/>
            </w:tcBorders>
            <w:vAlign w:val="center"/>
          </w:tcPr>
          <w:p w14:paraId="771FFFD1">
            <w:pPr>
              <w:pStyle w:val="32"/>
              <w:keepNext w:val="0"/>
              <w:keepLines w:val="0"/>
              <w:pageBreakBefore w:val="0"/>
              <w:widowControl w:val="0"/>
              <w:suppressLineNumbers w:val="0"/>
              <w:tabs>
                <w:tab w:val="left" w:pos="1202"/>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可行</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 xml:space="preserve">       </w:t>
            </w:r>
            <w:r>
              <w:rPr>
                <w:rFonts w:hint="default" w:ascii="Times New Roman" w:hAnsi="Times New Roman" w:cs="Times New Roman"/>
                <w:color w:val="auto"/>
                <w:sz w:val="21"/>
                <w:szCs w:val="21"/>
                <w:highlight w:val="none"/>
              </w:rPr>
              <w:t>不可行□</w:t>
            </w:r>
          </w:p>
        </w:tc>
      </w:tr>
      <w:tr w14:paraId="08213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5000" w:type="pct"/>
            <w:gridSpan w:val="12"/>
            <w:tcBorders>
              <w:tl2br w:val="nil"/>
              <w:tr2bl w:val="nil"/>
            </w:tcBorders>
            <w:vAlign w:val="center"/>
          </w:tcPr>
          <w:p w14:paraId="72B3A100">
            <w:pPr>
              <w:pStyle w:val="32"/>
              <w:keepNext w:val="0"/>
              <w:keepLines w:val="0"/>
              <w:pageBreakBefore w:val="0"/>
              <w:widowControl w:val="0"/>
              <w:suppressLineNumbers w:val="0"/>
              <w:tabs>
                <w:tab w:val="left" w:pos="3079"/>
              </w:tabs>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w:t>
            </w:r>
            <w:r>
              <w:rPr>
                <w:rFonts w:hint="default" w:ascii="Times New Roman" w:hAnsi="Times New Roman" w:cs="Times New Roman"/>
                <w:color w:val="auto"/>
                <w:spacing w:val="-92"/>
                <w:sz w:val="21"/>
                <w:szCs w:val="21"/>
                <w:highlight w:val="none"/>
              </w:rPr>
              <w:t>：</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pacing w:val="1"/>
                <w:sz w:val="21"/>
                <w:szCs w:val="21"/>
                <w:highlight w:val="none"/>
              </w:rPr>
              <w:t xml:space="preserve"> </w:t>
            </w:r>
            <w:r>
              <w:rPr>
                <w:rFonts w:hint="default" w:ascii="Times New Roman" w:hAnsi="Times New Roman" w:cs="Times New Roman"/>
                <w:color w:val="auto"/>
                <w:sz w:val="21"/>
                <w:szCs w:val="21"/>
                <w:highlight w:val="none"/>
              </w:rPr>
              <w:t>为勾选项</w:t>
            </w:r>
            <w:r>
              <w:rPr>
                <w:rFonts w:hint="default" w:ascii="Times New Roman" w:hAnsi="Times New Roman" w:cs="Times New Roman"/>
                <w:color w:val="auto"/>
                <w:spacing w:val="1"/>
                <w:sz w:val="21"/>
                <w:szCs w:val="21"/>
                <w:highlight w:val="none"/>
              </w:rPr>
              <w:t xml:space="preserve"> </w:t>
            </w:r>
            <w:r>
              <w:rPr>
                <w:rFonts w:hint="default" w:ascii="Times New Roman" w:hAnsi="Times New Roman" w:cs="Times New Roman"/>
                <w:color w:val="auto"/>
                <w:sz w:val="21"/>
                <w:szCs w:val="21"/>
                <w:highlight w:val="none"/>
              </w:rPr>
              <w:t>，可√</w:t>
            </w:r>
            <w:r>
              <w:rPr>
                <w:rFonts w:hint="default" w:ascii="Times New Roman" w:hAnsi="Times New Roman" w:cs="Times New Roman"/>
                <w:color w:val="auto"/>
                <w:spacing w:val="1"/>
                <w:sz w:val="21"/>
                <w:szCs w:val="21"/>
                <w:highlight w:val="none"/>
              </w:rPr>
              <w:t xml:space="preserve"> </w:t>
            </w:r>
            <w:r>
              <w:rPr>
                <w:rFonts w:hint="default" w:ascii="Times New Roman" w:hAnsi="Times New Roman" w:cs="Times New Roman"/>
                <w:color w:val="auto"/>
                <w:spacing w:val="-92"/>
                <w:sz w:val="21"/>
                <w:szCs w:val="21"/>
                <w:highlight w:val="none"/>
              </w:rPr>
              <w:t>；“</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rPr>
              <w:tab/>
            </w:r>
            <w:r>
              <w:rPr>
                <w:rFonts w:hint="default" w:ascii="Times New Roman" w:hAnsi="Times New Roman" w:cs="Times New Roman"/>
                <w:color w:val="auto"/>
                <w:spacing w:val="-92"/>
                <w:sz w:val="21"/>
                <w:szCs w:val="21"/>
                <w:highlight w:val="none"/>
              </w:rPr>
              <w:t>）</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pacing w:val="1"/>
                <w:sz w:val="21"/>
                <w:szCs w:val="21"/>
                <w:highlight w:val="none"/>
              </w:rPr>
              <w:t xml:space="preserve"> </w:t>
            </w:r>
            <w:r>
              <w:rPr>
                <w:rFonts w:hint="default" w:ascii="Times New Roman" w:hAnsi="Times New Roman" w:cs="Times New Roman"/>
                <w:color w:val="auto"/>
                <w:sz w:val="21"/>
                <w:szCs w:val="21"/>
                <w:highlight w:val="none"/>
              </w:rPr>
              <w:t>为内容填写项。</w:t>
            </w:r>
          </w:p>
        </w:tc>
      </w:tr>
    </w:tbl>
    <w:p w14:paraId="46DD8225">
      <w:pPr>
        <w:pStyle w:val="3"/>
        <w:bidi w:val="0"/>
        <w:rPr>
          <w:rFonts w:hint="default" w:ascii="Times New Roman" w:hAnsi="Times New Roman" w:cs="Times New Roman"/>
          <w:color w:val="auto"/>
        </w:rPr>
      </w:pPr>
      <w:bookmarkStart w:id="624" w:name="_Toc12204"/>
      <w:r>
        <w:rPr>
          <w:rFonts w:hint="default" w:ascii="Times New Roman" w:hAnsi="Times New Roman" w:cs="Times New Roman"/>
          <w:color w:val="auto"/>
        </w:rPr>
        <w:t>固废环境影响分析</w:t>
      </w:r>
      <w:bookmarkEnd w:id="623"/>
      <w:bookmarkEnd w:id="624"/>
    </w:p>
    <w:p w14:paraId="219A18EC">
      <w:pPr>
        <w:pStyle w:val="4"/>
        <w:bidi w:val="0"/>
        <w:rPr>
          <w:rFonts w:hint="default" w:ascii="Times New Roman" w:hAnsi="Times New Roman" w:cs="Times New Roman"/>
          <w:color w:val="auto"/>
        </w:rPr>
      </w:pPr>
      <w:r>
        <w:rPr>
          <w:rFonts w:hint="default" w:ascii="Times New Roman" w:hAnsi="Times New Roman" w:cs="Times New Roman"/>
          <w:color w:val="auto"/>
        </w:rPr>
        <w:t>固废产生、利用及处理处置情况</w:t>
      </w:r>
    </w:p>
    <w:p w14:paraId="031310A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项目产生的固体废物主要是采矿废石、除尘器除尘灰，机修产生的设备检修废机油，此外还有生活垃圾。固废产生量及处置利用措施见表5.6-1。</w:t>
      </w:r>
    </w:p>
    <w:p w14:paraId="4ACDB69E">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表5.6-1</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拟建工程固废产生量及处置利用措施</w:t>
      </w:r>
    </w:p>
    <w:tbl>
      <w:tblPr>
        <w:tblStyle w:val="22"/>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997"/>
        <w:gridCol w:w="2252"/>
        <w:gridCol w:w="966"/>
        <w:gridCol w:w="968"/>
        <w:gridCol w:w="2678"/>
      </w:tblGrid>
      <w:tr w14:paraId="5FC6B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trPr>
        <w:tc>
          <w:tcPr>
            <w:tcW w:w="386" w:type="pct"/>
            <w:tcBorders>
              <w:tl2br w:val="nil"/>
              <w:tr2bl w:val="nil"/>
            </w:tcBorders>
            <w:vAlign w:val="center"/>
          </w:tcPr>
          <w:p w14:paraId="569C1A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rPr>
            </w:pPr>
            <w:r>
              <w:rPr>
                <w:rFonts w:hint="default" w:ascii="Times New Roman" w:hAnsi="Times New Roman" w:eastAsia="宋体" w:cs="Times New Roman"/>
                <w:b w:val="0"/>
                <w:bCs/>
                <w:color w:val="auto"/>
                <w:kern w:val="0"/>
                <w:sz w:val="21"/>
                <w:szCs w:val="21"/>
                <w:highlight w:val="none"/>
                <w:lang w:val="en-US" w:eastAsia="zh-CN"/>
              </w:rPr>
              <w:t>序号</w:t>
            </w:r>
          </w:p>
        </w:tc>
        <w:tc>
          <w:tcPr>
            <w:tcW w:w="585" w:type="pct"/>
            <w:tcBorders>
              <w:tl2br w:val="nil"/>
              <w:tr2bl w:val="nil"/>
            </w:tcBorders>
            <w:vAlign w:val="center"/>
          </w:tcPr>
          <w:p w14:paraId="714539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固体废物名称</w:t>
            </w:r>
          </w:p>
        </w:tc>
        <w:tc>
          <w:tcPr>
            <w:tcW w:w="1321" w:type="pct"/>
            <w:tcBorders>
              <w:tl2br w:val="nil"/>
              <w:tr2bl w:val="nil"/>
            </w:tcBorders>
            <w:vAlign w:val="center"/>
          </w:tcPr>
          <w:p w14:paraId="67BD66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属性</w:t>
            </w:r>
          </w:p>
        </w:tc>
        <w:tc>
          <w:tcPr>
            <w:tcW w:w="567" w:type="pct"/>
            <w:tcBorders>
              <w:tl2br w:val="nil"/>
              <w:tr2bl w:val="nil"/>
            </w:tcBorders>
            <w:vAlign w:val="center"/>
          </w:tcPr>
          <w:p w14:paraId="105F1E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产生量 t/a</w:t>
            </w:r>
          </w:p>
        </w:tc>
        <w:tc>
          <w:tcPr>
            <w:tcW w:w="568" w:type="pct"/>
            <w:tcBorders>
              <w:tl2br w:val="nil"/>
              <w:tr2bl w:val="nil"/>
            </w:tcBorders>
            <w:vAlign w:val="center"/>
          </w:tcPr>
          <w:p w14:paraId="1D6DFD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形态</w:t>
            </w:r>
          </w:p>
        </w:tc>
        <w:tc>
          <w:tcPr>
            <w:tcW w:w="1571" w:type="pct"/>
            <w:tcBorders>
              <w:tl2br w:val="nil"/>
              <w:tr2bl w:val="nil"/>
            </w:tcBorders>
            <w:vAlign w:val="center"/>
          </w:tcPr>
          <w:p w14:paraId="0919E5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kern w:val="0"/>
                <w:sz w:val="21"/>
                <w:szCs w:val="21"/>
                <w:highlight w:val="none"/>
              </w:rPr>
            </w:pPr>
            <w:r>
              <w:rPr>
                <w:rFonts w:hint="default" w:ascii="Times New Roman" w:hAnsi="Times New Roman" w:eastAsia="宋体" w:cs="Times New Roman"/>
                <w:b w:val="0"/>
                <w:bCs/>
                <w:color w:val="auto"/>
                <w:kern w:val="0"/>
                <w:sz w:val="21"/>
                <w:szCs w:val="21"/>
                <w:highlight w:val="none"/>
              </w:rPr>
              <w:t>处置方式</w:t>
            </w:r>
          </w:p>
        </w:tc>
      </w:tr>
      <w:tr w14:paraId="0B74DD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3A63D9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585" w:type="pct"/>
            <w:tcBorders>
              <w:tl2br w:val="nil"/>
              <w:tr2bl w:val="nil"/>
            </w:tcBorders>
            <w:vAlign w:val="center"/>
          </w:tcPr>
          <w:p w14:paraId="716720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废石</w:t>
            </w:r>
          </w:p>
        </w:tc>
        <w:tc>
          <w:tcPr>
            <w:tcW w:w="1321" w:type="pct"/>
            <w:tcBorders>
              <w:tl2br w:val="nil"/>
              <w:tr2bl w:val="nil"/>
            </w:tcBorders>
            <w:vAlign w:val="center"/>
          </w:tcPr>
          <w:p w14:paraId="4B5BD1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一般工业固体废物</w:t>
            </w:r>
          </w:p>
          <w:p w14:paraId="018AD9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eastAsia="zh-CN"/>
              </w:rPr>
            </w:pPr>
            <w:r>
              <w:rPr>
                <w:rFonts w:hint="default" w:ascii="Times New Roman" w:hAnsi="Times New Roman" w:cs="Times New Roman"/>
                <w:bCs/>
                <w:color w:val="auto"/>
                <w:kern w:val="0"/>
                <w:sz w:val="21"/>
                <w:szCs w:val="21"/>
                <w:highlight w:val="none"/>
                <w:lang w:eastAsia="zh-CN"/>
              </w:rPr>
              <w:t>（</w:t>
            </w:r>
            <w:r>
              <w:rPr>
                <w:rFonts w:hint="default" w:ascii="Times New Roman" w:hAnsi="Times New Roman" w:eastAsia="宋体" w:cs="Times New Roman"/>
                <w:bCs/>
                <w:color w:val="auto"/>
                <w:kern w:val="0"/>
                <w:sz w:val="21"/>
                <w:szCs w:val="21"/>
                <w:highlight w:val="none"/>
                <w:lang w:eastAsia="zh-CN"/>
              </w:rPr>
              <w:t>091-001-S05</w:t>
            </w:r>
            <w:r>
              <w:rPr>
                <w:rFonts w:hint="default" w:ascii="Times New Roman" w:hAnsi="Times New Roman" w:cs="Times New Roman"/>
                <w:bCs/>
                <w:color w:val="auto"/>
                <w:kern w:val="0"/>
                <w:sz w:val="21"/>
                <w:szCs w:val="21"/>
                <w:highlight w:val="none"/>
                <w:lang w:eastAsia="zh-CN"/>
              </w:rPr>
              <w:t>）</w:t>
            </w:r>
          </w:p>
        </w:tc>
        <w:tc>
          <w:tcPr>
            <w:tcW w:w="567" w:type="pct"/>
            <w:tcBorders>
              <w:tl2br w:val="nil"/>
              <w:tr2bl w:val="nil"/>
            </w:tcBorders>
            <w:vAlign w:val="center"/>
          </w:tcPr>
          <w:p w14:paraId="5E6927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2</w:t>
            </w:r>
            <w:r>
              <w:rPr>
                <w:rFonts w:hint="default" w:ascii="Times New Roman" w:hAnsi="Times New Roman" w:cs="Times New Roman"/>
                <w:color w:val="auto"/>
                <w:spacing w:val="0"/>
                <w:w w:val="100"/>
                <w:position w:val="0"/>
                <w:sz w:val="21"/>
                <w:szCs w:val="21"/>
                <w:highlight w:val="none"/>
                <w:lang w:val="en-US" w:eastAsia="zh-CN"/>
              </w:rPr>
              <w:t>3700</w:t>
            </w:r>
          </w:p>
        </w:tc>
        <w:tc>
          <w:tcPr>
            <w:tcW w:w="568" w:type="pct"/>
            <w:tcBorders>
              <w:tl2br w:val="nil"/>
              <w:tr2bl w:val="nil"/>
            </w:tcBorders>
            <w:vAlign w:val="center"/>
          </w:tcPr>
          <w:p w14:paraId="3F87E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固态</w:t>
            </w:r>
          </w:p>
        </w:tc>
        <w:tc>
          <w:tcPr>
            <w:tcW w:w="1571" w:type="pct"/>
            <w:tcBorders>
              <w:tl2br w:val="nil"/>
              <w:tr2bl w:val="nil"/>
            </w:tcBorders>
            <w:vAlign w:val="center"/>
          </w:tcPr>
          <w:p w14:paraId="4FF1BF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rPr>
            </w:pPr>
            <w:r>
              <w:rPr>
                <w:rFonts w:hint="default" w:ascii="Times New Roman" w:hAnsi="Times New Roman" w:eastAsia="宋体" w:cs="Times New Roman"/>
                <w:bCs/>
                <w:color w:val="auto"/>
                <w:kern w:val="0"/>
                <w:sz w:val="21"/>
                <w:szCs w:val="21"/>
                <w:highlight w:val="none"/>
                <w:lang w:val="en-US" w:eastAsia="zh-CN"/>
              </w:rPr>
              <w:t>废石临时堆放于废石场，作为充填原料用于井下充填</w:t>
            </w:r>
          </w:p>
        </w:tc>
      </w:tr>
      <w:tr w14:paraId="2C3EC3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543326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p>
        </w:tc>
        <w:tc>
          <w:tcPr>
            <w:tcW w:w="585" w:type="pct"/>
            <w:tcBorders>
              <w:tl2br w:val="nil"/>
              <w:tr2bl w:val="nil"/>
            </w:tcBorders>
            <w:vAlign w:val="center"/>
          </w:tcPr>
          <w:p w14:paraId="46BB47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除尘灰</w:t>
            </w:r>
          </w:p>
        </w:tc>
        <w:tc>
          <w:tcPr>
            <w:tcW w:w="1321" w:type="pct"/>
            <w:tcBorders>
              <w:tl2br w:val="nil"/>
              <w:tr2bl w:val="nil"/>
            </w:tcBorders>
            <w:vAlign w:val="center"/>
          </w:tcPr>
          <w:p w14:paraId="423C85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一般工业固体废物</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eastAsia="宋体" w:cs="Times New Roman"/>
                <w:bCs/>
                <w:color w:val="auto"/>
                <w:kern w:val="0"/>
                <w:sz w:val="21"/>
                <w:szCs w:val="21"/>
                <w:highlight w:val="none"/>
                <w:lang w:eastAsia="zh-CN"/>
              </w:rPr>
              <w:t>091-001-S05</w:t>
            </w:r>
            <w:r>
              <w:rPr>
                <w:rFonts w:hint="default" w:ascii="Times New Roman" w:hAnsi="Times New Roman" w:cs="Times New Roman"/>
                <w:bCs/>
                <w:color w:val="auto"/>
                <w:kern w:val="0"/>
                <w:sz w:val="21"/>
                <w:szCs w:val="21"/>
                <w:highlight w:val="none"/>
                <w:lang w:eastAsia="zh-CN"/>
              </w:rPr>
              <w:t>）</w:t>
            </w:r>
          </w:p>
        </w:tc>
        <w:tc>
          <w:tcPr>
            <w:tcW w:w="567" w:type="pct"/>
            <w:tcBorders>
              <w:tl2br w:val="nil"/>
              <w:tr2bl w:val="nil"/>
            </w:tcBorders>
            <w:vAlign w:val="center"/>
          </w:tcPr>
          <w:p w14:paraId="4865A6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cs="Times New Roman"/>
                <w:bCs/>
                <w:color w:val="auto"/>
                <w:kern w:val="0"/>
                <w:sz w:val="21"/>
                <w:szCs w:val="21"/>
                <w:highlight w:val="none"/>
                <w:lang w:val="en-US" w:eastAsia="zh-CN"/>
              </w:rPr>
              <w:t>5.28</w:t>
            </w:r>
          </w:p>
        </w:tc>
        <w:tc>
          <w:tcPr>
            <w:tcW w:w="568" w:type="pct"/>
            <w:tcBorders>
              <w:tl2br w:val="nil"/>
              <w:tr2bl w:val="nil"/>
            </w:tcBorders>
            <w:vAlign w:val="center"/>
          </w:tcPr>
          <w:p w14:paraId="2C8035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固态</w:t>
            </w:r>
          </w:p>
        </w:tc>
        <w:tc>
          <w:tcPr>
            <w:tcW w:w="1571" w:type="pct"/>
            <w:tcBorders>
              <w:tl2br w:val="nil"/>
              <w:tr2bl w:val="nil"/>
            </w:tcBorders>
            <w:vAlign w:val="center"/>
          </w:tcPr>
          <w:p w14:paraId="0D8BB4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作为充填原料综合利用</w:t>
            </w:r>
          </w:p>
        </w:tc>
      </w:tr>
      <w:tr w14:paraId="55512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7389B0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3</w:t>
            </w:r>
          </w:p>
        </w:tc>
        <w:tc>
          <w:tcPr>
            <w:tcW w:w="585" w:type="pct"/>
            <w:tcBorders>
              <w:tl2br w:val="nil"/>
              <w:tr2bl w:val="nil"/>
            </w:tcBorders>
            <w:vAlign w:val="center"/>
          </w:tcPr>
          <w:p w14:paraId="37F5E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废布袋</w:t>
            </w:r>
          </w:p>
        </w:tc>
        <w:tc>
          <w:tcPr>
            <w:tcW w:w="1321" w:type="pct"/>
            <w:tcBorders>
              <w:tl2br w:val="nil"/>
              <w:tr2bl w:val="nil"/>
            </w:tcBorders>
            <w:vAlign w:val="center"/>
          </w:tcPr>
          <w:p w14:paraId="7E9B19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一般工业固体废物</w:t>
            </w:r>
            <w:r>
              <w:rPr>
                <w:rFonts w:hint="default" w:ascii="Times New Roman" w:hAnsi="Times New Roman" w:eastAsia="宋体" w:cs="Times New Roman"/>
                <w:bCs/>
                <w:color w:val="auto"/>
                <w:kern w:val="0"/>
                <w:sz w:val="21"/>
                <w:szCs w:val="21"/>
                <w:highlight w:val="none"/>
                <w:lang w:eastAsia="zh-CN"/>
              </w:rPr>
              <w:t>（</w:t>
            </w:r>
            <w:r>
              <w:rPr>
                <w:rFonts w:hint="eastAsia" w:ascii="Times New Roman" w:hAnsi="Times New Roman" w:eastAsia="宋体" w:cs="Times New Roman"/>
                <w:bCs/>
                <w:color w:val="auto"/>
                <w:kern w:val="0"/>
                <w:sz w:val="21"/>
                <w:szCs w:val="21"/>
                <w:highlight w:val="none"/>
                <w:lang w:val="en-US" w:eastAsia="zh-CN"/>
              </w:rPr>
              <w:t>900-009-S59</w:t>
            </w:r>
            <w:r>
              <w:rPr>
                <w:rFonts w:hint="default" w:ascii="Times New Roman" w:hAnsi="Times New Roman" w:cs="Times New Roman"/>
                <w:bCs/>
                <w:color w:val="auto"/>
                <w:kern w:val="0"/>
                <w:sz w:val="21"/>
                <w:szCs w:val="21"/>
                <w:highlight w:val="none"/>
                <w:lang w:eastAsia="zh-CN"/>
              </w:rPr>
              <w:t>）</w:t>
            </w:r>
          </w:p>
        </w:tc>
        <w:tc>
          <w:tcPr>
            <w:tcW w:w="567" w:type="pct"/>
            <w:tcBorders>
              <w:tl2br w:val="nil"/>
              <w:tr2bl w:val="nil"/>
            </w:tcBorders>
            <w:vAlign w:val="center"/>
          </w:tcPr>
          <w:p w14:paraId="1481B2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0.05</w:t>
            </w:r>
          </w:p>
        </w:tc>
        <w:tc>
          <w:tcPr>
            <w:tcW w:w="568" w:type="pct"/>
            <w:tcBorders>
              <w:tl2br w:val="nil"/>
              <w:tr2bl w:val="nil"/>
            </w:tcBorders>
            <w:vAlign w:val="center"/>
          </w:tcPr>
          <w:p w14:paraId="7ABB7C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固态</w:t>
            </w:r>
          </w:p>
        </w:tc>
        <w:tc>
          <w:tcPr>
            <w:tcW w:w="1571" w:type="pct"/>
            <w:tcBorders>
              <w:tl2br w:val="nil"/>
              <w:tr2bl w:val="nil"/>
            </w:tcBorders>
            <w:vAlign w:val="center"/>
          </w:tcPr>
          <w:p w14:paraId="2E43EB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eastAsia" w:ascii="Times New Roman" w:hAnsi="Times New Roman" w:eastAsia="宋体" w:cs="Times New Roman"/>
                <w:color w:val="auto"/>
                <w:kern w:val="0"/>
                <w:sz w:val="21"/>
                <w:szCs w:val="21"/>
                <w:lang w:val="en-US" w:eastAsia="zh-CN" w:bidi="ar-SA"/>
              </w:rPr>
              <w:t>由原厂家回收处置。</w:t>
            </w:r>
          </w:p>
        </w:tc>
      </w:tr>
      <w:tr w14:paraId="1C6942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0828B8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w:t>
            </w:r>
          </w:p>
        </w:tc>
        <w:tc>
          <w:tcPr>
            <w:tcW w:w="585" w:type="pct"/>
            <w:tcBorders>
              <w:tl2br w:val="nil"/>
              <w:tr2bl w:val="nil"/>
            </w:tcBorders>
            <w:vAlign w:val="center"/>
          </w:tcPr>
          <w:p w14:paraId="51819D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废机油</w:t>
            </w:r>
          </w:p>
        </w:tc>
        <w:tc>
          <w:tcPr>
            <w:tcW w:w="1321" w:type="pct"/>
            <w:tcBorders>
              <w:tl2br w:val="nil"/>
              <w:tr2bl w:val="nil"/>
            </w:tcBorders>
            <w:vAlign w:val="center"/>
          </w:tcPr>
          <w:p w14:paraId="7CDC3E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危险废物（HW08</w:t>
            </w:r>
          </w:p>
          <w:p w14:paraId="4951D0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color w:val="auto"/>
                <w:sz w:val="21"/>
                <w:szCs w:val="21"/>
                <w:highlight w:val="none"/>
              </w:rPr>
              <w:t>900-</w:t>
            </w:r>
            <w:r>
              <w:rPr>
                <w:rFonts w:hint="eastAsia" w:ascii="Times New Roman" w:hAnsi="Times New Roman" w:cs="Times New Roman"/>
                <w:color w:val="auto"/>
                <w:sz w:val="21"/>
                <w:szCs w:val="21"/>
                <w:highlight w:val="none"/>
                <w:lang w:val="en-US" w:eastAsia="zh-CN"/>
              </w:rPr>
              <w:t>214</w:t>
            </w:r>
            <w:r>
              <w:rPr>
                <w:rFonts w:hint="default" w:ascii="Times New Roman" w:hAnsi="Times New Roman" w:eastAsia="宋体" w:cs="Times New Roman"/>
                <w:color w:val="auto"/>
                <w:sz w:val="21"/>
                <w:szCs w:val="21"/>
                <w:highlight w:val="none"/>
              </w:rPr>
              <w:t>-08</w:t>
            </w:r>
            <w:r>
              <w:rPr>
                <w:rFonts w:hint="default" w:ascii="Times New Roman" w:hAnsi="Times New Roman" w:eastAsia="宋体" w:cs="Times New Roman"/>
                <w:bCs/>
                <w:color w:val="auto"/>
                <w:kern w:val="0"/>
                <w:sz w:val="21"/>
                <w:szCs w:val="21"/>
                <w:highlight w:val="none"/>
              </w:rPr>
              <w:t>）</w:t>
            </w:r>
          </w:p>
        </w:tc>
        <w:tc>
          <w:tcPr>
            <w:tcW w:w="567" w:type="pct"/>
            <w:tcBorders>
              <w:tl2br w:val="nil"/>
              <w:tr2bl w:val="nil"/>
            </w:tcBorders>
            <w:vAlign w:val="center"/>
          </w:tcPr>
          <w:p w14:paraId="56C8D9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1.2</w:t>
            </w:r>
          </w:p>
        </w:tc>
        <w:tc>
          <w:tcPr>
            <w:tcW w:w="568" w:type="pct"/>
            <w:tcBorders>
              <w:tl2br w:val="nil"/>
              <w:tr2bl w:val="nil"/>
            </w:tcBorders>
            <w:vAlign w:val="center"/>
          </w:tcPr>
          <w:p w14:paraId="4E8353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液态</w:t>
            </w:r>
          </w:p>
        </w:tc>
        <w:tc>
          <w:tcPr>
            <w:tcW w:w="1571" w:type="pct"/>
            <w:tcBorders>
              <w:tl2br w:val="nil"/>
              <w:tr2bl w:val="nil"/>
            </w:tcBorders>
            <w:vAlign w:val="center"/>
          </w:tcPr>
          <w:p w14:paraId="738AC0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收集后暂存于危废贮存库，定期交由有资质单位处置</w:t>
            </w:r>
          </w:p>
        </w:tc>
      </w:tr>
      <w:tr w14:paraId="46CB5A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4A3B8C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w:t>
            </w:r>
          </w:p>
        </w:tc>
        <w:tc>
          <w:tcPr>
            <w:tcW w:w="585" w:type="pct"/>
            <w:tcBorders>
              <w:tl2br w:val="nil"/>
              <w:tr2bl w:val="nil"/>
            </w:tcBorders>
            <w:vAlign w:val="center"/>
          </w:tcPr>
          <w:p w14:paraId="7C091D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废油桶</w:t>
            </w:r>
          </w:p>
        </w:tc>
        <w:tc>
          <w:tcPr>
            <w:tcW w:w="1321" w:type="pct"/>
            <w:tcBorders>
              <w:tl2br w:val="nil"/>
              <w:tr2bl w:val="nil"/>
            </w:tcBorders>
            <w:vAlign w:val="center"/>
          </w:tcPr>
          <w:p w14:paraId="611ACF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危险废物（HW08</w:t>
            </w:r>
          </w:p>
          <w:p w14:paraId="233AB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900-249-08</w:t>
            </w:r>
            <w:r>
              <w:rPr>
                <w:rFonts w:hint="default" w:ascii="Times New Roman" w:hAnsi="Times New Roman" w:eastAsia="宋体" w:cs="Times New Roman"/>
                <w:bCs/>
                <w:color w:val="auto"/>
                <w:kern w:val="0"/>
                <w:sz w:val="21"/>
                <w:szCs w:val="21"/>
                <w:highlight w:val="none"/>
              </w:rPr>
              <w:t>）</w:t>
            </w:r>
          </w:p>
        </w:tc>
        <w:tc>
          <w:tcPr>
            <w:tcW w:w="567" w:type="pct"/>
            <w:tcBorders>
              <w:tl2br w:val="nil"/>
              <w:tr2bl w:val="nil"/>
            </w:tcBorders>
            <w:vAlign w:val="center"/>
          </w:tcPr>
          <w:p w14:paraId="57E9E7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0.5</w:t>
            </w:r>
          </w:p>
        </w:tc>
        <w:tc>
          <w:tcPr>
            <w:tcW w:w="568" w:type="pct"/>
            <w:tcBorders>
              <w:tl2br w:val="nil"/>
              <w:tr2bl w:val="nil"/>
            </w:tcBorders>
            <w:vAlign w:val="center"/>
          </w:tcPr>
          <w:p w14:paraId="045D62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固态</w:t>
            </w:r>
          </w:p>
        </w:tc>
        <w:tc>
          <w:tcPr>
            <w:tcW w:w="1571" w:type="pct"/>
            <w:tcBorders>
              <w:tl2br w:val="nil"/>
              <w:tr2bl w:val="nil"/>
            </w:tcBorders>
            <w:vAlign w:val="center"/>
          </w:tcPr>
          <w:p w14:paraId="213F76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收集后暂存于危废贮存库，定期交由有资质单位处置</w:t>
            </w:r>
          </w:p>
        </w:tc>
      </w:tr>
      <w:tr w14:paraId="1EAFB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86" w:type="pct"/>
            <w:tcBorders>
              <w:tl2br w:val="nil"/>
              <w:tr2bl w:val="nil"/>
            </w:tcBorders>
            <w:vAlign w:val="center"/>
          </w:tcPr>
          <w:p w14:paraId="32FEF3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6</w:t>
            </w:r>
          </w:p>
        </w:tc>
        <w:tc>
          <w:tcPr>
            <w:tcW w:w="585" w:type="pct"/>
            <w:tcBorders>
              <w:tl2br w:val="nil"/>
              <w:tr2bl w:val="nil"/>
            </w:tcBorders>
            <w:vAlign w:val="center"/>
          </w:tcPr>
          <w:p w14:paraId="3B453D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生活垃圾</w:t>
            </w:r>
          </w:p>
        </w:tc>
        <w:tc>
          <w:tcPr>
            <w:tcW w:w="1321" w:type="pct"/>
            <w:tcBorders>
              <w:tl2br w:val="nil"/>
              <w:tr2bl w:val="nil"/>
            </w:tcBorders>
            <w:vAlign w:val="center"/>
          </w:tcPr>
          <w:p w14:paraId="625DCC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w:t>
            </w:r>
          </w:p>
        </w:tc>
        <w:tc>
          <w:tcPr>
            <w:tcW w:w="567" w:type="pct"/>
            <w:tcBorders>
              <w:tl2br w:val="nil"/>
              <w:tr2bl w:val="nil"/>
            </w:tcBorders>
            <w:vAlign w:val="center"/>
          </w:tcPr>
          <w:p w14:paraId="1822A0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24.5</w:t>
            </w:r>
          </w:p>
        </w:tc>
        <w:tc>
          <w:tcPr>
            <w:tcW w:w="568" w:type="pct"/>
            <w:tcBorders>
              <w:tl2br w:val="nil"/>
              <w:tr2bl w:val="nil"/>
            </w:tcBorders>
            <w:vAlign w:val="center"/>
          </w:tcPr>
          <w:p w14:paraId="1E8F65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固态</w:t>
            </w:r>
          </w:p>
        </w:tc>
        <w:tc>
          <w:tcPr>
            <w:tcW w:w="1571" w:type="pct"/>
            <w:tcBorders>
              <w:tl2br w:val="nil"/>
              <w:tr2bl w:val="nil"/>
            </w:tcBorders>
            <w:vAlign w:val="center"/>
          </w:tcPr>
          <w:p w14:paraId="211E4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kern w:val="0"/>
                <w:sz w:val="21"/>
                <w:szCs w:val="21"/>
                <w:highlight w:val="none"/>
              </w:rPr>
            </w:pPr>
            <w:r>
              <w:rPr>
                <w:rFonts w:hint="default" w:ascii="Times New Roman" w:hAnsi="Times New Roman" w:eastAsia="宋体" w:cs="Times New Roman"/>
                <w:bCs/>
                <w:color w:val="auto"/>
                <w:kern w:val="0"/>
                <w:sz w:val="21"/>
                <w:szCs w:val="21"/>
                <w:highlight w:val="none"/>
              </w:rPr>
              <w:t>定期清运至哈密市伊州区生活垃圾填埋场进行处置</w:t>
            </w:r>
          </w:p>
        </w:tc>
      </w:tr>
    </w:tbl>
    <w:p w14:paraId="0547CC38">
      <w:pPr>
        <w:pStyle w:val="4"/>
        <w:bidi w:val="0"/>
        <w:rPr>
          <w:rFonts w:hint="default" w:ascii="Times New Roman" w:hAnsi="Times New Roman" w:cs="Times New Roman"/>
          <w:color w:val="auto"/>
        </w:rPr>
      </w:pPr>
      <w:r>
        <w:rPr>
          <w:rFonts w:hint="default" w:ascii="Times New Roman" w:hAnsi="Times New Roman" w:cs="Times New Roman"/>
          <w:color w:val="auto"/>
        </w:rPr>
        <w:t>固体废物环境影响分析</w:t>
      </w:r>
    </w:p>
    <w:p w14:paraId="0E89AEAA">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3"/>
          <w:szCs w:val="24"/>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"5.6.2.1"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5.6.2.1</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采矿废石</w:t>
      </w:r>
    </w:p>
    <w:p w14:paraId="52273292">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（1）性质鉴别</w:t>
      </w:r>
    </w:p>
    <w:p w14:paraId="7F3AB62D">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建设单位采集了废石样品，202</w:t>
      </w:r>
      <w:r>
        <w:rPr>
          <w:rFonts w:hint="default" w:ascii="Times New Roman" w:hAnsi="Times New Roman" w:cs="Times New Roman"/>
          <w:color w:val="auto"/>
          <w:spacing w:val="0"/>
          <w:sz w:val="24"/>
          <w:szCs w:val="24"/>
          <w:lang w:val="en-US" w:eastAsia="zh-CN"/>
        </w:rPr>
        <w:t>6</w:t>
      </w:r>
      <w:r>
        <w:rPr>
          <w:rFonts w:hint="default" w:ascii="Times New Roman" w:hAnsi="Times New Roman" w:eastAsia="宋体" w:cs="Times New Roman"/>
          <w:color w:val="auto"/>
          <w:spacing w:val="0"/>
          <w:sz w:val="24"/>
          <w:szCs w:val="24"/>
        </w:rPr>
        <w:t>年</w:t>
      </w:r>
      <w:r>
        <w:rPr>
          <w:rFonts w:hint="default" w:ascii="Times New Roman" w:hAnsi="Times New Roman" w:cs="Times New Roman"/>
          <w:color w:val="auto"/>
          <w:spacing w:val="0"/>
          <w:sz w:val="24"/>
          <w:szCs w:val="24"/>
          <w:lang w:val="en-US" w:eastAsia="zh-CN"/>
        </w:rPr>
        <w:t>5</w:t>
      </w:r>
      <w:r>
        <w:rPr>
          <w:rFonts w:hint="default" w:ascii="Times New Roman" w:hAnsi="Times New Roman" w:eastAsia="宋体" w:cs="Times New Roman"/>
          <w:color w:val="auto"/>
          <w:spacing w:val="0"/>
          <w:sz w:val="24"/>
          <w:szCs w:val="24"/>
        </w:rPr>
        <w:t>月</w:t>
      </w:r>
      <w:r>
        <w:rPr>
          <w:rFonts w:hint="default" w:ascii="Times New Roman" w:hAnsi="Times New Roman" w:cs="Times New Roman"/>
          <w:color w:val="auto"/>
          <w:spacing w:val="0"/>
          <w:sz w:val="24"/>
          <w:szCs w:val="24"/>
          <w:lang w:val="en-US" w:eastAsia="zh-CN"/>
        </w:rPr>
        <w:t>30</w:t>
      </w:r>
      <w:r>
        <w:rPr>
          <w:rFonts w:hint="default" w:ascii="Times New Roman" w:hAnsi="Times New Roman" w:eastAsia="宋体" w:cs="Times New Roman"/>
          <w:color w:val="auto"/>
          <w:spacing w:val="0"/>
          <w:sz w:val="24"/>
          <w:szCs w:val="24"/>
        </w:rPr>
        <w:t>日委托</w:t>
      </w:r>
      <w:r>
        <w:rPr>
          <w:rFonts w:hint="default" w:ascii="Times New Roman" w:hAnsi="Times New Roman" w:eastAsia="宋体" w:cs="Times New Roman"/>
          <w:color w:val="auto"/>
          <w:sz w:val="24"/>
          <w:szCs w:val="24"/>
          <w:highlight w:val="none"/>
        </w:rPr>
        <w:t>新疆</w:t>
      </w:r>
      <w:r>
        <w:rPr>
          <w:rFonts w:hint="default" w:ascii="Times New Roman" w:hAnsi="Times New Roman" w:eastAsia="宋体" w:cs="Times New Roman"/>
          <w:color w:val="auto"/>
          <w:sz w:val="24"/>
          <w:szCs w:val="24"/>
          <w:highlight w:val="none"/>
          <w:lang w:val="en-US" w:eastAsia="zh-CN"/>
        </w:rPr>
        <w:t>齐新环境服务</w:t>
      </w:r>
      <w:r>
        <w:rPr>
          <w:rFonts w:hint="default" w:ascii="Times New Roman" w:hAnsi="Times New Roman" w:eastAsia="宋体" w:cs="Times New Roman"/>
          <w:color w:val="auto"/>
          <w:sz w:val="24"/>
          <w:szCs w:val="24"/>
          <w:highlight w:val="none"/>
        </w:rPr>
        <w:t>有限公司</w:t>
      </w:r>
      <w:r>
        <w:rPr>
          <w:rFonts w:hint="default" w:ascii="Times New Roman" w:hAnsi="Times New Roman" w:eastAsia="宋体" w:cs="Times New Roman"/>
          <w:color w:val="auto"/>
          <w:spacing w:val="0"/>
          <w:sz w:val="24"/>
          <w:szCs w:val="24"/>
        </w:rPr>
        <w:t>进行性质鉴别。</w:t>
      </w:r>
    </w:p>
    <w:p w14:paraId="760201D9">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①</w:t>
      </w:r>
      <w:r>
        <w:rPr>
          <w:rFonts w:hint="eastAsia" w:ascii="Times New Roman" w:hAnsi="Times New Roman" w:cs="Times New Roman"/>
          <w:color w:val="auto"/>
          <w:spacing w:val="0"/>
          <w:sz w:val="24"/>
          <w:szCs w:val="24"/>
          <w:lang w:val="en-US" w:eastAsia="zh-CN"/>
        </w:rPr>
        <w:t>性质</w:t>
      </w:r>
      <w:r>
        <w:rPr>
          <w:rFonts w:hint="default" w:ascii="Times New Roman" w:hAnsi="Times New Roman" w:eastAsia="宋体" w:cs="Times New Roman"/>
          <w:color w:val="auto"/>
          <w:spacing w:val="0"/>
          <w:sz w:val="24"/>
          <w:szCs w:val="24"/>
        </w:rPr>
        <w:t>鉴别</w:t>
      </w:r>
    </w:p>
    <w:p w14:paraId="36C907BA">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检测项目：</w:t>
      </w:r>
      <w:r>
        <w:rPr>
          <w:rFonts w:hint="eastAsia" w:ascii="Times New Roman" w:hAnsi="Times New Roman" w:eastAsia="宋体" w:cs="Times New Roman"/>
          <w:color w:val="auto"/>
          <w:spacing w:val="0"/>
          <w:sz w:val="24"/>
          <w:szCs w:val="24"/>
          <w:lang w:val="en-US" w:eastAsia="zh-CN"/>
        </w:rPr>
        <w:t>pH、</w:t>
      </w:r>
      <w:r>
        <w:rPr>
          <w:rFonts w:hint="default" w:ascii="Times New Roman" w:hAnsi="Times New Roman" w:eastAsia="宋体" w:cs="Times New Roman"/>
          <w:color w:val="auto"/>
          <w:spacing w:val="0"/>
          <w:sz w:val="24"/>
          <w:szCs w:val="24"/>
        </w:rPr>
        <w:t>铬（六价）</w:t>
      </w:r>
      <w:r>
        <w:rPr>
          <w:rFonts w:hint="eastAsia" w:ascii="Times New Roman" w:hAnsi="Times New Roman" w:eastAsia="宋体" w:cs="Times New Roman"/>
          <w:color w:val="auto"/>
          <w:spacing w:val="0"/>
          <w:sz w:val="24"/>
          <w:szCs w:val="24"/>
          <w:lang w:eastAsia="zh-CN"/>
        </w:rPr>
        <w:t>、</w:t>
      </w:r>
      <w:r>
        <w:rPr>
          <w:rFonts w:hint="default" w:ascii="Times New Roman" w:hAnsi="Times New Roman" w:eastAsia="宋体" w:cs="Times New Roman"/>
          <w:color w:val="auto"/>
          <w:spacing w:val="0"/>
          <w:sz w:val="24"/>
          <w:szCs w:val="24"/>
        </w:rPr>
        <w:t>氟化物、铍（以总铍计）、</w:t>
      </w:r>
      <w:r>
        <w:rPr>
          <w:rFonts w:hint="default" w:ascii="Times New Roman" w:hAnsi="Times New Roman" w:eastAsia="宋体" w:cs="Times New Roman"/>
          <w:color w:val="auto"/>
          <w:spacing w:val="0"/>
          <w:sz w:val="24"/>
          <w:szCs w:val="24"/>
          <w:lang w:val="en-US" w:eastAsia="zh-CN"/>
        </w:rPr>
        <w:t>总锰</w:t>
      </w:r>
      <w:r>
        <w:rPr>
          <w:rFonts w:hint="default" w:ascii="Times New Roman" w:hAnsi="Times New Roman" w:eastAsia="宋体" w:cs="Times New Roman"/>
          <w:color w:val="auto"/>
          <w:spacing w:val="0"/>
          <w:sz w:val="24"/>
          <w:szCs w:val="24"/>
        </w:rPr>
        <w:t>、</w:t>
      </w:r>
      <w:r>
        <w:rPr>
          <w:rFonts w:hint="default" w:ascii="Times New Roman" w:hAnsi="Times New Roman" w:eastAsia="宋体" w:cs="Times New Roman"/>
          <w:color w:val="auto"/>
          <w:spacing w:val="0"/>
          <w:sz w:val="24"/>
          <w:szCs w:val="24"/>
          <w:lang w:val="en-US" w:eastAsia="zh-CN"/>
        </w:rPr>
        <w:t>总铬</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铅</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总银</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钡</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镉</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镍</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铜</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汞</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硒</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砷</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总氰化物</w:t>
      </w:r>
      <w:r>
        <w:rPr>
          <w:rFonts w:hint="eastAsia" w:ascii="Times New Roman" w:hAnsi="Times New Roman" w:eastAsia="宋体" w:cs="Times New Roman"/>
          <w:color w:val="auto"/>
          <w:spacing w:val="0"/>
          <w:sz w:val="24"/>
          <w:szCs w:val="24"/>
          <w:lang w:val="en-US" w:eastAsia="zh-CN"/>
        </w:rPr>
        <w:t>等</w:t>
      </w:r>
      <w:r>
        <w:rPr>
          <w:rFonts w:hint="default" w:ascii="Times New Roman" w:hAnsi="Times New Roman" w:eastAsia="宋体" w:cs="Times New Roman"/>
          <w:color w:val="auto"/>
          <w:spacing w:val="0"/>
          <w:sz w:val="24"/>
          <w:szCs w:val="24"/>
        </w:rPr>
        <w:t>共1</w:t>
      </w:r>
      <w:r>
        <w:rPr>
          <w:rFonts w:hint="eastAsia" w:ascii="Times New Roman" w:hAnsi="Times New Roman" w:eastAsia="宋体" w:cs="Times New Roman"/>
          <w:color w:val="auto"/>
          <w:spacing w:val="0"/>
          <w:sz w:val="24"/>
          <w:szCs w:val="24"/>
          <w:lang w:val="en-US" w:eastAsia="zh-CN"/>
        </w:rPr>
        <w:t>6</w:t>
      </w:r>
      <w:r>
        <w:rPr>
          <w:rFonts w:hint="default" w:ascii="Times New Roman" w:hAnsi="Times New Roman" w:eastAsia="宋体" w:cs="Times New Roman"/>
          <w:color w:val="auto"/>
          <w:spacing w:val="0"/>
          <w:sz w:val="24"/>
          <w:szCs w:val="24"/>
        </w:rPr>
        <w:t>项。</w:t>
      </w:r>
    </w:p>
    <w:p w14:paraId="76799243">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rPr>
        <w:t>浸出毒性鉴别试验结果见表5.6-</w:t>
      </w:r>
      <w:r>
        <w:rPr>
          <w:rFonts w:hint="default" w:ascii="Times New Roman" w:hAnsi="Times New Roman" w:eastAsia="宋体" w:cs="Times New Roman"/>
          <w:color w:val="auto"/>
          <w:spacing w:val="0"/>
          <w:sz w:val="24"/>
          <w:szCs w:val="24"/>
          <w:lang w:val="en-US" w:eastAsia="zh-CN"/>
        </w:rPr>
        <w:t>2</w:t>
      </w:r>
      <w:r>
        <w:rPr>
          <w:rFonts w:hint="default" w:ascii="Times New Roman" w:hAnsi="Times New Roman" w:eastAsia="宋体" w:cs="Times New Roman"/>
          <w:color w:val="auto"/>
          <w:spacing w:val="0"/>
          <w:sz w:val="24"/>
          <w:szCs w:val="24"/>
        </w:rPr>
        <w:t>，由检测结果可知，浸出液中各测定项目浓度均低于《危险废物鉴别标准</w:t>
      </w:r>
      <w:r>
        <w:rPr>
          <w:rFonts w:hint="eastAsia" w:ascii="Times New Roman" w:hAnsi="Times New Roman" w:cs="Times New Roman"/>
          <w:color w:val="auto"/>
          <w:spacing w:val="0"/>
          <w:sz w:val="24"/>
          <w:szCs w:val="24"/>
          <w:lang w:val="en-US" w:eastAsia="zh-CN"/>
        </w:rPr>
        <w:t xml:space="preserve"> </w:t>
      </w:r>
      <w:r>
        <w:rPr>
          <w:rFonts w:hint="default" w:ascii="Times New Roman" w:hAnsi="Times New Roman" w:eastAsia="宋体" w:cs="Times New Roman"/>
          <w:color w:val="auto"/>
          <w:spacing w:val="0"/>
          <w:sz w:val="24"/>
          <w:szCs w:val="24"/>
        </w:rPr>
        <w:t>浸出毒性鉴别》（GB5085.3-2007）中浸出毒性鉴别标准值，不属于具有浸出毒性特征的危险废物。浸出液中各测定项目浓度均未超过《污水综合排放标准》（GB8978-1996）最高允许排放浓度</w:t>
      </w:r>
      <w:r>
        <w:rPr>
          <w:rFonts w:hint="eastAsia" w:ascii="Times New Roman" w:hAnsi="Times New Roman" w:eastAsia="宋体" w:cs="Times New Roman"/>
          <w:color w:val="auto"/>
          <w:spacing w:val="0"/>
          <w:sz w:val="24"/>
          <w:szCs w:val="24"/>
          <w:lang w:eastAsia="zh-CN"/>
        </w:rPr>
        <w:t>。</w:t>
      </w:r>
      <w:r>
        <w:rPr>
          <w:rFonts w:hint="default" w:ascii="Times New Roman" w:hAnsi="Times New Roman" w:cs="Times New Roman"/>
          <w:color w:val="auto"/>
          <w:spacing w:val="0"/>
          <w:sz w:val="24"/>
          <w:szCs w:val="24"/>
          <w:highlight w:val="none"/>
          <w:lang w:val="en-US" w:eastAsia="zh-CN"/>
        </w:rPr>
        <w:t>本项目废石属于</w:t>
      </w:r>
      <w:r>
        <w:rPr>
          <w:rFonts w:hint="default" w:ascii="Times New Roman" w:hAnsi="Times New Roman" w:eastAsia="微软雅黑" w:cs="Times New Roman"/>
          <w:color w:val="auto"/>
          <w:spacing w:val="0"/>
          <w:sz w:val="24"/>
          <w:szCs w:val="24"/>
          <w:highlight w:val="none"/>
          <w:lang w:val="en-US" w:eastAsia="zh-CN"/>
        </w:rPr>
        <w:t>Ⅰ</w:t>
      </w:r>
      <w:r>
        <w:rPr>
          <w:rFonts w:hint="default" w:ascii="Times New Roman" w:hAnsi="Times New Roman" w:cs="Times New Roman"/>
          <w:color w:val="auto"/>
          <w:spacing w:val="0"/>
          <w:sz w:val="24"/>
          <w:szCs w:val="24"/>
          <w:highlight w:val="none"/>
          <w:lang w:val="en-US" w:eastAsia="zh-CN"/>
        </w:rPr>
        <w:t>类一般工业固废。</w:t>
      </w:r>
    </w:p>
    <w:p w14:paraId="69CFB7A1">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170AB13B">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34D4BFC0">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72173A82">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3DA3B7CA">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378FB013">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0A4D077F">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164AEC7C">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6E59D8BF">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4560B809">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51BF2EEC">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7B6504A0">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5C86378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5AF07E6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4CB85528">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08455531">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55E87DE0">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60DD399C">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72F6F53E">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p>
    <w:p w14:paraId="330A240E">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表5.6-</w:t>
      </w:r>
      <w:r>
        <w:rPr>
          <w:rFonts w:hint="default" w:ascii="Times New Roman" w:hAnsi="Times New Roman" w:eastAsia="宋体" w:cs="Times New Roman"/>
          <w:b/>
          <w:bCs/>
          <w:color w:val="auto"/>
          <w:spacing w:val="-2"/>
          <w:sz w:val="21"/>
          <w:szCs w:val="21"/>
          <w:lang w:val="en-US" w:eastAsia="zh-CN"/>
        </w:rPr>
        <w:t xml:space="preserve">2    </w:t>
      </w:r>
      <w:r>
        <w:rPr>
          <w:rFonts w:hint="default" w:ascii="Times New Roman" w:hAnsi="Times New Roman" w:eastAsia="宋体" w:cs="Times New Roman"/>
          <w:b/>
          <w:bCs/>
          <w:color w:val="auto"/>
          <w:spacing w:val="-2"/>
          <w:sz w:val="21"/>
          <w:szCs w:val="21"/>
        </w:rPr>
        <w:t>废石危险废物浸出毒性检测结果</w:t>
      </w:r>
    </w:p>
    <w:tbl>
      <w:tblPr>
        <w:tblStyle w:val="2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96"/>
        <w:gridCol w:w="1080"/>
        <w:gridCol w:w="975"/>
        <w:gridCol w:w="2130"/>
        <w:gridCol w:w="1875"/>
        <w:gridCol w:w="1663"/>
      </w:tblGrid>
      <w:tr w14:paraId="1465D8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noWrap w:val="0"/>
            <w:vAlign w:val="center"/>
          </w:tcPr>
          <w:p w14:paraId="0FF48C3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序号</w:t>
            </w:r>
          </w:p>
        </w:tc>
        <w:tc>
          <w:tcPr>
            <w:tcW w:w="633" w:type="pct"/>
            <w:tcBorders>
              <w:tl2br w:val="nil"/>
              <w:tr2bl w:val="nil"/>
            </w:tcBorders>
            <w:noWrap w:val="0"/>
            <w:vAlign w:val="center"/>
          </w:tcPr>
          <w:p w14:paraId="78E74812">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pacing w:val="0"/>
                <w:w w:val="100"/>
                <w:position w:val="0"/>
                <w:sz w:val="21"/>
                <w:szCs w:val="21"/>
              </w:rPr>
              <w:t>监测项目</w:t>
            </w:r>
          </w:p>
        </w:tc>
        <w:tc>
          <w:tcPr>
            <w:tcW w:w="572" w:type="pct"/>
            <w:tcBorders>
              <w:tl2br w:val="nil"/>
              <w:tr2bl w:val="nil"/>
            </w:tcBorders>
            <w:noWrap w:val="0"/>
            <w:vAlign w:val="center"/>
          </w:tcPr>
          <w:p w14:paraId="2E666EF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b/>
                <w:bCs/>
                <w:color w:val="auto"/>
                <w:spacing w:val="0"/>
                <w:w w:val="100"/>
                <w:position w:val="0"/>
                <w:sz w:val="21"/>
                <w:szCs w:val="21"/>
              </w:rPr>
              <w:t>单位</w:t>
            </w:r>
          </w:p>
        </w:tc>
        <w:tc>
          <w:tcPr>
            <w:tcW w:w="1250" w:type="pct"/>
            <w:tcBorders>
              <w:tl2br w:val="nil"/>
              <w:tr2bl w:val="nil"/>
            </w:tcBorders>
            <w:noWrap w:val="0"/>
            <w:vAlign w:val="center"/>
          </w:tcPr>
          <w:p w14:paraId="6FB83D0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bCs/>
                <w:color w:val="auto"/>
                <w:spacing w:val="0"/>
                <w:w w:val="100"/>
                <w:position w:val="0"/>
                <w:sz w:val="21"/>
                <w:szCs w:val="21"/>
              </w:rPr>
              <w:t>废石浸出毒性检测值</w:t>
            </w:r>
          </w:p>
        </w:tc>
        <w:tc>
          <w:tcPr>
            <w:tcW w:w="1100" w:type="pct"/>
            <w:tcBorders>
              <w:tl2br w:val="nil"/>
              <w:tr2bl w:val="nil"/>
            </w:tcBorders>
            <w:noWrap w:val="0"/>
            <w:vAlign w:val="center"/>
          </w:tcPr>
          <w:p w14:paraId="68371B1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sz w:val="21"/>
                <w:szCs w:val="21"/>
              </w:rPr>
              <w:t>GB5085.3-2007</w:t>
            </w:r>
          </w:p>
        </w:tc>
        <w:tc>
          <w:tcPr>
            <w:tcW w:w="976" w:type="pct"/>
            <w:tcBorders>
              <w:tl2br w:val="nil"/>
              <w:tr2bl w:val="nil"/>
            </w:tcBorders>
            <w:noWrap w:val="0"/>
            <w:vAlign w:val="center"/>
          </w:tcPr>
          <w:p w14:paraId="71369C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b/>
                <w:bCs/>
                <w:color w:val="auto"/>
                <w:spacing w:val="0"/>
                <w:w w:val="100"/>
                <w:position w:val="0"/>
                <w:sz w:val="21"/>
                <w:szCs w:val="21"/>
                <w:lang w:val="en-US"/>
              </w:rPr>
            </w:pPr>
            <w:r>
              <w:rPr>
                <w:rFonts w:hint="default" w:ascii="Times New Roman" w:hAnsi="Times New Roman" w:eastAsia="宋体" w:cs="Times New Roman"/>
                <w:b/>
                <w:bCs/>
                <w:kern w:val="0"/>
                <w:sz w:val="21"/>
                <w:szCs w:val="21"/>
                <w:lang w:val="en-US" w:eastAsia="zh-CN" w:bidi="ar"/>
              </w:rPr>
              <w:t>GB8978-1996</w:t>
            </w:r>
          </w:p>
        </w:tc>
      </w:tr>
      <w:tr w14:paraId="54DE8C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4399252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w:t>
            </w:r>
          </w:p>
        </w:tc>
        <w:tc>
          <w:tcPr>
            <w:tcW w:w="633" w:type="pct"/>
            <w:tcBorders>
              <w:tl2br w:val="nil"/>
              <w:tr2bl w:val="nil"/>
            </w:tcBorders>
            <w:shd w:val="clear" w:color="auto" w:fill="auto"/>
            <w:noWrap w:val="0"/>
            <w:vAlign w:val="center"/>
          </w:tcPr>
          <w:p w14:paraId="7F7BEEB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pH值</w:t>
            </w:r>
          </w:p>
        </w:tc>
        <w:tc>
          <w:tcPr>
            <w:tcW w:w="572" w:type="pct"/>
            <w:tcBorders>
              <w:tl2br w:val="nil"/>
              <w:tr2bl w:val="nil"/>
            </w:tcBorders>
            <w:shd w:val="clear" w:color="auto" w:fill="auto"/>
            <w:noWrap w:val="0"/>
            <w:vAlign w:val="center"/>
          </w:tcPr>
          <w:p w14:paraId="6AB41D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无量纲</w:t>
            </w:r>
          </w:p>
        </w:tc>
        <w:tc>
          <w:tcPr>
            <w:tcW w:w="1250" w:type="pct"/>
            <w:tcBorders>
              <w:tl2br w:val="nil"/>
              <w:tr2bl w:val="nil"/>
            </w:tcBorders>
            <w:shd w:val="clear" w:color="auto" w:fill="auto"/>
            <w:noWrap w:val="0"/>
            <w:vAlign w:val="center"/>
          </w:tcPr>
          <w:p w14:paraId="135DCF2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7.88</w:t>
            </w:r>
          </w:p>
        </w:tc>
        <w:tc>
          <w:tcPr>
            <w:tcW w:w="1100" w:type="pct"/>
            <w:tcBorders>
              <w:tl2br w:val="nil"/>
              <w:tr2bl w:val="nil"/>
            </w:tcBorders>
            <w:shd w:val="clear" w:color="auto" w:fill="auto"/>
            <w:noWrap w:val="0"/>
            <w:vAlign w:val="center"/>
          </w:tcPr>
          <w:p w14:paraId="7355FF7C">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noBreakHyphen/>
            </w:r>
          </w:p>
        </w:tc>
        <w:tc>
          <w:tcPr>
            <w:tcW w:w="976" w:type="pct"/>
            <w:tcBorders>
              <w:tl2br w:val="nil"/>
              <w:tr2bl w:val="nil"/>
            </w:tcBorders>
            <w:shd w:val="clear" w:color="auto" w:fill="auto"/>
            <w:noWrap w:val="0"/>
            <w:vAlign w:val="center"/>
          </w:tcPr>
          <w:p w14:paraId="29186852">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742AEF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noWrap w:val="0"/>
            <w:vAlign w:val="center"/>
          </w:tcPr>
          <w:p w14:paraId="2BDEFD2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633" w:type="pct"/>
            <w:tcBorders>
              <w:tl2br w:val="nil"/>
              <w:tr2bl w:val="nil"/>
            </w:tcBorders>
            <w:noWrap w:val="0"/>
            <w:vAlign w:val="center"/>
          </w:tcPr>
          <w:p w14:paraId="41E7016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六价铬</w:t>
            </w:r>
          </w:p>
        </w:tc>
        <w:tc>
          <w:tcPr>
            <w:tcW w:w="572" w:type="pct"/>
            <w:tcBorders>
              <w:tl2br w:val="nil"/>
              <w:tr2bl w:val="nil"/>
            </w:tcBorders>
            <w:noWrap w:val="0"/>
            <w:vAlign w:val="center"/>
          </w:tcPr>
          <w:p w14:paraId="1327AE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26FD425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＜0.004</w:t>
            </w:r>
          </w:p>
        </w:tc>
        <w:tc>
          <w:tcPr>
            <w:tcW w:w="1100" w:type="pct"/>
            <w:tcBorders>
              <w:tl2br w:val="nil"/>
              <w:tr2bl w:val="nil"/>
            </w:tcBorders>
            <w:shd w:val="clear" w:color="auto" w:fill="auto"/>
            <w:noWrap w:val="0"/>
            <w:vAlign w:val="center"/>
          </w:tcPr>
          <w:p w14:paraId="55A2C1E0">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p>
        </w:tc>
        <w:tc>
          <w:tcPr>
            <w:tcW w:w="976" w:type="pct"/>
            <w:tcBorders>
              <w:tl2br w:val="nil"/>
              <w:tr2bl w:val="nil"/>
            </w:tcBorders>
            <w:shd w:val="clear" w:color="auto" w:fill="auto"/>
            <w:noWrap w:val="0"/>
            <w:vAlign w:val="center"/>
          </w:tcPr>
          <w:p w14:paraId="2E1BA7BD">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0.5</w:t>
            </w:r>
          </w:p>
        </w:tc>
      </w:tr>
      <w:tr w14:paraId="153101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noWrap w:val="0"/>
            <w:vAlign w:val="center"/>
          </w:tcPr>
          <w:p w14:paraId="6C1AF55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633" w:type="pct"/>
            <w:tcBorders>
              <w:tl2br w:val="nil"/>
              <w:tr2bl w:val="nil"/>
            </w:tcBorders>
            <w:noWrap w:val="0"/>
            <w:vAlign w:val="center"/>
          </w:tcPr>
          <w:p w14:paraId="57C55F8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氟化物</w:t>
            </w:r>
          </w:p>
        </w:tc>
        <w:tc>
          <w:tcPr>
            <w:tcW w:w="572" w:type="pct"/>
            <w:tcBorders>
              <w:tl2br w:val="nil"/>
              <w:tr2bl w:val="nil"/>
            </w:tcBorders>
            <w:noWrap w:val="0"/>
            <w:vAlign w:val="center"/>
          </w:tcPr>
          <w:p w14:paraId="015F4AE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4D87317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0.20</w:t>
            </w:r>
          </w:p>
        </w:tc>
        <w:tc>
          <w:tcPr>
            <w:tcW w:w="1100" w:type="pct"/>
            <w:tcBorders>
              <w:tl2br w:val="nil"/>
              <w:tr2bl w:val="nil"/>
            </w:tcBorders>
            <w:shd w:val="clear" w:color="auto" w:fill="auto"/>
            <w:noWrap w:val="0"/>
            <w:vAlign w:val="center"/>
          </w:tcPr>
          <w:p w14:paraId="74E1EF53">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100</w:t>
            </w:r>
          </w:p>
        </w:tc>
        <w:tc>
          <w:tcPr>
            <w:tcW w:w="976" w:type="pct"/>
            <w:tcBorders>
              <w:tl2br w:val="nil"/>
              <w:tr2bl w:val="nil"/>
            </w:tcBorders>
            <w:shd w:val="clear" w:color="auto" w:fill="auto"/>
            <w:noWrap w:val="0"/>
            <w:vAlign w:val="center"/>
          </w:tcPr>
          <w:p w14:paraId="7A3A6B43">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10</w:t>
            </w:r>
          </w:p>
        </w:tc>
      </w:tr>
      <w:tr w14:paraId="137AC5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noWrap w:val="0"/>
            <w:vAlign w:val="center"/>
          </w:tcPr>
          <w:p w14:paraId="4129487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633" w:type="pct"/>
            <w:tcBorders>
              <w:tl2br w:val="nil"/>
              <w:tr2bl w:val="nil"/>
            </w:tcBorders>
            <w:noWrap w:val="0"/>
            <w:vAlign w:val="center"/>
          </w:tcPr>
          <w:p w14:paraId="75EB136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铍</w:t>
            </w:r>
          </w:p>
        </w:tc>
        <w:tc>
          <w:tcPr>
            <w:tcW w:w="572" w:type="pct"/>
            <w:tcBorders>
              <w:tl2br w:val="nil"/>
              <w:tr2bl w:val="nil"/>
            </w:tcBorders>
            <w:noWrap w:val="0"/>
            <w:vAlign w:val="center"/>
          </w:tcPr>
          <w:p w14:paraId="63F9DD4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2DDE953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＜0.004</w:t>
            </w:r>
          </w:p>
        </w:tc>
        <w:tc>
          <w:tcPr>
            <w:tcW w:w="1100" w:type="pct"/>
            <w:tcBorders>
              <w:tl2br w:val="nil"/>
              <w:tr2bl w:val="nil"/>
            </w:tcBorders>
            <w:shd w:val="clear" w:color="auto" w:fill="auto"/>
            <w:noWrap w:val="0"/>
            <w:vAlign w:val="center"/>
          </w:tcPr>
          <w:p w14:paraId="2CD08C7C">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0.02</w:t>
            </w:r>
          </w:p>
        </w:tc>
        <w:tc>
          <w:tcPr>
            <w:tcW w:w="976" w:type="pct"/>
            <w:tcBorders>
              <w:tl2br w:val="nil"/>
              <w:tr2bl w:val="nil"/>
            </w:tcBorders>
            <w:shd w:val="clear" w:color="auto" w:fill="auto"/>
            <w:noWrap w:val="0"/>
            <w:vAlign w:val="center"/>
          </w:tcPr>
          <w:p w14:paraId="2A1DFB85">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5FF10F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270B5E0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w:t>
            </w:r>
          </w:p>
        </w:tc>
        <w:tc>
          <w:tcPr>
            <w:tcW w:w="633" w:type="pct"/>
            <w:tcBorders>
              <w:tl2br w:val="nil"/>
              <w:tr2bl w:val="nil"/>
            </w:tcBorders>
            <w:shd w:val="clear" w:color="auto" w:fill="auto"/>
            <w:noWrap w:val="0"/>
            <w:vAlign w:val="center"/>
          </w:tcPr>
          <w:p w14:paraId="0FA888A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总锰</w:t>
            </w:r>
          </w:p>
        </w:tc>
        <w:tc>
          <w:tcPr>
            <w:tcW w:w="572" w:type="pct"/>
            <w:tcBorders>
              <w:tl2br w:val="nil"/>
              <w:tr2bl w:val="nil"/>
            </w:tcBorders>
            <w:noWrap w:val="0"/>
            <w:vAlign w:val="center"/>
          </w:tcPr>
          <w:p w14:paraId="1F667F4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45130E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1.97</w:t>
            </w:r>
          </w:p>
        </w:tc>
        <w:tc>
          <w:tcPr>
            <w:tcW w:w="1100" w:type="pct"/>
            <w:tcBorders>
              <w:tl2br w:val="nil"/>
              <w:tr2bl w:val="nil"/>
            </w:tcBorders>
            <w:shd w:val="clear" w:color="auto" w:fill="auto"/>
            <w:noWrap w:val="0"/>
            <w:vAlign w:val="center"/>
          </w:tcPr>
          <w:p w14:paraId="307AA110">
            <w:pPr>
              <w:keepNext w:val="0"/>
              <w:keepLines w:val="0"/>
              <w:pageBreakBefore w:val="0"/>
              <w:widowControl/>
              <w:suppressLineNumbers w:val="0"/>
              <w:kinsoku/>
              <w:wordWrap/>
              <w:overflowPunct/>
              <w:topLinePunct w:val="0"/>
              <w:autoSpaceDE/>
              <w:autoSpaceDN/>
              <w:bidi w:val="0"/>
              <w:adjustRightInd/>
              <w:spacing w:line="360" w:lineRule="exact"/>
              <w:ind w:left="0" w:leftChars="0"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noBreakHyphen/>
            </w:r>
          </w:p>
        </w:tc>
        <w:tc>
          <w:tcPr>
            <w:tcW w:w="976" w:type="pct"/>
            <w:tcBorders>
              <w:tl2br w:val="nil"/>
              <w:tr2bl w:val="nil"/>
            </w:tcBorders>
            <w:shd w:val="clear" w:color="auto" w:fill="auto"/>
            <w:noWrap w:val="0"/>
            <w:vAlign w:val="center"/>
          </w:tcPr>
          <w:p w14:paraId="5E98E387">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4917C4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19FA8FE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6</w:t>
            </w:r>
          </w:p>
        </w:tc>
        <w:tc>
          <w:tcPr>
            <w:tcW w:w="633" w:type="pct"/>
            <w:tcBorders>
              <w:tl2br w:val="nil"/>
              <w:tr2bl w:val="nil"/>
            </w:tcBorders>
            <w:shd w:val="clear" w:color="auto" w:fill="auto"/>
            <w:noWrap w:val="0"/>
            <w:vAlign w:val="center"/>
          </w:tcPr>
          <w:p w14:paraId="6A11B20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总铬</w:t>
            </w:r>
          </w:p>
        </w:tc>
        <w:tc>
          <w:tcPr>
            <w:tcW w:w="572" w:type="pct"/>
            <w:tcBorders>
              <w:tl2br w:val="nil"/>
              <w:tr2bl w:val="nil"/>
            </w:tcBorders>
            <w:noWrap w:val="0"/>
            <w:vAlign w:val="center"/>
          </w:tcPr>
          <w:p w14:paraId="51690C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1275A46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1.22</w:t>
            </w:r>
          </w:p>
        </w:tc>
        <w:tc>
          <w:tcPr>
            <w:tcW w:w="1100" w:type="pct"/>
            <w:tcBorders>
              <w:tl2br w:val="nil"/>
              <w:tr2bl w:val="nil"/>
            </w:tcBorders>
            <w:shd w:val="clear" w:color="auto" w:fill="auto"/>
            <w:noWrap w:val="0"/>
            <w:vAlign w:val="center"/>
          </w:tcPr>
          <w:p w14:paraId="56169183">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15</w:t>
            </w:r>
          </w:p>
        </w:tc>
        <w:tc>
          <w:tcPr>
            <w:tcW w:w="976" w:type="pct"/>
            <w:tcBorders>
              <w:tl2br w:val="nil"/>
              <w:tr2bl w:val="nil"/>
            </w:tcBorders>
            <w:shd w:val="clear" w:color="auto" w:fill="auto"/>
            <w:noWrap w:val="0"/>
            <w:vAlign w:val="center"/>
          </w:tcPr>
          <w:p w14:paraId="2266F2F4">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1.5</w:t>
            </w:r>
          </w:p>
        </w:tc>
      </w:tr>
      <w:tr w14:paraId="045035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55ABFB1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7</w:t>
            </w:r>
          </w:p>
        </w:tc>
        <w:tc>
          <w:tcPr>
            <w:tcW w:w="633" w:type="pct"/>
            <w:tcBorders>
              <w:tl2br w:val="nil"/>
              <w:tr2bl w:val="nil"/>
            </w:tcBorders>
            <w:shd w:val="clear" w:color="auto" w:fill="auto"/>
            <w:noWrap w:val="0"/>
            <w:vAlign w:val="center"/>
          </w:tcPr>
          <w:p w14:paraId="4193430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铅</w:t>
            </w:r>
          </w:p>
        </w:tc>
        <w:tc>
          <w:tcPr>
            <w:tcW w:w="572" w:type="pct"/>
            <w:tcBorders>
              <w:tl2br w:val="nil"/>
              <w:tr2bl w:val="nil"/>
            </w:tcBorders>
            <w:noWrap w:val="0"/>
            <w:vAlign w:val="center"/>
          </w:tcPr>
          <w:p w14:paraId="6E493E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25DE378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0.94</w:t>
            </w:r>
          </w:p>
        </w:tc>
        <w:tc>
          <w:tcPr>
            <w:tcW w:w="1100" w:type="pct"/>
            <w:tcBorders>
              <w:tl2br w:val="nil"/>
              <w:tr2bl w:val="nil"/>
            </w:tcBorders>
            <w:shd w:val="clear" w:color="auto" w:fill="auto"/>
            <w:noWrap w:val="0"/>
            <w:vAlign w:val="center"/>
          </w:tcPr>
          <w:p w14:paraId="3E6F0701">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p>
        </w:tc>
        <w:tc>
          <w:tcPr>
            <w:tcW w:w="976" w:type="pct"/>
            <w:tcBorders>
              <w:tl2br w:val="nil"/>
              <w:tr2bl w:val="nil"/>
            </w:tcBorders>
            <w:shd w:val="clear" w:color="auto" w:fill="auto"/>
            <w:noWrap w:val="0"/>
            <w:vAlign w:val="center"/>
          </w:tcPr>
          <w:p w14:paraId="07DB9691">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1.0</w:t>
            </w:r>
          </w:p>
        </w:tc>
      </w:tr>
      <w:tr w14:paraId="66B33F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4DDC9CF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8</w:t>
            </w:r>
          </w:p>
        </w:tc>
        <w:tc>
          <w:tcPr>
            <w:tcW w:w="633" w:type="pct"/>
            <w:tcBorders>
              <w:tl2br w:val="nil"/>
              <w:tr2bl w:val="nil"/>
            </w:tcBorders>
            <w:shd w:val="clear" w:color="auto" w:fill="auto"/>
            <w:noWrap w:val="0"/>
            <w:vAlign w:val="center"/>
          </w:tcPr>
          <w:p w14:paraId="70E94BD6">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总银</w:t>
            </w:r>
          </w:p>
        </w:tc>
        <w:tc>
          <w:tcPr>
            <w:tcW w:w="572" w:type="pct"/>
            <w:tcBorders>
              <w:tl2br w:val="nil"/>
              <w:tr2bl w:val="nil"/>
            </w:tcBorders>
            <w:noWrap w:val="0"/>
            <w:vAlign w:val="center"/>
          </w:tcPr>
          <w:p w14:paraId="08895D5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33B2DDB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＜0.01</w:t>
            </w:r>
          </w:p>
        </w:tc>
        <w:tc>
          <w:tcPr>
            <w:tcW w:w="1100" w:type="pct"/>
            <w:tcBorders>
              <w:tl2br w:val="nil"/>
              <w:tr2bl w:val="nil"/>
            </w:tcBorders>
            <w:shd w:val="clear" w:color="auto" w:fill="auto"/>
            <w:noWrap w:val="0"/>
            <w:vAlign w:val="center"/>
          </w:tcPr>
          <w:p w14:paraId="6DE03394">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p>
        </w:tc>
        <w:tc>
          <w:tcPr>
            <w:tcW w:w="976" w:type="pct"/>
            <w:tcBorders>
              <w:tl2br w:val="nil"/>
              <w:tr2bl w:val="nil"/>
            </w:tcBorders>
            <w:shd w:val="clear" w:color="auto" w:fill="auto"/>
            <w:noWrap w:val="0"/>
            <w:vAlign w:val="center"/>
          </w:tcPr>
          <w:p w14:paraId="41E55755">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7DCD3E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597EB8E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9</w:t>
            </w:r>
          </w:p>
        </w:tc>
        <w:tc>
          <w:tcPr>
            <w:tcW w:w="633" w:type="pct"/>
            <w:tcBorders>
              <w:tl2br w:val="nil"/>
              <w:tr2bl w:val="nil"/>
            </w:tcBorders>
            <w:shd w:val="clear" w:color="auto" w:fill="auto"/>
            <w:noWrap w:val="0"/>
            <w:vAlign w:val="center"/>
          </w:tcPr>
          <w:p w14:paraId="5D55B84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钡</w:t>
            </w:r>
          </w:p>
        </w:tc>
        <w:tc>
          <w:tcPr>
            <w:tcW w:w="572" w:type="pct"/>
            <w:tcBorders>
              <w:tl2br w:val="nil"/>
              <w:tr2bl w:val="nil"/>
            </w:tcBorders>
            <w:noWrap w:val="0"/>
            <w:vAlign w:val="center"/>
          </w:tcPr>
          <w:p w14:paraId="166D19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35054F4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1.64</w:t>
            </w:r>
          </w:p>
        </w:tc>
        <w:tc>
          <w:tcPr>
            <w:tcW w:w="1100" w:type="pct"/>
            <w:tcBorders>
              <w:tl2br w:val="nil"/>
              <w:tr2bl w:val="nil"/>
            </w:tcBorders>
            <w:shd w:val="clear" w:color="auto" w:fill="auto"/>
            <w:noWrap w:val="0"/>
            <w:vAlign w:val="center"/>
          </w:tcPr>
          <w:p w14:paraId="6BE2F8DF">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100</w:t>
            </w:r>
          </w:p>
        </w:tc>
        <w:tc>
          <w:tcPr>
            <w:tcW w:w="976" w:type="pct"/>
            <w:tcBorders>
              <w:tl2br w:val="nil"/>
              <w:tr2bl w:val="nil"/>
            </w:tcBorders>
            <w:shd w:val="clear" w:color="auto" w:fill="auto"/>
            <w:noWrap w:val="0"/>
            <w:vAlign w:val="center"/>
          </w:tcPr>
          <w:p w14:paraId="1A82AA8F">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4D8D91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323E89C3">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10</w:t>
            </w:r>
          </w:p>
        </w:tc>
        <w:tc>
          <w:tcPr>
            <w:tcW w:w="633" w:type="pct"/>
            <w:tcBorders>
              <w:tl2br w:val="nil"/>
              <w:tr2bl w:val="nil"/>
            </w:tcBorders>
            <w:shd w:val="clear" w:color="auto" w:fill="auto"/>
            <w:noWrap w:val="0"/>
            <w:vAlign w:val="center"/>
          </w:tcPr>
          <w:p w14:paraId="28B099F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镉</w:t>
            </w:r>
          </w:p>
        </w:tc>
        <w:tc>
          <w:tcPr>
            <w:tcW w:w="572" w:type="pct"/>
            <w:tcBorders>
              <w:tl2br w:val="nil"/>
              <w:tr2bl w:val="nil"/>
            </w:tcBorders>
            <w:noWrap w:val="0"/>
            <w:vAlign w:val="center"/>
          </w:tcPr>
          <w:p w14:paraId="4F1757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2822A6D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0.02</w:t>
            </w:r>
          </w:p>
        </w:tc>
        <w:tc>
          <w:tcPr>
            <w:tcW w:w="1100" w:type="pct"/>
            <w:tcBorders>
              <w:tl2br w:val="nil"/>
              <w:tr2bl w:val="nil"/>
            </w:tcBorders>
            <w:shd w:val="clear" w:color="auto" w:fill="auto"/>
            <w:noWrap w:val="0"/>
            <w:vAlign w:val="center"/>
          </w:tcPr>
          <w:p w14:paraId="149B2A90">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w:t>
            </w:r>
          </w:p>
        </w:tc>
        <w:tc>
          <w:tcPr>
            <w:tcW w:w="976" w:type="pct"/>
            <w:tcBorders>
              <w:tl2br w:val="nil"/>
              <w:tr2bl w:val="nil"/>
            </w:tcBorders>
            <w:shd w:val="clear" w:color="auto" w:fill="auto"/>
            <w:noWrap w:val="0"/>
            <w:vAlign w:val="center"/>
          </w:tcPr>
          <w:p w14:paraId="2D0160FB">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0.1</w:t>
            </w:r>
          </w:p>
        </w:tc>
      </w:tr>
      <w:tr w14:paraId="22969B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4B05BCF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11</w:t>
            </w:r>
          </w:p>
        </w:tc>
        <w:tc>
          <w:tcPr>
            <w:tcW w:w="633" w:type="pct"/>
            <w:tcBorders>
              <w:tl2br w:val="nil"/>
              <w:tr2bl w:val="nil"/>
            </w:tcBorders>
            <w:shd w:val="clear" w:color="auto" w:fill="auto"/>
            <w:noWrap w:val="0"/>
            <w:vAlign w:val="center"/>
          </w:tcPr>
          <w:p w14:paraId="1D7552B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镍</w:t>
            </w:r>
          </w:p>
        </w:tc>
        <w:tc>
          <w:tcPr>
            <w:tcW w:w="572" w:type="pct"/>
            <w:tcBorders>
              <w:tl2br w:val="nil"/>
              <w:tr2bl w:val="nil"/>
            </w:tcBorders>
            <w:noWrap w:val="0"/>
            <w:vAlign w:val="center"/>
          </w:tcPr>
          <w:p w14:paraId="5D5B211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3D2A192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0.30</w:t>
            </w:r>
          </w:p>
        </w:tc>
        <w:tc>
          <w:tcPr>
            <w:tcW w:w="1100" w:type="pct"/>
            <w:tcBorders>
              <w:tl2br w:val="nil"/>
              <w:tr2bl w:val="nil"/>
            </w:tcBorders>
            <w:shd w:val="clear" w:color="auto" w:fill="auto"/>
            <w:noWrap w:val="0"/>
            <w:vAlign w:val="center"/>
          </w:tcPr>
          <w:p w14:paraId="0E10B224">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p>
        </w:tc>
        <w:tc>
          <w:tcPr>
            <w:tcW w:w="976" w:type="pct"/>
            <w:tcBorders>
              <w:tl2br w:val="nil"/>
              <w:tr2bl w:val="nil"/>
            </w:tcBorders>
            <w:shd w:val="clear" w:color="auto" w:fill="auto"/>
            <w:noWrap w:val="0"/>
            <w:vAlign w:val="center"/>
          </w:tcPr>
          <w:p w14:paraId="2773FA2D">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521578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51CD95F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12</w:t>
            </w:r>
          </w:p>
        </w:tc>
        <w:tc>
          <w:tcPr>
            <w:tcW w:w="633" w:type="pct"/>
            <w:tcBorders>
              <w:tl2br w:val="nil"/>
              <w:tr2bl w:val="nil"/>
            </w:tcBorders>
            <w:shd w:val="clear" w:color="auto" w:fill="auto"/>
            <w:noWrap w:val="0"/>
            <w:vAlign w:val="center"/>
          </w:tcPr>
          <w:p w14:paraId="403E340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铜</w:t>
            </w:r>
          </w:p>
        </w:tc>
        <w:tc>
          <w:tcPr>
            <w:tcW w:w="572" w:type="pct"/>
            <w:tcBorders>
              <w:tl2br w:val="nil"/>
              <w:tr2bl w:val="nil"/>
            </w:tcBorders>
            <w:noWrap w:val="0"/>
            <w:vAlign w:val="center"/>
          </w:tcPr>
          <w:p w14:paraId="7ADFED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593FB5B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0.20</w:t>
            </w:r>
          </w:p>
        </w:tc>
        <w:tc>
          <w:tcPr>
            <w:tcW w:w="1100" w:type="pct"/>
            <w:tcBorders>
              <w:tl2br w:val="nil"/>
              <w:tr2bl w:val="nil"/>
            </w:tcBorders>
            <w:shd w:val="clear" w:color="auto" w:fill="auto"/>
            <w:noWrap w:val="0"/>
            <w:vAlign w:val="center"/>
          </w:tcPr>
          <w:p w14:paraId="0332F694">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100</w:t>
            </w:r>
          </w:p>
        </w:tc>
        <w:tc>
          <w:tcPr>
            <w:tcW w:w="976" w:type="pct"/>
            <w:tcBorders>
              <w:tl2br w:val="nil"/>
              <w:tr2bl w:val="nil"/>
            </w:tcBorders>
            <w:shd w:val="clear" w:color="auto" w:fill="auto"/>
            <w:noWrap w:val="0"/>
            <w:vAlign w:val="center"/>
          </w:tcPr>
          <w:p w14:paraId="1CFB1977">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0.5</w:t>
            </w:r>
          </w:p>
        </w:tc>
      </w:tr>
      <w:tr w14:paraId="3DBB47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6EC82D34">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13</w:t>
            </w:r>
          </w:p>
        </w:tc>
        <w:tc>
          <w:tcPr>
            <w:tcW w:w="633" w:type="pct"/>
            <w:tcBorders>
              <w:tl2br w:val="nil"/>
              <w:tr2bl w:val="nil"/>
            </w:tcBorders>
            <w:shd w:val="clear" w:color="auto" w:fill="auto"/>
            <w:noWrap w:val="0"/>
            <w:vAlign w:val="center"/>
          </w:tcPr>
          <w:p w14:paraId="74C55F9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汞</w:t>
            </w:r>
          </w:p>
        </w:tc>
        <w:tc>
          <w:tcPr>
            <w:tcW w:w="572" w:type="pct"/>
            <w:tcBorders>
              <w:tl2br w:val="nil"/>
              <w:tr2bl w:val="nil"/>
            </w:tcBorders>
            <w:noWrap w:val="0"/>
            <w:vAlign w:val="center"/>
          </w:tcPr>
          <w:p w14:paraId="5C5CB0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µg/L</w:t>
            </w:r>
          </w:p>
        </w:tc>
        <w:tc>
          <w:tcPr>
            <w:tcW w:w="1250" w:type="pct"/>
            <w:tcBorders>
              <w:tl2br w:val="nil"/>
              <w:tr2bl w:val="nil"/>
            </w:tcBorders>
            <w:noWrap w:val="0"/>
            <w:vAlign w:val="center"/>
          </w:tcPr>
          <w:p w14:paraId="3C18DAA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1.08</w:t>
            </w:r>
          </w:p>
        </w:tc>
        <w:tc>
          <w:tcPr>
            <w:tcW w:w="1100" w:type="pct"/>
            <w:tcBorders>
              <w:tl2br w:val="nil"/>
              <w:tr2bl w:val="nil"/>
            </w:tcBorders>
            <w:shd w:val="clear" w:color="auto" w:fill="auto"/>
            <w:noWrap w:val="0"/>
            <w:vAlign w:val="center"/>
          </w:tcPr>
          <w:p w14:paraId="715C767C">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0"/>
                <w:sz w:val="21"/>
                <w:szCs w:val="21"/>
                <w:lang w:val="en-US" w:eastAsia="zh-CN" w:bidi="ar"/>
              </w:rPr>
              <w:t>100</w:t>
            </w:r>
          </w:p>
        </w:tc>
        <w:tc>
          <w:tcPr>
            <w:tcW w:w="976" w:type="pct"/>
            <w:tcBorders>
              <w:tl2br w:val="nil"/>
              <w:tr2bl w:val="nil"/>
            </w:tcBorders>
            <w:shd w:val="clear" w:color="auto" w:fill="auto"/>
            <w:noWrap w:val="0"/>
            <w:vAlign w:val="center"/>
          </w:tcPr>
          <w:p w14:paraId="739F2136">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50</w:t>
            </w:r>
          </w:p>
        </w:tc>
      </w:tr>
      <w:tr w14:paraId="18D462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3D14991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14</w:t>
            </w:r>
          </w:p>
        </w:tc>
        <w:tc>
          <w:tcPr>
            <w:tcW w:w="633" w:type="pct"/>
            <w:tcBorders>
              <w:tl2br w:val="nil"/>
              <w:tr2bl w:val="nil"/>
            </w:tcBorders>
            <w:shd w:val="clear" w:color="auto" w:fill="auto"/>
            <w:noWrap w:val="0"/>
            <w:vAlign w:val="center"/>
          </w:tcPr>
          <w:p w14:paraId="4A22E65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硒</w:t>
            </w:r>
          </w:p>
        </w:tc>
        <w:tc>
          <w:tcPr>
            <w:tcW w:w="572" w:type="pct"/>
            <w:tcBorders>
              <w:tl2br w:val="nil"/>
              <w:tr2bl w:val="nil"/>
            </w:tcBorders>
            <w:noWrap w:val="0"/>
            <w:vAlign w:val="center"/>
          </w:tcPr>
          <w:p w14:paraId="0FD5A3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µg/L</w:t>
            </w:r>
          </w:p>
        </w:tc>
        <w:tc>
          <w:tcPr>
            <w:tcW w:w="1250" w:type="pct"/>
            <w:tcBorders>
              <w:tl2br w:val="nil"/>
              <w:tr2bl w:val="nil"/>
            </w:tcBorders>
            <w:noWrap w:val="0"/>
            <w:vAlign w:val="center"/>
          </w:tcPr>
          <w:p w14:paraId="3E7A4EB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3.46</w:t>
            </w:r>
          </w:p>
        </w:tc>
        <w:tc>
          <w:tcPr>
            <w:tcW w:w="1100" w:type="pct"/>
            <w:tcBorders>
              <w:tl2br w:val="nil"/>
              <w:tr2bl w:val="nil"/>
            </w:tcBorders>
            <w:shd w:val="clear" w:color="auto" w:fill="auto"/>
            <w:noWrap w:val="0"/>
            <w:vAlign w:val="center"/>
          </w:tcPr>
          <w:p w14:paraId="04DB1020">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1</w:t>
            </w:r>
            <w:r>
              <w:rPr>
                <w:rFonts w:hint="eastAsia" w:ascii="Times New Roman" w:hAnsi="Times New Roman" w:eastAsia="宋体" w:cs="Times New Roman"/>
                <w:kern w:val="0"/>
                <w:sz w:val="21"/>
                <w:szCs w:val="21"/>
                <w:lang w:val="en-US" w:eastAsia="zh-CN" w:bidi="ar"/>
              </w:rPr>
              <w:t>000</w:t>
            </w:r>
          </w:p>
        </w:tc>
        <w:tc>
          <w:tcPr>
            <w:tcW w:w="976" w:type="pct"/>
            <w:tcBorders>
              <w:tl2br w:val="nil"/>
              <w:tr2bl w:val="nil"/>
            </w:tcBorders>
            <w:shd w:val="clear" w:color="auto" w:fill="auto"/>
            <w:noWrap w:val="0"/>
            <w:vAlign w:val="center"/>
          </w:tcPr>
          <w:p w14:paraId="1F6C3701">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r w14:paraId="54E592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74214CF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15</w:t>
            </w:r>
          </w:p>
        </w:tc>
        <w:tc>
          <w:tcPr>
            <w:tcW w:w="633" w:type="pct"/>
            <w:tcBorders>
              <w:tl2br w:val="nil"/>
              <w:tr2bl w:val="nil"/>
            </w:tcBorders>
            <w:shd w:val="clear" w:color="auto" w:fill="auto"/>
            <w:noWrap w:val="0"/>
            <w:vAlign w:val="center"/>
          </w:tcPr>
          <w:p w14:paraId="33FE0407">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砷</w:t>
            </w:r>
          </w:p>
        </w:tc>
        <w:tc>
          <w:tcPr>
            <w:tcW w:w="572" w:type="pct"/>
            <w:tcBorders>
              <w:tl2br w:val="nil"/>
              <w:tr2bl w:val="nil"/>
            </w:tcBorders>
            <w:noWrap w:val="0"/>
            <w:vAlign w:val="center"/>
          </w:tcPr>
          <w:p w14:paraId="07555FC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µg/L</w:t>
            </w:r>
          </w:p>
        </w:tc>
        <w:tc>
          <w:tcPr>
            <w:tcW w:w="1250" w:type="pct"/>
            <w:tcBorders>
              <w:tl2br w:val="nil"/>
              <w:tr2bl w:val="nil"/>
            </w:tcBorders>
            <w:noWrap w:val="0"/>
            <w:vAlign w:val="center"/>
          </w:tcPr>
          <w:p w14:paraId="73B91B15">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3.40</w:t>
            </w:r>
          </w:p>
        </w:tc>
        <w:tc>
          <w:tcPr>
            <w:tcW w:w="1100" w:type="pct"/>
            <w:tcBorders>
              <w:tl2br w:val="nil"/>
              <w:tr2bl w:val="nil"/>
            </w:tcBorders>
            <w:shd w:val="clear" w:color="auto" w:fill="auto"/>
            <w:noWrap w:val="0"/>
            <w:vAlign w:val="center"/>
          </w:tcPr>
          <w:p w14:paraId="0545025A">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r>
              <w:rPr>
                <w:rFonts w:hint="eastAsia" w:ascii="Times New Roman" w:hAnsi="Times New Roman" w:eastAsia="宋体" w:cs="Times New Roman"/>
                <w:kern w:val="0"/>
                <w:sz w:val="21"/>
                <w:szCs w:val="21"/>
                <w:lang w:val="en-US" w:eastAsia="zh-CN" w:bidi="ar"/>
              </w:rPr>
              <w:t>000</w:t>
            </w:r>
          </w:p>
        </w:tc>
        <w:tc>
          <w:tcPr>
            <w:tcW w:w="976" w:type="pct"/>
            <w:tcBorders>
              <w:tl2br w:val="nil"/>
              <w:tr2bl w:val="nil"/>
            </w:tcBorders>
            <w:shd w:val="clear" w:color="auto" w:fill="auto"/>
            <w:noWrap w:val="0"/>
            <w:vAlign w:val="center"/>
          </w:tcPr>
          <w:p w14:paraId="3B923892">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500</w:t>
            </w:r>
          </w:p>
        </w:tc>
      </w:tr>
      <w:tr w14:paraId="482FEB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397" w:hRule="atLeast"/>
          <w:jc w:val="center"/>
        </w:trPr>
        <w:tc>
          <w:tcPr>
            <w:tcW w:w="467" w:type="pct"/>
            <w:tcBorders>
              <w:tl2br w:val="nil"/>
              <w:tr2bl w:val="nil"/>
            </w:tcBorders>
            <w:shd w:val="clear" w:color="auto" w:fill="auto"/>
            <w:noWrap w:val="0"/>
            <w:vAlign w:val="center"/>
          </w:tcPr>
          <w:p w14:paraId="0DC2332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16</w:t>
            </w:r>
          </w:p>
        </w:tc>
        <w:tc>
          <w:tcPr>
            <w:tcW w:w="633" w:type="pct"/>
            <w:tcBorders>
              <w:tl2br w:val="nil"/>
              <w:tr2bl w:val="nil"/>
            </w:tcBorders>
            <w:shd w:val="clear" w:color="auto" w:fill="auto"/>
            <w:noWrap w:val="0"/>
            <w:vAlign w:val="center"/>
          </w:tcPr>
          <w:p w14:paraId="44DE13AE">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总氰化物</w:t>
            </w:r>
          </w:p>
        </w:tc>
        <w:tc>
          <w:tcPr>
            <w:tcW w:w="572" w:type="pct"/>
            <w:tcBorders>
              <w:tl2br w:val="nil"/>
              <w:tr2bl w:val="nil"/>
            </w:tcBorders>
            <w:noWrap w:val="0"/>
            <w:vAlign w:val="center"/>
          </w:tcPr>
          <w:p w14:paraId="691A47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mg/L</w:t>
            </w:r>
          </w:p>
        </w:tc>
        <w:tc>
          <w:tcPr>
            <w:tcW w:w="1250" w:type="pct"/>
            <w:tcBorders>
              <w:tl2br w:val="nil"/>
              <w:tr2bl w:val="nil"/>
            </w:tcBorders>
            <w:noWrap w:val="0"/>
            <w:vAlign w:val="center"/>
          </w:tcPr>
          <w:p w14:paraId="35774D4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exact"/>
              <w:ind w:left="0" w:leftChars="0" w:right="0" w:rightChars="0" w:firstLine="0" w:firstLineChars="0"/>
              <w:jc w:val="center"/>
              <w:textAlignment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＜0.2</w:t>
            </w:r>
          </w:p>
        </w:tc>
        <w:tc>
          <w:tcPr>
            <w:tcW w:w="1100" w:type="pct"/>
            <w:tcBorders>
              <w:tl2br w:val="nil"/>
              <w:tr2bl w:val="nil"/>
            </w:tcBorders>
            <w:shd w:val="clear" w:color="auto" w:fill="auto"/>
            <w:noWrap w:val="0"/>
            <w:vAlign w:val="center"/>
          </w:tcPr>
          <w:p w14:paraId="2A7B6273">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 w:val="21"/>
                <w:szCs w:val="21"/>
                <w:lang w:val="en-US" w:eastAsia="zh-CN" w:bidi="ar"/>
              </w:rPr>
              <w:t>5</w:t>
            </w:r>
          </w:p>
        </w:tc>
        <w:tc>
          <w:tcPr>
            <w:tcW w:w="976" w:type="pct"/>
            <w:tcBorders>
              <w:tl2br w:val="nil"/>
              <w:tr2bl w:val="nil"/>
            </w:tcBorders>
            <w:shd w:val="clear" w:color="auto" w:fill="auto"/>
            <w:noWrap w:val="0"/>
            <w:vAlign w:val="center"/>
          </w:tcPr>
          <w:p w14:paraId="694CEA52">
            <w:pPr>
              <w:keepNext w:val="0"/>
              <w:keepLines w:val="0"/>
              <w:pageBreakBefore w:val="0"/>
              <w:widowControl/>
              <w:suppressLineNumbers w:val="0"/>
              <w:kinsoku/>
              <w:wordWrap/>
              <w:overflowPunct/>
              <w:topLinePunct w:val="0"/>
              <w:autoSpaceDE/>
              <w:autoSpaceDN/>
              <w:bidi w:val="0"/>
              <w:adjustRightInd/>
              <w:spacing w:line="360" w:lineRule="exact"/>
              <w:ind w:firstLine="0" w:firstLineChars="0"/>
              <w:jc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noBreakHyphen/>
            </w:r>
          </w:p>
        </w:tc>
      </w:tr>
    </w:tbl>
    <w:p w14:paraId="1F602557">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废石场影响分析</w:t>
      </w:r>
    </w:p>
    <w:p w14:paraId="04E777F2">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lang w:val="en-US" w:eastAsia="zh-CN"/>
        </w:rPr>
        <w:t>废石临时堆放于废石场，作为充填原料用于井下充填，不在地面长期堆存，对环境影响较小</w:t>
      </w:r>
      <w:r>
        <w:rPr>
          <w:rFonts w:hint="default" w:ascii="Times New Roman" w:hAnsi="Times New Roman" w:eastAsia="宋体" w:cs="Times New Roman"/>
          <w:color w:val="auto"/>
          <w:spacing w:val="0"/>
          <w:sz w:val="24"/>
          <w:szCs w:val="24"/>
          <w:highlight w:val="none"/>
        </w:rPr>
        <w:t>。</w:t>
      </w:r>
    </w:p>
    <w:p w14:paraId="7716AD7E">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3"/>
          <w:szCs w:val="24"/>
        </w:rPr>
      </w:pPr>
      <w:r>
        <w:rPr>
          <w:rFonts w:hint="default" w:ascii="Times New Roman" w:hAnsi="Times New Roman" w:eastAsia="宋体" w:cs="Times New Roman"/>
          <w:color w:val="auto"/>
          <w:lang w:val="en-US" w:eastAsia="zh-CN"/>
        </w:rPr>
        <w:fldChar w:fldCharType="begin"/>
      </w:r>
      <w:r>
        <w:rPr>
          <w:rFonts w:hint="default" w:ascii="Times New Roman" w:hAnsi="Times New Roman" w:eastAsia="宋体" w:cs="Times New Roman"/>
          <w:color w:val="auto"/>
          <w:lang w:val="en-US" w:eastAsia="zh-CN"/>
        </w:rPr>
        <w:instrText xml:space="preserve"> HYPERLINK "5.6.2.3" </w:instrText>
      </w:r>
      <w:r>
        <w:rPr>
          <w:rFonts w:hint="default" w:ascii="Times New Roman" w:hAnsi="Times New Roman" w:eastAsia="宋体" w:cs="Times New Roman"/>
          <w:color w:val="auto"/>
          <w:lang w:val="en-US" w:eastAsia="zh-CN"/>
        </w:rPr>
        <w:fldChar w:fldCharType="separate"/>
      </w:r>
      <w:r>
        <w:rPr>
          <w:rFonts w:hint="default" w:ascii="Times New Roman" w:hAnsi="Times New Roman" w:eastAsia="宋体" w:cs="Times New Roman"/>
          <w:color w:val="auto"/>
          <w:lang w:val="en-US" w:eastAsia="zh-CN"/>
        </w:rPr>
        <w:t>5.6.2.2</w:t>
      </w:r>
      <w:r>
        <w:rPr>
          <w:rFonts w:hint="default" w:ascii="Times New Roman" w:hAnsi="Times New Roman" w:eastAsia="宋体" w:cs="Times New Roman"/>
          <w:color w:val="auto"/>
          <w:lang w:val="en-US" w:eastAsia="zh-CN"/>
        </w:rPr>
        <w:fldChar w:fldCharType="end"/>
      </w:r>
      <w:r>
        <w:rPr>
          <w:rFonts w:hint="default" w:ascii="Times New Roman" w:hAnsi="Times New Roman" w:eastAsia="宋体" w:cs="Times New Roman"/>
          <w:color w:val="auto"/>
          <w:lang w:val="en-US" w:eastAsia="zh-CN"/>
        </w:rPr>
        <w:t>危险废物</w:t>
      </w:r>
    </w:p>
    <w:p w14:paraId="10BAE71A">
      <w:pPr>
        <w:keepNext w:val="0"/>
        <w:keepLines w:val="0"/>
        <w:pageBreakBefore w:val="0"/>
        <w:widowControl w:val="0"/>
        <w:kinsoku/>
        <w:wordWrap/>
        <w:overflowPunct/>
        <w:topLinePunct w:val="0"/>
        <w:autoSpaceDE/>
        <w:autoSpaceDN/>
        <w:bidi w:val="0"/>
        <w:adjustRightInd/>
        <w:snapToGrid/>
        <w:spacing w:line="480" w:lineRule="exact"/>
        <w:ind w:firstLine="480" w:firstLineChars="200"/>
        <w:contextualSpacing/>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本项目的废机油</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HW08</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900-21</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-08</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属于危险废物，</w:t>
      </w:r>
      <w:r>
        <w:rPr>
          <w:rFonts w:hint="default" w:ascii="Times New Roman" w:hAnsi="Times New Roman" w:eastAsia="宋体" w:cs="Times New Roman"/>
          <w:color w:val="auto"/>
          <w:sz w:val="24"/>
          <w:szCs w:val="24"/>
          <w:lang w:val="en-US" w:eastAsia="zh-CN"/>
        </w:rPr>
        <w:t>项目拟</w:t>
      </w:r>
      <w:r>
        <w:rPr>
          <w:rFonts w:hint="default" w:ascii="Times New Roman" w:hAnsi="Times New Roman" w:eastAsia="宋体" w:cs="Times New Roman"/>
          <w:color w:val="auto"/>
          <w:sz w:val="24"/>
          <w:szCs w:val="24"/>
        </w:rPr>
        <w:t>建</w:t>
      </w:r>
      <w:r>
        <w:rPr>
          <w:rFonts w:hint="default" w:ascii="Times New Roman" w:hAnsi="Times New Roman" w:eastAsia="宋体" w:cs="Times New Roman"/>
          <w:color w:val="auto"/>
          <w:sz w:val="24"/>
          <w:szCs w:val="24"/>
          <w:lang w:val="en-US" w:eastAsia="zh-CN"/>
        </w:rPr>
        <w:t>危废贮存库一座</w:t>
      </w:r>
      <w:r>
        <w:rPr>
          <w:rFonts w:hint="default" w:ascii="Times New Roman" w:hAnsi="Times New Roman" w:eastAsia="宋体" w:cs="Times New Roman"/>
          <w:color w:val="auto"/>
          <w:sz w:val="24"/>
          <w:szCs w:val="24"/>
          <w:highlight w:val="none"/>
        </w:rPr>
        <w:t>，占地</w:t>
      </w:r>
      <w:r>
        <w:rPr>
          <w:rFonts w:hint="default"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highlight w:val="none"/>
        </w:rPr>
        <w:t>，建筑层数为单层，结构形式为钢筋混凝土排架结构，并按照《危险废物贮存污染控制标准》（GB18597-20</w:t>
      </w:r>
      <w:r>
        <w:rPr>
          <w:rFonts w:hint="default" w:ascii="Times New Roman" w:hAnsi="Times New Roman" w:eastAsia="宋体"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rPr>
        <w:t>）等要求进行规范化建设。</w:t>
      </w:r>
      <w:r>
        <w:rPr>
          <w:rFonts w:hint="default" w:ascii="Times New Roman" w:hAnsi="Times New Roman" w:eastAsia="宋体" w:cs="Times New Roman"/>
          <w:color w:val="auto"/>
          <w:sz w:val="24"/>
          <w:highlight w:val="none"/>
        </w:rPr>
        <w:t>危险废物临时贮存场所采用高密度聚乙烯防渗处理，确保其饱和渗透系数＜1.0×10</w:t>
      </w:r>
      <w:r>
        <w:rPr>
          <w:rFonts w:hint="default" w:ascii="Times New Roman" w:hAnsi="Times New Roman" w:eastAsia="宋体" w:cs="Times New Roman"/>
          <w:color w:val="auto"/>
          <w:sz w:val="24"/>
          <w:highlight w:val="none"/>
          <w:vertAlign w:val="superscript"/>
          <w:lang w:val="en-US" w:eastAsia="zh-CN"/>
        </w:rPr>
        <w:t>-10</w:t>
      </w:r>
      <w:r>
        <w:rPr>
          <w:rFonts w:hint="default" w:ascii="Times New Roman" w:hAnsi="Times New Roman" w:eastAsia="宋体" w:cs="Times New Roman"/>
          <w:color w:val="auto"/>
          <w:sz w:val="24"/>
          <w:highlight w:val="none"/>
        </w:rPr>
        <w:t>cm/s，全密封式，避免二次污染影响环境；地面与裙角要用坚固、防渗的材料制造，建筑材料必须与危险废物兼容；设施内要有安全照明设施和观察窗口；危险废物临时存放场所分区存放，禁止将不相容的危险废物在同一容器内混装；装载液体、半固体危险废物容器内必须留有足够空间，容器顶部与液体表面保留100mm以上的空间；装载危险废物的容器上必须粘贴符合《危险废物识别标志设置技术规范》（HJ1276-2022）所示的标签；危险废物临时存放场所要做好防风、防雨、防晒工作。</w:t>
      </w:r>
    </w:p>
    <w:p w14:paraId="5C626F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危险废弃物在</w:t>
      </w:r>
      <w:r>
        <w:rPr>
          <w:rFonts w:hint="default" w:ascii="Times New Roman" w:hAnsi="Times New Roman" w:eastAsia="宋体" w:cs="Times New Roman"/>
          <w:color w:val="auto"/>
          <w:kern w:val="0"/>
          <w:sz w:val="24"/>
          <w:szCs w:val="24"/>
          <w:lang w:val="en-US" w:eastAsia="zh-CN"/>
        </w:rPr>
        <w:t>危废贮存库</w:t>
      </w:r>
      <w:r>
        <w:rPr>
          <w:rFonts w:hint="default" w:ascii="Times New Roman" w:hAnsi="Times New Roman" w:eastAsia="宋体" w:cs="Times New Roman"/>
          <w:color w:val="auto"/>
          <w:kern w:val="0"/>
          <w:sz w:val="24"/>
          <w:szCs w:val="24"/>
        </w:rPr>
        <w:t>内暂存，委托</w:t>
      </w:r>
      <w:r>
        <w:rPr>
          <w:rFonts w:hint="default" w:ascii="Times New Roman" w:hAnsi="Times New Roman" w:eastAsia="宋体" w:cs="Times New Roman"/>
          <w:color w:val="auto"/>
          <w:kern w:val="0"/>
          <w:sz w:val="24"/>
          <w:szCs w:val="24"/>
          <w:lang w:val="en-US" w:eastAsia="zh-CN"/>
        </w:rPr>
        <w:t>具有相关危废处置资质的单位进行处置</w:t>
      </w:r>
      <w:r>
        <w:rPr>
          <w:rFonts w:hint="default" w:ascii="Times New Roman" w:hAnsi="Times New Roman" w:eastAsia="宋体" w:cs="Times New Roman"/>
          <w:color w:val="auto"/>
          <w:kern w:val="0"/>
          <w:sz w:val="24"/>
          <w:szCs w:val="24"/>
        </w:rPr>
        <w:t>，做到不随意排放。</w:t>
      </w:r>
    </w:p>
    <w:p w14:paraId="2779501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rPr>
        <w:t>经过以上措施，本项目运营期间产生的固体废物可以做到有效再利用及安全处置，在加强管理的情况下，固体废物对环境产生影响较</w:t>
      </w:r>
      <w:r>
        <w:rPr>
          <w:rFonts w:hint="eastAsia" w:ascii="Times New Roman" w:hAnsi="Times New Roman" w:cs="Times New Roman"/>
          <w:color w:val="auto"/>
          <w:kern w:val="0"/>
          <w:sz w:val="24"/>
          <w:szCs w:val="24"/>
          <w:lang w:eastAsia="zh-CN"/>
        </w:rPr>
        <w:t>小</w:t>
      </w:r>
      <w:r>
        <w:rPr>
          <w:rFonts w:hint="default" w:ascii="Times New Roman" w:hAnsi="Times New Roman" w:eastAsia="宋体" w:cs="Times New Roman"/>
          <w:color w:val="auto"/>
          <w:kern w:val="0"/>
          <w:sz w:val="24"/>
          <w:szCs w:val="24"/>
        </w:rPr>
        <w:t>。</w:t>
      </w:r>
    </w:p>
    <w:p w14:paraId="221EFE5F">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3"/>
          <w:szCs w:val="24"/>
          <w:lang w:val="en-US"/>
        </w:rPr>
      </w:pPr>
      <w:r>
        <w:rPr>
          <w:rFonts w:hint="default" w:ascii="Times New Roman" w:hAnsi="Times New Roman" w:eastAsia="宋体" w:cs="Times New Roman"/>
          <w:color w:val="auto"/>
          <w:lang w:val="en-US" w:eastAsia="zh-CN"/>
        </w:rPr>
        <w:fldChar w:fldCharType="begin"/>
      </w:r>
      <w:r>
        <w:rPr>
          <w:rFonts w:hint="default" w:ascii="Times New Roman" w:hAnsi="Times New Roman" w:eastAsia="宋体" w:cs="Times New Roman"/>
          <w:color w:val="auto"/>
          <w:lang w:val="en-US" w:eastAsia="zh-CN"/>
        </w:rPr>
        <w:instrText xml:space="preserve"> HYPERLINK "5.6.2.3" </w:instrText>
      </w:r>
      <w:r>
        <w:rPr>
          <w:rFonts w:hint="default" w:ascii="Times New Roman" w:hAnsi="Times New Roman" w:eastAsia="宋体" w:cs="Times New Roman"/>
          <w:color w:val="auto"/>
          <w:lang w:val="en-US" w:eastAsia="zh-CN"/>
        </w:rPr>
        <w:fldChar w:fldCharType="separate"/>
      </w:r>
      <w:r>
        <w:rPr>
          <w:rFonts w:hint="default" w:ascii="Times New Roman" w:hAnsi="Times New Roman" w:eastAsia="宋体" w:cs="Times New Roman"/>
          <w:color w:val="auto"/>
          <w:lang w:val="en-US" w:eastAsia="zh-CN"/>
        </w:rPr>
        <w:t>5.6.2.3</w:t>
      </w:r>
      <w:r>
        <w:rPr>
          <w:rFonts w:hint="default" w:ascii="Times New Roman" w:hAnsi="Times New Roman" w:eastAsia="宋体" w:cs="Times New Roman"/>
          <w:color w:val="auto"/>
          <w:lang w:val="en-US" w:eastAsia="zh-CN"/>
        </w:rPr>
        <w:fldChar w:fldCharType="end"/>
      </w:r>
      <w:r>
        <w:rPr>
          <w:rFonts w:hint="default" w:ascii="Times New Roman" w:hAnsi="Times New Roman" w:eastAsia="宋体" w:cs="Times New Roman"/>
          <w:color w:val="auto"/>
          <w:lang w:val="en-US" w:eastAsia="zh-CN"/>
        </w:rPr>
        <w:t>一般固废</w:t>
      </w:r>
    </w:p>
    <w:p w14:paraId="027925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default" w:ascii="Times New Roman" w:hAnsi="Times New Roman" w:cs="Times New Roman"/>
          <w:color w:val="auto"/>
          <w:kern w:val="0"/>
          <w:sz w:val="24"/>
          <w:szCs w:val="24"/>
          <w:lang w:val="en-US" w:eastAsia="zh-CN"/>
        </w:rPr>
        <w:t>破碎</w:t>
      </w:r>
      <w:r>
        <w:rPr>
          <w:rFonts w:hint="default" w:ascii="Times New Roman" w:hAnsi="Times New Roman" w:eastAsia="宋体" w:cs="Times New Roman"/>
          <w:color w:val="auto"/>
          <w:kern w:val="0"/>
          <w:sz w:val="24"/>
          <w:szCs w:val="24"/>
          <w:lang w:val="en-US" w:eastAsia="zh-CN"/>
        </w:rPr>
        <w:t>车间粉尘经</w:t>
      </w:r>
      <w:r>
        <w:rPr>
          <w:rFonts w:hint="default" w:ascii="Times New Roman" w:hAnsi="Times New Roman" w:eastAsia="宋体" w:cs="Times New Roman"/>
          <w:color w:val="auto"/>
          <w:kern w:val="0"/>
          <w:sz w:val="24"/>
          <w:szCs w:val="24"/>
        </w:rPr>
        <w:t>脉冲袋式除尘器</w:t>
      </w:r>
      <w:r>
        <w:rPr>
          <w:rFonts w:hint="default" w:ascii="Times New Roman" w:hAnsi="Times New Roman" w:eastAsia="宋体" w:cs="Times New Roman"/>
          <w:color w:val="auto"/>
          <w:kern w:val="0"/>
          <w:sz w:val="24"/>
          <w:szCs w:val="24"/>
          <w:lang w:val="en-US" w:eastAsia="zh-CN"/>
        </w:rPr>
        <w:t>处理后排放，除尘灰产生量为</w:t>
      </w:r>
      <w:r>
        <w:rPr>
          <w:rFonts w:hint="default" w:ascii="Times New Roman" w:hAnsi="Times New Roman" w:cs="Times New Roman"/>
          <w:color w:val="auto"/>
          <w:kern w:val="0"/>
          <w:sz w:val="24"/>
          <w:szCs w:val="24"/>
          <w:lang w:val="en-US" w:eastAsia="zh-CN"/>
        </w:rPr>
        <w:t>5.28</w:t>
      </w:r>
      <w:r>
        <w:rPr>
          <w:rFonts w:hint="default" w:ascii="Times New Roman" w:hAnsi="Times New Roman" w:eastAsia="宋体" w:cs="Times New Roman"/>
          <w:color w:val="auto"/>
          <w:kern w:val="0"/>
          <w:sz w:val="24"/>
          <w:szCs w:val="24"/>
          <w:lang w:val="en-US" w:eastAsia="zh-CN"/>
        </w:rPr>
        <w:t>t/a。除尘灰经收集后</w:t>
      </w:r>
      <w:r>
        <w:rPr>
          <w:rFonts w:hint="default" w:ascii="Times New Roman" w:hAnsi="Times New Roman" w:cs="Times New Roman"/>
          <w:color w:val="auto"/>
          <w:kern w:val="0"/>
          <w:sz w:val="24"/>
          <w:szCs w:val="24"/>
          <w:lang w:val="en-US" w:eastAsia="zh-CN"/>
        </w:rPr>
        <w:t>用于充填工艺</w:t>
      </w:r>
      <w:r>
        <w:rPr>
          <w:rFonts w:hint="default" w:ascii="Times New Roman" w:hAnsi="Times New Roman" w:eastAsia="宋体" w:cs="Times New Roman"/>
          <w:color w:val="auto"/>
          <w:kern w:val="0"/>
          <w:sz w:val="24"/>
          <w:szCs w:val="24"/>
          <w:lang w:val="en-US" w:eastAsia="zh-CN"/>
        </w:rPr>
        <w:t>。</w:t>
      </w:r>
    </w:p>
    <w:p w14:paraId="45BF1BD8">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"5.6.2.4"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t>5.6.2.4</w:t>
      </w:r>
      <w:r>
        <w:rPr>
          <w:rFonts w:hint="default" w:ascii="Times New Roman" w:hAnsi="Times New Roman" w:eastAsia="宋体" w:cs="Times New Roman"/>
          <w:color w:val="auto"/>
        </w:rPr>
        <w:fldChar w:fldCharType="end"/>
      </w:r>
      <w:r>
        <w:rPr>
          <w:rFonts w:hint="default" w:ascii="Times New Roman" w:hAnsi="Times New Roman" w:eastAsia="宋体" w:cs="Times New Roman"/>
          <w:color w:val="auto"/>
        </w:rPr>
        <w:t>生活垃圾</w:t>
      </w:r>
    </w:p>
    <w:p w14:paraId="7582E0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生活垃圾主要来自办公生活区和职工食堂等，生活垃圾产生量约24.5t/a。拟建工程设置有生活垃圾收集设施，由专职环卫人员每天清理、</w:t>
      </w:r>
      <w:r>
        <w:rPr>
          <w:rFonts w:hint="eastAsia" w:ascii="Times New Roman" w:hAnsi="Times New Roman" w:cs="Times New Roman"/>
          <w:color w:val="auto"/>
          <w:kern w:val="0"/>
          <w:sz w:val="24"/>
          <w:szCs w:val="24"/>
          <w:lang w:val="en-US" w:eastAsia="zh-CN"/>
        </w:rPr>
        <w:t>分拣</w:t>
      </w:r>
      <w:r>
        <w:rPr>
          <w:rFonts w:hint="default" w:ascii="Times New Roman" w:hAnsi="Times New Roman" w:eastAsia="宋体" w:cs="Times New Roman"/>
          <w:color w:val="auto"/>
          <w:kern w:val="0"/>
          <w:sz w:val="24"/>
          <w:szCs w:val="24"/>
          <w:lang w:val="en-US" w:eastAsia="zh-CN"/>
        </w:rPr>
        <w:t>处理，不可回收的生活垃圾以协议委托的方式交由哈密市星星峡镇生活垃圾填埋场集中进行处置，不会对环境产生明显的不利影响。</w:t>
      </w:r>
    </w:p>
    <w:p w14:paraId="1FCC7C1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kern w:val="0"/>
          <w:sz w:val="24"/>
          <w:szCs w:val="24"/>
          <w:lang w:val="en-US" w:eastAsia="zh-CN"/>
        </w:rPr>
        <w:t>经过以上措施，本项目运营期间产生的固体废物可以做到有效再利用及安全处置，在加强管理的情况下，固体废物对环境产生影响较</w:t>
      </w:r>
      <w:r>
        <w:rPr>
          <w:rFonts w:hint="eastAsia" w:ascii="Times New Roman" w:hAnsi="Times New Roman" w:cs="Times New Roman"/>
          <w:color w:val="auto"/>
          <w:kern w:val="0"/>
          <w:sz w:val="24"/>
          <w:szCs w:val="24"/>
          <w:lang w:val="en-US" w:eastAsia="zh-CN"/>
        </w:rPr>
        <w:t>小</w:t>
      </w:r>
      <w:r>
        <w:rPr>
          <w:rFonts w:hint="default" w:ascii="Times New Roman" w:hAnsi="Times New Roman" w:eastAsia="宋体" w:cs="Times New Roman"/>
          <w:color w:val="auto"/>
          <w:kern w:val="0"/>
          <w:sz w:val="24"/>
          <w:szCs w:val="24"/>
          <w:lang w:val="en-US" w:eastAsia="zh-CN"/>
        </w:rPr>
        <w:t>。</w:t>
      </w:r>
    </w:p>
    <w:p w14:paraId="77E4E3B8">
      <w:pPr>
        <w:pStyle w:val="3"/>
        <w:bidi w:val="0"/>
        <w:rPr>
          <w:rFonts w:hint="default" w:ascii="Times New Roman" w:hAnsi="Times New Roman" w:cs="Times New Roman"/>
          <w:color w:val="auto"/>
          <w:lang w:val="en-US" w:eastAsia="zh-CN"/>
        </w:rPr>
      </w:pPr>
      <w:bookmarkStart w:id="625" w:name="_Toc29703"/>
      <w:bookmarkStart w:id="626" w:name="_Toc24699"/>
      <w:r>
        <w:rPr>
          <w:rFonts w:hint="default" w:ascii="Times New Roman" w:hAnsi="Times New Roman" w:cs="Times New Roman"/>
          <w:color w:val="auto"/>
          <w:lang w:val="en-US" w:eastAsia="zh-CN"/>
        </w:rPr>
        <w:t>土壤环境影响评价</w:t>
      </w:r>
      <w:bookmarkEnd w:id="625"/>
      <w:bookmarkEnd w:id="626"/>
    </w:p>
    <w:p w14:paraId="2B45952E">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土壤环境的影响识别</w:t>
      </w:r>
    </w:p>
    <w:p w14:paraId="08305FEB">
      <w:pPr>
        <w:pStyle w:val="58"/>
        <w:keepNext w:val="0"/>
        <w:keepLines w:val="0"/>
        <w:pageBreakBefore w:val="0"/>
        <w:widowControl w:val="0"/>
        <w:numPr>
          <w:ilvl w:val="0"/>
          <w:numId w:val="0"/>
        </w:numPr>
        <w:tabs>
          <w:tab w:val="left" w:pos="1388"/>
        </w:tabs>
        <w:kinsoku/>
        <w:wordWrap/>
        <w:overflowPunct/>
        <w:topLinePunct w:val="0"/>
        <w:autoSpaceDE/>
        <w:autoSpaceDN/>
        <w:bidi w:val="0"/>
        <w:adjustRightInd/>
        <w:snapToGrid/>
        <w:spacing w:after="0" w:line="480" w:lineRule="exact"/>
        <w:ind w:left="0" w:leftChars="0" w:right="0" w:rightChars="0" w:firstLine="480" w:firstLineChars="200"/>
        <w:jc w:val="both"/>
        <w:textAlignment w:val="auto"/>
        <w:rPr>
          <w:rFonts w:hint="default" w:ascii="Times New Roman" w:hAnsi="Times New Roman" w:eastAsia="宋体" w:cs="Times New Roman"/>
          <w:b w:val="0"/>
          <w:bCs/>
          <w:color w:val="auto"/>
          <w:w w:val="100"/>
          <w:kern w:val="0"/>
          <w:sz w:val="24"/>
        </w:rPr>
      </w:pPr>
      <w:r>
        <w:rPr>
          <w:rFonts w:hint="default" w:ascii="Times New Roman" w:hAnsi="Times New Roman" w:eastAsia="宋体" w:cs="Times New Roman"/>
          <w:b w:val="0"/>
          <w:bCs/>
          <w:color w:val="auto"/>
          <w:w w:val="100"/>
          <w:kern w:val="0"/>
          <w:sz w:val="24"/>
          <w:lang w:eastAsia="zh-CN"/>
        </w:rPr>
        <w:t>（1）</w:t>
      </w:r>
      <w:r>
        <w:rPr>
          <w:rFonts w:hint="default" w:ascii="Times New Roman" w:hAnsi="Times New Roman" w:eastAsia="宋体" w:cs="Times New Roman"/>
          <w:b w:val="0"/>
          <w:bCs/>
          <w:color w:val="auto"/>
          <w:w w:val="100"/>
          <w:kern w:val="0"/>
          <w:sz w:val="24"/>
        </w:rPr>
        <w:t>建设项目所属行业识别</w:t>
      </w:r>
    </w:p>
    <w:p w14:paraId="7AA7F14E">
      <w:pPr>
        <w:pStyle w:val="9"/>
        <w:keepNext w:val="0"/>
        <w:keepLines w:val="0"/>
        <w:pageBreakBefore w:val="0"/>
        <w:widowControl w:val="0"/>
        <w:kinsoku/>
        <w:wordWrap/>
        <w:overflowPunct/>
        <w:topLinePunct w:val="0"/>
        <w:autoSpaceDE/>
        <w:autoSpaceDN/>
        <w:bidi w:val="0"/>
        <w:adjustRightInd/>
        <w:snapToGrid/>
        <w:spacing w:after="0" w:line="480" w:lineRule="exact"/>
        <w:ind w:lef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本工程为</w:t>
      </w:r>
      <w:r>
        <w:rPr>
          <w:rFonts w:hint="default" w:ascii="Times New Roman" w:hAnsi="Times New Roman" w:eastAsia="宋体" w:cs="Times New Roman"/>
          <w:color w:val="auto"/>
          <w:sz w:val="24"/>
          <w:szCs w:val="24"/>
          <w:highlight w:val="none"/>
          <w:lang w:val="en-US" w:eastAsia="zh-CN"/>
        </w:rPr>
        <w:t>铜矿采矿项目</w:t>
      </w:r>
      <w:r>
        <w:rPr>
          <w:rFonts w:hint="default" w:ascii="Times New Roman" w:hAnsi="Times New Roman" w:eastAsia="宋体" w:cs="Times New Roman"/>
          <w:color w:val="auto"/>
          <w:sz w:val="24"/>
          <w:szCs w:val="24"/>
          <w:highlight w:val="none"/>
          <w:lang w:eastAsia="zh-CN"/>
        </w:rPr>
        <w:t>，根据《环境影响评价技术导则 土壤环境（试行）》（HJ 964-2018）附录A，为I类项目。</w:t>
      </w:r>
    </w:p>
    <w:p w14:paraId="1648CB70">
      <w:pPr>
        <w:pStyle w:val="58"/>
        <w:keepNext w:val="0"/>
        <w:keepLines w:val="0"/>
        <w:pageBreakBefore w:val="0"/>
        <w:widowControl w:val="0"/>
        <w:numPr>
          <w:ilvl w:val="0"/>
          <w:numId w:val="0"/>
        </w:numPr>
        <w:tabs>
          <w:tab w:val="left" w:pos="1388"/>
        </w:tabs>
        <w:kinsoku/>
        <w:wordWrap/>
        <w:overflowPunct/>
        <w:topLinePunct w:val="0"/>
        <w:autoSpaceDE/>
        <w:autoSpaceDN/>
        <w:bidi w:val="0"/>
        <w:adjustRightInd/>
        <w:snapToGrid/>
        <w:spacing w:after="0" w:line="480" w:lineRule="exact"/>
        <w:ind w:left="0" w:leftChars="0" w:right="0" w:rightChars="0" w:firstLine="480" w:firstLineChars="200"/>
        <w:jc w:val="both"/>
        <w:textAlignment w:val="auto"/>
        <w:rPr>
          <w:rFonts w:hint="default" w:ascii="Times New Roman" w:hAnsi="Times New Roman" w:eastAsia="宋体" w:cs="Times New Roman"/>
          <w:b w:val="0"/>
          <w:bCs/>
          <w:color w:val="auto"/>
          <w:w w:val="100"/>
          <w:kern w:val="0"/>
          <w:sz w:val="24"/>
          <w:lang w:val="en-US" w:eastAsia="zh-CN"/>
        </w:rPr>
      </w:pPr>
      <w:bookmarkStart w:id="627" w:name="5.2.5.1.2土壤环境影响类型、影响途径、影响源与影响因子识别"/>
      <w:bookmarkEnd w:id="627"/>
      <w:bookmarkStart w:id="628" w:name="5.2.5.1.2土壤环境影响类型、影响途径、影响源与影响因子识别"/>
      <w:bookmarkEnd w:id="628"/>
      <w:r>
        <w:rPr>
          <w:rFonts w:hint="default" w:ascii="Times New Roman" w:hAnsi="Times New Roman" w:eastAsia="宋体" w:cs="Times New Roman"/>
          <w:b w:val="0"/>
          <w:bCs/>
          <w:color w:val="auto"/>
          <w:w w:val="100"/>
          <w:kern w:val="0"/>
          <w:sz w:val="24"/>
          <w:lang w:eastAsia="zh-CN"/>
        </w:rPr>
        <w:t>（2）</w:t>
      </w:r>
      <w:r>
        <w:rPr>
          <w:rFonts w:hint="default" w:ascii="Times New Roman" w:hAnsi="Times New Roman" w:eastAsia="宋体" w:cs="Times New Roman"/>
          <w:b w:val="0"/>
          <w:bCs/>
          <w:color w:val="auto"/>
          <w:w w:val="100"/>
          <w:kern w:val="0"/>
          <w:sz w:val="24"/>
          <w:lang w:val="en-US" w:eastAsia="zh-CN"/>
        </w:rPr>
        <w:t>土壤环境影响类型、影响途径、影响源与影响因子识别</w:t>
      </w:r>
    </w:p>
    <w:p w14:paraId="1F8F780C">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通过对项目工程分析，根据《环境影响评价技术导则</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土壤环境（试行）》（HJ 964-2018）附录B表B.1，为生态影响型、</w:t>
      </w:r>
      <w:r>
        <w:rPr>
          <w:rFonts w:hint="default" w:ascii="Times New Roman" w:hAnsi="Times New Roman" w:eastAsia="宋体" w:cs="Times New Roman"/>
          <w:color w:val="auto"/>
          <w:sz w:val="24"/>
          <w:szCs w:val="24"/>
          <w:highlight w:val="none"/>
          <w:lang w:val="en-US" w:eastAsia="zh-CN"/>
        </w:rPr>
        <w:t>污染影响型兼有项目</w:t>
      </w:r>
      <w:r>
        <w:rPr>
          <w:rFonts w:hint="default" w:ascii="Times New Roman" w:hAnsi="Times New Roman" w:eastAsia="宋体" w:cs="Times New Roman"/>
          <w:color w:val="auto"/>
          <w:sz w:val="24"/>
          <w:szCs w:val="24"/>
          <w:highlight w:val="none"/>
          <w:lang w:eastAsia="zh-CN"/>
        </w:rPr>
        <w:t>。</w:t>
      </w:r>
    </w:p>
    <w:p w14:paraId="71834B5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根据工程组成，可分为建设期、运营期两个阶段对土壤的环境影响。</w:t>
      </w:r>
    </w:p>
    <w:p w14:paraId="7C491F7A">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①废气沉降对土壤的影响</w:t>
      </w:r>
    </w:p>
    <w:p w14:paraId="46DBE552">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施工期环境影响识别主要针对施工过程中施工机械在使用过程中，施工人员在施工生活过程中，固体废物在临时储存过程中对土壤产生的影响等。</w:t>
      </w:r>
    </w:p>
    <w:p w14:paraId="03C001C1">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采场粉尘、道路运输扬尘</w:t>
      </w:r>
      <w:r>
        <w:rPr>
          <w:rFonts w:hint="default" w:ascii="Times New Roman" w:hAnsi="Times New Roman"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lang w:eastAsia="zh-CN"/>
        </w:rPr>
        <w:t>会进入环境空气，通过自然沉降和雨水进入土壤，会对周边土壤产生一定的累积影响。</w:t>
      </w:r>
    </w:p>
    <w:p w14:paraId="5BEB6D3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lang w:eastAsia="zh-CN"/>
        </w:rPr>
        <w:t>废水下渗对土壤的影响</w:t>
      </w:r>
    </w:p>
    <w:p w14:paraId="7B937745">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主要废水污染源为井下涌水、生活污水等。项目采用“清污分流”，正常运营期各种生产废水分别收集处理后全部回用，生活污水经处理后回用于生产，废水不会下渗进入厂区及周边土壤环境，进而对其造成不利的影响。</w:t>
      </w:r>
    </w:p>
    <w:p w14:paraId="2CD044A0">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因此，</w:t>
      </w:r>
      <w:r>
        <w:rPr>
          <w:rFonts w:hint="eastAsia" w:ascii="Times New Roman" w:hAnsi="Times New Roman" w:cs="Times New Roman"/>
          <w:color w:val="auto"/>
          <w:sz w:val="24"/>
          <w:szCs w:val="24"/>
          <w:highlight w:val="none"/>
          <w:lang w:eastAsia="zh-CN"/>
        </w:rPr>
        <w:t>正常</w:t>
      </w:r>
      <w:r>
        <w:rPr>
          <w:rFonts w:hint="default" w:ascii="Times New Roman" w:hAnsi="Times New Roman" w:eastAsia="宋体" w:cs="Times New Roman"/>
          <w:color w:val="auto"/>
          <w:sz w:val="24"/>
          <w:szCs w:val="24"/>
          <w:highlight w:val="none"/>
          <w:lang w:eastAsia="zh-CN"/>
        </w:rPr>
        <w:t>工况下，拟建工程污染土壤的途径为含重金属粉尘进入环境空气，通过自然沉降和雨水进入土壤。</w:t>
      </w:r>
    </w:p>
    <w:p w14:paraId="3F366B68">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生态影响型</w:t>
      </w:r>
    </w:p>
    <w:p w14:paraId="3FDF19F3">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本工程采矿过程中不使用酸碱试剂，不会导致土壤酸化、碱化，但掘进过程中，地下水水位的变化会导致土壤盐化。</w:t>
      </w:r>
    </w:p>
    <w:p w14:paraId="025810B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本工程对土壤的影响类型和途径及影响因子见表</w:t>
      </w:r>
      <w:r>
        <w:rPr>
          <w:rFonts w:hint="default" w:ascii="Times New Roman" w:hAnsi="Times New Roman" w:eastAsia="宋体" w:cs="Times New Roman"/>
          <w:color w:val="auto"/>
          <w:sz w:val="24"/>
          <w:szCs w:val="24"/>
          <w:highlight w:val="none"/>
          <w:lang w:val="en-US" w:eastAsia="zh-CN"/>
        </w:rPr>
        <w:t>5.7-1</w:t>
      </w:r>
      <w:r>
        <w:rPr>
          <w:rFonts w:hint="default" w:ascii="Times New Roman" w:hAnsi="Times New Roman" w:eastAsia="宋体" w:cs="Times New Roman"/>
          <w:color w:val="auto"/>
          <w:sz w:val="24"/>
          <w:szCs w:val="24"/>
          <w:highlight w:val="none"/>
          <w:lang w:eastAsia="zh-CN"/>
        </w:rPr>
        <w:t>至5.</w:t>
      </w:r>
      <w:r>
        <w:rPr>
          <w:rFonts w:hint="default" w:ascii="Times New Roman" w:hAnsi="Times New Roman" w:eastAsia="宋体" w:cs="Times New Roman"/>
          <w:color w:val="auto"/>
          <w:sz w:val="24"/>
          <w:szCs w:val="24"/>
          <w:highlight w:val="none"/>
          <w:lang w:val="en-US" w:eastAsia="zh-CN"/>
        </w:rPr>
        <w:t>7-3</w:t>
      </w:r>
      <w:r>
        <w:rPr>
          <w:rFonts w:hint="default" w:ascii="Times New Roman" w:hAnsi="Times New Roman" w:eastAsia="宋体" w:cs="Times New Roman"/>
          <w:color w:val="auto"/>
          <w:sz w:val="24"/>
          <w:szCs w:val="24"/>
          <w:highlight w:val="none"/>
          <w:lang w:eastAsia="zh-CN"/>
        </w:rPr>
        <w:t>。</w:t>
      </w:r>
    </w:p>
    <w:p w14:paraId="688D4403">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5.7-1    </w:t>
      </w:r>
      <w:r>
        <w:rPr>
          <w:rFonts w:hint="default" w:ascii="Times New Roman" w:hAnsi="Times New Roman" w:eastAsia="宋体" w:cs="Times New Roman"/>
          <w:b/>
          <w:bCs/>
          <w:color w:val="auto"/>
          <w:spacing w:val="-2"/>
          <w:sz w:val="21"/>
          <w:szCs w:val="21"/>
        </w:rPr>
        <w:t>土壤环境影响类型与影响途径表</w:t>
      </w:r>
    </w:p>
    <w:tbl>
      <w:tblPr>
        <w:tblStyle w:val="21"/>
        <w:tblW w:w="838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82"/>
        <w:gridCol w:w="1333"/>
        <w:gridCol w:w="1022"/>
        <w:gridCol w:w="1025"/>
        <w:gridCol w:w="1022"/>
        <w:gridCol w:w="720"/>
        <w:gridCol w:w="733"/>
        <w:gridCol w:w="730"/>
        <w:gridCol w:w="733"/>
        <w:gridCol w:w="787"/>
      </w:tblGrid>
      <w:tr w14:paraId="15CC43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jc w:val="center"/>
        </w:trPr>
        <w:tc>
          <w:tcPr>
            <w:tcW w:w="1615" w:type="dxa"/>
            <w:gridSpan w:val="2"/>
            <w:vMerge w:val="restart"/>
            <w:tcBorders>
              <w:tl2br w:val="nil"/>
              <w:tr2bl w:val="nil"/>
            </w:tcBorders>
            <w:vAlign w:val="center"/>
          </w:tcPr>
          <w:p w14:paraId="7606BDB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不同时段</w:t>
            </w:r>
          </w:p>
        </w:tc>
        <w:tc>
          <w:tcPr>
            <w:tcW w:w="3789" w:type="dxa"/>
            <w:gridSpan w:val="4"/>
            <w:tcBorders>
              <w:tl2br w:val="nil"/>
              <w:tr2bl w:val="nil"/>
            </w:tcBorders>
            <w:vAlign w:val="center"/>
          </w:tcPr>
          <w:p w14:paraId="3BFC368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污染影响型</w:t>
            </w:r>
          </w:p>
        </w:tc>
        <w:tc>
          <w:tcPr>
            <w:tcW w:w="2983" w:type="dxa"/>
            <w:gridSpan w:val="4"/>
            <w:tcBorders>
              <w:tl2br w:val="nil"/>
              <w:tr2bl w:val="nil"/>
            </w:tcBorders>
            <w:vAlign w:val="center"/>
          </w:tcPr>
          <w:p w14:paraId="532164F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生态影响型</w:t>
            </w:r>
          </w:p>
        </w:tc>
      </w:tr>
      <w:tr w14:paraId="0EC6DD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1615" w:type="dxa"/>
            <w:gridSpan w:val="2"/>
            <w:vMerge w:val="continue"/>
            <w:tcBorders>
              <w:tl2br w:val="nil"/>
              <w:tr2bl w:val="nil"/>
            </w:tcBorders>
            <w:vAlign w:val="center"/>
          </w:tcPr>
          <w:p w14:paraId="7064992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p>
        </w:tc>
        <w:tc>
          <w:tcPr>
            <w:tcW w:w="1022" w:type="dxa"/>
            <w:tcBorders>
              <w:tl2br w:val="nil"/>
              <w:tr2bl w:val="nil"/>
            </w:tcBorders>
            <w:vAlign w:val="center"/>
          </w:tcPr>
          <w:p w14:paraId="5447C95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大气沉降</w:t>
            </w:r>
          </w:p>
        </w:tc>
        <w:tc>
          <w:tcPr>
            <w:tcW w:w="1025" w:type="dxa"/>
            <w:tcBorders>
              <w:tl2br w:val="nil"/>
              <w:tr2bl w:val="nil"/>
            </w:tcBorders>
            <w:vAlign w:val="center"/>
          </w:tcPr>
          <w:p w14:paraId="7D9EAA1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地面漫流</w:t>
            </w:r>
          </w:p>
        </w:tc>
        <w:tc>
          <w:tcPr>
            <w:tcW w:w="1022" w:type="dxa"/>
            <w:tcBorders>
              <w:tl2br w:val="nil"/>
              <w:tr2bl w:val="nil"/>
            </w:tcBorders>
            <w:vAlign w:val="center"/>
          </w:tcPr>
          <w:p w14:paraId="2A53CFB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垂直入渗</w:t>
            </w:r>
          </w:p>
        </w:tc>
        <w:tc>
          <w:tcPr>
            <w:tcW w:w="720" w:type="dxa"/>
            <w:tcBorders>
              <w:tl2br w:val="nil"/>
              <w:tr2bl w:val="nil"/>
            </w:tcBorders>
            <w:vAlign w:val="center"/>
          </w:tcPr>
          <w:p w14:paraId="63FE850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其他</w:t>
            </w:r>
          </w:p>
        </w:tc>
        <w:tc>
          <w:tcPr>
            <w:tcW w:w="733" w:type="dxa"/>
            <w:tcBorders>
              <w:tl2br w:val="nil"/>
              <w:tr2bl w:val="nil"/>
            </w:tcBorders>
            <w:vAlign w:val="center"/>
          </w:tcPr>
          <w:p w14:paraId="6AB2A0CE">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盐化</w:t>
            </w:r>
          </w:p>
        </w:tc>
        <w:tc>
          <w:tcPr>
            <w:tcW w:w="730" w:type="dxa"/>
            <w:tcBorders>
              <w:tl2br w:val="nil"/>
              <w:tr2bl w:val="nil"/>
            </w:tcBorders>
            <w:vAlign w:val="center"/>
          </w:tcPr>
          <w:p w14:paraId="64F1FEE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碱化</w:t>
            </w:r>
          </w:p>
        </w:tc>
        <w:tc>
          <w:tcPr>
            <w:tcW w:w="733" w:type="dxa"/>
            <w:tcBorders>
              <w:tl2br w:val="nil"/>
              <w:tr2bl w:val="nil"/>
            </w:tcBorders>
            <w:vAlign w:val="center"/>
          </w:tcPr>
          <w:p w14:paraId="0A927F7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酸化</w:t>
            </w:r>
          </w:p>
        </w:tc>
        <w:tc>
          <w:tcPr>
            <w:tcW w:w="787" w:type="dxa"/>
            <w:tcBorders>
              <w:tl2br w:val="nil"/>
              <w:tr2bl w:val="nil"/>
            </w:tcBorders>
            <w:vAlign w:val="center"/>
          </w:tcPr>
          <w:p w14:paraId="1A7A165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其他</w:t>
            </w:r>
          </w:p>
        </w:tc>
      </w:tr>
      <w:tr w14:paraId="65D63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1615" w:type="dxa"/>
            <w:gridSpan w:val="2"/>
            <w:tcBorders>
              <w:tl2br w:val="nil"/>
              <w:tr2bl w:val="nil"/>
            </w:tcBorders>
            <w:vAlign w:val="center"/>
          </w:tcPr>
          <w:p w14:paraId="77B1A21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建设期</w:t>
            </w:r>
          </w:p>
        </w:tc>
        <w:tc>
          <w:tcPr>
            <w:tcW w:w="1022" w:type="dxa"/>
            <w:tcBorders>
              <w:tl2br w:val="nil"/>
              <w:tr2bl w:val="nil"/>
            </w:tcBorders>
            <w:vAlign w:val="center"/>
          </w:tcPr>
          <w:p w14:paraId="7C5782D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1025" w:type="dxa"/>
            <w:tcBorders>
              <w:tl2br w:val="nil"/>
              <w:tr2bl w:val="nil"/>
            </w:tcBorders>
            <w:vAlign w:val="center"/>
          </w:tcPr>
          <w:p w14:paraId="4529A97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022" w:type="dxa"/>
            <w:tcBorders>
              <w:tl2br w:val="nil"/>
              <w:tr2bl w:val="nil"/>
            </w:tcBorders>
            <w:vAlign w:val="center"/>
          </w:tcPr>
          <w:p w14:paraId="7FD75CA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720" w:type="dxa"/>
            <w:tcBorders>
              <w:tl2br w:val="nil"/>
              <w:tr2bl w:val="nil"/>
            </w:tcBorders>
            <w:vAlign w:val="center"/>
          </w:tcPr>
          <w:p w14:paraId="2F2C3BE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66B8C4E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0" w:type="dxa"/>
            <w:tcBorders>
              <w:tl2br w:val="nil"/>
              <w:tr2bl w:val="nil"/>
            </w:tcBorders>
            <w:vAlign w:val="center"/>
          </w:tcPr>
          <w:p w14:paraId="057D233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04F3D1D2">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87" w:type="dxa"/>
            <w:tcBorders>
              <w:tl2br w:val="nil"/>
              <w:tr2bl w:val="nil"/>
            </w:tcBorders>
            <w:vAlign w:val="center"/>
          </w:tcPr>
          <w:p w14:paraId="67317BF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r>
      <w:tr w14:paraId="378D24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1" w:hRule="atLeast"/>
          <w:jc w:val="center"/>
        </w:trPr>
        <w:tc>
          <w:tcPr>
            <w:tcW w:w="282" w:type="dxa"/>
            <w:vMerge w:val="restart"/>
            <w:tcBorders>
              <w:tl2br w:val="nil"/>
              <w:tr2bl w:val="nil"/>
            </w:tcBorders>
            <w:vAlign w:val="center"/>
          </w:tcPr>
          <w:p w14:paraId="5EC3AE5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运营期</w:t>
            </w:r>
          </w:p>
        </w:tc>
        <w:tc>
          <w:tcPr>
            <w:tcW w:w="1333" w:type="dxa"/>
            <w:tcBorders>
              <w:tl2br w:val="nil"/>
              <w:tr2bl w:val="nil"/>
            </w:tcBorders>
            <w:vAlign w:val="center"/>
          </w:tcPr>
          <w:p w14:paraId="1C7B6CB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采矿区</w:t>
            </w:r>
          </w:p>
        </w:tc>
        <w:tc>
          <w:tcPr>
            <w:tcW w:w="1022" w:type="dxa"/>
            <w:tcBorders>
              <w:tl2br w:val="nil"/>
              <w:tr2bl w:val="nil"/>
            </w:tcBorders>
            <w:vAlign w:val="center"/>
          </w:tcPr>
          <w:p w14:paraId="659B96E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025" w:type="dxa"/>
            <w:tcBorders>
              <w:tl2br w:val="nil"/>
              <w:tr2bl w:val="nil"/>
            </w:tcBorders>
            <w:vAlign w:val="center"/>
          </w:tcPr>
          <w:p w14:paraId="0DB744E7">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022" w:type="dxa"/>
            <w:tcBorders>
              <w:tl2br w:val="nil"/>
              <w:tr2bl w:val="nil"/>
            </w:tcBorders>
            <w:vAlign w:val="center"/>
          </w:tcPr>
          <w:p w14:paraId="3963DEB7">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20" w:type="dxa"/>
            <w:tcBorders>
              <w:tl2br w:val="nil"/>
              <w:tr2bl w:val="nil"/>
            </w:tcBorders>
            <w:vAlign w:val="center"/>
          </w:tcPr>
          <w:p w14:paraId="13A27A6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6BEB671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730" w:type="dxa"/>
            <w:tcBorders>
              <w:tl2br w:val="nil"/>
              <w:tr2bl w:val="nil"/>
            </w:tcBorders>
            <w:vAlign w:val="center"/>
          </w:tcPr>
          <w:p w14:paraId="4EBE350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44F6A0E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87" w:type="dxa"/>
            <w:tcBorders>
              <w:tl2br w:val="nil"/>
              <w:tr2bl w:val="nil"/>
            </w:tcBorders>
            <w:vAlign w:val="center"/>
          </w:tcPr>
          <w:p w14:paraId="760F734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r>
      <w:tr w14:paraId="7A63B8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1" w:hRule="atLeast"/>
          <w:jc w:val="center"/>
        </w:trPr>
        <w:tc>
          <w:tcPr>
            <w:tcW w:w="282" w:type="dxa"/>
            <w:vMerge w:val="continue"/>
            <w:tcBorders>
              <w:tl2br w:val="nil"/>
              <w:tr2bl w:val="nil"/>
            </w:tcBorders>
            <w:vAlign w:val="center"/>
          </w:tcPr>
          <w:p w14:paraId="1FD87F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333" w:type="dxa"/>
            <w:tcBorders>
              <w:tl2br w:val="nil"/>
              <w:tr2bl w:val="nil"/>
            </w:tcBorders>
            <w:vAlign w:val="center"/>
          </w:tcPr>
          <w:p w14:paraId="2BE8993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eastAsia="zh-CN"/>
              </w:rPr>
            </w:pPr>
            <w:r>
              <w:rPr>
                <w:rFonts w:hint="default" w:ascii="Times New Roman" w:hAnsi="Times New Roman" w:eastAsia="宋体" w:cs="Times New Roman"/>
                <w:b w:val="0"/>
                <w:color w:val="auto"/>
                <w:w w:val="100"/>
                <w:kern w:val="0"/>
                <w:sz w:val="21"/>
                <w:szCs w:val="21"/>
                <w:lang w:val="en-US" w:eastAsia="zh-CN"/>
              </w:rPr>
              <w:t>废石场</w:t>
            </w:r>
          </w:p>
        </w:tc>
        <w:tc>
          <w:tcPr>
            <w:tcW w:w="1022" w:type="dxa"/>
            <w:tcBorders>
              <w:tl2br w:val="nil"/>
              <w:tr2bl w:val="nil"/>
            </w:tcBorders>
            <w:vAlign w:val="center"/>
          </w:tcPr>
          <w:p w14:paraId="66EEF39E">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1025" w:type="dxa"/>
            <w:tcBorders>
              <w:tl2br w:val="nil"/>
              <w:tr2bl w:val="nil"/>
            </w:tcBorders>
            <w:vAlign w:val="center"/>
          </w:tcPr>
          <w:p w14:paraId="2314001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1022" w:type="dxa"/>
            <w:tcBorders>
              <w:tl2br w:val="nil"/>
              <w:tr2bl w:val="nil"/>
            </w:tcBorders>
            <w:vAlign w:val="center"/>
          </w:tcPr>
          <w:p w14:paraId="7ECC0C2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720" w:type="dxa"/>
            <w:tcBorders>
              <w:tl2br w:val="nil"/>
              <w:tr2bl w:val="nil"/>
            </w:tcBorders>
            <w:vAlign w:val="center"/>
          </w:tcPr>
          <w:p w14:paraId="6B3A5D0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0637CBF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0" w:type="dxa"/>
            <w:tcBorders>
              <w:tl2br w:val="nil"/>
              <w:tr2bl w:val="nil"/>
            </w:tcBorders>
            <w:vAlign w:val="center"/>
          </w:tcPr>
          <w:p w14:paraId="10673F3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6FDBE84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87" w:type="dxa"/>
            <w:tcBorders>
              <w:tl2br w:val="nil"/>
              <w:tr2bl w:val="nil"/>
            </w:tcBorders>
            <w:vAlign w:val="center"/>
          </w:tcPr>
          <w:p w14:paraId="57A8E90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r>
      <w:tr w14:paraId="0403A2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282" w:type="dxa"/>
            <w:vMerge w:val="continue"/>
            <w:tcBorders>
              <w:tl2br w:val="nil"/>
              <w:tr2bl w:val="nil"/>
            </w:tcBorders>
            <w:vAlign w:val="center"/>
          </w:tcPr>
          <w:p w14:paraId="3E8A4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333" w:type="dxa"/>
            <w:tcBorders>
              <w:tl2br w:val="nil"/>
              <w:tr2bl w:val="nil"/>
            </w:tcBorders>
            <w:vAlign w:val="center"/>
          </w:tcPr>
          <w:p w14:paraId="02817FA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val="en-US" w:eastAsia="zh-CN"/>
              </w:rPr>
            </w:pPr>
            <w:r>
              <w:rPr>
                <w:rFonts w:hint="default" w:ascii="Times New Roman" w:hAnsi="Times New Roman" w:eastAsia="宋体" w:cs="Times New Roman"/>
                <w:b w:val="0"/>
                <w:color w:val="auto"/>
                <w:w w:val="100"/>
                <w:kern w:val="0"/>
                <w:sz w:val="21"/>
                <w:szCs w:val="21"/>
                <w:lang w:val="en-US" w:eastAsia="zh-CN"/>
              </w:rPr>
              <w:t>工业场地</w:t>
            </w:r>
          </w:p>
        </w:tc>
        <w:tc>
          <w:tcPr>
            <w:tcW w:w="1022" w:type="dxa"/>
            <w:tcBorders>
              <w:tl2br w:val="nil"/>
              <w:tr2bl w:val="nil"/>
            </w:tcBorders>
            <w:vAlign w:val="center"/>
          </w:tcPr>
          <w:p w14:paraId="7314D04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1025" w:type="dxa"/>
            <w:tcBorders>
              <w:tl2br w:val="nil"/>
              <w:tr2bl w:val="nil"/>
            </w:tcBorders>
            <w:vAlign w:val="center"/>
          </w:tcPr>
          <w:p w14:paraId="79DE3A4E">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1022" w:type="dxa"/>
            <w:tcBorders>
              <w:tl2br w:val="nil"/>
              <w:tr2bl w:val="nil"/>
            </w:tcBorders>
            <w:vAlign w:val="center"/>
          </w:tcPr>
          <w:p w14:paraId="3ADB5C77">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w:t>
            </w:r>
          </w:p>
        </w:tc>
        <w:tc>
          <w:tcPr>
            <w:tcW w:w="720" w:type="dxa"/>
            <w:tcBorders>
              <w:tl2br w:val="nil"/>
              <w:tr2bl w:val="nil"/>
            </w:tcBorders>
            <w:vAlign w:val="center"/>
          </w:tcPr>
          <w:p w14:paraId="04B07FD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172E8DF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0" w:type="dxa"/>
            <w:tcBorders>
              <w:tl2br w:val="nil"/>
              <w:tr2bl w:val="nil"/>
            </w:tcBorders>
            <w:vAlign w:val="center"/>
          </w:tcPr>
          <w:p w14:paraId="5D56341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33" w:type="dxa"/>
            <w:tcBorders>
              <w:tl2br w:val="nil"/>
              <w:tr2bl w:val="nil"/>
            </w:tcBorders>
            <w:vAlign w:val="center"/>
          </w:tcPr>
          <w:p w14:paraId="6FF79CC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c>
          <w:tcPr>
            <w:tcW w:w="787" w:type="dxa"/>
            <w:tcBorders>
              <w:tl2br w:val="nil"/>
              <w:tr2bl w:val="nil"/>
            </w:tcBorders>
            <w:vAlign w:val="center"/>
          </w:tcPr>
          <w:p w14:paraId="584779B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p>
        </w:tc>
      </w:tr>
      <w:tr w14:paraId="67250A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1" w:hRule="atLeast"/>
          <w:jc w:val="center"/>
        </w:trPr>
        <w:tc>
          <w:tcPr>
            <w:tcW w:w="8387" w:type="dxa"/>
            <w:gridSpan w:val="10"/>
            <w:tcBorders>
              <w:tl2br w:val="nil"/>
              <w:tr2bl w:val="nil"/>
            </w:tcBorders>
            <w:vAlign w:val="center"/>
          </w:tcPr>
          <w:p w14:paraId="0B49CFB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eastAsia="zh-CN"/>
              </w:rPr>
            </w:pPr>
            <w:r>
              <w:rPr>
                <w:rFonts w:hint="default" w:ascii="Times New Roman" w:hAnsi="Times New Roman" w:eastAsia="宋体" w:cs="Times New Roman"/>
                <w:b w:val="0"/>
                <w:color w:val="auto"/>
                <w:w w:val="100"/>
                <w:kern w:val="0"/>
                <w:sz w:val="21"/>
                <w:szCs w:val="21"/>
              </w:rPr>
              <w:t>注：在可能产生的土壤环境影响类型处打</w:t>
            </w:r>
            <w:r>
              <w:rPr>
                <w:rFonts w:hint="default" w:ascii="Times New Roman" w:hAnsi="Times New Roman" w:eastAsia="宋体" w:cs="Times New Roman"/>
                <w:b w:val="0"/>
                <w:color w:val="auto"/>
                <w:w w:val="100"/>
                <w:kern w:val="0"/>
                <w:sz w:val="21"/>
                <w:szCs w:val="21"/>
                <w:lang w:eastAsia="zh-CN"/>
              </w:rPr>
              <w:t>“</w:t>
            </w:r>
            <w:r>
              <w:rPr>
                <w:rFonts w:hint="default" w:ascii="Times New Roman" w:hAnsi="Times New Roman" w:eastAsia="宋体" w:cs="Times New Roman"/>
                <w:b w:val="0"/>
                <w:color w:val="auto"/>
                <w:w w:val="100"/>
                <w:kern w:val="0"/>
                <w:sz w:val="21"/>
                <w:szCs w:val="21"/>
              </w:rPr>
              <w:t>√</w:t>
            </w:r>
            <w:r>
              <w:rPr>
                <w:rFonts w:hint="default" w:ascii="Times New Roman" w:hAnsi="Times New Roman" w:eastAsia="宋体" w:cs="Times New Roman"/>
                <w:b w:val="0"/>
                <w:color w:val="auto"/>
                <w:w w:val="100"/>
                <w:kern w:val="0"/>
                <w:sz w:val="21"/>
                <w:szCs w:val="21"/>
                <w:lang w:eastAsia="zh-CN"/>
              </w:rPr>
              <w:t>”</w:t>
            </w:r>
          </w:p>
        </w:tc>
      </w:tr>
    </w:tbl>
    <w:p w14:paraId="6D92C948">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5.7-2    </w:t>
      </w:r>
      <w:r>
        <w:rPr>
          <w:rFonts w:hint="default" w:ascii="Times New Roman" w:hAnsi="Times New Roman" w:eastAsia="宋体" w:cs="Times New Roman"/>
          <w:b/>
          <w:bCs/>
          <w:color w:val="auto"/>
          <w:spacing w:val="-2"/>
          <w:sz w:val="21"/>
          <w:szCs w:val="21"/>
        </w:rPr>
        <w:t>污染影响型建设项目土壤影响源及影响因子识别表</w:t>
      </w:r>
    </w:p>
    <w:tbl>
      <w:tblPr>
        <w:tblStyle w:val="21"/>
        <w:tblW w:w="835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371"/>
        <w:gridCol w:w="1562"/>
        <w:gridCol w:w="1505"/>
        <w:gridCol w:w="2880"/>
        <w:gridCol w:w="1039"/>
      </w:tblGrid>
      <w:tr w14:paraId="1CB4DF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5" w:hRule="atLeast"/>
          <w:tblHeader/>
          <w:jc w:val="center"/>
        </w:trPr>
        <w:tc>
          <w:tcPr>
            <w:tcW w:w="1371" w:type="dxa"/>
            <w:tcBorders>
              <w:tl2br w:val="nil"/>
              <w:tr2bl w:val="nil"/>
            </w:tcBorders>
            <w:vAlign w:val="center"/>
          </w:tcPr>
          <w:p w14:paraId="13A6F49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污染源</w:t>
            </w:r>
          </w:p>
        </w:tc>
        <w:tc>
          <w:tcPr>
            <w:tcW w:w="1562" w:type="dxa"/>
            <w:tcBorders>
              <w:tl2br w:val="nil"/>
              <w:tr2bl w:val="nil"/>
            </w:tcBorders>
            <w:vAlign w:val="center"/>
          </w:tcPr>
          <w:p w14:paraId="1BE932F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工艺流程/节点</w:t>
            </w:r>
          </w:p>
        </w:tc>
        <w:tc>
          <w:tcPr>
            <w:tcW w:w="1505" w:type="dxa"/>
            <w:tcBorders>
              <w:tl2br w:val="nil"/>
              <w:tr2bl w:val="nil"/>
            </w:tcBorders>
            <w:vAlign w:val="center"/>
          </w:tcPr>
          <w:p w14:paraId="72DF8ED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污染途径</w:t>
            </w:r>
          </w:p>
        </w:tc>
        <w:tc>
          <w:tcPr>
            <w:tcW w:w="2880" w:type="dxa"/>
            <w:tcBorders>
              <w:tl2br w:val="nil"/>
              <w:tr2bl w:val="nil"/>
            </w:tcBorders>
            <w:vAlign w:val="center"/>
          </w:tcPr>
          <w:p w14:paraId="6491C5F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全部污染物指标</w:t>
            </w:r>
          </w:p>
        </w:tc>
        <w:tc>
          <w:tcPr>
            <w:tcW w:w="1039" w:type="dxa"/>
            <w:tcBorders>
              <w:tl2br w:val="nil"/>
              <w:tr2bl w:val="nil"/>
            </w:tcBorders>
            <w:vAlign w:val="center"/>
          </w:tcPr>
          <w:p w14:paraId="196ECF2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特征因子</w:t>
            </w:r>
          </w:p>
        </w:tc>
      </w:tr>
      <w:tr w14:paraId="7EB5FF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1371" w:type="dxa"/>
            <w:tcBorders>
              <w:tl2br w:val="nil"/>
              <w:tr2bl w:val="nil"/>
            </w:tcBorders>
            <w:vAlign w:val="center"/>
          </w:tcPr>
          <w:p w14:paraId="678F492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eastAsia="zh-CN"/>
              </w:rPr>
            </w:pPr>
            <w:r>
              <w:rPr>
                <w:rFonts w:hint="default" w:ascii="Times New Roman" w:hAnsi="Times New Roman" w:eastAsia="宋体" w:cs="Times New Roman"/>
                <w:b w:val="0"/>
                <w:color w:val="auto"/>
                <w:w w:val="100"/>
                <w:kern w:val="0"/>
                <w:sz w:val="21"/>
                <w:szCs w:val="21"/>
                <w:lang w:val="en-US" w:eastAsia="zh-CN"/>
              </w:rPr>
              <w:t>废石场</w:t>
            </w:r>
          </w:p>
        </w:tc>
        <w:tc>
          <w:tcPr>
            <w:tcW w:w="1562" w:type="dxa"/>
            <w:tcBorders>
              <w:tl2br w:val="nil"/>
              <w:tr2bl w:val="nil"/>
            </w:tcBorders>
            <w:vAlign w:val="center"/>
          </w:tcPr>
          <w:p w14:paraId="46BE9DE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废石堆存过程中淋溶液</w:t>
            </w:r>
          </w:p>
        </w:tc>
        <w:tc>
          <w:tcPr>
            <w:tcW w:w="1505" w:type="dxa"/>
            <w:tcBorders>
              <w:tl2br w:val="nil"/>
              <w:tr2bl w:val="nil"/>
            </w:tcBorders>
            <w:vAlign w:val="center"/>
          </w:tcPr>
          <w:p w14:paraId="3CE2F16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lang w:val="en-US" w:eastAsia="zh-CN"/>
              </w:rPr>
              <w:t>大气沉降、地表漫流、</w:t>
            </w:r>
            <w:r>
              <w:rPr>
                <w:rFonts w:hint="default" w:ascii="Times New Roman" w:hAnsi="Times New Roman" w:eastAsia="宋体" w:cs="Times New Roman"/>
                <w:b w:val="0"/>
                <w:color w:val="auto"/>
                <w:w w:val="100"/>
                <w:kern w:val="0"/>
                <w:sz w:val="21"/>
                <w:szCs w:val="21"/>
              </w:rPr>
              <w:t>垂直入渗</w:t>
            </w:r>
          </w:p>
        </w:tc>
        <w:tc>
          <w:tcPr>
            <w:tcW w:w="2880" w:type="dxa"/>
            <w:tcBorders>
              <w:tl2br w:val="nil"/>
              <w:tr2bl w:val="nil"/>
            </w:tcBorders>
            <w:vAlign w:val="center"/>
          </w:tcPr>
          <w:p w14:paraId="61347B9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eastAsia="zh-CN"/>
              </w:rPr>
            </w:pPr>
            <w:r>
              <w:rPr>
                <w:rFonts w:hint="default" w:ascii="Times New Roman" w:hAnsi="Times New Roman" w:eastAsia="宋体" w:cs="Times New Roman"/>
                <w:b w:val="0"/>
                <w:color w:val="auto"/>
                <w:w w:val="100"/>
                <w:kern w:val="0"/>
                <w:sz w:val="21"/>
                <w:szCs w:val="21"/>
                <w:lang w:val="en-US" w:eastAsia="zh-CN"/>
              </w:rPr>
              <w:t>pH、</w:t>
            </w:r>
            <w:r>
              <w:rPr>
                <w:rFonts w:hint="default" w:ascii="Times New Roman" w:hAnsi="Times New Roman" w:eastAsia="宋体" w:cs="Times New Roman"/>
                <w:b w:val="0"/>
                <w:color w:val="auto"/>
                <w:w w:val="100"/>
                <w:kern w:val="0"/>
                <w:sz w:val="21"/>
                <w:szCs w:val="21"/>
                <w:lang w:eastAsia="zh-CN"/>
              </w:rPr>
              <w:t>铬（六价）、氟化物、铍（以总铍计）、</w:t>
            </w:r>
            <w:r>
              <w:rPr>
                <w:rFonts w:hint="default" w:ascii="Times New Roman" w:hAnsi="Times New Roman" w:eastAsia="宋体" w:cs="Times New Roman"/>
                <w:b w:val="0"/>
                <w:color w:val="auto"/>
                <w:w w:val="100"/>
                <w:kern w:val="0"/>
                <w:sz w:val="21"/>
                <w:szCs w:val="21"/>
                <w:lang w:val="en-US" w:eastAsia="zh-CN"/>
              </w:rPr>
              <w:t>总锰</w:t>
            </w:r>
            <w:r>
              <w:rPr>
                <w:rFonts w:hint="default" w:ascii="Times New Roman" w:hAnsi="Times New Roman" w:eastAsia="宋体" w:cs="Times New Roman"/>
                <w:b w:val="0"/>
                <w:color w:val="auto"/>
                <w:w w:val="100"/>
                <w:kern w:val="0"/>
                <w:sz w:val="21"/>
                <w:szCs w:val="21"/>
                <w:lang w:eastAsia="zh-CN"/>
              </w:rPr>
              <w:t>、</w:t>
            </w:r>
            <w:r>
              <w:rPr>
                <w:rFonts w:hint="default" w:ascii="Times New Roman" w:hAnsi="Times New Roman" w:eastAsia="宋体" w:cs="Times New Roman"/>
                <w:b w:val="0"/>
                <w:color w:val="auto"/>
                <w:w w:val="100"/>
                <w:kern w:val="0"/>
                <w:sz w:val="21"/>
                <w:szCs w:val="21"/>
                <w:lang w:val="en-US" w:eastAsia="zh-CN"/>
              </w:rPr>
              <w:t>总铬、铅、总银、钡、镉、镍、铜、汞、硒、砷、总氰化物等</w:t>
            </w:r>
          </w:p>
        </w:tc>
        <w:tc>
          <w:tcPr>
            <w:tcW w:w="1039" w:type="dxa"/>
            <w:tcBorders>
              <w:tl2br w:val="nil"/>
              <w:tr2bl w:val="nil"/>
            </w:tcBorders>
            <w:vAlign w:val="center"/>
          </w:tcPr>
          <w:p w14:paraId="68CEF22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val="en-US" w:eastAsia="zh-CN"/>
              </w:rPr>
            </w:pPr>
            <w:r>
              <w:rPr>
                <w:rFonts w:hint="eastAsia" w:ascii="Times New Roman" w:hAnsi="Times New Roman" w:cs="Times New Roman"/>
                <w:b w:val="0"/>
                <w:color w:val="auto"/>
                <w:w w:val="100"/>
                <w:kern w:val="0"/>
                <w:sz w:val="21"/>
                <w:szCs w:val="21"/>
                <w:lang w:val="en-US" w:eastAsia="zh-CN"/>
              </w:rPr>
              <w:t>铅</w:t>
            </w:r>
          </w:p>
        </w:tc>
      </w:tr>
    </w:tbl>
    <w:p w14:paraId="375813BD">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5.7-3     </w:t>
      </w:r>
      <w:r>
        <w:rPr>
          <w:rFonts w:hint="default" w:ascii="Times New Roman" w:hAnsi="Times New Roman" w:eastAsia="宋体" w:cs="Times New Roman"/>
          <w:b/>
          <w:bCs/>
          <w:color w:val="auto"/>
          <w:spacing w:val="-2"/>
          <w:sz w:val="21"/>
          <w:szCs w:val="21"/>
        </w:rPr>
        <w:t>生态影响型建设项目土壤环境影响途径识别表</w:t>
      </w:r>
    </w:p>
    <w:tbl>
      <w:tblPr>
        <w:tblStyle w:val="21"/>
        <w:tblW w:w="8327"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45"/>
        <w:gridCol w:w="2324"/>
        <w:gridCol w:w="2404"/>
        <w:gridCol w:w="2354"/>
      </w:tblGrid>
      <w:tr w14:paraId="13FB41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 w:hRule="atLeast"/>
          <w:jc w:val="center"/>
        </w:trPr>
        <w:tc>
          <w:tcPr>
            <w:tcW w:w="1245" w:type="dxa"/>
            <w:tcBorders>
              <w:bottom w:val="single" w:color="000000" w:sz="4" w:space="0"/>
              <w:right w:val="single" w:color="000000" w:sz="4" w:space="0"/>
            </w:tcBorders>
            <w:vAlign w:val="center"/>
          </w:tcPr>
          <w:p w14:paraId="1B8EF8C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影响结果</w:t>
            </w:r>
          </w:p>
        </w:tc>
        <w:tc>
          <w:tcPr>
            <w:tcW w:w="2324" w:type="dxa"/>
            <w:tcBorders>
              <w:left w:val="single" w:color="000000" w:sz="4" w:space="0"/>
              <w:bottom w:val="single" w:color="000000" w:sz="4" w:space="0"/>
              <w:right w:val="single" w:color="000000" w:sz="4" w:space="0"/>
            </w:tcBorders>
            <w:vAlign w:val="center"/>
          </w:tcPr>
          <w:p w14:paraId="61682C4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影响途径</w:t>
            </w:r>
          </w:p>
        </w:tc>
        <w:tc>
          <w:tcPr>
            <w:tcW w:w="2404" w:type="dxa"/>
            <w:tcBorders>
              <w:left w:val="single" w:color="000000" w:sz="4" w:space="0"/>
              <w:bottom w:val="single" w:color="000000" w:sz="4" w:space="0"/>
              <w:right w:val="single" w:color="000000" w:sz="4" w:space="0"/>
            </w:tcBorders>
            <w:vAlign w:val="center"/>
          </w:tcPr>
          <w:p w14:paraId="533E7CF2">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具体指标</w:t>
            </w:r>
          </w:p>
        </w:tc>
        <w:tc>
          <w:tcPr>
            <w:tcW w:w="2354" w:type="dxa"/>
            <w:tcBorders>
              <w:left w:val="single" w:color="000000" w:sz="4" w:space="0"/>
              <w:bottom w:val="single" w:color="000000" w:sz="4" w:space="0"/>
            </w:tcBorders>
            <w:vAlign w:val="center"/>
          </w:tcPr>
          <w:p w14:paraId="34904DF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w w:val="100"/>
                <w:kern w:val="0"/>
                <w:sz w:val="21"/>
                <w:szCs w:val="21"/>
              </w:rPr>
            </w:pPr>
            <w:r>
              <w:rPr>
                <w:rFonts w:hint="default" w:ascii="Times New Roman" w:hAnsi="Times New Roman" w:eastAsia="宋体" w:cs="Times New Roman"/>
                <w:b w:val="0"/>
                <w:bCs w:val="0"/>
                <w:color w:val="auto"/>
                <w:w w:val="100"/>
                <w:kern w:val="0"/>
                <w:sz w:val="21"/>
                <w:szCs w:val="21"/>
              </w:rPr>
              <w:t>土壤环境敏感目标</w:t>
            </w:r>
          </w:p>
        </w:tc>
      </w:tr>
      <w:tr w14:paraId="67487E5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6" w:hRule="atLeast"/>
          <w:jc w:val="center"/>
        </w:trPr>
        <w:tc>
          <w:tcPr>
            <w:tcW w:w="1245" w:type="dxa"/>
            <w:tcBorders>
              <w:top w:val="single" w:color="000000" w:sz="4" w:space="0"/>
              <w:right w:val="single" w:color="000000" w:sz="4" w:space="0"/>
            </w:tcBorders>
            <w:vAlign w:val="center"/>
          </w:tcPr>
          <w:p w14:paraId="10A4990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其他</w:t>
            </w:r>
          </w:p>
        </w:tc>
        <w:tc>
          <w:tcPr>
            <w:tcW w:w="2324" w:type="dxa"/>
            <w:tcBorders>
              <w:top w:val="single" w:color="000000" w:sz="4" w:space="0"/>
              <w:left w:val="single" w:color="000000" w:sz="4" w:space="0"/>
              <w:right w:val="single" w:color="000000" w:sz="4" w:space="0"/>
            </w:tcBorders>
            <w:vAlign w:val="center"/>
          </w:tcPr>
          <w:p w14:paraId="2702A3A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水位变化</w:t>
            </w:r>
          </w:p>
        </w:tc>
        <w:tc>
          <w:tcPr>
            <w:tcW w:w="2404" w:type="dxa"/>
            <w:tcBorders>
              <w:top w:val="single" w:color="000000" w:sz="4" w:space="0"/>
              <w:left w:val="single" w:color="000000" w:sz="4" w:space="0"/>
              <w:right w:val="single" w:color="000000" w:sz="4" w:space="0"/>
            </w:tcBorders>
            <w:vAlign w:val="center"/>
          </w:tcPr>
          <w:p w14:paraId="603B38C2">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rPr>
            </w:pPr>
            <w:r>
              <w:rPr>
                <w:rFonts w:hint="default" w:ascii="Times New Roman" w:hAnsi="Times New Roman" w:eastAsia="宋体" w:cs="Times New Roman"/>
                <w:b w:val="0"/>
                <w:color w:val="auto"/>
                <w:w w:val="100"/>
                <w:kern w:val="0"/>
                <w:sz w:val="21"/>
                <w:szCs w:val="21"/>
              </w:rPr>
              <w:t>土壤盐化</w:t>
            </w:r>
          </w:p>
        </w:tc>
        <w:tc>
          <w:tcPr>
            <w:tcW w:w="2354" w:type="dxa"/>
            <w:tcBorders>
              <w:top w:val="single" w:color="000000" w:sz="4" w:space="0"/>
              <w:left w:val="single" w:color="000000" w:sz="4" w:space="0"/>
            </w:tcBorders>
            <w:vAlign w:val="center"/>
          </w:tcPr>
          <w:p w14:paraId="50D157D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szCs w:val="21"/>
                <w:lang w:val="en-US" w:eastAsia="zh-CN"/>
              </w:rPr>
            </w:pPr>
            <w:r>
              <w:rPr>
                <w:rFonts w:hint="default" w:ascii="Times New Roman" w:hAnsi="Times New Roman" w:eastAsia="宋体" w:cs="Times New Roman"/>
                <w:b w:val="0"/>
                <w:color w:val="auto"/>
                <w:w w:val="100"/>
                <w:kern w:val="0"/>
                <w:sz w:val="21"/>
                <w:szCs w:val="21"/>
                <w:lang w:val="en-US" w:eastAsia="zh-CN"/>
              </w:rPr>
              <w:t>/</w:t>
            </w:r>
          </w:p>
        </w:tc>
      </w:tr>
    </w:tbl>
    <w:p w14:paraId="489E94B3">
      <w:pPr>
        <w:pStyle w:val="4"/>
        <w:bidi w:val="0"/>
        <w:rPr>
          <w:rFonts w:hint="default" w:ascii="Times New Roman" w:hAnsi="Times New Roman" w:cs="Times New Roman"/>
          <w:color w:val="auto"/>
          <w:lang w:val="en-US" w:eastAsia="zh-CN"/>
        </w:rPr>
      </w:pPr>
      <w:bookmarkStart w:id="629" w:name="5.2.5.2 预测评价范围、时段和预测情景设置"/>
      <w:bookmarkEnd w:id="629"/>
      <w:bookmarkStart w:id="630" w:name="5.2.5.2 预测评价范围、时段和预测情景设置"/>
      <w:bookmarkEnd w:id="630"/>
      <w:r>
        <w:rPr>
          <w:rFonts w:hint="default" w:ascii="Times New Roman" w:hAnsi="Times New Roman" w:cs="Times New Roman"/>
          <w:color w:val="auto"/>
          <w:lang w:val="en-US" w:eastAsia="zh-CN"/>
        </w:rPr>
        <w:t>土壤环境影响预测与评价</w:t>
      </w:r>
    </w:p>
    <w:p w14:paraId="26A4B779">
      <w:pPr>
        <w:pStyle w:val="5"/>
        <w:keepNext/>
        <w:keepLines/>
        <w:pageBreakBefore w:val="0"/>
        <w:widowControl w:val="0"/>
        <w:numPr>
          <w:ilvl w:val="3"/>
          <w:numId w:val="0"/>
        </w:numPr>
        <w:kinsoku/>
        <w:wordWrap/>
        <w:overflowPunct/>
        <w:topLinePunct w:val="0"/>
        <w:autoSpaceDE/>
        <w:autoSpaceDN/>
        <w:bidi w:val="0"/>
        <w:adjustRightInd/>
        <w:snapToGrid/>
        <w:spacing w:before="0" w:after="0" w:line="480" w:lineRule="exact"/>
        <w:ind w:firstLine="482" w:firstLineChars="200"/>
        <w:jc w:val="both"/>
        <w:textAlignment w:val="auto"/>
        <w:rPr>
          <w:rFonts w:hint="default" w:ascii="Times New Roman" w:hAnsi="Times New Roman" w:eastAsia="宋体" w:cs="Times New Roman"/>
          <w:b/>
          <w:bCs w:val="0"/>
          <w:color w:val="auto"/>
          <w:kern w:val="0"/>
          <w:sz w:val="24"/>
          <w:szCs w:val="24"/>
          <w:highlight w:val="none"/>
          <w:lang w:val="en-US" w:eastAsia="zh-CN"/>
        </w:rPr>
      </w:pPr>
      <w:r>
        <w:rPr>
          <w:rFonts w:hint="default" w:ascii="Times New Roman" w:hAnsi="Times New Roman" w:eastAsia="宋体" w:cs="Times New Roman"/>
          <w:b/>
          <w:bCs w:val="0"/>
          <w:color w:val="auto"/>
          <w:kern w:val="0"/>
          <w:sz w:val="24"/>
          <w:szCs w:val="24"/>
          <w:highlight w:val="none"/>
          <w:lang w:val="en-US" w:eastAsia="zh-CN"/>
        </w:rPr>
        <w:t>5.7.2.1</w:t>
      </w:r>
      <w:r>
        <w:rPr>
          <w:rFonts w:hint="default" w:ascii="Times New Roman" w:hAnsi="Times New Roman" w:cs="Times New Roman"/>
          <w:b/>
          <w:bCs w:val="0"/>
          <w:color w:val="auto"/>
          <w:kern w:val="0"/>
          <w:sz w:val="24"/>
          <w:szCs w:val="24"/>
          <w:highlight w:val="none"/>
          <w:lang w:val="en-US" w:eastAsia="zh-CN"/>
        </w:rPr>
        <w:t>土壤盐化情况预测</w:t>
      </w:r>
    </w:p>
    <w:p w14:paraId="1D755C1B">
      <w:pPr>
        <w:bidi w:val="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（1）预测评价范围、时段和预测情景设置</w:t>
      </w:r>
    </w:p>
    <w:p w14:paraId="71E760BE">
      <w:pPr>
        <w:pStyle w:val="9"/>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项目的预测评价范围与调查评价范围一致，生态影响型评价时段为运营期</w:t>
      </w:r>
      <w:r>
        <w:rPr>
          <w:rFonts w:hint="default" w:ascii="Times New Roman" w:hAnsi="Times New Roman" w:eastAsia="宋体" w:cs="Times New Roman"/>
          <w:color w:val="auto"/>
          <w:sz w:val="24"/>
          <w:szCs w:val="24"/>
          <w:highlight w:val="none"/>
          <w:lang w:val="en-US" w:eastAsia="zh-CN"/>
        </w:rPr>
        <w:t>和服务期满后</w:t>
      </w:r>
      <w:r>
        <w:rPr>
          <w:rFonts w:hint="default" w:ascii="Times New Roman" w:hAnsi="Times New Roman" w:eastAsia="宋体" w:cs="Times New Roman"/>
          <w:color w:val="auto"/>
          <w:sz w:val="24"/>
          <w:szCs w:val="24"/>
          <w:highlight w:val="none"/>
          <w:lang w:eastAsia="zh-CN"/>
        </w:rPr>
        <w:t>；污染影响型评价时段为运营期。按项目正常运营和事故状态两种情形为预测情景。</w:t>
      </w:r>
    </w:p>
    <w:p w14:paraId="06DD7732">
      <w:pPr>
        <w:bidi w:val="0"/>
        <w:rPr>
          <w:rFonts w:hint="default" w:ascii="Times New Roman" w:hAnsi="Times New Roman" w:cs="Times New Roman"/>
          <w:color w:val="auto"/>
          <w:sz w:val="24"/>
          <w:szCs w:val="24"/>
          <w:lang w:val="en-US" w:eastAsia="zh-CN"/>
        </w:rPr>
      </w:pPr>
      <w:bookmarkStart w:id="631" w:name="5.2.5.3预测评价因子"/>
      <w:bookmarkEnd w:id="631"/>
      <w:bookmarkStart w:id="632" w:name="5.2.5.3预测评价因子"/>
      <w:bookmarkEnd w:id="632"/>
      <w:r>
        <w:rPr>
          <w:rFonts w:hint="default" w:ascii="Times New Roman" w:hAnsi="Times New Roman" w:cs="Times New Roman"/>
          <w:color w:val="auto"/>
          <w:sz w:val="24"/>
          <w:szCs w:val="24"/>
          <w:lang w:val="en-US" w:eastAsia="zh-CN"/>
        </w:rPr>
        <w:t>（2）预测评价因子</w:t>
      </w:r>
    </w:p>
    <w:p w14:paraId="0F079C41">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采矿区预测评价因子：</w:t>
      </w:r>
      <w:r>
        <w:rPr>
          <w:rFonts w:hint="eastAsia" w:ascii="Times New Roman" w:hAnsi="Times New Roman" w:cs="Times New Roman"/>
          <w:color w:val="auto"/>
          <w:sz w:val="24"/>
          <w:szCs w:val="24"/>
          <w:highlight w:val="none"/>
          <w:lang w:val="en-US" w:eastAsia="zh-CN"/>
        </w:rPr>
        <w:t>铅</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铜、</w:t>
      </w:r>
      <w:r>
        <w:rPr>
          <w:rFonts w:hint="default" w:ascii="Times New Roman" w:hAnsi="Times New Roman" w:eastAsia="宋体" w:cs="Times New Roman"/>
          <w:color w:val="auto"/>
          <w:sz w:val="24"/>
          <w:szCs w:val="24"/>
          <w:highlight w:val="none"/>
          <w:lang w:eastAsia="zh-CN"/>
        </w:rPr>
        <w:t>全盐量。</w:t>
      </w:r>
    </w:p>
    <w:p w14:paraId="6565C2C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本工程</w:t>
      </w:r>
      <w:r>
        <w:rPr>
          <w:rFonts w:hint="default" w:ascii="Times New Roman" w:hAnsi="Times New Roman" w:eastAsia="宋体" w:cs="Times New Roman"/>
          <w:color w:val="auto"/>
          <w:sz w:val="24"/>
          <w:szCs w:val="24"/>
          <w:highlight w:val="none"/>
          <w:lang w:val="en-US" w:eastAsia="zh-CN"/>
        </w:rPr>
        <w:t>废石场</w:t>
      </w:r>
      <w:r>
        <w:rPr>
          <w:rFonts w:hint="default" w:ascii="Times New Roman" w:hAnsi="Times New Roman" w:eastAsia="宋体" w:cs="Times New Roman"/>
          <w:color w:val="auto"/>
          <w:sz w:val="24"/>
          <w:szCs w:val="24"/>
          <w:highlight w:val="none"/>
          <w:lang w:eastAsia="zh-CN"/>
        </w:rPr>
        <w:t>土壤污染以垂直入渗为主，预测评价因子选取</w:t>
      </w:r>
      <w:r>
        <w:rPr>
          <w:rFonts w:hint="eastAsia" w:ascii="Times New Roman" w:hAnsi="Times New Roman" w:cs="Times New Roman"/>
          <w:color w:val="auto"/>
          <w:sz w:val="24"/>
          <w:szCs w:val="24"/>
          <w:highlight w:val="none"/>
          <w:lang w:val="en-US" w:eastAsia="zh-CN"/>
        </w:rPr>
        <w:t>废石浸出最大浓度污染物铅以及本项目特征因子铜。</w:t>
      </w:r>
    </w:p>
    <w:p w14:paraId="490AB39B">
      <w:pPr>
        <w:bidi w:val="0"/>
        <w:rPr>
          <w:rFonts w:hint="default" w:ascii="Times New Roman" w:hAnsi="Times New Roman" w:cs="Times New Roman"/>
          <w:color w:val="auto"/>
          <w:sz w:val="24"/>
          <w:szCs w:val="24"/>
          <w:lang w:val="en-US" w:eastAsia="zh-CN"/>
        </w:rPr>
      </w:pPr>
      <w:bookmarkStart w:id="633" w:name="5.2.5.4预测评价方法及结果分析"/>
      <w:bookmarkEnd w:id="633"/>
      <w:bookmarkStart w:id="634" w:name="5.2.5.4预测评价方法及结果分析"/>
      <w:bookmarkEnd w:id="634"/>
      <w:r>
        <w:rPr>
          <w:rFonts w:hint="default" w:ascii="Times New Roman" w:hAnsi="Times New Roman" w:cs="Times New Roman"/>
          <w:color w:val="auto"/>
          <w:sz w:val="24"/>
          <w:szCs w:val="24"/>
          <w:lang w:val="en-US" w:eastAsia="zh-CN"/>
        </w:rPr>
        <w:t>（3）预测评价方法及结果分析</w:t>
      </w:r>
    </w:p>
    <w:p w14:paraId="0F4ABB50">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铜矿</w:t>
      </w:r>
      <w:r>
        <w:rPr>
          <w:rFonts w:hint="default" w:ascii="Times New Roman" w:hAnsi="Times New Roman" w:eastAsia="宋体" w:cs="Times New Roman"/>
          <w:color w:val="auto"/>
          <w:sz w:val="24"/>
          <w:szCs w:val="24"/>
          <w:highlight w:val="none"/>
          <w:lang w:eastAsia="zh-CN"/>
        </w:rPr>
        <w:t>开采后，地表沉陷将引起地下水水位抬升，可能造成矿内区域盐化进一步发育，本次评价采用《环境影响评价技术导则</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eastAsia="zh-CN"/>
        </w:rPr>
        <w:t>土壤环境（试行）》（HJ964-2018）中附录F“土壤盐化综合评价预测方法”进行预测评价。</w:t>
      </w:r>
    </w:p>
    <w:p w14:paraId="2BA593D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根据表</w:t>
      </w:r>
      <w:r>
        <w:rPr>
          <w:rFonts w:hint="default" w:ascii="Times New Roman" w:hAnsi="Times New Roman" w:eastAsia="宋体" w:cs="Times New Roman"/>
          <w:color w:val="auto"/>
          <w:sz w:val="24"/>
          <w:szCs w:val="24"/>
          <w:highlight w:val="none"/>
          <w:lang w:val="en-US" w:eastAsia="zh-CN"/>
        </w:rPr>
        <w:t>5.7-4</w:t>
      </w:r>
      <w:r>
        <w:rPr>
          <w:rFonts w:hint="default" w:ascii="Times New Roman" w:hAnsi="Times New Roman" w:eastAsia="宋体" w:cs="Times New Roman"/>
          <w:color w:val="auto"/>
          <w:sz w:val="24"/>
          <w:szCs w:val="24"/>
          <w:highlight w:val="none"/>
          <w:lang w:eastAsia="zh-CN"/>
        </w:rPr>
        <w:t>选取各项影响因素的分值与权重，采用下列公式计算土壤盐化综合评分值（Sa）。</w:t>
      </w:r>
    </w:p>
    <w:p w14:paraId="356576CC">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0" w:firstLineChars="0"/>
        <w:jc w:val="center"/>
        <w:textAlignment w:val="auto"/>
        <w:outlineLvl w:val="9"/>
        <w:rPr>
          <w:rFonts w:hint="default" w:ascii="Times New Roman" w:hAnsi="Times New Roman" w:eastAsia="宋体" w:cs="Times New Roman"/>
          <w:i w:val="0"/>
          <w:color w:val="auto"/>
          <w:spacing w:val="0"/>
          <w:w w:val="100"/>
          <w:position w:val="0"/>
          <w:sz w:val="24"/>
        </w:rPr>
      </w:pPr>
      <w:r>
        <w:rPr>
          <w:rFonts w:hint="default" w:ascii="Times New Roman" w:hAnsi="Times New Roman" w:eastAsia="宋体" w:cs="Times New Roman"/>
          <w:i w:val="0"/>
          <w:color w:val="auto"/>
          <w:spacing w:val="0"/>
          <w:w w:val="100"/>
          <w:position w:val="0"/>
          <w:sz w:val="24"/>
        </w:rPr>
        <w:drawing>
          <wp:inline distT="0" distB="0" distL="114300" distR="114300">
            <wp:extent cx="1572895" cy="446405"/>
            <wp:effectExtent l="0" t="0" r="8255" b="10795"/>
            <wp:docPr id="122" name="图片 48" descr="1596026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48" descr="1596026319(1)"/>
                    <pic:cNvPicPr>
                      <a:picLocks noChangeAspect="1"/>
                    </pic:cNvPicPr>
                  </pic:nvPicPr>
                  <pic:blipFill>
                    <a:blip r:embed="rId116"/>
                    <a:stretch>
                      <a:fillRect/>
                    </a:stretch>
                  </pic:blipFill>
                  <pic:spPr>
                    <a:xfrm>
                      <a:off x="0" y="0"/>
                      <a:ext cx="1572895" cy="446405"/>
                    </a:xfrm>
                    <a:prstGeom prst="rect">
                      <a:avLst/>
                    </a:prstGeom>
                    <a:noFill/>
                    <a:ln>
                      <a:noFill/>
                    </a:ln>
                  </pic:spPr>
                </pic:pic>
              </a:graphicData>
            </a:graphic>
          </wp:inline>
        </w:drawing>
      </w:r>
    </w:p>
    <w:p w14:paraId="304BE084">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textAlignment w:val="auto"/>
        <w:outlineLvl w:val="9"/>
        <w:rPr>
          <w:rFonts w:hint="default" w:ascii="Times New Roman" w:hAnsi="Times New Roman" w:eastAsia="宋体" w:cs="Times New Roman"/>
          <w:i w:val="0"/>
          <w:color w:val="auto"/>
          <w:spacing w:val="0"/>
          <w:w w:val="100"/>
          <w:position w:val="0"/>
        </w:rPr>
      </w:pPr>
      <w:r>
        <w:rPr>
          <w:rFonts w:hint="default" w:ascii="Times New Roman" w:hAnsi="Times New Roman" w:eastAsia="宋体" w:cs="Times New Roman"/>
          <w:i w:val="0"/>
          <w:color w:val="auto"/>
          <w:spacing w:val="0"/>
          <w:w w:val="100"/>
          <w:position w:val="0"/>
        </w:rPr>
        <w:t>式中：n——影响因素指标数目；</w:t>
      </w:r>
    </w:p>
    <w:p w14:paraId="0E9C4142">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1200" w:firstLineChars="500"/>
        <w:jc w:val="left"/>
        <w:textAlignment w:val="auto"/>
        <w:outlineLvl w:val="9"/>
        <w:rPr>
          <w:rFonts w:hint="default" w:ascii="Times New Roman" w:hAnsi="Times New Roman" w:eastAsia="宋体" w:cs="Times New Roman"/>
          <w:i w:val="0"/>
          <w:color w:val="auto"/>
          <w:spacing w:val="0"/>
          <w:w w:val="100"/>
          <w:position w:val="0"/>
          <w:vertAlign w:val="baseline"/>
        </w:rPr>
      </w:pPr>
      <w:r>
        <w:rPr>
          <w:rFonts w:hint="default" w:ascii="Times New Roman" w:hAnsi="Times New Roman" w:eastAsia="宋体" w:cs="Times New Roman"/>
          <w:i w:val="0"/>
          <w:color w:val="auto"/>
          <w:spacing w:val="0"/>
          <w:w w:val="100"/>
          <w:position w:val="0"/>
        </w:rPr>
        <w:t>Ix</w:t>
      </w:r>
      <w:r>
        <w:rPr>
          <w:rFonts w:hint="default" w:ascii="Times New Roman" w:hAnsi="Times New Roman" w:eastAsia="宋体" w:cs="Times New Roman"/>
          <w:i w:val="0"/>
          <w:color w:val="auto"/>
          <w:spacing w:val="0"/>
          <w:w w:val="100"/>
          <w:position w:val="0"/>
          <w:vertAlign w:val="subscript"/>
        </w:rPr>
        <w:t>i</w:t>
      </w:r>
      <w:r>
        <w:rPr>
          <w:rFonts w:hint="default" w:ascii="Times New Roman" w:hAnsi="Times New Roman" w:eastAsia="宋体" w:cs="Times New Roman"/>
          <w:i w:val="0"/>
          <w:color w:val="auto"/>
          <w:spacing w:val="0"/>
          <w:w w:val="100"/>
          <w:position w:val="0"/>
          <w:vertAlign w:val="baseline"/>
        </w:rPr>
        <w:t>——影响因素i指标评分；</w:t>
      </w:r>
    </w:p>
    <w:p w14:paraId="58A32AFA">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1200" w:firstLineChars="500"/>
        <w:jc w:val="left"/>
        <w:textAlignment w:val="auto"/>
        <w:outlineLvl w:val="9"/>
        <w:rPr>
          <w:rFonts w:hint="default" w:ascii="Times New Roman" w:hAnsi="Times New Roman" w:eastAsia="宋体" w:cs="Times New Roman"/>
          <w:i w:val="0"/>
          <w:color w:val="auto"/>
          <w:spacing w:val="0"/>
          <w:w w:val="100"/>
          <w:position w:val="0"/>
        </w:rPr>
      </w:pPr>
      <w:r>
        <w:rPr>
          <w:rFonts w:hint="default" w:ascii="Times New Roman" w:hAnsi="Times New Roman" w:eastAsia="宋体" w:cs="Times New Roman"/>
          <w:i w:val="0"/>
          <w:color w:val="auto"/>
          <w:spacing w:val="0"/>
          <w:w w:val="100"/>
          <w:position w:val="0"/>
          <w:vertAlign w:val="baseline"/>
        </w:rPr>
        <w:t>Wx</w:t>
      </w:r>
      <w:r>
        <w:rPr>
          <w:rFonts w:hint="default" w:ascii="Times New Roman" w:hAnsi="Times New Roman" w:eastAsia="宋体" w:cs="Times New Roman"/>
          <w:i w:val="0"/>
          <w:color w:val="auto"/>
          <w:spacing w:val="0"/>
          <w:w w:val="100"/>
          <w:position w:val="0"/>
          <w:vertAlign w:val="subscript"/>
        </w:rPr>
        <w:t>i</w:t>
      </w:r>
      <w:r>
        <w:rPr>
          <w:rFonts w:hint="default" w:ascii="Times New Roman" w:hAnsi="Times New Roman" w:eastAsia="宋体" w:cs="Times New Roman"/>
          <w:i w:val="0"/>
          <w:color w:val="auto"/>
          <w:spacing w:val="0"/>
          <w:w w:val="100"/>
          <w:position w:val="0"/>
          <w:vertAlign w:val="baseline"/>
        </w:rPr>
        <w:t>——影响因素i指标权重。</w:t>
      </w:r>
    </w:p>
    <w:p w14:paraId="41ACDD25">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5.7-4    </w:t>
      </w:r>
      <w:r>
        <w:rPr>
          <w:rFonts w:hint="default" w:ascii="Times New Roman" w:hAnsi="Times New Roman" w:eastAsia="宋体" w:cs="Times New Roman"/>
          <w:b/>
          <w:bCs/>
          <w:color w:val="auto"/>
          <w:spacing w:val="-2"/>
          <w:sz w:val="21"/>
          <w:szCs w:val="21"/>
        </w:rPr>
        <w:t>土壤盐化影响因素赋值表</w:t>
      </w:r>
    </w:p>
    <w:tbl>
      <w:tblPr>
        <w:tblStyle w:val="21"/>
        <w:tblW w:w="8327"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776"/>
        <w:gridCol w:w="1126"/>
        <w:gridCol w:w="1388"/>
        <w:gridCol w:w="1381"/>
        <w:gridCol w:w="1018"/>
        <w:gridCol w:w="638"/>
      </w:tblGrid>
      <w:tr w14:paraId="08C675F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4" w:hRule="atLeast"/>
          <w:jc w:val="center"/>
        </w:trPr>
        <w:tc>
          <w:tcPr>
            <w:tcW w:w="2776" w:type="dxa"/>
            <w:vMerge w:val="restart"/>
            <w:tcBorders>
              <w:bottom w:val="single" w:color="000000" w:sz="4" w:space="0"/>
              <w:right w:val="single" w:color="000000" w:sz="4" w:space="0"/>
            </w:tcBorders>
            <w:vAlign w:val="center"/>
          </w:tcPr>
          <w:p w14:paraId="73E4774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影响因素</w:t>
            </w:r>
          </w:p>
        </w:tc>
        <w:tc>
          <w:tcPr>
            <w:tcW w:w="4913" w:type="dxa"/>
            <w:gridSpan w:val="4"/>
            <w:tcBorders>
              <w:left w:val="single" w:color="000000" w:sz="4" w:space="0"/>
              <w:bottom w:val="single" w:color="000000" w:sz="4" w:space="0"/>
              <w:right w:val="single" w:color="000000" w:sz="4" w:space="0"/>
            </w:tcBorders>
            <w:vAlign w:val="center"/>
          </w:tcPr>
          <w:p w14:paraId="1A3D6A8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i w:val="0"/>
                <w:iCs w:val="0"/>
                <w:color w:val="auto"/>
                <w:w w:val="100"/>
                <w:kern w:val="0"/>
                <w:sz w:val="21"/>
              </w:rPr>
            </w:pPr>
            <w:r>
              <w:rPr>
                <w:rFonts w:hint="default" w:ascii="Times New Roman" w:hAnsi="Times New Roman" w:eastAsia="宋体" w:cs="Times New Roman"/>
                <w:b/>
                <w:bCs/>
                <w:i w:val="0"/>
                <w:iCs w:val="0"/>
                <w:color w:val="auto"/>
                <w:w w:val="100"/>
                <w:kern w:val="0"/>
                <w:sz w:val="21"/>
              </w:rPr>
              <w:t>分值</w:t>
            </w:r>
          </w:p>
        </w:tc>
        <w:tc>
          <w:tcPr>
            <w:tcW w:w="638" w:type="dxa"/>
            <w:vMerge w:val="restart"/>
            <w:tcBorders>
              <w:left w:val="single" w:color="000000" w:sz="4" w:space="0"/>
              <w:bottom w:val="single" w:color="000000" w:sz="4" w:space="0"/>
            </w:tcBorders>
            <w:vAlign w:val="center"/>
          </w:tcPr>
          <w:p w14:paraId="62B9CB6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i w:val="0"/>
                <w:iCs w:val="0"/>
                <w:color w:val="auto"/>
                <w:w w:val="100"/>
                <w:kern w:val="0"/>
                <w:sz w:val="21"/>
              </w:rPr>
            </w:pPr>
            <w:r>
              <w:rPr>
                <w:rFonts w:hint="default" w:ascii="Times New Roman" w:hAnsi="Times New Roman" w:eastAsia="宋体" w:cs="Times New Roman"/>
                <w:b/>
                <w:bCs/>
                <w:i w:val="0"/>
                <w:iCs w:val="0"/>
                <w:color w:val="auto"/>
                <w:w w:val="100"/>
                <w:kern w:val="0"/>
                <w:sz w:val="21"/>
              </w:rPr>
              <w:t>权重</w:t>
            </w:r>
          </w:p>
        </w:tc>
      </w:tr>
      <w:tr w14:paraId="29F7696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jc w:val="center"/>
        </w:trPr>
        <w:tc>
          <w:tcPr>
            <w:tcW w:w="2776" w:type="dxa"/>
            <w:vMerge w:val="continue"/>
            <w:tcBorders>
              <w:top w:val="nil"/>
              <w:bottom w:val="single" w:color="000000" w:sz="4" w:space="0"/>
              <w:right w:val="single" w:color="000000" w:sz="4" w:space="0"/>
            </w:tcBorders>
            <w:vAlign w:val="center"/>
          </w:tcPr>
          <w:p w14:paraId="422B31E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p>
        </w:tc>
        <w:tc>
          <w:tcPr>
            <w:tcW w:w="1126" w:type="dxa"/>
            <w:tcBorders>
              <w:top w:val="single" w:color="000000" w:sz="4" w:space="0"/>
              <w:left w:val="single" w:color="000000" w:sz="4" w:space="0"/>
              <w:bottom w:val="single" w:color="000000" w:sz="4" w:space="0"/>
              <w:right w:val="single" w:color="000000" w:sz="4" w:space="0"/>
            </w:tcBorders>
            <w:vAlign w:val="center"/>
          </w:tcPr>
          <w:p w14:paraId="1626462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0分</w:t>
            </w:r>
          </w:p>
        </w:tc>
        <w:tc>
          <w:tcPr>
            <w:tcW w:w="1388" w:type="dxa"/>
            <w:tcBorders>
              <w:top w:val="single" w:color="000000" w:sz="4" w:space="0"/>
              <w:left w:val="single" w:color="000000" w:sz="4" w:space="0"/>
              <w:bottom w:val="single" w:color="000000" w:sz="4" w:space="0"/>
              <w:right w:val="single" w:color="000000" w:sz="4" w:space="0"/>
            </w:tcBorders>
            <w:vAlign w:val="center"/>
          </w:tcPr>
          <w:p w14:paraId="198CF29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2分</w:t>
            </w:r>
          </w:p>
        </w:tc>
        <w:tc>
          <w:tcPr>
            <w:tcW w:w="1381" w:type="dxa"/>
            <w:tcBorders>
              <w:top w:val="single" w:color="000000" w:sz="4" w:space="0"/>
              <w:left w:val="single" w:color="000000" w:sz="4" w:space="0"/>
              <w:bottom w:val="single" w:color="000000" w:sz="4" w:space="0"/>
              <w:right w:val="single" w:color="000000" w:sz="4" w:space="0"/>
            </w:tcBorders>
            <w:vAlign w:val="center"/>
          </w:tcPr>
          <w:p w14:paraId="7A89774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4分</w:t>
            </w:r>
          </w:p>
        </w:tc>
        <w:tc>
          <w:tcPr>
            <w:tcW w:w="1018" w:type="dxa"/>
            <w:tcBorders>
              <w:top w:val="single" w:color="000000" w:sz="4" w:space="0"/>
              <w:left w:val="single" w:color="000000" w:sz="4" w:space="0"/>
              <w:bottom w:val="single" w:color="000000" w:sz="4" w:space="0"/>
              <w:right w:val="single" w:color="000000" w:sz="4" w:space="0"/>
            </w:tcBorders>
            <w:vAlign w:val="center"/>
          </w:tcPr>
          <w:p w14:paraId="745AB00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6分</w:t>
            </w:r>
          </w:p>
        </w:tc>
        <w:tc>
          <w:tcPr>
            <w:tcW w:w="638" w:type="dxa"/>
            <w:vMerge w:val="continue"/>
            <w:tcBorders>
              <w:top w:val="nil"/>
              <w:left w:val="single" w:color="000000" w:sz="4" w:space="0"/>
              <w:bottom w:val="single" w:color="000000" w:sz="4" w:space="0"/>
            </w:tcBorders>
            <w:vAlign w:val="center"/>
          </w:tcPr>
          <w:p w14:paraId="09067B5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p>
        </w:tc>
      </w:tr>
      <w:tr w14:paraId="70C8D2A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4" w:hRule="atLeast"/>
          <w:jc w:val="center"/>
        </w:trPr>
        <w:tc>
          <w:tcPr>
            <w:tcW w:w="2776" w:type="dxa"/>
            <w:tcBorders>
              <w:top w:val="single" w:color="000000" w:sz="4" w:space="0"/>
              <w:bottom w:val="single" w:color="000000" w:sz="4" w:space="0"/>
              <w:right w:val="single" w:color="000000" w:sz="4" w:space="0"/>
            </w:tcBorders>
            <w:vAlign w:val="center"/>
          </w:tcPr>
          <w:p w14:paraId="531F6A98">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地下水位埋深（GWD）/m</w:t>
            </w:r>
          </w:p>
        </w:tc>
        <w:tc>
          <w:tcPr>
            <w:tcW w:w="1126" w:type="dxa"/>
            <w:tcBorders>
              <w:top w:val="single" w:color="000000" w:sz="4" w:space="0"/>
              <w:left w:val="single" w:color="000000" w:sz="4" w:space="0"/>
              <w:bottom w:val="single" w:color="000000" w:sz="4" w:space="0"/>
              <w:right w:val="single" w:color="000000" w:sz="4" w:space="0"/>
            </w:tcBorders>
            <w:vAlign w:val="center"/>
          </w:tcPr>
          <w:p w14:paraId="2F41752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GWD≥2.5</w:t>
            </w:r>
          </w:p>
        </w:tc>
        <w:tc>
          <w:tcPr>
            <w:tcW w:w="1388" w:type="dxa"/>
            <w:tcBorders>
              <w:top w:val="single" w:color="000000" w:sz="4" w:space="0"/>
              <w:left w:val="single" w:color="000000" w:sz="4" w:space="0"/>
              <w:bottom w:val="single" w:color="000000" w:sz="4" w:space="0"/>
              <w:right w:val="single" w:color="000000" w:sz="4" w:space="0"/>
            </w:tcBorders>
            <w:vAlign w:val="center"/>
          </w:tcPr>
          <w:p w14:paraId="44009F8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1.5≤GWD＜2.5</w:t>
            </w:r>
          </w:p>
        </w:tc>
        <w:tc>
          <w:tcPr>
            <w:tcW w:w="1381" w:type="dxa"/>
            <w:tcBorders>
              <w:top w:val="single" w:color="000000" w:sz="4" w:space="0"/>
              <w:left w:val="single" w:color="000000" w:sz="4" w:space="0"/>
              <w:bottom w:val="single" w:color="000000" w:sz="4" w:space="0"/>
              <w:right w:val="single" w:color="000000" w:sz="4" w:space="0"/>
            </w:tcBorders>
            <w:vAlign w:val="center"/>
          </w:tcPr>
          <w:p w14:paraId="462E86B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1.5≤GWD＜1.5</w:t>
            </w:r>
          </w:p>
        </w:tc>
        <w:tc>
          <w:tcPr>
            <w:tcW w:w="1018" w:type="dxa"/>
            <w:tcBorders>
              <w:top w:val="single" w:color="000000" w:sz="4" w:space="0"/>
              <w:left w:val="single" w:color="000000" w:sz="4" w:space="0"/>
              <w:bottom w:val="single" w:color="000000" w:sz="4" w:space="0"/>
              <w:right w:val="single" w:color="000000" w:sz="4" w:space="0"/>
            </w:tcBorders>
            <w:vAlign w:val="center"/>
          </w:tcPr>
          <w:p w14:paraId="6F9B895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GWD＜1.0</w:t>
            </w:r>
          </w:p>
        </w:tc>
        <w:tc>
          <w:tcPr>
            <w:tcW w:w="638" w:type="dxa"/>
            <w:tcBorders>
              <w:top w:val="single" w:color="000000" w:sz="4" w:space="0"/>
              <w:left w:val="single" w:color="000000" w:sz="4" w:space="0"/>
              <w:bottom w:val="single" w:color="000000" w:sz="4" w:space="0"/>
            </w:tcBorders>
            <w:vAlign w:val="center"/>
          </w:tcPr>
          <w:p w14:paraId="6D24AA82">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0.35</w:t>
            </w:r>
          </w:p>
        </w:tc>
      </w:tr>
      <w:tr w14:paraId="28766E4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jc w:val="center"/>
        </w:trPr>
        <w:tc>
          <w:tcPr>
            <w:tcW w:w="2776" w:type="dxa"/>
            <w:tcBorders>
              <w:top w:val="single" w:color="000000" w:sz="4" w:space="0"/>
              <w:bottom w:val="single" w:color="000000" w:sz="4" w:space="0"/>
              <w:right w:val="single" w:color="000000" w:sz="4" w:space="0"/>
            </w:tcBorders>
            <w:vAlign w:val="center"/>
          </w:tcPr>
          <w:p w14:paraId="32C8862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干燥度（EPR）</w:t>
            </w:r>
          </w:p>
        </w:tc>
        <w:tc>
          <w:tcPr>
            <w:tcW w:w="1126" w:type="dxa"/>
            <w:tcBorders>
              <w:top w:val="single" w:color="000000" w:sz="4" w:space="0"/>
              <w:left w:val="single" w:color="000000" w:sz="4" w:space="0"/>
              <w:bottom w:val="single" w:color="000000" w:sz="4" w:space="0"/>
              <w:right w:val="single" w:color="000000" w:sz="4" w:space="0"/>
            </w:tcBorders>
            <w:vAlign w:val="center"/>
          </w:tcPr>
          <w:p w14:paraId="2EF7174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EPR＜1.2</w:t>
            </w:r>
          </w:p>
        </w:tc>
        <w:tc>
          <w:tcPr>
            <w:tcW w:w="1388" w:type="dxa"/>
            <w:tcBorders>
              <w:top w:val="single" w:color="000000" w:sz="4" w:space="0"/>
              <w:left w:val="single" w:color="000000" w:sz="4" w:space="0"/>
              <w:bottom w:val="single" w:color="000000" w:sz="4" w:space="0"/>
              <w:right w:val="single" w:color="000000" w:sz="4" w:space="0"/>
            </w:tcBorders>
            <w:vAlign w:val="center"/>
          </w:tcPr>
          <w:p w14:paraId="45ED944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1.2≤EPR＜2.5</w:t>
            </w:r>
          </w:p>
        </w:tc>
        <w:tc>
          <w:tcPr>
            <w:tcW w:w="1381" w:type="dxa"/>
            <w:tcBorders>
              <w:top w:val="single" w:color="000000" w:sz="4" w:space="0"/>
              <w:left w:val="single" w:color="000000" w:sz="4" w:space="0"/>
              <w:bottom w:val="single" w:color="000000" w:sz="4" w:space="0"/>
              <w:right w:val="single" w:color="000000" w:sz="4" w:space="0"/>
            </w:tcBorders>
            <w:vAlign w:val="center"/>
          </w:tcPr>
          <w:p w14:paraId="67B1FFC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2.5≤EPR＜6</w:t>
            </w:r>
          </w:p>
        </w:tc>
        <w:tc>
          <w:tcPr>
            <w:tcW w:w="1018" w:type="dxa"/>
            <w:tcBorders>
              <w:top w:val="single" w:color="000000" w:sz="4" w:space="0"/>
              <w:left w:val="single" w:color="000000" w:sz="4" w:space="0"/>
              <w:bottom w:val="single" w:color="000000" w:sz="4" w:space="0"/>
              <w:right w:val="single" w:color="000000" w:sz="4" w:space="0"/>
            </w:tcBorders>
            <w:vAlign w:val="center"/>
          </w:tcPr>
          <w:p w14:paraId="77F6F2E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EPR≥6</w:t>
            </w:r>
          </w:p>
        </w:tc>
        <w:tc>
          <w:tcPr>
            <w:tcW w:w="638" w:type="dxa"/>
            <w:tcBorders>
              <w:top w:val="single" w:color="000000" w:sz="4" w:space="0"/>
              <w:left w:val="single" w:color="000000" w:sz="4" w:space="0"/>
              <w:bottom w:val="single" w:color="000000" w:sz="4" w:space="0"/>
            </w:tcBorders>
            <w:vAlign w:val="center"/>
          </w:tcPr>
          <w:p w14:paraId="03730501">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0.25</w:t>
            </w:r>
          </w:p>
        </w:tc>
      </w:tr>
      <w:tr w14:paraId="42ACCEA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3" w:hRule="atLeast"/>
          <w:jc w:val="center"/>
        </w:trPr>
        <w:tc>
          <w:tcPr>
            <w:tcW w:w="2776" w:type="dxa"/>
            <w:tcBorders>
              <w:top w:val="single" w:color="000000" w:sz="4" w:space="0"/>
              <w:bottom w:val="single" w:color="000000" w:sz="4" w:space="0"/>
              <w:right w:val="single" w:color="000000" w:sz="4" w:space="0"/>
            </w:tcBorders>
            <w:vAlign w:val="center"/>
          </w:tcPr>
          <w:p w14:paraId="1C0CF5B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土壤本底含盐量（SSC）/（g/kg）</w:t>
            </w:r>
          </w:p>
        </w:tc>
        <w:tc>
          <w:tcPr>
            <w:tcW w:w="1126" w:type="dxa"/>
            <w:tcBorders>
              <w:top w:val="single" w:color="000000" w:sz="4" w:space="0"/>
              <w:left w:val="single" w:color="000000" w:sz="4" w:space="0"/>
              <w:bottom w:val="single" w:color="000000" w:sz="4" w:space="0"/>
              <w:right w:val="single" w:color="000000" w:sz="4" w:space="0"/>
            </w:tcBorders>
            <w:vAlign w:val="center"/>
          </w:tcPr>
          <w:p w14:paraId="76EEFA0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SSC＜1.2</w:t>
            </w:r>
          </w:p>
        </w:tc>
        <w:tc>
          <w:tcPr>
            <w:tcW w:w="1388" w:type="dxa"/>
            <w:tcBorders>
              <w:top w:val="single" w:color="000000" w:sz="4" w:space="0"/>
              <w:left w:val="single" w:color="000000" w:sz="4" w:space="0"/>
              <w:bottom w:val="single" w:color="000000" w:sz="4" w:space="0"/>
              <w:right w:val="single" w:color="000000" w:sz="4" w:space="0"/>
            </w:tcBorders>
            <w:vAlign w:val="center"/>
          </w:tcPr>
          <w:p w14:paraId="2B361B12">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1≤SSC＜2</w:t>
            </w:r>
          </w:p>
        </w:tc>
        <w:tc>
          <w:tcPr>
            <w:tcW w:w="1381" w:type="dxa"/>
            <w:tcBorders>
              <w:top w:val="single" w:color="000000" w:sz="4" w:space="0"/>
              <w:left w:val="single" w:color="000000" w:sz="4" w:space="0"/>
              <w:bottom w:val="single" w:color="000000" w:sz="4" w:space="0"/>
              <w:right w:val="single" w:color="000000" w:sz="4" w:space="0"/>
            </w:tcBorders>
            <w:vAlign w:val="center"/>
          </w:tcPr>
          <w:p w14:paraId="1D63287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2≤SSC＜4</w:t>
            </w:r>
          </w:p>
        </w:tc>
        <w:tc>
          <w:tcPr>
            <w:tcW w:w="1018" w:type="dxa"/>
            <w:tcBorders>
              <w:top w:val="single" w:color="000000" w:sz="4" w:space="0"/>
              <w:left w:val="single" w:color="000000" w:sz="4" w:space="0"/>
              <w:bottom w:val="single" w:color="000000" w:sz="4" w:space="0"/>
              <w:right w:val="single" w:color="000000" w:sz="4" w:space="0"/>
            </w:tcBorders>
            <w:vAlign w:val="center"/>
          </w:tcPr>
          <w:p w14:paraId="32CF6040">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SSC≥4</w:t>
            </w:r>
          </w:p>
        </w:tc>
        <w:tc>
          <w:tcPr>
            <w:tcW w:w="638" w:type="dxa"/>
            <w:tcBorders>
              <w:top w:val="single" w:color="000000" w:sz="4" w:space="0"/>
              <w:left w:val="single" w:color="000000" w:sz="4" w:space="0"/>
              <w:bottom w:val="single" w:color="000000" w:sz="4" w:space="0"/>
            </w:tcBorders>
            <w:vAlign w:val="center"/>
          </w:tcPr>
          <w:p w14:paraId="3865202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0.15</w:t>
            </w:r>
          </w:p>
        </w:tc>
      </w:tr>
      <w:tr w14:paraId="6B4C877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03" w:hRule="atLeast"/>
          <w:jc w:val="center"/>
        </w:trPr>
        <w:tc>
          <w:tcPr>
            <w:tcW w:w="2776" w:type="dxa"/>
            <w:tcBorders>
              <w:top w:val="single" w:color="000000" w:sz="4" w:space="0"/>
              <w:bottom w:val="single" w:color="000000" w:sz="4" w:space="0"/>
              <w:right w:val="single" w:color="000000" w:sz="4" w:space="0"/>
            </w:tcBorders>
            <w:vAlign w:val="center"/>
          </w:tcPr>
          <w:p w14:paraId="3434167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地下水溶解性总固体（TDS）/（g/L）</w:t>
            </w:r>
          </w:p>
        </w:tc>
        <w:tc>
          <w:tcPr>
            <w:tcW w:w="1126" w:type="dxa"/>
            <w:tcBorders>
              <w:top w:val="single" w:color="000000" w:sz="4" w:space="0"/>
              <w:left w:val="single" w:color="000000" w:sz="4" w:space="0"/>
              <w:bottom w:val="single" w:color="000000" w:sz="4" w:space="0"/>
              <w:right w:val="single" w:color="000000" w:sz="4" w:space="0"/>
            </w:tcBorders>
            <w:vAlign w:val="center"/>
          </w:tcPr>
          <w:p w14:paraId="0F935DA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TDS＜1</w:t>
            </w:r>
          </w:p>
        </w:tc>
        <w:tc>
          <w:tcPr>
            <w:tcW w:w="1388" w:type="dxa"/>
            <w:tcBorders>
              <w:top w:val="single" w:color="000000" w:sz="4" w:space="0"/>
              <w:left w:val="single" w:color="000000" w:sz="4" w:space="0"/>
              <w:bottom w:val="single" w:color="000000" w:sz="4" w:space="0"/>
              <w:right w:val="single" w:color="000000" w:sz="4" w:space="0"/>
            </w:tcBorders>
            <w:vAlign w:val="center"/>
          </w:tcPr>
          <w:p w14:paraId="5DEC341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1≤TDS＜2</w:t>
            </w:r>
          </w:p>
        </w:tc>
        <w:tc>
          <w:tcPr>
            <w:tcW w:w="1381" w:type="dxa"/>
            <w:tcBorders>
              <w:top w:val="single" w:color="000000" w:sz="4" w:space="0"/>
              <w:left w:val="single" w:color="000000" w:sz="4" w:space="0"/>
              <w:bottom w:val="single" w:color="000000" w:sz="4" w:space="0"/>
              <w:right w:val="single" w:color="000000" w:sz="4" w:space="0"/>
            </w:tcBorders>
            <w:vAlign w:val="center"/>
          </w:tcPr>
          <w:p w14:paraId="42DB16FE">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2≤TDS＜5</w:t>
            </w:r>
          </w:p>
        </w:tc>
        <w:tc>
          <w:tcPr>
            <w:tcW w:w="1018" w:type="dxa"/>
            <w:tcBorders>
              <w:top w:val="single" w:color="000000" w:sz="4" w:space="0"/>
              <w:left w:val="single" w:color="000000" w:sz="4" w:space="0"/>
              <w:bottom w:val="single" w:color="000000" w:sz="4" w:space="0"/>
              <w:right w:val="single" w:color="000000" w:sz="4" w:space="0"/>
            </w:tcBorders>
            <w:vAlign w:val="center"/>
          </w:tcPr>
          <w:p w14:paraId="0C805EB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TDS≥5</w:t>
            </w:r>
          </w:p>
        </w:tc>
        <w:tc>
          <w:tcPr>
            <w:tcW w:w="638" w:type="dxa"/>
            <w:tcBorders>
              <w:top w:val="single" w:color="000000" w:sz="4" w:space="0"/>
              <w:left w:val="single" w:color="000000" w:sz="4" w:space="0"/>
              <w:bottom w:val="single" w:color="000000" w:sz="4" w:space="0"/>
            </w:tcBorders>
            <w:vAlign w:val="center"/>
          </w:tcPr>
          <w:p w14:paraId="465BC89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0.15</w:t>
            </w:r>
          </w:p>
        </w:tc>
      </w:tr>
      <w:tr w14:paraId="5C9AD00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1" w:hRule="atLeast"/>
          <w:jc w:val="center"/>
        </w:trPr>
        <w:tc>
          <w:tcPr>
            <w:tcW w:w="2776" w:type="dxa"/>
            <w:tcBorders>
              <w:top w:val="single" w:color="000000" w:sz="4" w:space="0"/>
              <w:right w:val="single" w:color="000000" w:sz="4" w:space="0"/>
            </w:tcBorders>
            <w:vAlign w:val="center"/>
          </w:tcPr>
          <w:p w14:paraId="2197166E">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土壤质地</w:t>
            </w:r>
          </w:p>
        </w:tc>
        <w:tc>
          <w:tcPr>
            <w:tcW w:w="1126" w:type="dxa"/>
            <w:tcBorders>
              <w:top w:val="single" w:color="000000" w:sz="4" w:space="0"/>
              <w:left w:val="single" w:color="000000" w:sz="4" w:space="0"/>
              <w:right w:val="single" w:color="000000" w:sz="4" w:space="0"/>
            </w:tcBorders>
            <w:vAlign w:val="center"/>
          </w:tcPr>
          <w:p w14:paraId="2A717B5A">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黏土</w:t>
            </w:r>
          </w:p>
        </w:tc>
        <w:tc>
          <w:tcPr>
            <w:tcW w:w="1388" w:type="dxa"/>
            <w:tcBorders>
              <w:top w:val="single" w:color="000000" w:sz="4" w:space="0"/>
              <w:left w:val="single" w:color="000000" w:sz="4" w:space="0"/>
              <w:right w:val="single" w:color="000000" w:sz="4" w:space="0"/>
            </w:tcBorders>
            <w:vAlign w:val="center"/>
          </w:tcPr>
          <w:p w14:paraId="0985C96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砂土</w:t>
            </w:r>
          </w:p>
        </w:tc>
        <w:tc>
          <w:tcPr>
            <w:tcW w:w="1381" w:type="dxa"/>
            <w:tcBorders>
              <w:top w:val="single" w:color="000000" w:sz="4" w:space="0"/>
              <w:left w:val="single" w:color="000000" w:sz="4" w:space="0"/>
              <w:right w:val="single" w:color="000000" w:sz="4" w:space="0"/>
            </w:tcBorders>
            <w:vAlign w:val="center"/>
          </w:tcPr>
          <w:p w14:paraId="49FB360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壤土</w:t>
            </w:r>
          </w:p>
        </w:tc>
        <w:tc>
          <w:tcPr>
            <w:tcW w:w="1018" w:type="dxa"/>
            <w:tcBorders>
              <w:top w:val="single" w:color="000000" w:sz="4" w:space="0"/>
              <w:left w:val="single" w:color="000000" w:sz="4" w:space="0"/>
              <w:right w:val="single" w:color="000000" w:sz="4" w:space="0"/>
            </w:tcBorders>
            <w:vAlign w:val="center"/>
          </w:tcPr>
          <w:p w14:paraId="5E12191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砂壤、粉土、砂粉土</w:t>
            </w:r>
          </w:p>
        </w:tc>
        <w:tc>
          <w:tcPr>
            <w:tcW w:w="638" w:type="dxa"/>
            <w:tcBorders>
              <w:top w:val="single" w:color="000000" w:sz="4" w:space="0"/>
              <w:left w:val="single" w:color="000000" w:sz="4" w:space="0"/>
            </w:tcBorders>
            <w:vAlign w:val="center"/>
          </w:tcPr>
          <w:p w14:paraId="1BA1C1D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color w:val="auto"/>
                <w:w w:val="100"/>
                <w:kern w:val="0"/>
                <w:sz w:val="21"/>
                <w:lang w:val="en-US" w:eastAsia="zh-CN"/>
              </w:rPr>
            </w:pPr>
            <w:r>
              <w:rPr>
                <w:rFonts w:hint="default" w:ascii="Times New Roman" w:hAnsi="Times New Roman" w:eastAsia="宋体" w:cs="Times New Roman"/>
                <w:b w:val="0"/>
                <w:color w:val="auto"/>
                <w:w w:val="100"/>
                <w:kern w:val="0"/>
                <w:sz w:val="21"/>
                <w:lang w:val="en-US" w:eastAsia="zh-CN"/>
              </w:rPr>
              <w:t>0.10</w:t>
            </w:r>
          </w:p>
        </w:tc>
      </w:tr>
    </w:tbl>
    <w:p w14:paraId="47C45D3D">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5.7-5 </w:t>
      </w:r>
      <w:r>
        <w:rPr>
          <w:rFonts w:hint="default" w:ascii="Times New Roman" w:hAnsi="Times New Roman" w:eastAsia="宋体" w:cs="Times New Roman"/>
          <w:b/>
          <w:bCs/>
          <w:color w:val="auto"/>
          <w:spacing w:val="-2"/>
          <w:sz w:val="21"/>
          <w:szCs w:val="21"/>
        </w:rPr>
        <w:t xml:space="preserve"> </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土壤盐化预测表</w:t>
      </w:r>
    </w:p>
    <w:tbl>
      <w:tblPr>
        <w:tblStyle w:val="21"/>
        <w:tblW w:w="8327"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819"/>
        <w:gridCol w:w="927"/>
        <w:gridCol w:w="1125"/>
        <w:gridCol w:w="1215"/>
        <w:gridCol w:w="1083"/>
        <w:gridCol w:w="1158"/>
      </w:tblGrid>
      <w:tr w14:paraId="6E11142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2" w:hRule="atLeast"/>
          <w:jc w:val="center"/>
        </w:trPr>
        <w:tc>
          <w:tcPr>
            <w:tcW w:w="2819" w:type="dxa"/>
            <w:tcBorders>
              <w:bottom w:val="single" w:color="000000" w:sz="4" w:space="0"/>
              <w:right w:val="single" w:color="000000" w:sz="4" w:space="0"/>
            </w:tcBorders>
            <w:vAlign w:val="center"/>
          </w:tcPr>
          <w:p w14:paraId="73AB0E49">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土壤盐化综合评分值（Sa）</w:t>
            </w:r>
          </w:p>
        </w:tc>
        <w:tc>
          <w:tcPr>
            <w:tcW w:w="927" w:type="dxa"/>
            <w:tcBorders>
              <w:left w:val="single" w:color="000000" w:sz="4" w:space="0"/>
              <w:bottom w:val="single" w:color="000000" w:sz="4" w:space="0"/>
              <w:right w:val="single" w:color="000000" w:sz="4" w:space="0"/>
            </w:tcBorders>
            <w:vAlign w:val="center"/>
          </w:tcPr>
          <w:p w14:paraId="1A298316">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Sa＜1</w:t>
            </w:r>
          </w:p>
        </w:tc>
        <w:tc>
          <w:tcPr>
            <w:tcW w:w="1125" w:type="dxa"/>
            <w:tcBorders>
              <w:left w:val="single" w:color="000000" w:sz="4" w:space="0"/>
              <w:bottom w:val="single" w:color="000000" w:sz="4" w:space="0"/>
              <w:right w:val="single" w:color="000000" w:sz="4" w:space="0"/>
            </w:tcBorders>
            <w:vAlign w:val="center"/>
          </w:tcPr>
          <w:p w14:paraId="240ACA2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1≤Sa＜2</w:t>
            </w:r>
          </w:p>
        </w:tc>
        <w:tc>
          <w:tcPr>
            <w:tcW w:w="1215" w:type="dxa"/>
            <w:tcBorders>
              <w:left w:val="single" w:color="000000" w:sz="4" w:space="0"/>
              <w:bottom w:val="single" w:color="000000" w:sz="4" w:space="0"/>
              <w:right w:val="single" w:color="000000" w:sz="4" w:space="0"/>
            </w:tcBorders>
            <w:vAlign w:val="center"/>
          </w:tcPr>
          <w:p w14:paraId="57419D8F">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2≤Sa＜3</w:t>
            </w:r>
          </w:p>
        </w:tc>
        <w:tc>
          <w:tcPr>
            <w:tcW w:w="1083" w:type="dxa"/>
            <w:tcBorders>
              <w:left w:val="single" w:color="000000" w:sz="4" w:space="0"/>
              <w:bottom w:val="single" w:color="000000" w:sz="4" w:space="0"/>
              <w:right w:val="single" w:color="000000" w:sz="4" w:space="0"/>
            </w:tcBorders>
            <w:vAlign w:val="center"/>
          </w:tcPr>
          <w:p w14:paraId="52807D5C">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3≤Sa＜4.5</w:t>
            </w:r>
          </w:p>
        </w:tc>
        <w:tc>
          <w:tcPr>
            <w:tcW w:w="1158" w:type="dxa"/>
            <w:tcBorders>
              <w:left w:val="single" w:color="000000" w:sz="4" w:space="0"/>
              <w:bottom w:val="single" w:color="000000" w:sz="4" w:space="0"/>
            </w:tcBorders>
            <w:vAlign w:val="center"/>
          </w:tcPr>
          <w:p w14:paraId="21DBEC3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bCs/>
                <w:color w:val="auto"/>
                <w:w w:val="100"/>
                <w:kern w:val="0"/>
                <w:sz w:val="21"/>
              </w:rPr>
            </w:pPr>
            <w:r>
              <w:rPr>
                <w:rFonts w:hint="default" w:ascii="Times New Roman" w:hAnsi="Times New Roman" w:eastAsia="宋体" w:cs="Times New Roman"/>
                <w:b/>
                <w:bCs/>
                <w:color w:val="auto"/>
                <w:w w:val="100"/>
                <w:kern w:val="0"/>
                <w:sz w:val="21"/>
              </w:rPr>
              <w:t>Sa≥4.5</w:t>
            </w:r>
          </w:p>
        </w:tc>
      </w:tr>
      <w:tr w14:paraId="654BA9B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3" w:hRule="atLeast"/>
          <w:jc w:val="center"/>
        </w:trPr>
        <w:tc>
          <w:tcPr>
            <w:tcW w:w="2819" w:type="dxa"/>
            <w:tcBorders>
              <w:top w:val="single" w:color="000000" w:sz="4" w:space="0"/>
              <w:right w:val="single" w:color="000000" w:sz="4" w:space="0"/>
            </w:tcBorders>
            <w:vAlign w:val="center"/>
          </w:tcPr>
          <w:p w14:paraId="3CB83DE3">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土壤盐化综合评分预测结果</w:t>
            </w:r>
          </w:p>
        </w:tc>
        <w:tc>
          <w:tcPr>
            <w:tcW w:w="927" w:type="dxa"/>
            <w:tcBorders>
              <w:top w:val="single" w:color="000000" w:sz="4" w:space="0"/>
              <w:left w:val="single" w:color="000000" w:sz="4" w:space="0"/>
              <w:right w:val="single" w:color="000000" w:sz="4" w:space="0"/>
            </w:tcBorders>
            <w:vAlign w:val="center"/>
          </w:tcPr>
          <w:p w14:paraId="31522E75">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未盐化</w:t>
            </w:r>
          </w:p>
        </w:tc>
        <w:tc>
          <w:tcPr>
            <w:tcW w:w="1125" w:type="dxa"/>
            <w:tcBorders>
              <w:top w:val="single" w:color="000000" w:sz="4" w:space="0"/>
              <w:left w:val="single" w:color="000000" w:sz="4" w:space="0"/>
              <w:right w:val="single" w:color="000000" w:sz="4" w:space="0"/>
            </w:tcBorders>
            <w:vAlign w:val="center"/>
          </w:tcPr>
          <w:p w14:paraId="04DFB0C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轻度盐化</w:t>
            </w:r>
          </w:p>
        </w:tc>
        <w:tc>
          <w:tcPr>
            <w:tcW w:w="1215" w:type="dxa"/>
            <w:tcBorders>
              <w:top w:val="single" w:color="000000" w:sz="4" w:space="0"/>
              <w:left w:val="single" w:color="000000" w:sz="4" w:space="0"/>
              <w:right w:val="single" w:color="000000" w:sz="4" w:space="0"/>
            </w:tcBorders>
            <w:vAlign w:val="center"/>
          </w:tcPr>
          <w:p w14:paraId="3E85A92B">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中度盐化</w:t>
            </w:r>
          </w:p>
        </w:tc>
        <w:tc>
          <w:tcPr>
            <w:tcW w:w="1083" w:type="dxa"/>
            <w:tcBorders>
              <w:top w:val="single" w:color="000000" w:sz="4" w:space="0"/>
              <w:left w:val="single" w:color="000000" w:sz="4" w:space="0"/>
              <w:right w:val="single" w:color="000000" w:sz="4" w:space="0"/>
            </w:tcBorders>
            <w:vAlign w:val="center"/>
          </w:tcPr>
          <w:p w14:paraId="10B1AEC4">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重度盐化</w:t>
            </w:r>
          </w:p>
        </w:tc>
        <w:tc>
          <w:tcPr>
            <w:tcW w:w="1158" w:type="dxa"/>
            <w:tcBorders>
              <w:top w:val="single" w:color="000000" w:sz="4" w:space="0"/>
              <w:left w:val="single" w:color="000000" w:sz="4" w:space="0"/>
            </w:tcBorders>
            <w:vAlign w:val="center"/>
          </w:tcPr>
          <w:p w14:paraId="76C6784D">
            <w:pPr>
              <w:pStyle w:val="32"/>
              <w:keepNext w:val="0"/>
              <w:keepLines w:val="0"/>
              <w:pageBreakBefore w:val="0"/>
              <w:widowControl w:val="0"/>
              <w:suppressLineNumbers w:val="0"/>
              <w:kinsoku/>
              <w:wordWrap/>
              <w:overflowPunct/>
              <w:topLinePunct w:val="0"/>
              <w:autoSpaceDE/>
              <w:autoSpaceDN/>
              <w:bidi w:val="0"/>
              <w:adjustRightInd/>
              <w:snapToGrid/>
              <w:spacing w:before="0" w:after="0" w:afterAutospacing="0" w:line="360" w:lineRule="exact"/>
              <w:ind w:left="0" w:right="0" w:firstLine="0" w:firstLineChars="0"/>
              <w:jc w:val="center"/>
              <w:textAlignment w:val="auto"/>
              <w:rPr>
                <w:rFonts w:hint="default" w:ascii="Times New Roman" w:hAnsi="Times New Roman" w:eastAsia="宋体" w:cs="Times New Roman"/>
                <w:b w:val="0"/>
                <w:color w:val="auto"/>
                <w:w w:val="100"/>
                <w:kern w:val="0"/>
                <w:sz w:val="21"/>
              </w:rPr>
            </w:pPr>
            <w:r>
              <w:rPr>
                <w:rFonts w:hint="default" w:ascii="Times New Roman" w:hAnsi="Times New Roman" w:eastAsia="宋体" w:cs="Times New Roman"/>
                <w:b w:val="0"/>
                <w:color w:val="auto"/>
                <w:w w:val="100"/>
                <w:kern w:val="0"/>
                <w:sz w:val="21"/>
              </w:rPr>
              <w:t>极重度盐化</w:t>
            </w:r>
          </w:p>
        </w:tc>
      </w:tr>
    </w:tbl>
    <w:p w14:paraId="7BB2C6B2">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）土壤盐化预测结果分析</w:t>
      </w:r>
    </w:p>
    <w:p w14:paraId="51D0AFD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根据前文水文地质章节描述，采矿区地下水位埋深为大于2.5m，干燥度（蒸降比值）（EPR）约远远大于2.5，本次监测土壤本底含盐量（SSD）/（g/kg）3.8，地下水TDS最大浓度为1930mg/L，土壤质地为</w:t>
      </w:r>
      <w:r>
        <w:rPr>
          <w:rFonts w:hint="default" w:ascii="Times New Roman" w:hAnsi="Times New Roman" w:eastAsia="宋体" w:cs="Times New Roman"/>
          <w:b w:val="0"/>
          <w:color w:val="auto"/>
          <w:w w:val="100"/>
          <w:kern w:val="0"/>
          <w:sz w:val="24"/>
          <w:szCs w:val="24"/>
        </w:rPr>
        <w:t>砂土</w:t>
      </w:r>
      <w:r>
        <w:rPr>
          <w:rFonts w:hint="default" w:ascii="Times New Roman" w:hAnsi="Times New Roman" w:eastAsia="宋体" w:cs="Times New Roman"/>
          <w:color w:val="auto"/>
          <w:sz w:val="24"/>
          <w:szCs w:val="24"/>
          <w:highlight w:val="none"/>
          <w:lang w:val="en-US" w:eastAsia="zh-CN"/>
        </w:rPr>
        <w:t>，计算干燥度、土壤本底含盐量及土壤质地的权重及分值，计算得Sa=2.6，矿区范围内盐化程度为中度盐化</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项目实施不会</w:t>
      </w:r>
      <w:r>
        <w:rPr>
          <w:rFonts w:hint="default" w:ascii="Times New Roman" w:hAnsi="Times New Roman" w:cs="Times New Roman"/>
          <w:color w:val="auto"/>
          <w:sz w:val="24"/>
          <w:szCs w:val="24"/>
          <w:highlight w:val="none"/>
          <w:lang w:val="en-US" w:eastAsia="zh-CN"/>
        </w:rPr>
        <w:t>进一步</w:t>
      </w:r>
      <w:r>
        <w:rPr>
          <w:rFonts w:hint="default" w:ascii="Times New Roman" w:hAnsi="Times New Roman" w:eastAsia="宋体" w:cs="Times New Roman"/>
          <w:color w:val="auto"/>
          <w:sz w:val="24"/>
          <w:szCs w:val="24"/>
          <w:highlight w:val="none"/>
          <w:lang w:val="en-US" w:eastAsia="zh-CN"/>
        </w:rPr>
        <w:t>造成区域土壤明显</w:t>
      </w:r>
      <w:r>
        <w:rPr>
          <w:rFonts w:hint="default" w:ascii="Times New Roman" w:hAnsi="Times New Roman" w:cs="Times New Roman"/>
          <w:color w:val="auto"/>
          <w:sz w:val="24"/>
          <w:szCs w:val="24"/>
          <w:highlight w:val="none"/>
          <w:lang w:val="en-US" w:eastAsia="zh-CN"/>
        </w:rPr>
        <w:t>变化</w:t>
      </w:r>
      <w:r>
        <w:rPr>
          <w:rFonts w:hint="default" w:ascii="Times New Roman" w:hAnsi="Times New Roman" w:eastAsia="宋体" w:cs="Times New Roman"/>
          <w:color w:val="auto"/>
          <w:sz w:val="24"/>
          <w:szCs w:val="24"/>
          <w:highlight w:val="none"/>
          <w:lang w:val="en-US" w:eastAsia="zh-CN"/>
        </w:rPr>
        <w:t>。</w:t>
      </w:r>
    </w:p>
    <w:p w14:paraId="3B417C5A">
      <w:pPr>
        <w:pStyle w:val="5"/>
        <w:keepNext/>
        <w:keepLines/>
        <w:pageBreakBefore w:val="0"/>
        <w:widowControl w:val="0"/>
        <w:numPr>
          <w:ilvl w:val="3"/>
          <w:numId w:val="0"/>
        </w:numPr>
        <w:kinsoku/>
        <w:wordWrap/>
        <w:overflowPunct/>
        <w:topLinePunct w:val="0"/>
        <w:autoSpaceDE/>
        <w:autoSpaceDN/>
        <w:bidi w:val="0"/>
        <w:adjustRightInd/>
        <w:snapToGrid/>
        <w:spacing w:before="0" w:after="0" w:line="480" w:lineRule="exact"/>
        <w:ind w:firstLine="482" w:firstLineChars="200"/>
        <w:jc w:val="both"/>
        <w:textAlignment w:val="auto"/>
        <w:rPr>
          <w:rFonts w:hint="default" w:ascii="Times New Roman" w:hAnsi="Times New Roman" w:eastAsia="宋体" w:cs="Times New Roman"/>
          <w:b/>
          <w:bCs w:val="0"/>
          <w:color w:val="auto"/>
          <w:kern w:val="0"/>
          <w:sz w:val="24"/>
          <w:szCs w:val="24"/>
          <w:highlight w:val="none"/>
          <w:lang w:val="en-US" w:eastAsia="zh-CN"/>
        </w:rPr>
      </w:pPr>
      <w:r>
        <w:rPr>
          <w:rFonts w:hint="default" w:ascii="Times New Roman" w:hAnsi="Times New Roman" w:eastAsia="宋体" w:cs="Times New Roman"/>
          <w:b/>
          <w:bCs w:val="0"/>
          <w:color w:val="auto"/>
          <w:kern w:val="0"/>
          <w:sz w:val="24"/>
          <w:szCs w:val="24"/>
          <w:highlight w:val="none"/>
          <w:lang w:val="en-US" w:eastAsia="zh-CN"/>
        </w:rPr>
        <w:t>5.7.2.</w:t>
      </w:r>
      <w:r>
        <w:rPr>
          <w:rFonts w:hint="default" w:ascii="Times New Roman" w:hAnsi="Times New Roman" w:cs="Times New Roman"/>
          <w:b/>
          <w:bCs w:val="0"/>
          <w:color w:val="auto"/>
          <w:kern w:val="0"/>
          <w:sz w:val="24"/>
          <w:szCs w:val="24"/>
          <w:highlight w:val="none"/>
          <w:lang w:val="en-US" w:eastAsia="zh-CN"/>
        </w:rPr>
        <w:t>2</w:t>
      </w:r>
      <w:r>
        <w:rPr>
          <w:rFonts w:hint="default" w:ascii="Times New Roman" w:hAnsi="Times New Roman" w:eastAsia="宋体" w:cs="Times New Roman"/>
          <w:b/>
          <w:bCs w:val="0"/>
          <w:color w:val="auto"/>
          <w:kern w:val="0"/>
          <w:sz w:val="24"/>
          <w:szCs w:val="24"/>
          <w:highlight w:val="none"/>
          <w:lang w:val="en-US" w:eastAsia="zh-CN"/>
        </w:rPr>
        <w:t>大气沉降对土壤的预测与评价</w:t>
      </w:r>
    </w:p>
    <w:p w14:paraId="33481099">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本工程运营期大气污染物主要为场区作业、废石堆存及运输过程产生的无组织扬尘，主要污染因子为颗粒物，无重金属、有毒有害气态污染物排放，大气沉降对土壤的影响途径主要为扬尘自然沉降附着于地表土壤表层。</w:t>
      </w:r>
    </w:p>
    <w:p w14:paraId="7A49A527">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项目区地处大陆干旱气候区，区域降水稀少、空气干燥、大风天气多发。干旱少雨的气象条件导致大气干湿沉降作用微弱，无持续雨水淋溶、污染物随降水沉降富集土壤的条件；同时区域土壤本身沙性重、通透性强，表层短暂沉降的粉尘无持续累积固化条件，不易造成土壤污染物富集。</w:t>
      </w:r>
    </w:p>
    <w:p w14:paraId="751F0D3A">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工程产生的扬尘主要为原生土石粉尘，成分与区域原有土壤、围岩地质组分基本一致，不含超标重金属及有毒有害物质，沉降后仅轻微改变地表表层土壤容重，不会引发土壤污染、土壤酸化、盐碱化及土壤质量退化等问题。相较于区域原生风沙自然沉降过程，本工程扬尘大气沉降增量有限、影响范围局限，仅集中在场区及周边近距离区域。</w:t>
      </w:r>
    </w:p>
    <w:p w14:paraId="1C1EA43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此外，项目采取场区洒水降尘、废石场全覆盖抑尘、运输车辆密闭及场区防风固沙等防控措施，可大幅削减无组织扬尘排放量，进一步降低大气沉降强度。同时评价区原生植被以猪毛菜、沙生针茅、驼绒藜等耐旱耐风沙沙生植物为主，对地表覆被变化、轻微粉尘沉降具备良好的耐受与适应能力，扬尘沉降不会对植被生长及土壤生态结构造成破坏性影响。</w:t>
      </w:r>
    </w:p>
    <w:p w14:paraId="513ED009">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综上，本工程大气沉降污染物组分简单、排放强度低，叠加区域特殊干旱气象条件及完善的抑尘防护措施后，大气沉降对区域土壤环境质量、土壤结构及土壤生态的累积影响极小，不会造成土壤环境质量超标，土壤环境影响可接受。</w:t>
      </w:r>
    </w:p>
    <w:p w14:paraId="6151F266">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（3）地面漫流土壤污染环境影响分析</w:t>
      </w:r>
    </w:p>
    <w:p w14:paraId="0E4753FE">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本工程地表漫流对土壤的影响主要为废石场淋溶水地表漫流。</w:t>
      </w:r>
    </w:p>
    <w:p w14:paraId="34E788BB">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本工程施工期及运营期对土壤环境的影响主要来源于废石场堆存过程中淋溶水地表漫流、场区地表径流冲刷及占地扰动等因素，其中以废石场淋溶水地表漫流为主要影响途径。</w:t>
      </w:r>
    </w:p>
    <w:p w14:paraId="31BC2E2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项目区域属于典型大陆干旱气候，具有干旱少雨、蒸发量大、多风少降水的气候特征，区域多年平均降水量仅38.6mm，而多年平均蒸发量高达2639.7mm，蒸发量远大于降水量。极端干旱的气象条件使得场区大气降水入渗及地表产流能力极弱，废石堆存过程中基本无持续、稳定的淋溶水产生，仅在极端短时降水条件下可能产生微量地表漫流，淋溶水量整体可忽略不计。</w:t>
      </w:r>
    </w:p>
    <w:p w14:paraId="54D55959">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本项目产生的废石为一般工业固废，不属于危险废物，废石本身重金属及有毒有害污染物含量极低，无高浓度污染物浸出风险。在无大量淋溶水持续冲刷、浸泡的条件下，废石中微量污染物难以随水体迁移进入周边土壤，不会造成土壤污染累积、酸化、盐碱化或重金属超标等环境问题。</w:t>
      </w:r>
    </w:p>
    <w:p w14:paraId="4F2EC6DB">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同时，工程废石场设置拦挡、截排水及防渗、抑尘等防护措施，可有效阻断地表漫流扩散路径，进一步削弱淋溶水对周边土壤的冲刷与浸润影响。工程占地范围内土壤扰动为局部、暂时性影响，施工结束后通过场地平整、植被恢复等措施可逐步恢复土壤结构与生态功能。</w:t>
      </w:r>
    </w:p>
    <w:p w14:paraId="48EE9315">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4"/>
          <w:szCs w:val="24"/>
          <w:lang w:val="en-US" w:eastAsia="zh-CN" w:bidi="ar"/>
        </w:rPr>
        <w:t>综上，结合项目干旱少雨的区域气候特征、废石属性及场区防护措施，本工程废石场淋溶水地表漫流对区域土壤环境的影响程度极小，不会改变区域土壤环境质量现状，土壤环境影响整体可接受。</w:t>
      </w:r>
    </w:p>
    <w:p w14:paraId="0D7B7946">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（4）垂直入渗土壤污染环境影响分析</w:t>
      </w:r>
    </w:p>
    <w:p w14:paraId="554E6B2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本工程土壤污染源包括工业场地等。危废暂存间、矿井水沉淀池在事故情况下，会造成物料、污染物等的</w:t>
      </w:r>
      <w:r>
        <w:rPr>
          <w:rFonts w:hint="eastAsia" w:ascii="Times New Roman" w:hAnsi="Times New Roman" w:cs="Times New Roman"/>
          <w:color w:val="auto"/>
          <w:sz w:val="24"/>
          <w:szCs w:val="24"/>
          <w:highlight w:val="none"/>
          <w:lang w:val="en-US" w:eastAsia="zh-CN"/>
        </w:rPr>
        <w:t>泄漏</w:t>
      </w:r>
      <w:r>
        <w:rPr>
          <w:rFonts w:hint="default" w:ascii="Times New Roman" w:hAnsi="Times New Roman" w:eastAsia="宋体" w:cs="Times New Roman"/>
          <w:color w:val="auto"/>
          <w:sz w:val="24"/>
          <w:szCs w:val="24"/>
          <w:highlight w:val="none"/>
          <w:lang w:val="en-US" w:eastAsia="zh-CN"/>
        </w:rPr>
        <w:t>，通过垂直入渗进一步污染土壤。</w:t>
      </w:r>
    </w:p>
    <w:p w14:paraId="7FF7C7B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根据《环境影响评价技术导则 土壤环境（试行）》（HJ964-2018）附录E，确定预测方法如下：</w:t>
      </w:r>
    </w:p>
    <w:p w14:paraId="0F404BD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①单位质量土壤中某种物质的增量可用下式计算：</w:t>
      </w:r>
    </w:p>
    <w:p w14:paraId="10DD2C50">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△S=n（Is-Ls-Rs）/（ρb×A×D）</w:t>
      </w:r>
    </w:p>
    <w:p w14:paraId="68A71822">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0" w:firstLineChars="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式中：△S——单位质量表层土壤中某种物质的增量，g/kg；</w:t>
      </w:r>
    </w:p>
    <w:p w14:paraId="4A6ABDA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Is——预测评价范围内单位年份表层土壤中某种物质的输入量，g；</w:t>
      </w:r>
    </w:p>
    <w:p w14:paraId="1036D206">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Ls——预测评价范围内单位年份土壤中某种物质经淋溶排出的量，g；</w:t>
      </w:r>
    </w:p>
    <w:p w14:paraId="70215714">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Rs——预测评价范围内单位年份表层土壤中某种物质经径流排出的量，g；</w:t>
      </w:r>
    </w:p>
    <w:p w14:paraId="0FF2B738">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ρb——表层土壤容重，kg/m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14:paraId="01849F0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D——表层土壤深度，一般取0.2m，可根据实际情况适当调整；</w:t>
      </w:r>
    </w:p>
    <w:p w14:paraId="266DAEAA">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720" w:firstLineChars="3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N——持续年份，a。</w:t>
      </w:r>
    </w:p>
    <w:p w14:paraId="63557674">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②单位质量土壤中某种物质的预测值可根据其增量叠加现状值进行计算，如式：</w:t>
      </w:r>
    </w:p>
    <w:p w14:paraId="610719DB">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0" w:firstLineChars="0"/>
        <w:jc w:val="center"/>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S=Sb+△S</w:t>
      </w:r>
    </w:p>
    <w:p w14:paraId="18777C91">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0" w:firstLineChars="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式中：Sb——单位质量土壤中某种物质的现状值，g/kg；</w:t>
      </w:r>
    </w:p>
    <w:p w14:paraId="4B3B6662">
      <w:pPr>
        <w:pStyle w:val="9"/>
        <w:keepNext w:val="0"/>
        <w:keepLines w:val="0"/>
        <w:pageBreakBefore w:val="0"/>
        <w:widowControl w:val="0"/>
        <w:kinsoku/>
        <w:wordWrap/>
        <w:overflowPunct/>
        <w:topLinePunct w:val="0"/>
        <w:autoSpaceDE/>
        <w:autoSpaceDN/>
        <w:bidi w:val="0"/>
        <w:adjustRightInd/>
        <w:snapToGrid/>
        <w:spacing w:after="0" w:line="480" w:lineRule="exact"/>
        <w:ind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S——单位质量土壤中某种物质的预测值，g/kg。</w:t>
      </w:r>
    </w:p>
    <w:p w14:paraId="63CFC16C">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③模型参数</w:t>
      </w:r>
    </w:p>
    <w:p w14:paraId="0A55B8EF">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Is：废石浸出试验中的汞含量为0.00043mg/L，根据当地气象资料可知，本工程区域年降水量为38.6mm，废石场汇水面积以</w:t>
      </w:r>
      <w:r>
        <w:rPr>
          <w:rFonts w:hint="default" w:ascii="Times New Roman" w:hAnsi="Times New Roman" w:eastAsia="宋体" w:cs="Times New Roman"/>
          <w:color w:val="auto"/>
          <w:kern w:val="0"/>
          <w:sz w:val="24"/>
          <w:szCs w:val="24"/>
          <w:highlight w:val="none"/>
          <w:lang w:val="en-US" w:eastAsia="zh-CN"/>
        </w:rPr>
        <w:t>4</w:t>
      </w:r>
      <w:r>
        <w:rPr>
          <w:rFonts w:hint="eastAsia" w:ascii="Times New Roman" w:hAnsi="Times New Roman" w:cs="Times New Roman"/>
          <w:color w:val="auto"/>
          <w:kern w:val="0"/>
          <w:sz w:val="24"/>
          <w:szCs w:val="24"/>
          <w:highlight w:val="none"/>
          <w:lang w:val="en-US" w:eastAsia="zh-CN"/>
        </w:rPr>
        <w:t>7590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计；</w:t>
      </w:r>
    </w:p>
    <w:p w14:paraId="0A5AEAF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Ls：按最不利情景，不考虑排出量，取值0；</w:t>
      </w:r>
    </w:p>
    <w:p w14:paraId="6AF8C9B0">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Rs：按最不利情景，不考虑排出量，取值0；</w:t>
      </w:r>
    </w:p>
    <w:p w14:paraId="3A581A27">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ρb：根据土壤理化特性调查，本工程土壤容重为1.2g/cm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14:paraId="75155936">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A：取值</w:t>
      </w:r>
      <w:r>
        <w:rPr>
          <w:rFonts w:hint="eastAsia" w:ascii="Times New Roman" w:hAnsi="Times New Roman" w:cs="Times New Roman"/>
          <w:color w:val="auto"/>
          <w:sz w:val="24"/>
          <w:szCs w:val="24"/>
          <w:highlight w:val="none"/>
          <w:lang w:val="en-US" w:eastAsia="zh-CN"/>
        </w:rPr>
        <w:t>2.7131k</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p>
    <w:p w14:paraId="19F0E9E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D：取0.2m；</w:t>
      </w:r>
    </w:p>
    <w:p w14:paraId="61F14826">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Sb：根据土壤现状监测数据，土壤中</w:t>
      </w:r>
      <w:r>
        <w:rPr>
          <w:rFonts w:hint="eastAsia" w:ascii="Times New Roman" w:hAnsi="Times New Roman" w:cs="Times New Roman"/>
          <w:color w:val="auto"/>
          <w:sz w:val="24"/>
          <w:szCs w:val="24"/>
          <w:highlight w:val="none"/>
          <w:lang w:val="en-US" w:eastAsia="zh-CN"/>
        </w:rPr>
        <w:t>铜和铅的</w:t>
      </w:r>
      <w:r>
        <w:rPr>
          <w:rFonts w:hint="default" w:ascii="Times New Roman" w:hAnsi="Times New Roman" w:eastAsia="宋体" w:cs="Times New Roman"/>
          <w:color w:val="auto"/>
          <w:sz w:val="24"/>
          <w:szCs w:val="24"/>
          <w:highlight w:val="none"/>
          <w:lang w:val="en-US" w:eastAsia="zh-CN"/>
        </w:rPr>
        <w:t>含量</w:t>
      </w:r>
      <w:r>
        <w:rPr>
          <w:rFonts w:hint="eastAsia" w:ascii="Times New Roman" w:hAnsi="Times New Roman" w:cs="Times New Roman"/>
          <w:color w:val="auto"/>
          <w:sz w:val="24"/>
          <w:szCs w:val="24"/>
          <w:highlight w:val="none"/>
          <w:lang w:val="en-US" w:eastAsia="zh-CN"/>
        </w:rPr>
        <w:t>分别</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cs="Times New Roman"/>
          <w:b w:val="0"/>
          <w:bCs w:val="0"/>
          <w:color w:val="auto"/>
          <w:sz w:val="24"/>
          <w:szCs w:val="24"/>
          <w:highlight w:val="none"/>
          <w:lang w:val="en-US" w:eastAsia="zh-CN"/>
        </w:rPr>
        <w:t>21</w:t>
      </w:r>
      <w:r>
        <w:rPr>
          <w:rFonts w:hint="default" w:ascii="Times New Roman" w:hAnsi="Times New Roman" w:eastAsia="宋体" w:cs="Times New Roman"/>
          <w:b w:val="0"/>
          <w:bCs w:val="0"/>
          <w:color w:val="auto"/>
          <w:kern w:val="0"/>
          <w:sz w:val="21"/>
          <w:szCs w:val="21"/>
          <w:highlight w:val="none"/>
          <w:lang w:val="zh-CN"/>
        </w:rPr>
        <w:t>mg/kg</w:t>
      </w:r>
      <w:r>
        <w:rPr>
          <w:rFonts w:hint="eastAsia" w:ascii="Times New Roman" w:hAnsi="Times New Roman" w:cs="Times New Roman"/>
          <w:b w:val="0"/>
          <w:bCs w:val="0"/>
          <w:color w:val="auto"/>
          <w:sz w:val="24"/>
          <w:szCs w:val="24"/>
          <w:highlight w:val="none"/>
          <w:lang w:val="en-US" w:eastAsia="zh-CN"/>
        </w:rPr>
        <w:t>、22.2</w:t>
      </w:r>
      <w:r>
        <w:rPr>
          <w:rFonts w:hint="default" w:ascii="Times New Roman" w:hAnsi="Times New Roman" w:eastAsia="宋体" w:cs="Times New Roman"/>
          <w:b w:val="0"/>
          <w:bCs w:val="0"/>
          <w:color w:val="auto"/>
          <w:kern w:val="0"/>
          <w:sz w:val="21"/>
          <w:szCs w:val="21"/>
          <w:highlight w:val="none"/>
          <w:lang w:val="zh-CN"/>
        </w:rPr>
        <w:t>mg/kg</w:t>
      </w:r>
      <w:r>
        <w:rPr>
          <w:rFonts w:hint="default" w:ascii="Times New Roman" w:hAnsi="Times New Roman" w:eastAsia="宋体" w:cs="Times New Roman"/>
          <w:color w:val="auto"/>
          <w:sz w:val="24"/>
          <w:szCs w:val="24"/>
          <w:highlight w:val="none"/>
          <w:lang w:val="en-US" w:eastAsia="zh-CN"/>
        </w:rPr>
        <w:t>；</w:t>
      </w:r>
    </w:p>
    <w:p w14:paraId="5EE292CA">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将上述参数带入公式，分别计算工程运行10年、20年累积量，并叠加现状背景值，累计影响见表5.7-6。</w:t>
      </w:r>
    </w:p>
    <w:p w14:paraId="50311DB2">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表5.7-6    汞对土壤的累计影响</w:t>
      </w:r>
    </w:p>
    <w:tbl>
      <w:tblPr>
        <w:tblStyle w:val="22"/>
        <w:tblW w:w="85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382"/>
        <w:gridCol w:w="1406"/>
        <w:gridCol w:w="1614"/>
        <w:gridCol w:w="1328"/>
        <w:gridCol w:w="1406"/>
      </w:tblGrid>
      <w:tr w14:paraId="658F3E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tcBorders>
              <w:tl2br w:val="nil"/>
              <w:tr2bl w:val="nil"/>
            </w:tcBorders>
            <w:vAlign w:val="center"/>
          </w:tcPr>
          <w:p w14:paraId="6D8A8A94">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特征因子</w:t>
            </w:r>
          </w:p>
        </w:tc>
        <w:tc>
          <w:tcPr>
            <w:tcW w:w="1382" w:type="dxa"/>
            <w:tcBorders>
              <w:tl2br w:val="nil"/>
              <w:tr2bl w:val="nil"/>
            </w:tcBorders>
            <w:vAlign w:val="center"/>
          </w:tcPr>
          <w:p w14:paraId="66891FF3">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持续年限</w:t>
            </w:r>
          </w:p>
        </w:tc>
        <w:tc>
          <w:tcPr>
            <w:tcW w:w="1406" w:type="dxa"/>
            <w:tcBorders>
              <w:tl2br w:val="nil"/>
              <w:tr2bl w:val="nil"/>
            </w:tcBorders>
            <w:vAlign w:val="center"/>
          </w:tcPr>
          <w:p w14:paraId="5CD083CA">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△S（g/kg）</w:t>
            </w:r>
          </w:p>
        </w:tc>
        <w:tc>
          <w:tcPr>
            <w:tcW w:w="1614" w:type="dxa"/>
            <w:tcBorders>
              <w:tl2br w:val="nil"/>
              <w:tr2bl w:val="nil"/>
            </w:tcBorders>
            <w:vAlign w:val="center"/>
          </w:tcPr>
          <w:p w14:paraId="2D8DE4E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Sb（</w:t>
            </w: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eastAsia="宋体" w:cs="Times New Roman"/>
                <w:b/>
                <w:bCs/>
                <w:color w:val="auto"/>
                <w:sz w:val="21"/>
                <w:szCs w:val="21"/>
                <w:highlight w:val="none"/>
                <w:vertAlign w:val="baseline"/>
                <w:lang w:val="en-US" w:eastAsia="zh-CN"/>
              </w:rPr>
              <w:t>g/kg）</w:t>
            </w:r>
          </w:p>
        </w:tc>
        <w:tc>
          <w:tcPr>
            <w:tcW w:w="1328" w:type="dxa"/>
            <w:tcBorders>
              <w:tl2br w:val="nil"/>
              <w:tr2bl w:val="nil"/>
            </w:tcBorders>
            <w:vAlign w:val="center"/>
          </w:tcPr>
          <w:p w14:paraId="7610AC1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S（</w:t>
            </w: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eastAsia="宋体" w:cs="Times New Roman"/>
                <w:b/>
                <w:bCs/>
                <w:color w:val="auto"/>
                <w:sz w:val="21"/>
                <w:szCs w:val="21"/>
                <w:highlight w:val="none"/>
                <w:vertAlign w:val="baseline"/>
                <w:lang w:val="en-US" w:eastAsia="zh-CN"/>
              </w:rPr>
              <w:t>g/kg）</w:t>
            </w:r>
          </w:p>
        </w:tc>
        <w:tc>
          <w:tcPr>
            <w:tcW w:w="1406" w:type="dxa"/>
            <w:tcBorders>
              <w:tl2br w:val="nil"/>
              <w:tr2bl w:val="nil"/>
            </w:tcBorders>
            <w:vAlign w:val="center"/>
          </w:tcPr>
          <w:p w14:paraId="7217CAF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筛选值评价标准（</w:t>
            </w:r>
            <w:r>
              <w:rPr>
                <w:rFonts w:hint="eastAsia" w:ascii="Times New Roman" w:hAnsi="Times New Roman" w:cs="Times New Roman"/>
                <w:b/>
                <w:bCs/>
                <w:color w:val="auto"/>
                <w:sz w:val="21"/>
                <w:szCs w:val="21"/>
                <w:highlight w:val="none"/>
                <w:vertAlign w:val="baseline"/>
                <w:lang w:val="en-US" w:eastAsia="zh-CN"/>
              </w:rPr>
              <w:t>m</w:t>
            </w:r>
            <w:r>
              <w:rPr>
                <w:rFonts w:hint="default" w:ascii="Times New Roman" w:hAnsi="Times New Roman" w:eastAsia="宋体" w:cs="Times New Roman"/>
                <w:b/>
                <w:bCs/>
                <w:color w:val="auto"/>
                <w:sz w:val="21"/>
                <w:szCs w:val="21"/>
                <w:highlight w:val="none"/>
                <w:vertAlign w:val="baseline"/>
                <w:lang w:val="en-US" w:eastAsia="zh-CN"/>
              </w:rPr>
              <w:t>g/kg）</w:t>
            </w:r>
          </w:p>
        </w:tc>
      </w:tr>
      <w:tr w14:paraId="1229C0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restart"/>
            <w:tcBorders>
              <w:tl2br w:val="nil"/>
              <w:tr2bl w:val="nil"/>
            </w:tcBorders>
            <w:vAlign w:val="center"/>
          </w:tcPr>
          <w:p w14:paraId="7A68325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铜</w:t>
            </w:r>
          </w:p>
        </w:tc>
        <w:tc>
          <w:tcPr>
            <w:tcW w:w="1382" w:type="dxa"/>
            <w:tcBorders>
              <w:tl2br w:val="nil"/>
              <w:tr2bl w:val="nil"/>
            </w:tcBorders>
            <w:vAlign w:val="center"/>
          </w:tcPr>
          <w:p w14:paraId="29831A1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单位年限</w:t>
            </w:r>
          </w:p>
        </w:tc>
        <w:tc>
          <w:tcPr>
            <w:tcW w:w="1406" w:type="dxa"/>
            <w:tcBorders>
              <w:tl2br w:val="nil"/>
              <w:tr2bl w:val="nil"/>
            </w:tcBorders>
            <w:vAlign w:val="center"/>
          </w:tcPr>
          <w:p w14:paraId="7457088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w:t>
            </w:r>
            <w:r>
              <w:rPr>
                <w:rFonts w:hint="default"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vertAlign w:val="baseline"/>
                <w:lang w:val="en-US" w:eastAsia="zh-CN"/>
              </w:rPr>
              <w:t>64</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cs="Times New Roman"/>
                <w:color w:val="auto"/>
                <w:sz w:val="21"/>
                <w:szCs w:val="21"/>
                <w:highlight w:val="none"/>
                <w:vertAlign w:val="superscript"/>
                <w:lang w:val="en-US" w:eastAsia="zh-CN"/>
              </w:rPr>
              <w:t>7</w:t>
            </w:r>
          </w:p>
        </w:tc>
        <w:tc>
          <w:tcPr>
            <w:tcW w:w="1614" w:type="dxa"/>
            <w:tcBorders>
              <w:tl2br w:val="nil"/>
              <w:tr2bl w:val="nil"/>
            </w:tcBorders>
            <w:vAlign w:val="center"/>
          </w:tcPr>
          <w:p w14:paraId="3B00B0A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w:t>
            </w:r>
          </w:p>
        </w:tc>
        <w:tc>
          <w:tcPr>
            <w:tcW w:w="1328" w:type="dxa"/>
            <w:tcBorders>
              <w:tl2br w:val="nil"/>
              <w:tr2bl w:val="nil"/>
            </w:tcBorders>
            <w:vAlign w:val="center"/>
          </w:tcPr>
          <w:p w14:paraId="7E93B9C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21.0006</w:t>
            </w:r>
          </w:p>
        </w:tc>
        <w:tc>
          <w:tcPr>
            <w:tcW w:w="1406" w:type="dxa"/>
            <w:tcBorders>
              <w:tl2br w:val="nil"/>
              <w:tr2bl w:val="nil"/>
            </w:tcBorders>
            <w:vAlign w:val="center"/>
          </w:tcPr>
          <w:p w14:paraId="18D8237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18000</w:t>
            </w:r>
          </w:p>
        </w:tc>
      </w:tr>
      <w:tr w14:paraId="52547E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tcBorders>
              <w:tl2br w:val="nil"/>
              <w:tr2bl w:val="nil"/>
            </w:tcBorders>
            <w:vAlign w:val="center"/>
          </w:tcPr>
          <w:p w14:paraId="5E0B6A6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1382" w:type="dxa"/>
            <w:tcBorders>
              <w:tl2br w:val="nil"/>
              <w:tr2bl w:val="nil"/>
            </w:tcBorders>
            <w:vAlign w:val="center"/>
          </w:tcPr>
          <w:p w14:paraId="0EB2EDE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10年</w:t>
            </w:r>
          </w:p>
        </w:tc>
        <w:tc>
          <w:tcPr>
            <w:tcW w:w="1406" w:type="dxa"/>
            <w:tcBorders>
              <w:tl2br w:val="nil"/>
              <w:tr2bl w:val="nil"/>
            </w:tcBorders>
            <w:vAlign w:val="center"/>
          </w:tcPr>
          <w:p w14:paraId="0944331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w:t>
            </w:r>
            <w:r>
              <w:rPr>
                <w:rFonts w:hint="default" w:ascii="Times New Roman" w:hAnsi="Times New Roman" w:eastAsia="宋体" w:cs="Times New Roman"/>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vertAlign w:val="baseline"/>
                <w:lang w:val="en-US" w:eastAsia="zh-CN"/>
              </w:rPr>
              <w:t>64</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eastAsia="宋体" w:cs="Times New Roman"/>
                <w:color w:val="auto"/>
                <w:sz w:val="21"/>
                <w:szCs w:val="21"/>
                <w:highlight w:val="none"/>
                <w:vertAlign w:val="superscript"/>
                <w:lang w:val="en-US" w:eastAsia="zh-CN"/>
              </w:rPr>
              <w:t>6</w:t>
            </w:r>
          </w:p>
        </w:tc>
        <w:tc>
          <w:tcPr>
            <w:tcW w:w="1614" w:type="dxa"/>
            <w:tcBorders>
              <w:tl2br w:val="nil"/>
              <w:tr2bl w:val="nil"/>
            </w:tcBorders>
            <w:vAlign w:val="center"/>
          </w:tcPr>
          <w:p w14:paraId="744B9B7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w:t>
            </w:r>
          </w:p>
        </w:tc>
        <w:tc>
          <w:tcPr>
            <w:tcW w:w="1328" w:type="dxa"/>
            <w:tcBorders>
              <w:tl2br w:val="nil"/>
              <w:tr2bl w:val="nil"/>
            </w:tcBorders>
            <w:shd w:val="clear" w:color="auto" w:fill="auto"/>
            <w:vAlign w:val="center"/>
          </w:tcPr>
          <w:p w14:paraId="25AA379F">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21.0056</w:t>
            </w:r>
          </w:p>
        </w:tc>
        <w:tc>
          <w:tcPr>
            <w:tcW w:w="1406" w:type="dxa"/>
            <w:tcBorders>
              <w:tl2br w:val="nil"/>
              <w:tr2bl w:val="nil"/>
            </w:tcBorders>
            <w:vAlign w:val="center"/>
          </w:tcPr>
          <w:p w14:paraId="65FF15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18000</w:t>
            </w:r>
          </w:p>
        </w:tc>
      </w:tr>
      <w:tr w14:paraId="3209CD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tcBorders>
              <w:tl2br w:val="nil"/>
              <w:tr2bl w:val="nil"/>
            </w:tcBorders>
            <w:vAlign w:val="center"/>
          </w:tcPr>
          <w:p w14:paraId="02E8113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1382" w:type="dxa"/>
            <w:tcBorders>
              <w:tl2br w:val="nil"/>
              <w:tr2bl w:val="nil"/>
            </w:tcBorders>
            <w:vAlign w:val="center"/>
          </w:tcPr>
          <w:p w14:paraId="386C535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20年</w:t>
            </w:r>
          </w:p>
        </w:tc>
        <w:tc>
          <w:tcPr>
            <w:tcW w:w="1406" w:type="dxa"/>
            <w:tcBorders>
              <w:tl2br w:val="nil"/>
              <w:tr2bl w:val="nil"/>
            </w:tcBorders>
            <w:vAlign w:val="center"/>
          </w:tcPr>
          <w:p w14:paraId="23413B95">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1.13</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cs="Times New Roman"/>
                <w:color w:val="auto"/>
                <w:sz w:val="21"/>
                <w:szCs w:val="21"/>
                <w:highlight w:val="none"/>
                <w:vertAlign w:val="superscript"/>
                <w:lang w:val="en-US" w:eastAsia="zh-CN"/>
              </w:rPr>
              <w:t>5</w:t>
            </w:r>
          </w:p>
        </w:tc>
        <w:tc>
          <w:tcPr>
            <w:tcW w:w="1614" w:type="dxa"/>
            <w:tcBorders>
              <w:tl2br w:val="nil"/>
              <w:tr2bl w:val="nil"/>
            </w:tcBorders>
            <w:vAlign w:val="center"/>
          </w:tcPr>
          <w:p w14:paraId="285D28A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21</w:t>
            </w:r>
          </w:p>
        </w:tc>
        <w:tc>
          <w:tcPr>
            <w:tcW w:w="1328" w:type="dxa"/>
            <w:tcBorders>
              <w:tl2br w:val="nil"/>
              <w:tr2bl w:val="nil"/>
            </w:tcBorders>
            <w:shd w:val="clear" w:color="auto" w:fill="auto"/>
            <w:vAlign w:val="center"/>
          </w:tcPr>
          <w:p w14:paraId="365B8E0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cs="Times New Roman"/>
                <w:color w:val="auto"/>
                <w:sz w:val="21"/>
                <w:szCs w:val="21"/>
                <w:highlight w:val="none"/>
                <w:vertAlign w:val="baseline"/>
                <w:lang w:val="en-US" w:eastAsia="zh-CN"/>
              </w:rPr>
              <w:t>21.0113</w:t>
            </w:r>
          </w:p>
        </w:tc>
        <w:tc>
          <w:tcPr>
            <w:tcW w:w="1406" w:type="dxa"/>
            <w:tcBorders>
              <w:tl2br w:val="nil"/>
              <w:tr2bl w:val="nil"/>
            </w:tcBorders>
            <w:vAlign w:val="center"/>
          </w:tcPr>
          <w:p w14:paraId="63201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18000</w:t>
            </w:r>
          </w:p>
        </w:tc>
      </w:tr>
      <w:tr w14:paraId="37AF6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restart"/>
            <w:tcBorders>
              <w:tl2br w:val="nil"/>
              <w:tr2bl w:val="nil"/>
            </w:tcBorders>
            <w:vAlign w:val="center"/>
          </w:tcPr>
          <w:p w14:paraId="270421EC">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铅</w:t>
            </w:r>
          </w:p>
        </w:tc>
        <w:tc>
          <w:tcPr>
            <w:tcW w:w="1382" w:type="dxa"/>
            <w:tcBorders>
              <w:tl2br w:val="nil"/>
              <w:tr2bl w:val="nil"/>
            </w:tcBorders>
            <w:shd w:val="clear" w:color="auto" w:fill="auto"/>
            <w:vAlign w:val="center"/>
          </w:tcPr>
          <w:p w14:paraId="15936E9B">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单位年限</w:t>
            </w:r>
          </w:p>
        </w:tc>
        <w:tc>
          <w:tcPr>
            <w:tcW w:w="1406" w:type="dxa"/>
            <w:tcBorders>
              <w:tl2br w:val="nil"/>
              <w:tr2bl w:val="nil"/>
            </w:tcBorders>
            <w:vAlign w:val="center"/>
          </w:tcPr>
          <w:p w14:paraId="324B15B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2.65</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eastAsia="宋体" w:cs="Times New Roman"/>
                <w:color w:val="auto"/>
                <w:sz w:val="21"/>
                <w:szCs w:val="21"/>
                <w:highlight w:val="none"/>
                <w:vertAlign w:val="superscript"/>
                <w:lang w:val="en-US" w:eastAsia="zh-CN"/>
              </w:rPr>
              <w:t>6</w:t>
            </w:r>
          </w:p>
        </w:tc>
        <w:tc>
          <w:tcPr>
            <w:tcW w:w="1614" w:type="dxa"/>
            <w:tcBorders>
              <w:tl2br w:val="nil"/>
              <w:tr2bl w:val="nil"/>
            </w:tcBorders>
            <w:vAlign w:val="center"/>
          </w:tcPr>
          <w:p w14:paraId="477E11F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w:t>
            </w:r>
          </w:p>
        </w:tc>
        <w:tc>
          <w:tcPr>
            <w:tcW w:w="1328" w:type="dxa"/>
            <w:tcBorders>
              <w:tl2br w:val="nil"/>
              <w:tr2bl w:val="nil"/>
            </w:tcBorders>
            <w:vAlign w:val="center"/>
          </w:tcPr>
          <w:p w14:paraId="368F6B3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22.2027</w:t>
            </w:r>
          </w:p>
        </w:tc>
        <w:tc>
          <w:tcPr>
            <w:tcW w:w="1406" w:type="dxa"/>
            <w:tcBorders>
              <w:tl2br w:val="nil"/>
              <w:tr2bl w:val="nil"/>
            </w:tcBorders>
            <w:vAlign w:val="center"/>
          </w:tcPr>
          <w:p w14:paraId="05170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800</w:t>
            </w:r>
          </w:p>
        </w:tc>
      </w:tr>
      <w:tr w14:paraId="0A015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tcBorders>
              <w:tl2br w:val="nil"/>
              <w:tr2bl w:val="nil"/>
            </w:tcBorders>
            <w:vAlign w:val="center"/>
          </w:tcPr>
          <w:p w14:paraId="3006D4B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1382" w:type="dxa"/>
            <w:tcBorders>
              <w:tl2br w:val="nil"/>
              <w:tr2bl w:val="nil"/>
            </w:tcBorders>
            <w:shd w:val="clear" w:color="auto" w:fill="auto"/>
            <w:vAlign w:val="center"/>
          </w:tcPr>
          <w:p w14:paraId="667E0256">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10年</w:t>
            </w:r>
          </w:p>
        </w:tc>
        <w:tc>
          <w:tcPr>
            <w:tcW w:w="1406" w:type="dxa"/>
            <w:tcBorders>
              <w:tl2br w:val="nil"/>
              <w:tr2bl w:val="nil"/>
            </w:tcBorders>
            <w:vAlign w:val="center"/>
          </w:tcPr>
          <w:p w14:paraId="00245C2D">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2.65</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eastAsia="宋体" w:cs="Times New Roman"/>
                <w:color w:val="auto"/>
                <w:sz w:val="21"/>
                <w:szCs w:val="21"/>
                <w:highlight w:val="none"/>
                <w:vertAlign w:val="superscript"/>
                <w:lang w:val="en-US" w:eastAsia="zh-CN"/>
              </w:rPr>
              <w:t>5</w:t>
            </w:r>
          </w:p>
        </w:tc>
        <w:tc>
          <w:tcPr>
            <w:tcW w:w="1614" w:type="dxa"/>
            <w:tcBorders>
              <w:tl2br w:val="nil"/>
              <w:tr2bl w:val="nil"/>
            </w:tcBorders>
            <w:vAlign w:val="center"/>
          </w:tcPr>
          <w:p w14:paraId="1EB0ABAE">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w:t>
            </w:r>
          </w:p>
        </w:tc>
        <w:tc>
          <w:tcPr>
            <w:tcW w:w="1328" w:type="dxa"/>
            <w:tcBorders>
              <w:tl2br w:val="nil"/>
              <w:tr2bl w:val="nil"/>
            </w:tcBorders>
            <w:vAlign w:val="center"/>
          </w:tcPr>
          <w:p w14:paraId="10CC1049">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22.2265</w:t>
            </w:r>
          </w:p>
        </w:tc>
        <w:tc>
          <w:tcPr>
            <w:tcW w:w="1406" w:type="dxa"/>
            <w:tcBorders>
              <w:tl2br w:val="nil"/>
              <w:tr2bl w:val="nil"/>
            </w:tcBorders>
            <w:vAlign w:val="center"/>
          </w:tcPr>
          <w:p w14:paraId="10AC9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800</w:t>
            </w:r>
          </w:p>
        </w:tc>
      </w:tr>
      <w:tr w14:paraId="19F638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vMerge w:val="continue"/>
            <w:tcBorders>
              <w:tl2br w:val="nil"/>
              <w:tr2bl w:val="nil"/>
            </w:tcBorders>
            <w:vAlign w:val="center"/>
          </w:tcPr>
          <w:p w14:paraId="30225D94">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p>
        </w:tc>
        <w:tc>
          <w:tcPr>
            <w:tcW w:w="1382" w:type="dxa"/>
            <w:tcBorders>
              <w:tl2br w:val="nil"/>
              <w:tr2bl w:val="nil"/>
            </w:tcBorders>
            <w:shd w:val="clear" w:color="auto" w:fill="auto"/>
            <w:vAlign w:val="center"/>
          </w:tcPr>
          <w:p w14:paraId="51D0F208">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20年</w:t>
            </w:r>
          </w:p>
        </w:tc>
        <w:tc>
          <w:tcPr>
            <w:tcW w:w="1406" w:type="dxa"/>
            <w:tcBorders>
              <w:tl2br w:val="nil"/>
              <w:tr2bl w:val="nil"/>
            </w:tcBorders>
            <w:vAlign w:val="center"/>
          </w:tcPr>
          <w:p w14:paraId="00EFE2B7">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5.30</w:t>
            </w:r>
            <w:r>
              <w:rPr>
                <w:rFonts w:hint="default" w:ascii="Times New Roman" w:hAnsi="Times New Roman" w:eastAsia="宋体" w:cs="Times New Roman"/>
                <w:color w:val="auto"/>
                <w:sz w:val="21"/>
                <w:szCs w:val="21"/>
                <w:highlight w:val="none"/>
                <w:vertAlign w:val="baseli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eastAsia="宋体" w:cs="Times New Roman"/>
                <w:color w:val="auto"/>
                <w:sz w:val="21"/>
                <w:szCs w:val="21"/>
                <w:highlight w:val="none"/>
                <w:vertAlign w:val="superscript"/>
                <w:lang w:val="en-US" w:eastAsia="zh-CN"/>
              </w:rPr>
              <w:t>5</w:t>
            </w:r>
          </w:p>
        </w:tc>
        <w:tc>
          <w:tcPr>
            <w:tcW w:w="1614" w:type="dxa"/>
            <w:tcBorders>
              <w:tl2br w:val="nil"/>
              <w:tr2bl w:val="nil"/>
            </w:tcBorders>
            <w:vAlign w:val="center"/>
          </w:tcPr>
          <w:p w14:paraId="1A926494">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w:t>
            </w:r>
          </w:p>
        </w:tc>
        <w:tc>
          <w:tcPr>
            <w:tcW w:w="1328" w:type="dxa"/>
            <w:tcBorders>
              <w:tl2br w:val="nil"/>
              <w:tr2bl w:val="nil"/>
            </w:tcBorders>
            <w:vAlign w:val="center"/>
          </w:tcPr>
          <w:p w14:paraId="052AF02F">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22.2530</w:t>
            </w:r>
          </w:p>
        </w:tc>
        <w:tc>
          <w:tcPr>
            <w:tcW w:w="1406" w:type="dxa"/>
            <w:tcBorders>
              <w:tl2br w:val="nil"/>
              <w:tr2bl w:val="nil"/>
            </w:tcBorders>
            <w:vAlign w:val="center"/>
          </w:tcPr>
          <w:p w14:paraId="71A5EB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rightChars="0" w:firstLine="0" w:firstLineChars="0"/>
              <w:jc w:val="center"/>
              <w:textAlignment w:val="auto"/>
              <w:outlineLvl w:val="9"/>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800</w:t>
            </w:r>
          </w:p>
        </w:tc>
      </w:tr>
    </w:tbl>
    <w:p w14:paraId="014634D9">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由上表可以看出废石场淋溶水中汞通过垂直入渗对项目区及周边土壤造成一定的</w:t>
      </w:r>
      <w:r>
        <w:rPr>
          <w:rFonts w:hint="eastAsia" w:ascii="Times New Roman" w:hAnsi="Times New Roman" w:cs="Times New Roman"/>
          <w:color w:val="auto"/>
          <w:sz w:val="24"/>
          <w:szCs w:val="24"/>
          <w:highlight w:val="none"/>
          <w:lang w:val="en-US" w:eastAsia="zh-CN"/>
        </w:rPr>
        <w:t>累积</w:t>
      </w:r>
      <w:r>
        <w:rPr>
          <w:rFonts w:hint="default" w:ascii="Times New Roman" w:hAnsi="Times New Roman" w:eastAsia="宋体" w:cs="Times New Roman"/>
          <w:color w:val="auto"/>
          <w:sz w:val="24"/>
          <w:szCs w:val="24"/>
          <w:highlight w:val="none"/>
          <w:lang w:val="en-US" w:eastAsia="zh-CN"/>
        </w:rPr>
        <w:t>影响，根据《环境影响评价技术导则 土壤环境（试行）》（HJ964-2018）模型预测分析，淋溶水如连续垂直入渗20年，评价范围内单位质量土壤中</w:t>
      </w:r>
      <w:r>
        <w:rPr>
          <w:rFonts w:hint="eastAsia" w:ascii="Times New Roman" w:hAnsi="Times New Roman" w:cs="Times New Roman"/>
          <w:color w:val="auto"/>
          <w:sz w:val="24"/>
          <w:szCs w:val="24"/>
          <w:highlight w:val="none"/>
          <w:lang w:val="en-US" w:eastAsia="zh-CN"/>
        </w:rPr>
        <w:t>铜和铅</w:t>
      </w:r>
      <w:r>
        <w:rPr>
          <w:rFonts w:hint="default" w:ascii="Times New Roman" w:hAnsi="Times New Roman" w:eastAsia="宋体" w:cs="Times New Roman"/>
          <w:color w:val="auto"/>
          <w:sz w:val="24"/>
          <w:szCs w:val="24"/>
          <w:highlight w:val="none"/>
          <w:lang w:val="en-US" w:eastAsia="zh-CN"/>
        </w:rPr>
        <w:t>的预测值将基本保持在本底值，总体增量较小，对环境影响较小。</w:t>
      </w:r>
    </w:p>
    <w:p w14:paraId="4FB3A561">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工程各功能区均采取“源头控制”、“分区防控”的防渗措施，可以有效保证污染物不会进入土壤环境，防止污染土壤。项目产生的固体废物均在室内堆放，满足“防风、防雨、防晒”的要求，经收集后均进行妥善处理，不直接排入土壤环境。危险废物暂存库已按《危险废物贮存污染控制标准》（GB18597-2023）要求进行设计建造。危险废物分类收集后，定期交由有资质单位处置。整个过程基本上可以杜绝危险废物接触土壤，且建设项目场地地面会做硬化处理，对土壤环境不会造成影响。</w:t>
      </w:r>
    </w:p>
    <w:p w14:paraId="0E1F399C">
      <w:pPr>
        <w:pStyle w:val="9"/>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运营期产生的废水、固体废物和危险废物等污染物均有妥善的处理、处置措施严格执行各项环保措施，则各种污染物对土壤环境的影响均处于可接受范围内。</w:t>
      </w:r>
    </w:p>
    <w:p w14:paraId="396225B9">
      <w:pPr>
        <w:pStyle w:val="4"/>
        <w:numPr>
          <w:ilvl w:val="0"/>
          <w:numId w:val="0"/>
        </w:numPr>
        <w:rPr>
          <w:rFonts w:hint="default" w:ascii="Times New Roman" w:hAnsi="Times New Roman" w:eastAsia="宋体" w:cs="Times New Roman"/>
          <w:b/>
          <w:bCs/>
          <w:color w:val="auto"/>
          <w:spacing w:val="0"/>
          <w:w w:val="100"/>
          <w:position w:val="0"/>
          <w:lang w:val="en-US" w:eastAsia="zh-CN"/>
        </w:rPr>
      </w:pPr>
      <w:r>
        <w:rPr>
          <w:rStyle w:val="70"/>
          <w:rFonts w:hint="default" w:ascii="Times New Roman" w:hAnsi="Times New Roman" w:cs="Times New Roman"/>
          <w:b/>
          <w:bCs/>
          <w:color w:val="auto"/>
          <w:lang w:val="en-US" w:eastAsia="zh-CN"/>
        </w:rPr>
        <w:t>5.7.3</w:t>
      </w:r>
      <w:r>
        <w:rPr>
          <w:rFonts w:hint="default" w:ascii="Times New Roman" w:hAnsi="Times New Roman" w:eastAsia="宋体" w:cs="Times New Roman"/>
          <w:b/>
          <w:bCs/>
          <w:color w:val="auto"/>
          <w:spacing w:val="0"/>
          <w:w w:val="100"/>
          <w:position w:val="0"/>
          <w:lang w:val="en-US" w:eastAsia="zh-CN"/>
        </w:rPr>
        <w:t>小结</w:t>
      </w:r>
    </w:p>
    <w:p w14:paraId="491D6BA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表5.7-7</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土壤环境影响评价自查表</w:t>
      </w:r>
    </w:p>
    <w:tbl>
      <w:tblPr>
        <w:tblStyle w:val="21"/>
        <w:tblW w:w="83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72"/>
        <w:gridCol w:w="1510"/>
        <w:gridCol w:w="1265"/>
        <w:gridCol w:w="1380"/>
        <w:gridCol w:w="1455"/>
        <w:gridCol w:w="587"/>
        <w:gridCol w:w="728"/>
        <w:gridCol w:w="1031"/>
      </w:tblGrid>
      <w:tr w14:paraId="6477F0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1882" w:type="dxa"/>
            <w:gridSpan w:val="2"/>
            <w:tcBorders>
              <w:tl2br w:val="nil"/>
              <w:tr2bl w:val="nil"/>
            </w:tcBorders>
            <w:vAlign w:val="center"/>
          </w:tcPr>
          <w:p w14:paraId="226A355E">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kern w:val="0"/>
                <w:position w:val="0"/>
                <w:sz w:val="21"/>
                <w:szCs w:val="21"/>
                <w:highlight w:val="none"/>
              </w:rPr>
            </w:pPr>
            <w:r>
              <w:rPr>
                <w:rFonts w:hint="default" w:ascii="Times New Roman" w:hAnsi="Times New Roman" w:eastAsia="宋体" w:cs="Times New Roman"/>
                <w:b/>
                <w:bCs/>
                <w:color w:val="auto"/>
                <w:spacing w:val="0"/>
                <w:w w:val="100"/>
                <w:kern w:val="0"/>
                <w:position w:val="0"/>
                <w:sz w:val="21"/>
                <w:szCs w:val="21"/>
                <w:highlight w:val="none"/>
              </w:rPr>
              <w:t>工作内容</w:t>
            </w:r>
          </w:p>
        </w:tc>
        <w:tc>
          <w:tcPr>
            <w:tcW w:w="5415" w:type="dxa"/>
            <w:gridSpan w:val="5"/>
            <w:tcBorders>
              <w:tl2br w:val="nil"/>
              <w:tr2bl w:val="nil"/>
            </w:tcBorders>
            <w:vAlign w:val="center"/>
          </w:tcPr>
          <w:p w14:paraId="441B7FC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kern w:val="0"/>
                <w:position w:val="0"/>
                <w:sz w:val="21"/>
                <w:szCs w:val="21"/>
                <w:highlight w:val="none"/>
              </w:rPr>
            </w:pPr>
            <w:r>
              <w:rPr>
                <w:rFonts w:hint="default" w:ascii="Times New Roman" w:hAnsi="Times New Roman" w:eastAsia="宋体" w:cs="Times New Roman"/>
                <w:b/>
                <w:bCs/>
                <w:color w:val="auto"/>
                <w:spacing w:val="0"/>
                <w:w w:val="100"/>
                <w:kern w:val="0"/>
                <w:position w:val="0"/>
                <w:sz w:val="21"/>
                <w:szCs w:val="21"/>
                <w:highlight w:val="none"/>
              </w:rPr>
              <w:t>完成情况</w:t>
            </w:r>
          </w:p>
        </w:tc>
        <w:tc>
          <w:tcPr>
            <w:tcW w:w="1031" w:type="dxa"/>
            <w:tcBorders>
              <w:tl2br w:val="nil"/>
              <w:tr2bl w:val="nil"/>
            </w:tcBorders>
            <w:vAlign w:val="center"/>
          </w:tcPr>
          <w:p w14:paraId="3184076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kern w:val="0"/>
                <w:position w:val="0"/>
                <w:sz w:val="21"/>
                <w:szCs w:val="21"/>
                <w:highlight w:val="none"/>
              </w:rPr>
            </w:pPr>
            <w:r>
              <w:rPr>
                <w:rFonts w:hint="default" w:ascii="Times New Roman" w:hAnsi="Times New Roman" w:eastAsia="宋体" w:cs="Times New Roman"/>
                <w:b/>
                <w:bCs/>
                <w:color w:val="auto"/>
                <w:spacing w:val="0"/>
                <w:w w:val="100"/>
                <w:kern w:val="0"/>
                <w:position w:val="0"/>
                <w:sz w:val="21"/>
                <w:szCs w:val="21"/>
                <w:highlight w:val="none"/>
              </w:rPr>
              <w:t>备注</w:t>
            </w:r>
          </w:p>
        </w:tc>
      </w:tr>
      <w:tr w14:paraId="54FA60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restart"/>
            <w:tcBorders>
              <w:tl2br w:val="nil"/>
              <w:tr2bl w:val="nil"/>
            </w:tcBorders>
            <w:vAlign w:val="center"/>
          </w:tcPr>
          <w:p w14:paraId="43BCD0C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w:t>
            </w:r>
          </w:p>
          <w:p w14:paraId="71C103B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响 </w:t>
            </w:r>
          </w:p>
          <w:p w14:paraId="5438DB9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识</w:t>
            </w:r>
          </w:p>
          <w:p w14:paraId="625B550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别</w:t>
            </w:r>
          </w:p>
        </w:tc>
        <w:tc>
          <w:tcPr>
            <w:tcW w:w="1510" w:type="dxa"/>
            <w:tcBorders>
              <w:tl2br w:val="nil"/>
              <w:tr2bl w:val="nil"/>
            </w:tcBorders>
            <w:vAlign w:val="center"/>
          </w:tcPr>
          <w:p w14:paraId="7BE071B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影响类型</w:t>
            </w:r>
          </w:p>
        </w:tc>
        <w:tc>
          <w:tcPr>
            <w:tcW w:w="5415" w:type="dxa"/>
            <w:gridSpan w:val="5"/>
            <w:tcBorders>
              <w:tl2br w:val="nil"/>
              <w:tr2bl w:val="nil"/>
            </w:tcBorders>
            <w:vAlign w:val="center"/>
          </w:tcPr>
          <w:p w14:paraId="57AB946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污染影响型（；生态影响型（；两种兼有√</w:t>
            </w:r>
          </w:p>
        </w:tc>
        <w:tc>
          <w:tcPr>
            <w:tcW w:w="1031" w:type="dxa"/>
            <w:tcBorders>
              <w:tl2br w:val="nil"/>
              <w:tr2bl w:val="nil"/>
            </w:tcBorders>
            <w:vAlign w:val="center"/>
          </w:tcPr>
          <w:p w14:paraId="251BDBA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2D37B5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4BD373C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2384C93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土地利用类型</w:t>
            </w:r>
          </w:p>
        </w:tc>
        <w:tc>
          <w:tcPr>
            <w:tcW w:w="5415" w:type="dxa"/>
            <w:gridSpan w:val="5"/>
            <w:tcBorders>
              <w:tl2br w:val="nil"/>
              <w:tr2bl w:val="nil"/>
            </w:tcBorders>
            <w:vAlign w:val="center"/>
          </w:tcPr>
          <w:p w14:paraId="4EB7856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建设用地√；农用地√；未利用地（</w:t>
            </w:r>
          </w:p>
        </w:tc>
        <w:tc>
          <w:tcPr>
            <w:tcW w:w="1031" w:type="dxa"/>
            <w:tcBorders>
              <w:tl2br w:val="nil"/>
              <w:tr2bl w:val="nil"/>
            </w:tcBorders>
            <w:vAlign w:val="center"/>
          </w:tcPr>
          <w:p w14:paraId="565C142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土地利用</w:t>
            </w:r>
          </w:p>
          <w:p w14:paraId="65C8DD1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类型图</w:t>
            </w:r>
          </w:p>
        </w:tc>
      </w:tr>
      <w:tr w14:paraId="3B251E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14A3D9E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6E7AB7E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占地规模</w:t>
            </w:r>
          </w:p>
        </w:tc>
        <w:tc>
          <w:tcPr>
            <w:tcW w:w="5415" w:type="dxa"/>
            <w:gridSpan w:val="5"/>
            <w:tcBorders>
              <w:tl2br w:val="nil"/>
              <w:tr2bl w:val="nil"/>
            </w:tcBorders>
            <w:vAlign w:val="center"/>
          </w:tcPr>
          <w:p w14:paraId="4A6CEAD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（15.</w:t>
            </w:r>
            <w:r>
              <w:rPr>
                <w:rFonts w:hint="default" w:ascii="Times New Roman" w:hAnsi="Times New Roman" w:cs="Times New Roman"/>
                <w:b w:val="0"/>
                <w:bCs w:val="0"/>
                <w:color w:val="auto"/>
                <w:spacing w:val="0"/>
                <w:w w:val="100"/>
                <w:position w:val="0"/>
                <w:sz w:val="21"/>
                <w:szCs w:val="21"/>
                <w:highlight w:val="none"/>
                <w:lang w:val="en-US" w:eastAsia="zh-CN"/>
              </w:rPr>
              <w:t>489</w:t>
            </w:r>
            <w:r>
              <w:rPr>
                <w:rFonts w:hint="default" w:ascii="Times New Roman" w:hAnsi="Times New Roman" w:eastAsia="宋体" w:cs="Times New Roman"/>
                <w:b w:val="0"/>
                <w:bCs w:val="0"/>
                <w:color w:val="auto"/>
                <w:spacing w:val="0"/>
                <w:w w:val="100"/>
                <w:position w:val="0"/>
                <w:sz w:val="21"/>
                <w:szCs w:val="21"/>
                <w:highlight w:val="none"/>
                <w:lang w:val="en-US" w:eastAsia="zh-CN"/>
              </w:rPr>
              <w:t>）hm</w:t>
            </w:r>
            <w:r>
              <w:rPr>
                <w:rFonts w:hint="default" w:ascii="Times New Roman" w:hAnsi="Times New Roman" w:eastAsia="宋体" w:cs="Times New Roman"/>
                <w:b w:val="0"/>
                <w:bCs w:val="0"/>
                <w:color w:val="auto"/>
                <w:spacing w:val="0"/>
                <w:w w:val="100"/>
                <w:position w:val="0"/>
                <w:sz w:val="21"/>
                <w:szCs w:val="21"/>
                <w:highlight w:val="none"/>
                <w:vertAlign w:val="superscript"/>
                <w:lang w:val="en-US" w:eastAsia="zh-CN"/>
              </w:rPr>
              <w:t>2</w:t>
            </w:r>
          </w:p>
        </w:tc>
        <w:tc>
          <w:tcPr>
            <w:tcW w:w="1031" w:type="dxa"/>
            <w:tcBorders>
              <w:tl2br w:val="nil"/>
              <w:tr2bl w:val="nil"/>
            </w:tcBorders>
            <w:vAlign w:val="center"/>
          </w:tcPr>
          <w:p w14:paraId="7125AC0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35A1ED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31EE06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2F2A24D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敏感目标信息</w:t>
            </w:r>
          </w:p>
        </w:tc>
        <w:tc>
          <w:tcPr>
            <w:tcW w:w="5415" w:type="dxa"/>
            <w:gridSpan w:val="5"/>
            <w:tcBorders>
              <w:tl2br w:val="nil"/>
              <w:tr2bl w:val="nil"/>
            </w:tcBorders>
            <w:vAlign w:val="center"/>
          </w:tcPr>
          <w:p w14:paraId="33AE686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敏感目标（）、方位（）、距离（）</w:t>
            </w:r>
          </w:p>
        </w:tc>
        <w:tc>
          <w:tcPr>
            <w:tcW w:w="1031" w:type="dxa"/>
            <w:tcBorders>
              <w:tl2br w:val="nil"/>
              <w:tr2bl w:val="nil"/>
            </w:tcBorders>
            <w:vAlign w:val="center"/>
          </w:tcPr>
          <w:p w14:paraId="73978AE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7CDE76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2D04BF3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42C58B3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影响途径</w:t>
            </w:r>
          </w:p>
        </w:tc>
        <w:tc>
          <w:tcPr>
            <w:tcW w:w="5415" w:type="dxa"/>
            <w:gridSpan w:val="5"/>
            <w:tcBorders>
              <w:tl2br w:val="nil"/>
              <w:tr2bl w:val="nil"/>
            </w:tcBorders>
            <w:vAlign w:val="center"/>
          </w:tcPr>
          <w:p w14:paraId="1274CB3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大气沉降√；地面漫流√；垂直入渗√；地下水位√；其他（）</w:t>
            </w:r>
          </w:p>
        </w:tc>
        <w:tc>
          <w:tcPr>
            <w:tcW w:w="1031" w:type="dxa"/>
            <w:tcBorders>
              <w:tl2br w:val="nil"/>
              <w:tr2bl w:val="nil"/>
            </w:tcBorders>
            <w:vAlign w:val="center"/>
          </w:tcPr>
          <w:p w14:paraId="39CE79B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111BEC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0DAA294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4B2F35A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全部污染物</w:t>
            </w:r>
          </w:p>
        </w:tc>
        <w:tc>
          <w:tcPr>
            <w:tcW w:w="5415" w:type="dxa"/>
            <w:gridSpan w:val="5"/>
            <w:tcBorders>
              <w:tl2br w:val="nil"/>
              <w:tr2bl w:val="nil"/>
            </w:tcBorders>
            <w:vAlign w:val="center"/>
          </w:tcPr>
          <w:p w14:paraId="32D1491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rPr>
              <w:t>镉、汞、砷、铅、铬、铜、镍、锌、</w:t>
            </w:r>
            <w:r>
              <w:rPr>
                <w:rFonts w:hint="default" w:ascii="Times New Roman" w:hAnsi="Times New Roman" w:eastAsia="宋体" w:cs="Times New Roman"/>
                <w:color w:val="auto"/>
                <w:spacing w:val="0"/>
                <w:w w:val="100"/>
                <w:position w:val="0"/>
                <w:sz w:val="21"/>
                <w:lang w:eastAsia="zh-CN"/>
              </w:rPr>
              <w:t>pH</w:t>
            </w:r>
            <w:r>
              <w:rPr>
                <w:rFonts w:hint="default" w:ascii="Times New Roman" w:hAnsi="Times New Roman" w:eastAsia="宋体" w:cs="Times New Roman"/>
                <w:color w:val="auto"/>
                <w:spacing w:val="0"/>
                <w:w w:val="100"/>
                <w:position w:val="0"/>
                <w:sz w:val="21"/>
              </w:rPr>
              <w:t>、SSC</w:t>
            </w:r>
          </w:p>
        </w:tc>
        <w:tc>
          <w:tcPr>
            <w:tcW w:w="1031" w:type="dxa"/>
            <w:tcBorders>
              <w:tl2br w:val="nil"/>
              <w:tr2bl w:val="nil"/>
            </w:tcBorders>
            <w:vAlign w:val="center"/>
          </w:tcPr>
          <w:p w14:paraId="2B22D54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7B0D50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44462EF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37A79D8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特征因子</w:t>
            </w:r>
          </w:p>
        </w:tc>
        <w:tc>
          <w:tcPr>
            <w:tcW w:w="5415" w:type="dxa"/>
            <w:gridSpan w:val="5"/>
            <w:tcBorders>
              <w:tl2br w:val="nil"/>
              <w:tr2bl w:val="nil"/>
            </w:tcBorders>
            <w:vAlign w:val="center"/>
          </w:tcPr>
          <w:p w14:paraId="3DEE1C8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lang w:eastAsia="zh-CN"/>
              </w:rPr>
              <w:t>pH</w:t>
            </w:r>
            <w:r>
              <w:rPr>
                <w:rFonts w:hint="default" w:ascii="Times New Roman" w:hAnsi="Times New Roman" w:eastAsia="宋体" w:cs="Times New Roman"/>
                <w:color w:val="auto"/>
                <w:spacing w:val="0"/>
                <w:w w:val="100"/>
                <w:position w:val="0"/>
                <w:sz w:val="21"/>
              </w:rPr>
              <w:t>、SSC</w:t>
            </w:r>
            <w:r>
              <w:rPr>
                <w:rFonts w:hint="default" w:ascii="Times New Roman" w:hAnsi="Times New Roman" w:eastAsia="宋体" w:cs="Times New Roman"/>
                <w:color w:val="auto"/>
                <w:spacing w:val="0"/>
                <w:w w:val="100"/>
                <w:position w:val="0"/>
                <w:sz w:val="21"/>
                <w:lang w:eastAsia="zh-CN"/>
              </w:rPr>
              <w:t>、</w:t>
            </w:r>
            <w:r>
              <w:rPr>
                <w:rFonts w:hint="default" w:ascii="Times New Roman" w:hAnsi="Times New Roman" w:eastAsia="宋体" w:cs="Times New Roman"/>
                <w:color w:val="auto"/>
                <w:spacing w:val="0"/>
                <w:w w:val="100"/>
                <w:position w:val="0"/>
                <w:sz w:val="21"/>
                <w:lang w:val="en-US" w:eastAsia="zh-CN"/>
              </w:rPr>
              <w:t>汞</w:t>
            </w:r>
          </w:p>
        </w:tc>
        <w:tc>
          <w:tcPr>
            <w:tcW w:w="1031" w:type="dxa"/>
            <w:tcBorders>
              <w:tl2br w:val="nil"/>
              <w:tr2bl w:val="nil"/>
            </w:tcBorders>
            <w:vAlign w:val="center"/>
          </w:tcPr>
          <w:p w14:paraId="437D5D2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654E5C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5A86F50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1B239FD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所属土壤环境影响评价项目类别</w:t>
            </w:r>
          </w:p>
        </w:tc>
        <w:tc>
          <w:tcPr>
            <w:tcW w:w="5415" w:type="dxa"/>
            <w:gridSpan w:val="5"/>
            <w:tcBorders>
              <w:tl2br w:val="nil"/>
              <w:tr2bl w:val="nil"/>
            </w:tcBorders>
            <w:vAlign w:val="center"/>
          </w:tcPr>
          <w:p w14:paraId="703CBB8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Ⅰ类√；Ⅱ类（；Ⅲ类（；Ⅳ类（</w:t>
            </w:r>
          </w:p>
        </w:tc>
        <w:tc>
          <w:tcPr>
            <w:tcW w:w="1031" w:type="dxa"/>
            <w:tcBorders>
              <w:tl2br w:val="nil"/>
              <w:tr2bl w:val="nil"/>
            </w:tcBorders>
            <w:vAlign w:val="center"/>
          </w:tcPr>
          <w:p w14:paraId="7835161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7030F1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0E575C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6428930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敏感程度</w:t>
            </w:r>
          </w:p>
        </w:tc>
        <w:tc>
          <w:tcPr>
            <w:tcW w:w="5415" w:type="dxa"/>
            <w:gridSpan w:val="5"/>
            <w:tcBorders>
              <w:tl2br w:val="nil"/>
              <w:tr2bl w:val="nil"/>
            </w:tcBorders>
            <w:vAlign w:val="center"/>
          </w:tcPr>
          <w:p w14:paraId="2F0A2EE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敏感√；较敏感（；不敏感（</w:t>
            </w:r>
          </w:p>
        </w:tc>
        <w:tc>
          <w:tcPr>
            <w:tcW w:w="1031" w:type="dxa"/>
            <w:tcBorders>
              <w:tl2br w:val="nil"/>
              <w:tr2bl w:val="nil"/>
            </w:tcBorders>
            <w:vAlign w:val="center"/>
          </w:tcPr>
          <w:p w14:paraId="64287CF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6BF66B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882" w:type="dxa"/>
            <w:gridSpan w:val="2"/>
            <w:tcBorders>
              <w:tl2br w:val="nil"/>
              <w:tr2bl w:val="nil"/>
            </w:tcBorders>
            <w:vAlign w:val="center"/>
          </w:tcPr>
          <w:p w14:paraId="35C66AA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评价工作等级</w:t>
            </w:r>
          </w:p>
        </w:tc>
        <w:tc>
          <w:tcPr>
            <w:tcW w:w="5415" w:type="dxa"/>
            <w:gridSpan w:val="5"/>
            <w:tcBorders>
              <w:tl2br w:val="nil"/>
              <w:tr2bl w:val="nil"/>
            </w:tcBorders>
            <w:vAlign w:val="center"/>
          </w:tcPr>
          <w:p w14:paraId="42416C5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一级√；二级（；三级（</w:t>
            </w:r>
          </w:p>
        </w:tc>
        <w:tc>
          <w:tcPr>
            <w:tcW w:w="1031" w:type="dxa"/>
            <w:tcBorders>
              <w:tl2br w:val="nil"/>
              <w:tr2bl w:val="nil"/>
            </w:tcBorders>
            <w:vAlign w:val="center"/>
          </w:tcPr>
          <w:p w14:paraId="58BCF90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267CA3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restart"/>
            <w:tcBorders>
              <w:tl2br w:val="nil"/>
              <w:tr2bl w:val="nil"/>
            </w:tcBorders>
            <w:vAlign w:val="center"/>
          </w:tcPr>
          <w:p w14:paraId="4C6872A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现</w:t>
            </w:r>
          </w:p>
          <w:p w14:paraId="75CB606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状 </w:t>
            </w:r>
          </w:p>
          <w:p w14:paraId="1C42953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调</w:t>
            </w:r>
          </w:p>
          <w:p w14:paraId="0D61660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查 </w:t>
            </w:r>
          </w:p>
          <w:p w14:paraId="103C5D8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内</w:t>
            </w:r>
          </w:p>
          <w:p w14:paraId="1887051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容</w:t>
            </w:r>
          </w:p>
        </w:tc>
        <w:tc>
          <w:tcPr>
            <w:tcW w:w="1510" w:type="dxa"/>
            <w:tcBorders>
              <w:tl2br w:val="nil"/>
              <w:tr2bl w:val="nil"/>
            </w:tcBorders>
            <w:vAlign w:val="center"/>
          </w:tcPr>
          <w:p w14:paraId="4C82E9F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资料收集</w:t>
            </w:r>
          </w:p>
        </w:tc>
        <w:tc>
          <w:tcPr>
            <w:tcW w:w="5415" w:type="dxa"/>
            <w:gridSpan w:val="5"/>
            <w:tcBorders>
              <w:tl2br w:val="nil"/>
              <w:tr2bl w:val="nil"/>
            </w:tcBorders>
            <w:vAlign w:val="center"/>
          </w:tcPr>
          <w:p w14:paraId="2528DF0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a）□；b）□；c）□；d）□</w:t>
            </w:r>
          </w:p>
        </w:tc>
        <w:tc>
          <w:tcPr>
            <w:tcW w:w="1031" w:type="dxa"/>
            <w:tcBorders>
              <w:tl2br w:val="nil"/>
              <w:tr2bl w:val="nil"/>
            </w:tcBorders>
            <w:vAlign w:val="center"/>
          </w:tcPr>
          <w:p w14:paraId="5FF39B8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7698F4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7C0197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421C9A3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理化特性</w:t>
            </w:r>
          </w:p>
        </w:tc>
        <w:tc>
          <w:tcPr>
            <w:tcW w:w="5415" w:type="dxa"/>
            <w:gridSpan w:val="5"/>
            <w:tcBorders>
              <w:tl2br w:val="nil"/>
              <w:tr2bl w:val="nil"/>
            </w:tcBorders>
            <w:vAlign w:val="center"/>
          </w:tcPr>
          <w:p w14:paraId="235FE16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031" w:type="dxa"/>
            <w:tcBorders>
              <w:tl2br w:val="nil"/>
              <w:tr2bl w:val="nil"/>
            </w:tcBorders>
            <w:vAlign w:val="center"/>
          </w:tcPr>
          <w:p w14:paraId="18A3423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同附录C</w:t>
            </w:r>
          </w:p>
        </w:tc>
      </w:tr>
      <w:tr w14:paraId="3F0541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3D5CA1C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vMerge w:val="restart"/>
            <w:tcBorders>
              <w:tl2br w:val="nil"/>
              <w:tr2bl w:val="nil"/>
            </w:tcBorders>
            <w:vAlign w:val="center"/>
          </w:tcPr>
          <w:p w14:paraId="1264DA0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现状监测点位</w:t>
            </w:r>
          </w:p>
        </w:tc>
        <w:tc>
          <w:tcPr>
            <w:tcW w:w="1265" w:type="dxa"/>
            <w:tcBorders>
              <w:tl2br w:val="nil"/>
              <w:tr2bl w:val="nil"/>
            </w:tcBorders>
            <w:vAlign w:val="center"/>
          </w:tcPr>
          <w:p w14:paraId="3147457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380" w:type="dxa"/>
            <w:tcBorders>
              <w:tl2br w:val="nil"/>
              <w:tr2bl w:val="nil"/>
            </w:tcBorders>
            <w:vAlign w:val="center"/>
          </w:tcPr>
          <w:p w14:paraId="23AC88B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占地范围内</w:t>
            </w:r>
          </w:p>
        </w:tc>
        <w:tc>
          <w:tcPr>
            <w:tcW w:w="2042" w:type="dxa"/>
            <w:gridSpan w:val="2"/>
            <w:tcBorders>
              <w:tl2br w:val="nil"/>
              <w:tr2bl w:val="nil"/>
            </w:tcBorders>
            <w:vAlign w:val="center"/>
          </w:tcPr>
          <w:p w14:paraId="71119E9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占地范围外</w:t>
            </w:r>
          </w:p>
        </w:tc>
        <w:tc>
          <w:tcPr>
            <w:tcW w:w="728" w:type="dxa"/>
            <w:tcBorders>
              <w:tl2br w:val="nil"/>
              <w:tr2bl w:val="nil"/>
            </w:tcBorders>
            <w:vAlign w:val="center"/>
          </w:tcPr>
          <w:p w14:paraId="5AF61EB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深度</w:t>
            </w:r>
          </w:p>
        </w:tc>
        <w:tc>
          <w:tcPr>
            <w:tcW w:w="1031" w:type="dxa"/>
            <w:vMerge w:val="restart"/>
            <w:tcBorders>
              <w:tl2br w:val="nil"/>
              <w:tr2bl w:val="nil"/>
            </w:tcBorders>
            <w:vAlign w:val="center"/>
          </w:tcPr>
          <w:p w14:paraId="425047F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点位布置图</w:t>
            </w:r>
          </w:p>
        </w:tc>
      </w:tr>
      <w:tr w14:paraId="050643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F47AA6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vMerge w:val="continue"/>
            <w:tcBorders>
              <w:tl2br w:val="nil"/>
              <w:tr2bl w:val="nil"/>
            </w:tcBorders>
            <w:vAlign w:val="center"/>
          </w:tcPr>
          <w:p w14:paraId="003DF4C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265" w:type="dxa"/>
            <w:tcBorders>
              <w:tl2br w:val="nil"/>
              <w:tr2bl w:val="nil"/>
            </w:tcBorders>
            <w:vAlign w:val="center"/>
          </w:tcPr>
          <w:p w14:paraId="4B8A16D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表层样点数</w:t>
            </w:r>
          </w:p>
        </w:tc>
        <w:tc>
          <w:tcPr>
            <w:tcW w:w="1380" w:type="dxa"/>
            <w:tcBorders>
              <w:tl2br w:val="nil"/>
              <w:tr2bl w:val="nil"/>
            </w:tcBorders>
            <w:vAlign w:val="center"/>
          </w:tcPr>
          <w:p w14:paraId="7507123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eastAsia" w:ascii="Times New Roman" w:hAnsi="Times New Roman" w:cs="Times New Roman"/>
                <w:b w:val="0"/>
                <w:bCs w:val="0"/>
                <w:color w:val="auto"/>
                <w:spacing w:val="0"/>
                <w:w w:val="100"/>
                <w:position w:val="0"/>
                <w:sz w:val="21"/>
                <w:szCs w:val="21"/>
                <w:highlight w:val="none"/>
                <w:lang w:val="en-US" w:eastAsia="zh-CN"/>
              </w:rPr>
              <w:t>5</w:t>
            </w:r>
          </w:p>
        </w:tc>
        <w:tc>
          <w:tcPr>
            <w:tcW w:w="2042" w:type="dxa"/>
            <w:gridSpan w:val="2"/>
            <w:tcBorders>
              <w:tl2br w:val="nil"/>
              <w:tr2bl w:val="nil"/>
            </w:tcBorders>
            <w:vAlign w:val="center"/>
          </w:tcPr>
          <w:p w14:paraId="0667DA6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eastAsia" w:ascii="Times New Roman" w:hAnsi="Times New Roman" w:cs="Times New Roman"/>
                <w:b w:val="0"/>
                <w:bCs w:val="0"/>
                <w:color w:val="auto"/>
                <w:spacing w:val="0"/>
                <w:w w:val="100"/>
                <w:position w:val="0"/>
                <w:sz w:val="21"/>
                <w:szCs w:val="21"/>
                <w:highlight w:val="none"/>
                <w:lang w:val="en-US" w:eastAsia="zh-CN"/>
              </w:rPr>
              <w:t>6</w:t>
            </w:r>
          </w:p>
        </w:tc>
        <w:tc>
          <w:tcPr>
            <w:tcW w:w="728" w:type="dxa"/>
            <w:tcBorders>
              <w:tl2br w:val="nil"/>
              <w:tr2bl w:val="nil"/>
            </w:tcBorders>
            <w:vAlign w:val="center"/>
          </w:tcPr>
          <w:p w14:paraId="423D3DB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0~0.2m</w:t>
            </w:r>
          </w:p>
        </w:tc>
        <w:tc>
          <w:tcPr>
            <w:tcW w:w="1031" w:type="dxa"/>
            <w:vMerge w:val="continue"/>
            <w:tcBorders>
              <w:tl2br w:val="nil"/>
              <w:tr2bl w:val="nil"/>
            </w:tcBorders>
            <w:vAlign w:val="center"/>
          </w:tcPr>
          <w:p w14:paraId="4B1A326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r>
      <w:tr w14:paraId="335C94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DBB096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vMerge w:val="continue"/>
            <w:tcBorders>
              <w:tl2br w:val="nil"/>
              <w:tr2bl w:val="nil"/>
            </w:tcBorders>
            <w:vAlign w:val="center"/>
          </w:tcPr>
          <w:p w14:paraId="3F3604C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265" w:type="dxa"/>
            <w:tcBorders>
              <w:tl2br w:val="nil"/>
              <w:tr2bl w:val="nil"/>
            </w:tcBorders>
            <w:vAlign w:val="center"/>
          </w:tcPr>
          <w:p w14:paraId="1C53FB0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柱状样点数</w:t>
            </w:r>
          </w:p>
        </w:tc>
        <w:tc>
          <w:tcPr>
            <w:tcW w:w="1380" w:type="dxa"/>
            <w:tcBorders>
              <w:tl2br w:val="nil"/>
              <w:tr2bl w:val="nil"/>
            </w:tcBorders>
            <w:vAlign w:val="center"/>
          </w:tcPr>
          <w:p w14:paraId="06DCD5C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5</w:t>
            </w:r>
          </w:p>
        </w:tc>
        <w:tc>
          <w:tcPr>
            <w:tcW w:w="2042" w:type="dxa"/>
            <w:gridSpan w:val="2"/>
            <w:tcBorders>
              <w:tl2br w:val="nil"/>
              <w:tr2bl w:val="nil"/>
            </w:tcBorders>
            <w:vAlign w:val="center"/>
          </w:tcPr>
          <w:p w14:paraId="7236202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c>
          <w:tcPr>
            <w:tcW w:w="728" w:type="dxa"/>
            <w:tcBorders>
              <w:tl2br w:val="nil"/>
              <w:tr2bl w:val="nil"/>
            </w:tcBorders>
            <w:vAlign w:val="center"/>
          </w:tcPr>
          <w:p w14:paraId="3637B7A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0~</w:t>
            </w:r>
            <w:r>
              <w:rPr>
                <w:rFonts w:hint="eastAsia" w:ascii="Times New Roman" w:hAnsi="Times New Roman" w:cs="Times New Roman"/>
                <w:b w:val="0"/>
                <w:bCs w:val="0"/>
                <w:color w:val="auto"/>
                <w:spacing w:val="0"/>
                <w:w w:val="100"/>
                <w:position w:val="0"/>
                <w:sz w:val="21"/>
                <w:szCs w:val="21"/>
                <w:highlight w:val="none"/>
                <w:lang w:val="en-US" w:eastAsia="zh-CN"/>
              </w:rPr>
              <w:t>3</w:t>
            </w:r>
            <w:r>
              <w:rPr>
                <w:rFonts w:hint="default" w:ascii="Times New Roman" w:hAnsi="Times New Roman" w:eastAsia="宋体" w:cs="Times New Roman"/>
                <w:b w:val="0"/>
                <w:bCs w:val="0"/>
                <w:color w:val="auto"/>
                <w:spacing w:val="0"/>
                <w:w w:val="100"/>
                <w:position w:val="0"/>
                <w:sz w:val="21"/>
                <w:szCs w:val="21"/>
                <w:highlight w:val="none"/>
                <w:lang w:val="en-US" w:eastAsia="zh-CN"/>
              </w:rPr>
              <w:t>m</w:t>
            </w:r>
          </w:p>
        </w:tc>
        <w:tc>
          <w:tcPr>
            <w:tcW w:w="1031" w:type="dxa"/>
            <w:vMerge w:val="continue"/>
            <w:tcBorders>
              <w:tl2br w:val="nil"/>
              <w:tr2bl w:val="nil"/>
            </w:tcBorders>
            <w:vAlign w:val="center"/>
          </w:tcPr>
          <w:p w14:paraId="6DD3839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r>
      <w:tr w14:paraId="4E84C4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14A2C72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43CF3EE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现状监测因子</w:t>
            </w:r>
          </w:p>
        </w:tc>
        <w:tc>
          <w:tcPr>
            <w:tcW w:w="5415" w:type="dxa"/>
            <w:gridSpan w:val="5"/>
            <w:tcBorders>
              <w:tl2br w:val="nil"/>
              <w:tr2bl w:val="nil"/>
            </w:tcBorders>
            <w:vAlign w:val="center"/>
          </w:tcPr>
          <w:p w14:paraId="66AC385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pH、SSC、基本45项</w:t>
            </w:r>
          </w:p>
        </w:tc>
        <w:tc>
          <w:tcPr>
            <w:tcW w:w="1031" w:type="dxa"/>
            <w:tcBorders>
              <w:tl2br w:val="nil"/>
              <w:tr2bl w:val="nil"/>
            </w:tcBorders>
            <w:vAlign w:val="center"/>
          </w:tcPr>
          <w:p w14:paraId="1F2B597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42B81B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restart"/>
            <w:tcBorders>
              <w:tl2br w:val="nil"/>
              <w:tr2bl w:val="nil"/>
            </w:tcBorders>
            <w:vAlign w:val="center"/>
          </w:tcPr>
          <w:p w14:paraId="5636548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现</w:t>
            </w:r>
          </w:p>
          <w:p w14:paraId="4EC63E0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状 </w:t>
            </w:r>
          </w:p>
          <w:p w14:paraId="6FF5AF0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评</w:t>
            </w:r>
          </w:p>
          <w:p w14:paraId="11AB165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价</w:t>
            </w:r>
          </w:p>
        </w:tc>
        <w:tc>
          <w:tcPr>
            <w:tcW w:w="1510" w:type="dxa"/>
            <w:tcBorders>
              <w:tl2br w:val="nil"/>
              <w:tr2bl w:val="nil"/>
            </w:tcBorders>
            <w:vAlign w:val="center"/>
          </w:tcPr>
          <w:p w14:paraId="209AADF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评价因子</w:t>
            </w:r>
          </w:p>
        </w:tc>
        <w:tc>
          <w:tcPr>
            <w:tcW w:w="5415" w:type="dxa"/>
            <w:gridSpan w:val="5"/>
            <w:tcBorders>
              <w:tl2br w:val="nil"/>
              <w:tr2bl w:val="nil"/>
            </w:tcBorders>
            <w:vAlign w:val="center"/>
          </w:tcPr>
          <w:p w14:paraId="317BBF7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pH、SSC、基本45项</w:t>
            </w:r>
          </w:p>
        </w:tc>
        <w:tc>
          <w:tcPr>
            <w:tcW w:w="1031" w:type="dxa"/>
            <w:tcBorders>
              <w:tl2br w:val="nil"/>
              <w:tr2bl w:val="nil"/>
            </w:tcBorders>
            <w:vAlign w:val="center"/>
          </w:tcPr>
          <w:p w14:paraId="39CE36E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061062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1D8DA42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4E24329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评价标准</w:t>
            </w:r>
          </w:p>
        </w:tc>
        <w:tc>
          <w:tcPr>
            <w:tcW w:w="5415" w:type="dxa"/>
            <w:gridSpan w:val="5"/>
            <w:tcBorders>
              <w:tl2br w:val="nil"/>
              <w:tr2bl w:val="nil"/>
            </w:tcBorders>
            <w:vAlign w:val="center"/>
          </w:tcPr>
          <w:p w14:paraId="17E7244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GB 15618√；GB 36600√；表 D.1√；表 D.2□；其他（）</w:t>
            </w:r>
          </w:p>
        </w:tc>
        <w:tc>
          <w:tcPr>
            <w:tcW w:w="1031" w:type="dxa"/>
            <w:tcBorders>
              <w:tl2br w:val="nil"/>
              <w:tr2bl w:val="nil"/>
            </w:tcBorders>
            <w:vAlign w:val="center"/>
          </w:tcPr>
          <w:p w14:paraId="1FB212E1">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267746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968FAB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5BCEFE0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现状评价结论</w:t>
            </w:r>
          </w:p>
        </w:tc>
        <w:tc>
          <w:tcPr>
            <w:tcW w:w="5415" w:type="dxa"/>
            <w:gridSpan w:val="5"/>
            <w:tcBorders>
              <w:tl2br w:val="nil"/>
              <w:tr2bl w:val="nil"/>
            </w:tcBorders>
            <w:vAlign w:val="center"/>
          </w:tcPr>
          <w:p w14:paraId="13FE03A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占地范围内土壤各监测点监测结果均能达到《土壤环境质量 建设用地土壤污染风险管控标准（试行）》（GB36600-2018）第二类用地筛选值要求；占地范围外土壤各监测点监测结果均能达到《土壤环境质量 农用地土壤污染风险管控标准（试行）》（GB15618-2018）农用地土壤污染风险筛选值。</w:t>
            </w:r>
          </w:p>
        </w:tc>
        <w:tc>
          <w:tcPr>
            <w:tcW w:w="1031" w:type="dxa"/>
            <w:tcBorders>
              <w:tl2br w:val="nil"/>
              <w:tr2bl w:val="nil"/>
            </w:tcBorders>
            <w:vAlign w:val="center"/>
          </w:tcPr>
          <w:p w14:paraId="54C2958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05F1CE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restart"/>
            <w:tcBorders>
              <w:tl2br w:val="nil"/>
              <w:tr2bl w:val="nil"/>
            </w:tcBorders>
            <w:vAlign w:val="center"/>
          </w:tcPr>
          <w:p w14:paraId="23C5EE5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w:t>
            </w:r>
          </w:p>
          <w:p w14:paraId="5638D9A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响 </w:t>
            </w:r>
          </w:p>
          <w:p w14:paraId="2E41DE6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预</w:t>
            </w:r>
          </w:p>
          <w:p w14:paraId="504A244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测</w:t>
            </w:r>
          </w:p>
        </w:tc>
        <w:tc>
          <w:tcPr>
            <w:tcW w:w="1510" w:type="dxa"/>
            <w:tcBorders>
              <w:tl2br w:val="nil"/>
              <w:tr2bl w:val="nil"/>
            </w:tcBorders>
            <w:vAlign w:val="center"/>
          </w:tcPr>
          <w:p w14:paraId="371BED0A">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预测因子</w:t>
            </w:r>
          </w:p>
        </w:tc>
        <w:tc>
          <w:tcPr>
            <w:tcW w:w="5415" w:type="dxa"/>
            <w:gridSpan w:val="5"/>
            <w:tcBorders>
              <w:tl2br w:val="nil"/>
              <w:tr2bl w:val="nil"/>
            </w:tcBorders>
            <w:vAlign w:val="center"/>
          </w:tcPr>
          <w:p w14:paraId="3468C56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pH、</w:t>
            </w:r>
            <w:r>
              <w:rPr>
                <w:rFonts w:hint="default" w:ascii="Times New Roman" w:hAnsi="Times New Roman" w:eastAsia="宋体" w:cs="Times New Roman"/>
                <w:color w:val="auto"/>
                <w:spacing w:val="0"/>
                <w:w w:val="100"/>
                <w:position w:val="0"/>
                <w:sz w:val="21"/>
              </w:rPr>
              <w:t>SSC</w:t>
            </w:r>
            <w:r>
              <w:rPr>
                <w:rFonts w:hint="default" w:ascii="Times New Roman" w:hAnsi="Times New Roman" w:eastAsia="宋体" w:cs="Times New Roman"/>
                <w:color w:val="auto"/>
                <w:spacing w:val="0"/>
                <w:w w:val="100"/>
                <w:position w:val="0"/>
                <w:sz w:val="21"/>
                <w:lang w:eastAsia="zh-CN"/>
              </w:rPr>
              <w:t>、</w:t>
            </w:r>
            <w:r>
              <w:rPr>
                <w:rFonts w:hint="default" w:ascii="Times New Roman" w:hAnsi="Times New Roman" w:eastAsia="宋体" w:cs="Times New Roman"/>
                <w:b w:val="0"/>
                <w:bCs w:val="0"/>
                <w:color w:val="auto"/>
                <w:spacing w:val="0"/>
                <w:w w:val="100"/>
                <w:position w:val="0"/>
                <w:sz w:val="21"/>
                <w:szCs w:val="21"/>
                <w:highlight w:val="none"/>
                <w:lang w:val="en-US" w:eastAsia="zh-CN"/>
              </w:rPr>
              <w:t>汞</w:t>
            </w:r>
          </w:p>
        </w:tc>
        <w:tc>
          <w:tcPr>
            <w:tcW w:w="1031" w:type="dxa"/>
            <w:tcBorders>
              <w:tl2br w:val="nil"/>
              <w:tr2bl w:val="nil"/>
            </w:tcBorders>
            <w:vAlign w:val="center"/>
          </w:tcPr>
          <w:p w14:paraId="52F7E2A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4B1F17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2851931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5A63203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预测方法</w:t>
            </w:r>
          </w:p>
        </w:tc>
        <w:tc>
          <w:tcPr>
            <w:tcW w:w="5415" w:type="dxa"/>
            <w:gridSpan w:val="5"/>
            <w:tcBorders>
              <w:tl2br w:val="nil"/>
              <w:tr2bl w:val="nil"/>
            </w:tcBorders>
            <w:vAlign w:val="center"/>
          </w:tcPr>
          <w:p w14:paraId="3A5E4C7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附录 E（；附录 F□；其他（）</w:t>
            </w:r>
          </w:p>
        </w:tc>
        <w:tc>
          <w:tcPr>
            <w:tcW w:w="1031" w:type="dxa"/>
            <w:tcBorders>
              <w:tl2br w:val="nil"/>
              <w:tr2bl w:val="nil"/>
            </w:tcBorders>
            <w:vAlign w:val="center"/>
          </w:tcPr>
          <w:p w14:paraId="197E8D70">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3ECFB8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11F1B2C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7BD6E27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预测分析内容</w:t>
            </w:r>
          </w:p>
        </w:tc>
        <w:tc>
          <w:tcPr>
            <w:tcW w:w="5415" w:type="dxa"/>
            <w:gridSpan w:val="5"/>
            <w:tcBorders>
              <w:tl2br w:val="nil"/>
              <w:tr2bl w:val="nil"/>
            </w:tcBorders>
            <w:vAlign w:val="center"/>
          </w:tcPr>
          <w:p w14:paraId="0C2CBD18">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影响范围（      m</w:t>
            </w:r>
            <w:r>
              <w:rPr>
                <w:rFonts w:hint="default" w:ascii="Times New Roman" w:hAnsi="Times New Roman" w:eastAsia="宋体" w:cs="Times New Roman"/>
                <w:b w:val="0"/>
                <w:bCs w:val="0"/>
                <w:color w:val="auto"/>
                <w:spacing w:val="0"/>
                <w:w w:val="100"/>
                <w:position w:val="0"/>
                <w:sz w:val="21"/>
                <w:szCs w:val="21"/>
                <w:highlight w:val="none"/>
                <w:vertAlign w:val="superscript"/>
                <w:lang w:val="en-US" w:eastAsia="zh-CN"/>
              </w:rPr>
              <w:t>2</w:t>
            </w:r>
            <w:r>
              <w:rPr>
                <w:rFonts w:hint="default" w:ascii="Times New Roman" w:hAnsi="Times New Roman" w:eastAsia="宋体" w:cs="Times New Roman"/>
                <w:b w:val="0"/>
                <w:bCs w:val="0"/>
                <w:color w:val="auto"/>
                <w:spacing w:val="0"/>
                <w:w w:val="100"/>
                <w:position w:val="0"/>
                <w:sz w:val="21"/>
                <w:szCs w:val="21"/>
                <w:highlight w:val="none"/>
                <w:lang w:val="en-US" w:eastAsia="zh-CN"/>
              </w:rPr>
              <w:t>）</w:t>
            </w:r>
          </w:p>
          <w:p w14:paraId="4A353232">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影响程度（        ）</w:t>
            </w:r>
          </w:p>
        </w:tc>
        <w:tc>
          <w:tcPr>
            <w:tcW w:w="1031" w:type="dxa"/>
            <w:tcBorders>
              <w:tl2br w:val="nil"/>
              <w:tr2bl w:val="nil"/>
            </w:tcBorders>
            <w:vAlign w:val="center"/>
          </w:tcPr>
          <w:p w14:paraId="3858371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7BFAE4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54C244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tcBorders>
              <w:tl2br w:val="nil"/>
              <w:tr2bl w:val="nil"/>
            </w:tcBorders>
            <w:vAlign w:val="center"/>
          </w:tcPr>
          <w:p w14:paraId="7F86AC0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预测结论</w:t>
            </w:r>
          </w:p>
        </w:tc>
        <w:tc>
          <w:tcPr>
            <w:tcW w:w="5415" w:type="dxa"/>
            <w:gridSpan w:val="5"/>
            <w:tcBorders>
              <w:tl2br w:val="nil"/>
              <w:tr2bl w:val="nil"/>
            </w:tcBorders>
            <w:vAlign w:val="center"/>
          </w:tcPr>
          <w:p w14:paraId="706B1E5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达标结论：a）（；b）□；c）□</w:t>
            </w:r>
          </w:p>
          <w:p w14:paraId="72FDB3A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不达标结论：a）□；b）□</w:t>
            </w:r>
          </w:p>
        </w:tc>
        <w:tc>
          <w:tcPr>
            <w:tcW w:w="1031" w:type="dxa"/>
            <w:tcBorders>
              <w:tl2br w:val="nil"/>
              <w:tr2bl w:val="nil"/>
            </w:tcBorders>
            <w:vAlign w:val="center"/>
          </w:tcPr>
          <w:p w14:paraId="517344B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69A086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restart"/>
            <w:tcBorders>
              <w:tl2br w:val="nil"/>
              <w:tr2bl w:val="nil"/>
            </w:tcBorders>
            <w:vAlign w:val="center"/>
          </w:tcPr>
          <w:p w14:paraId="641E042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防</w:t>
            </w:r>
          </w:p>
          <w:p w14:paraId="360EC42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 xml:space="preserve">治 </w:t>
            </w:r>
          </w:p>
          <w:p w14:paraId="05A09D7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措</w:t>
            </w:r>
          </w:p>
          <w:p w14:paraId="6A9CAB2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施</w:t>
            </w:r>
          </w:p>
        </w:tc>
        <w:tc>
          <w:tcPr>
            <w:tcW w:w="1510" w:type="dxa"/>
            <w:tcBorders>
              <w:tl2br w:val="nil"/>
              <w:tr2bl w:val="nil"/>
            </w:tcBorders>
            <w:vAlign w:val="center"/>
          </w:tcPr>
          <w:p w14:paraId="1E9D946C">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防控措施</w:t>
            </w:r>
          </w:p>
        </w:tc>
        <w:tc>
          <w:tcPr>
            <w:tcW w:w="5415" w:type="dxa"/>
            <w:gridSpan w:val="5"/>
            <w:tcBorders>
              <w:tl2br w:val="nil"/>
              <w:tr2bl w:val="nil"/>
            </w:tcBorders>
            <w:vAlign w:val="center"/>
          </w:tcPr>
          <w:p w14:paraId="25B59D3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土壤环境质量现状保障□；源头控制□；过程防控□；其他（        ）</w:t>
            </w:r>
          </w:p>
        </w:tc>
        <w:tc>
          <w:tcPr>
            <w:tcW w:w="1031" w:type="dxa"/>
            <w:tcBorders>
              <w:tl2br w:val="nil"/>
              <w:tr2bl w:val="nil"/>
            </w:tcBorders>
            <w:vAlign w:val="center"/>
          </w:tcPr>
          <w:p w14:paraId="2C4E0C1B">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0EBC02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29FA5CAD">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c>
          <w:tcPr>
            <w:tcW w:w="1510" w:type="dxa"/>
            <w:vMerge w:val="restart"/>
            <w:tcBorders>
              <w:tl2br w:val="nil"/>
              <w:tr2bl w:val="nil"/>
            </w:tcBorders>
            <w:vAlign w:val="center"/>
          </w:tcPr>
          <w:p w14:paraId="33ABB9C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跟踪监测</w:t>
            </w:r>
          </w:p>
        </w:tc>
        <w:tc>
          <w:tcPr>
            <w:tcW w:w="2645" w:type="dxa"/>
            <w:gridSpan w:val="2"/>
            <w:tcBorders>
              <w:tl2br w:val="nil"/>
              <w:tr2bl w:val="nil"/>
            </w:tcBorders>
            <w:vAlign w:val="center"/>
          </w:tcPr>
          <w:p w14:paraId="42C38DA3">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监测点数</w:t>
            </w:r>
          </w:p>
        </w:tc>
        <w:tc>
          <w:tcPr>
            <w:tcW w:w="1455" w:type="dxa"/>
            <w:tcBorders>
              <w:tl2br w:val="nil"/>
              <w:tr2bl w:val="nil"/>
            </w:tcBorders>
            <w:vAlign w:val="center"/>
          </w:tcPr>
          <w:p w14:paraId="51CA1FC9">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监测指标</w:t>
            </w:r>
          </w:p>
        </w:tc>
        <w:tc>
          <w:tcPr>
            <w:tcW w:w="1315" w:type="dxa"/>
            <w:gridSpan w:val="2"/>
            <w:tcBorders>
              <w:tl2br w:val="nil"/>
              <w:tr2bl w:val="nil"/>
            </w:tcBorders>
            <w:vAlign w:val="center"/>
          </w:tcPr>
          <w:p w14:paraId="456F9D45">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监测频次</w:t>
            </w:r>
          </w:p>
        </w:tc>
        <w:tc>
          <w:tcPr>
            <w:tcW w:w="1031" w:type="dxa"/>
            <w:vMerge w:val="restart"/>
            <w:tcBorders>
              <w:tl2br w:val="nil"/>
              <w:tr2bl w:val="nil"/>
            </w:tcBorders>
            <w:vAlign w:val="center"/>
          </w:tcPr>
          <w:p w14:paraId="5D83F266">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r>
      <w:tr w14:paraId="32764D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32FCBF9F">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p>
        </w:tc>
        <w:tc>
          <w:tcPr>
            <w:tcW w:w="1510" w:type="dxa"/>
            <w:vMerge w:val="continue"/>
            <w:tcBorders>
              <w:tl2br w:val="nil"/>
              <w:tr2bl w:val="nil"/>
            </w:tcBorders>
            <w:vAlign w:val="center"/>
          </w:tcPr>
          <w:p w14:paraId="31AFB405">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p>
        </w:tc>
        <w:tc>
          <w:tcPr>
            <w:tcW w:w="2645" w:type="dxa"/>
            <w:gridSpan w:val="2"/>
            <w:tcBorders>
              <w:tl2br w:val="nil"/>
              <w:tr2bl w:val="nil"/>
            </w:tcBorders>
            <w:vAlign w:val="center"/>
          </w:tcPr>
          <w:p w14:paraId="0AA13437">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1</w:t>
            </w:r>
          </w:p>
        </w:tc>
        <w:tc>
          <w:tcPr>
            <w:tcW w:w="1455" w:type="dxa"/>
            <w:tcBorders>
              <w:tl2br w:val="nil"/>
              <w:tr2bl w:val="nil"/>
            </w:tcBorders>
            <w:vAlign w:val="center"/>
          </w:tcPr>
          <w:p w14:paraId="6A3D3DB4">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pH、</w:t>
            </w:r>
            <w:r>
              <w:rPr>
                <w:rFonts w:hint="eastAsia" w:ascii="Times New Roman" w:hAnsi="Times New Roman" w:cs="Times New Roman"/>
                <w:b w:val="0"/>
                <w:bCs w:val="0"/>
                <w:color w:val="auto"/>
                <w:spacing w:val="0"/>
                <w:w w:val="100"/>
                <w:position w:val="0"/>
                <w:sz w:val="21"/>
                <w:szCs w:val="21"/>
                <w:highlight w:val="none"/>
                <w:lang w:val="en-US" w:eastAsia="zh-CN"/>
              </w:rPr>
              <w:t>铜</w:t>
            </w:r>
            <w:r>
              <w:rPr>
                <w:rFonts w:hint="default" w:ascii="Times New Roman" w:hAnsi="Times New Roman" w:eastAsia="宋体" w:cs="Times New Roman"/>
                <w:b w:val="0"/>
                <w:bCs w:val="0"/>
                <w:color w:val="auto"/>
                <w:spacing w:val="0"/>
                <w:w w:val="100"/>
                <w:position w:val="0"/>
                <w:sz w:val="21"/>
                <w:szCs w:val="21"/>
                <w:highlight w:val="none"/>
                <w:lang w:val="en-US" w:eastAsia="zh-CN"/>
              </w:rPr>
              <w:t>、含盐量</w:t>
            </w:r>
          </w:p>
        </w:tc>
        <w:tc>
          <w:tcPr>
            <w:tcW w:w="1315" w:type="dxa"/>
            <w:gridSpan w:val="2"/>
            <w:tcBorders>
              <w:tl2br w:val="nil"/>
              <w:tr2bl w:val="nil"/>
            </w:tcBorders>
            <w:vAlign w:val="center"/>
          </w:tcPr>
          <w:p w14:paraId="5275F88F">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1次/3年</w:t>
            </w:r>
          </w:p>
        </w:tc>
        <w:tc>
          <w:tcPr>
            <w:tcW w:w="1031" w:type="dxa"/>
            <w:vMerge w:val="continue"/>
            <w:tcBorders>
              <w:tl2br w:val="nil"/>
              <w:tr2bl w:val="nil"/>
            </w:tcBorders>
            <w:vAlign w:val="center"/>
          </w:tcPr>
          <w:p w14:paraId="2EFEE4A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p>
        </w:tc>
      </w:tr>
      <w:tr w14:paraId="46819D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372" w:type="dxa"/>
            <w:vMerge w:val="continue"/>
            <w:tcBorders>
              <w:tl2br w:val="nil"/>
              <w:tr2bl w:val="nil"/>
            </w:tcBorders>
            <w:vAlign w:val="center"/>
          </w:tcPr>
          <w:p w14:paraId="6DCED4C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p>
        </w:tc>
        <w:tc>
          <w:tcPr>
            <w:tcW w:w="1510" w:type="dxa"/>
            <w:tcBorders>
              <w:tl2br w:val="nil"/>
              <w:tr2bl w:val="nil"/>
            </w:tcBorders>
            <w:vAlign w:val="center"/>
          </w:tcPr>
          <w:p w14:paraId="6371AC2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r>
              <w:rPr>
                <w:rFonts w:hint="default" w:ascii="Times New Roman" w:hAnsi="Times New Roman" w:eastAsia="宋体" w:cs="Times New Roman"/>
                <w:color w:val="auto"/>
                <w:spacing w:val="0"/>
                <w:w w:val="100"/>
                <w:kern w:val="0"/>
                <w:position w:val="0"/>
                <w:sz w:val="21"/>
                <w:szCs w:val="21"/>
                <w:highlight w:val="none"/>
              </w:rPr>
              <w:t>信息公开指标</w:t>
            </w:r>
          </w:p>
        </w:tc>
        <w:tc>
          <w:tcPr>
            <w:tcW w:w="5415" w:type="dxa"/>
            <w:gridSpan w:val="5"/>
            <w:tcBorders>
              <w:tl2br w:val="nil"/>
              <w:tr2bl w:val="nil"/>
            </w:tcBorders>
            <w:vAlign w:val="center"/>
          </w:tcPr>
          <w:p w14:paraId="4A64074E">
            <w:pPr>
              <w:pStyle w:val="19"/>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c>
          <w:tcPr>
            <w:tcW w:w="1031" w:type="dxa"/>
            <w:vMerge w:val="continue"/>
            <w:tcBorders>
              <w:tl2br w:val="nil"/>
              <w:tr2bl w:val="nil"/>
            </w:tcBorders>
            <w:vAlign w:val="center"/>
          </w:tcPr>
          <w:p w14:paraId="3C78AE28">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kern w:val="0"/>
                <w:position w:val="0"/>
                <w:sz w:val="21"/>
                <w:szCs w:val="21"/>
                <w:highlight w:val="none"/>
              </w:rPr>
            </w:pPr>
          </w:p>
        </w:tc>
      </w:tr>
    </w:tbl>
    <w:p w14:paraId="243B334C">
      <w:pPr>
        <w:pStyle w:val="9"/>
        <w:rPr>
          <w:rFonts w:hint="default" w:ascii="Times New Roman" w:hAnsi="Times New Roman" w:eastAsia="宋体" w:cs="Times New Roman"/>
          <w:color w:val="auto"/>
          <w:spacing w:val="0"/>
          <w:w w:val="100"/>
          <w:position w:val="0"/>
        </w:rPr>
      </w:pPr>
    </w:p>
    <w:p w14:paraId="0C3FEF31">
      <w:pPr>
        <w:rPr>
          <w:rFonts w:hint="default" w:ascii="Times New Roman" w:hAnsi="Times New Roman" w:eastAsia="宋体" w:cs="Times New Roman"/>
          <w:color w:val="auto"/>
          <w:spacing w:val="0"/>
          <w:w w:val="100"/>
          <w:position w:val="0"/>
        </w:rPr>
        <w:sectPr>
          <w:headerReference r:id="rId47" w:type="default"/>
          <w:footerReference r:id="rId48" w:type="default"/>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60870A5A">
      <w:pPr>
        <w:pStyle w:val="3"/>
        <w:bidi w:val="0"/>
        <w:rPr>
          <w:rFonts w:hint="default" w:ascii="Times New Roman" w:hAnsi="Times New Roman" w:cs="Times New Roman"/>
          <w:color w:val="auto"/>
          <w:lang w:val="en-US" w:eastAsia="zh-CN"/>
        </w:rPr>
      </w:pPr>
      <w:bookmarkStart w:id="635" w:name="bookmark39"/>
      <w:bookmarkEnd w:id="635"/>
      <w:bookmarkStart w:id="636" w:name="_Toc18706"/>
      <w:bookmarkStart w:id="637" w:name="_Toc26884"/>
      <w:r>
        <w:rPr>
          <w:rFonts w:hint="default" w:ascii="Times New Roman" w:hAnsi="Times New Roman" w:cs="Times New Roman"/>
          <w:color w:val="auto"/>
          <w:lang w:val="en-US" w:eastAsia="zh-CN"/>
        </w:rPr>
        <w:t>生态环境影响评价</w:t>
      </w:r>
      <w:bookmarkEnd w:id="636"/>
      <w:bookmarkEnd w:id="637"/>
    </w:p>
    <w:p w14:paraId="5665D23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本项目为新建工程，新建地表建筑物为采</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工业场地等，占地面积为</w:t>
      </w:r>
      <w:r>
        <w:rPr>
          <w:rFonts w:hint="default" w:ascii="Times New Roman" w:hAnsi="Times New Roman" w:eastAsia="宋体" w:cs="Times New Roman"/>
          <w:color w:val="auto"/>
          <w:spacing w:val="0"/>
          <w:w w:val="100"/>
          <w:position w:val="0"/>
          <w:sz w:val="24"/>
          <w:szCs w:val="24"/>
          <w:lang w:val="en-US" w:eastAsia="zh-CN"/>
        </w:rPr>
        <w:t>15.</w:t>
      </w:r>
      <w:r>
        <w:rPr>
          <w:rFonts w:hint="default" w:ascii="Times New Roman" w:hAnsi="Times New Roman" w:cs="Times New Roman"/>
          <w:color w:val="auto"/>
          <w:spacing w:val="0"/>
          <w:w w:val="100"/>
          <w:position w:val="0"/>
          <w:sz w:val="24"/>
          <w:szCs w:val="24"/>
          <w:lang w:val="en-US" w:eastAsia="zh-CN"/>
        </w:rPr>
        <w:t>489</w:t>
      </w:r>
      <w:r>
        <w:rPr>
          <w:rFonts w:hint="default" w:ascii="Times New Roman" w:hAnsi="Times New Roman" w:eastAsia="宋体" w:cs="Times New Roman"/>
          <w:color w:val="auto"/>
          <w:spacing w:val="0"/>
          <w:w w:val="100"/>
          <w:position w:val="0"/>
          <w:sz w:val="24"/>
          <w:szCs w:val="24"/>
        </w:rPr>
        <w:t>hm²</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为永久占地。依据《环境影响评价技术导则</w:t>
      </w:r>
      <w:r>
        <w:rPr>
          <w:rFonts w:hint="default" w:ascii="Times New Roman" w:hAnsi="Times New Roman" w:eastAsia="宋体" w:cs="Times New Roman"/>
          <w:color w:val="auto"/>
          <w:spacing w:val="0"/>
          <w:w w:val="100"/>
          <w:position w:val="0"/>
          <w:sz w:val="24"/>
          <w:szCs w:val="24"/>
          <w:lang w:val="en-US" w:eastAsia="zh-CN"/>
        </w:rPr>
        <w:t xml:space="preserve"> </w:t>
      </w:r>
      <w:r>
        <w:rPr>
          <w:rFonts w:hint="default" w:ascii="Times New Roman" w:hAnsi="Times New Roman" w:eastAsia="宋体" w:cs="Times New Roman"/>
          <w:color w:val="auto"/>
          <w:spacing w:val="0"/>
          <w:w w:val="100"/>
          <w:position w:val="0"/>
          <w:sz w:val="24"/>
          <w:szCs w:val="24"/>
        </w:rPr>
        <w:t>生态影响》</w:t>
      </w:r>
      <w:r>
        <w:rPr>
          <w:rFonts w:hint="default" w:ascii="Times New Roman" w:hAnsi="Times New Roman" w:eastAsia="宋体" w:cs="Times New Roman"/>
          <w:color w:val="auto"/>
          <w:spacing w:val="0"/>
          <w:w w:val="100"/>
          <w:position w:val="0"/>
          <w:sz w:val="24"/>
          <w:highlight w:val="none"/>
          <w:lang w:val="en-US" w:eastAsia="zh-CN"/>
        </w:rPr>
        <w:t>（HJ19-2022）</w:t>
      </w:r>
      <w:r>
        <w:rPr>
          <w:rFonts w:hint="default" w:ascii="Times New Roman" w:hAnsi="Times New Roman" w:eastAsia="宋体" w:cs="Times New Roman"/>
          <w:color w:val="auto"/>
          <w:spacing w:val="0"/>
          <w:w w:val="100"/>
          <w:position w:val="0"/>
          <w:sz w:val="24"/>
          <w:szCs w:val="24"/>
        </w:rPr>
        <w:t>，生态影响评价工作等级确定为</w:t>
      </w:r>
      <w:r>
        <w:rPr>
          <w:rFonts w:hint="default" w:ascii="Times New Roman" w:hAnsi="Times New Roman" w:eastAsia="宋体" w:cs="Times New Roman"/>
          <w:color w:val="auto"/>
          <w:spacing w:val="0"/>
          <w:w w:val="100"/>
          <w:position w:val="0"/>
          <w:sz w:val="24"/>
          <w:szCs w:val="24"/>
          <w:lang w:val="en-US" w:eastAsia="zh-CN"/>
        </w:rPr>
        <w:t>二</w:t>
      </w:r>
      <w:r>
        <w:rPr>
          <w:rFonts w:hint="default" w:ascii="Times New Roman" w:hAnsi="Times New Roman" w:eastAsia="宋体" w:cs="Times New Roman"/>
          <w:color w:val="auto"/>
          <w:spacing w:val="0"/>
          <w:w w:val="100"/>
          <w:position w:val="0"/>
          <w:sz w:val="24"/>
          <w:szCs w:val="24"/>
        </w:rPr>
        <w:t>级。</w:t>
      </w:r>
    </w:p>
    <w:p w14:paraId="76F2826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本次评价对生态环境评价范围进行占地和动物、植被等现状评价。</w:t>
      </w:r>
    </w:p>
    <w:p w14:paraId="50CD27AB">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生态环境影响分析</w:t>
      </w:r>
    </w:p>
    <w:p w14:paraId="3E3C0F6A">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"5.8.2.1"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5.8.1.1</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生态完整性与稳定性分析</w:t>
      </w:r>
    </w:p>
    <w:p w14:paraId="3339CA6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评价区基本上为原始的处于自然状态的生态系统。自然化程度高、荒漠化程度重，属于典型的荒漠生态系统，整个区域生态系统受自然条件制约较重，生态系统非常脆弱。一旦受到外界及人类过多活动的干扰，就会改变和打破区内水热循环、土壤侵蚀等生态过程的动态平衡，也就打破了脆弱生态系统的稳定性，</w:t>
      </w:r>
      <w:r>
        <w:rPr>
          <w:rFonts w:hint="eastAsia" w:ascii="Times New Roman" w:hAnsi="Times New Roman" w:cs="Times New Roman"/>
          <w:color w:val="auto"/>
          <w:spacing w:val="0"/>
          <w:w w:val="100"/>
          <w:position w:val="0"/>
          <w:sz w:val="24"/>
          <w:szCs w:val="24"/>
          <w:lang w:eastAsia="zh-CN"/>
        </w:rPr>
        <w:t>从而</w:t>
      </w:r>
      <w:r>
        <w:rPr>
          <w:rFonts w:hint="default" w:ascii="Times New Roman" w:hAnsi="Times New Roman" w:eastAsia="宋体" w:cs="Times New Roman"/>
          <w:color w:val="auto"/>
          <w:spacing w:val="0"/>
          <w:w w:val="100"/>
          <w:position w:val="0"/>
          <w:sz w:val="24"/>
          <w:szCs w:val="24"/>
        </w:rPr>
        <w:t>导致整个生态体系完整性的变化和失衡，丧失其生态服务功能。本项目实施后，原有的地类将发生较大的变化，开采初期形成</w:t>
      </w:r>
      <w:r>
        <w:rPr>
          <w:rFonts w:hint="default" w:ascii="Times New Roman" w:hAnsi="Times New Roman" w:eastAsia="宋体" w:cs="Times New Roman"/>
          <w:color w:val="auto"/>
          <w:spacing w:val="0"/>
          <w:w w:val="100"/>
          <w:position w:val="0"/>
          <w:sz w:val="24"/>
          <w:szCs w:val="24"/>
          <w:lang w:val="en-US" w:eastAsia="zh-CN"/>
        </w:rPr>
        <w:t>工业场地</w:t>
      </w:r>
      <w:r>
        <w:rPr>
          <w:rFonts w:hint="default" w:ascii="Times New Roman" w:hAnsi="Times New Roman" w:eastAsia="宋体" w:cs="Times New Roman"/>
          <w:color w:val="auto"/>
          <w:spacing w:val="0"/>
          <w:w w:val="100"/>
          <w:position w:val="0"/>
          <w:sz w:val="24"/>
          <w:szCs w:val="24"/>
        </w:rPr>
        <w:t>、废石场等。</w:t>
      </w:r>
    </w:p>
    <w:p w14:paraId="0534FC23">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采取生态恢复和重建措施后，矿区原有的自然生态系统发生较大变化，随着矿山开展生态重建工程，将形成新的人工生态系统，代替原来的自然生态系统，使生态系统的组成和结构发生了一定的变化。原来处于相对稳定的自然生态系统结构，被人工生态系统和自然恢复的生态系统代替，生态系统更加趋于多样。</w:t>
      </w:r>
    </w:p>
    <w:p w14:paraId="41444021">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区生态系统主要由两类元素组成，一类是最稳定的元素，即岩石、裸岩石砾地，它们具有物理系统的稳定性；另一类是低亚稳定性的元素，即短命植物和小型动物，具有生物量较低、生命周期短和繁殖快的特点。对于低亚稳定性的元素，其阻抗稳定性较差，即抵御干扰的能力较低，但恢复稳定性较好，在受到干扰后，能在相对较短时间内恢复到原有的种群水平。项目区生态系统中具有生命特征的元素均为低亚稳定性元素，同时对物种起决定作用的水土资源几乎为同质，异质性极低，因此整个生态系统对外界干扰的阻抗能力极低，但恢复能力较强。</w:t>
      </w:r>
    </w:p>
    <w:p w14:paraId="7E6B4967">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"5.8.2.2"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5.8.1.2</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对景观格局的影响分析</w:t>
      </w:r>
    </w:p>
    <w:p w14:paraId="54AA1FD7">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运营期，项目对景观格局的影响主要集中在采</w:t>
      </w:r>
      <w:r>
        <w:rPr>
          <w:rFonts w:hint="default" w:ascii="Times New Roman" w:hAnsi="Times New Roman" w:eastAsia="宋体" w:cs="Times New Roman"/>
          <w:color w:val="auto"/>
          <w:spacing w:val="0"/>
          <w:w w:val="100"/>
          <w:position w:val="0"/>
          <w:sz w:val="24"/>
          <w:szCs w:val="24"/>
          <w:lang w:val="en-US" w:eastAsia="zh-CN"/>
        </w:rPr>
        <w:t>矿</w:t>
      </w:r>
      <w:r>
        <w:rPr>
          <w:rFonts w:hint="default" w:ascii="Times New Roman" w:hAnsi="Times New Roman" w:eastAsia="宋体" w:cs="Times New Roman"/>
          <w:color w:val="auto"/>
          <w:spacing w:val="0"/>
          <w:w w:val="100"/>
          <w:position w:val="0"/>
          <w:sz w:val="24"/>
          <w:szCs w:val="24"/>
        </w:rPr>
        <w:t>工业场地、风井工业场地、废石场、办公生活区等设施改变裸露地的荒漠景观。对景观结构有一定影响。</w:t>
      </w:r>
    </w:p>
    <w:p w14:paraId="66FF288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办公区等场地因为人工建筑的修建改变了原有荒漠景观，由荒漠景观</w:t>
      </w:r>
      <w:r>
        <w:rPr>
          <w:rFonts w:hint="eastAsia" w:ascii="Times New Roman" w:hAnsi="Times New Roman" w:cs="Times New Roman"/>
          <w:color w:val="auto"/>
          <w:spacing w:val="0"/>
          <w:w w:val="100"/>
          <w:position w:val="0"/>
          <w:sz w:val="24"/>
          <w:szCs w:val="24"/>
          <w:lang w:eastAsia="zh-CN"/>
        </w:rPr>
        <w:t>变为</w:t>
      </w:r>
      <w:r>
        <w:rPr>
          <w:rFonts w:hint="default" w:ascii="Times New Roman" w:hAnsi="Times New Roman" w:eastAsia="宋体" w:cs="Times New Roman"/>
          <w:color w:val="auto"/>
          <w:spacing w:val="0"/>
          <w:w w:val="100"/>
          <w:position w:val="0"/>
          <w:sz w:val="24"/>
          <w:szCs w:val="24"/>
        </w:rPr>
        <w:t>人工建筑景观。</w:t>
      </w:r>
    </w:p>
    <w:p w14:paraId="24E02952">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但从宏观上看，新建的工矿景观分布相对集中，因而对于整体景观斑块的破碎度影响不是很大，斑块之间继续保持着较高的连通性。因此不会引起整体景观格局和功能的较大改变。随着服务期满后的土地复垦措施的落实，最终将恢复自然景观。</w:t>
      </w:r>
    </w:p>
    <w:p w14:paraId="3E989098">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"5.8.2.3"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5.8.1.3</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对土地利用的影响</w:t>
      </w:r>
    </w:p>
    <w:p w14:paraId="0A80738C">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项目建成后，共占地面积</w:t>
      </w:r>
      <w:r>
        <w:rPr>
          <w:rFonts w:hint="default" w:ascii="Times New Roman" w:hAnsi="Times New Roman" w:eastAsia="宋体" w:cs="Times New Roman"/>
          <w:color w:val="auto"/>
          <w:spacing w:val="0"/>
          <w:w w:val="100"/>
          <w:position w:val="0"/>
          <w:sz w:val="24"/>
          <w:szCs w:val="24"/>
          <w:lang w:val="en-US" w:eastAsia="zh-CN"/>
        </w:rPr>
        <w:t>15.539</w:t>
      </w:r>
      <w:r>
        <w:rPr>
          <w:rFonts w:hint="default" w:ascii="Times New Roman" w:hAnsi="Times New Roman" w:eastAsia="宋体" w:cs="Times New Roman"/>
          <w:color w:val="auto"/>
          <w:spacing w:val="0"/>
          <w:w w:val="100"/>
          <w:position w:val="0"/>
          <w:sz w:val="24"/>
          <w:szCs w:val="24"/>
        </w:rPr>
        <w:t>hm²</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原有的裸岩石砾地类型转变为采矿用地。</w:t>
      </w:r>
    </w:p>
    <w:p w14:paraId="015CBB1F">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本项目占用土地的工程主要为工业场地、生活区和废石场等，占地类型主要为裸岩石砾地等，如果在本项目运营期间不采取土地复垦措施，裸岩石砾地等原生土地利用类型将逐年</w:t>
      </w:r>
      <w:r>
        <w:rPr>
          <w:rFonts w:hint="default" w:ascii="Times New Roman" w:hAnsi="Times New Roman" w:eastAsia="宋体" w:cs="Times New Roman"/>
          <w:color w:val="auto"/>
          <w:spacing w:val="0"/>
          <w:w w:val="100"/>
          <w:position w:val="0"/>
          <w:sz w:val="24"/>
          <w:szCs w:val="24"/>
          <w:lang w:val="en-US" w:eastAsia="zh-CN"/>
        </w:rPr>
        <w:t>减</w:t>
      </w:r>
      <w:r>
        <w:rPr>
          <w:rFonts w:hint="default" w:ascii="Times New Roman" w:hAnsi="Times New Roman" w:eastAsia="宋体" w:cs="Times New Roman"/>
          <w:color w:val="auto"/>
          <w:spacing w:val="0"/>
          <w:w w:val="100"/>
          <w:position w:val="0"/>
          <w:sz w:val="24"/>
          <w:szCs w:val="24"/>
        </w:rPr>
        <w:t>少，采矿用地逐年</w:t>
      </w:r>
      <w:r>
        <w:rPr>
          <w:rFonts w:hint="default" w:ascii="Times New Roman" w:hAnsi="Times New Roman" w:cs="Times New Roman"/>
          <w:color w:val="auto"/>
          <w:spacing w:val="0"/>
          <w:w w:val="100"/>
          <w:position w:val="0"/>
          <w:sz w:val="24"/>
          <w:szCs w:val="24"/>
          <w:lang w:eastAsia="zh-CN"/>
        </w:rPr>
        <w:t>增</w:t>
      </w:r>
      <w:r>
        <w:rPr>
          <w:rFonts w:hint="default" w:ascii="Times New Roman" w:hAnsi="Times New Roman" w:eastAsia="宋体" w:cs="Times New Roman"/>
          <w:color w:val="auto"/>
          <w:spacing w:val="0"/>
          <w:w w:val="100"/>
          <w:position w:val="0"/>
          <w:sz w:val="24"/>
          <w:szCs w:val="24"/>
        </w:rPr>
        <w:t>加，原生自然景观向人工景观转变十分显著，且采矿挖损使地表砾幕层消失，形成大面积有疏松沙土覆盖的裸露地表，为当地频繁的风沙活动提供了物质来源。因此，为避免这一</w:t>
      </w:r>
      <w:r>
        <w:rPr>
          <w:rFonts w:hint="default" w:ascii="Times New Roman" w:hAnsi="Times New Roman" w:cs="Times New Roman"/>
          <w:color w:val="auto"/>
          <w:spacing w:val="0"/>
          <w:w w:val="100"/>
          <w:position w:val="0"/>
          <w:sz w:val="24"/>
          <w:szCs w:val="24"/>
          <w:lang w:eastAsia="zh-CN"/>
        </w:rPr>
        <w:t>情况</w:t>
      </w:r>
      <w:r>
        <w:rPr>
          <w:rFonts w:hint="default" w:ascii="Times New Roman" w:hAnsi="Times New Roman" w:eastAsia="宋体" w:cs="Times New Roman"/>
          <w:color w:val="auto"/>
          <w:spacing w:val="0"/>
          <w:w w:val="100"/>
          <w:position w:val="0"/>
          <w:sz w:val="24"/>
          <w:szCs w:val="24"/>
        </w:rPr>
        <w:t>的发生，在开采过程中，必须采取“边采边复（覆）”的措施，对废石场等及时恢复地表覆盖，避免地表大面积裸露，逐渐恢复原有土地利用功能。根据矿区生态环境特征，实施生态恢复后，土地利用结构与项目开发建设前相比，仍以表面覆盖有砾幕层的戈壁为主。</w:t>
      </w:r>
    </w:p>
    <w:p w14:paraId="19FD996C">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"5.8.2.4"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5.8.1.4</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对植被生长的影响分析</w:t>
      </w:r>
    </w:p>
    <w:p w14:paraId="72ED4667">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（1）生物量损失计算</w:t>
      </w:r>
    </w:p>
    <w:p w14:paraId="2C10A42B">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运营期项目建设占地会破坏项目所在地及其周边地区的植被，根据《北方荒漠及荒漠化地区草地地上生物量空间分布特征》，该地区生态系统接近于“岩石、冰和沙漠”生态系统，平均生物量为20g/m²</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由于自然条件极为恶劣，该生态系统中的植被每年能够提供的生产量极为有限，仅靠季节性的降水发育一些短命的盐生植物。项目建设带来生物量的损失计算结果见表5.8-1。运营期项目造成生物量损失约</w:t>
      </w:r>
      <w:r>
        <w:rPr>
          <w:rFonts w:hint="default" w:ascii="Times New Roman" w:hAnsi="Times New Roman" w:eastAsia="宋体" w:cs="Times New Roman"/>
          <w:color w:val="auto"/>
          <w:spacing w:val="0"/>
          <w:w w:val="100"/>
          <w:position w:val="0"/>
          <w:sz w:val="24"/>
          <w:szCs w:val="24"/>
          <w:lang w:val="en-US" w:eastAsia="zh-CN"/>
        </w:rPr>
        <w:t>3.11</w:t>
      </w:r>
      <w:r>
        <w:rPr>
          <w:rFonts w:hint="default" w:ascii="Times New Roman" w:hAnsi="Times New Roman" w:eastAsia="宋体" w:cs="Times New Roman"/>
          <w:color w:val="auto"/>
          <w:spacing w:val="0"/>
          <w:w w:val="100"/>
          <w:position w:val="0"/>
          <w:sz w:val="24"/>
          <w:szCs w:val="24"/>
        </w:rPr>
        <w:t>t/a。</w:t>
      </w:r>
    </w:p>
    <w:p w14:paraId="6A53AF62">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表5.8-1</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运营期生物量损失</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2740"/>
        <w:gridCol w:w="2884"/>
        <w:gridCol w:w="2709"/>
      </w:tblGrid>
      <w:tr w14:paraId="21E697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1644" w:type="pct"/>
            <w:tcBorders>
              <w:tl2br w:val="nil"/>
              <w:tr2bl w:val="nil"/>
            </w:tcBorders>
            <w:vAlign w:val="center"/>
          </w:tcPr>
          <w:p w14:paraId="6497866E">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植被平均生物量</w:t>
            </w:r>
          </w:p>
        </w:tc>
        <w:tc>
          <w:tcPr>
            <w:tcW w:w="1730" w:type="pct"/>
            <w:tcBorders>
              <w:tl2br w:val="nil"/>
              <w:tr2bl w:val="nil"/>
            </w:tcBorders>
            <w:vAlign w:val="center"/>
          </w:tcPr>
          <w:p w14:paraId="1431DD80">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面积</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hm</w:t>
            </w:r>
            <w:r>
              <w:rPr>
                <w:rFonts w:hint="default" w:ascii="Times New Roman" w:hAnsi="Times New Roman" w:eastAsia="宋体" w:cs="Times New Roman"/>
                <w:color w:val="auto"/>
                <w:spacing w:val="0"/>
                <w:w w:val="100"/>
                <w:position w:val="0"/>
                <w:vertAlign w:val="superscript"/>
                <w:lang w:val="en-US" w:eastAsia="zh-CN"/>
              </w:rPr>
              <w:t>2</w:t>
            </w:r>
            <w:r>
              <w:rPr>
                <w:rFonts w:hint="default" w:ascii="Times New Roman" w:hAnsi="Times New Roman" w:eastAsia="宋体" w:cs="Times New Roman"/>
                <w:color w:val="auto"/>
                <w:spacing w:val="0"/>
                <w:w w:val="100"/>
                <w:position w:val="0"/>
                <w:lang w:eastAsia="zh-CN"/>
              </w:rPr>
              <w:t>）</w:t>
            </w:r>
          </w:p>
        </w:tc>
        <w:tc>
          <w:tcPr>
            <w:tcW w:w="1625" w:type="pct"/>
            <w:tcBorders>
              <w:tl2br w:val="nil"/>
              <w:tr2bl w:val="nil"/>
            </w:tcBorders>
            <w:vAlign w:val="center"/>
          </w:tcPr>
          <w:p w14:paraId="1760003D">
            <w:pPr>
              <w:pStyle w:val="30"/>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生物量</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t</w:t>
            </w:r>
            <w:r>
              <w:rPr>
                <w:rFonts w:hint="default" w:ascii="Times New Roman" w:hAnsi="Times New Roman" w:eastAsia="宋体" w:cs="Times New Roman"/>
                <w:color w:val="auto"/>
                <w:spacing w:val="0"/>
                <w:w w:val="100"/>
                <w:position w:val="0"/>
                <w:lang w:eastAsia="zh-CN"/>
              </w:rPr>
              <w:t>）</w:t>
            </w:r>
          </w:p>
        </w:tc>
      </w:tr>
      <w:tr w14:paraId="57A9C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644" w:type="pct"/>
            <w:tcBorders>
              <w:tl2br w:val="nil"/>
              <w:tr2bl w:val="nil"/>
            </w:tcBorders>
            <w:vAlign w:val="center"/>
          </w:tcPr>
          <w:p w14:paraId="382E23A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14"/>
                <w:szCs w:val="14"/>
              </w:rPr>
            </w:pPr>
            <w:r>
              <w:rPr>
                <w:rFonts w:hint="default" w:ascii="Times New Roman" w:hAnsi="Times New Roman" w:eastAsia="宋体" w:cs="Times New Roman"/>
                <w:color w:val="auto"/>
                <w:spacing w:val="0"/>
                <w:w w:val="100"/>
                <w:position w:val="0"/>
                <w:sz w:val="21"/>
                <w:szCs w:val="21"/>
              </w:rPr>
              <w:t>20g/</w:t>
            </w:r>
            <w:r>
              <w:rPr>
                <w:rFonts w:hint="default" w:ascii="Times New Roman" w:hAnsi="Times New Roman" w:eastAsia="宋体" w:cs="Times New Roman"/>
                <w:color w:val="auto"/>
                <w:spacing w:val="0"/>
                <w:w w:val="100"/>
                <w:position w:val="0"/>
              </w:rPr>
              <w:t>m</w:t>
            </w:r>
            <w:r>
              <w:rPr>
                <w:rFonts w:hint="default" w:ascii="Times New Roman" w:hAnsi="Times New Roman" w:eastAsia="宋体" w:cs="Times New Roman"/>
                <w:color w:val="auto"/>
                <w:spacing w:val="0"/>
                <w:w w:val="100"/>
                <w:position w:val="0"/>
                <w:vertAlign w:val="superscript"/>
                <w:lang w:val="en-US" w:eastAsia="zh-CN"/>
              </w:rPr>
              <w:t>2</w:t>
            </w:r>
          </w:p>
        </w:tc>
        <w:tc>
          <w:tcPr>
            <w:tcW w:w="1730" w:type="pct"/>
            <w:tcBorders>
              <w:tl2br w:val="nil"/>
              <w:tr2bl w:val="nil"/>
            </w:tcBorders>
            <w:vAlign w:val="center"/>
          </w:tcPr>
          <w:p w14:paraId="5CCB788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15.539</w:t>
            </w:r>
          </w:p>
        </w:tc>
        <w:tc>
          <w:tcPr>
            <w:tcW w:w="1625" w:type="pct"/>
            <w:tcBorders>
              <w:tl2br w:val="nil"/>
              <w:tr2bl w:val="nil"/>
            </w:tcBorders>
            <w:vAlign w:val="center"/>
          </w:tcPr>
          <w:p w14:paraId="48E5F1A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3.11</w:t>
            </w:r>
          </w:p>
        </w:tc>
      </w:tr>
    </w:tbl>
    <w:p w14:paraId="2956AF3C">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（2）对地表植被的影响分析</w:t>
      </w:r>
    </w:p>
    <w:p w14:paraId="0B745BF4">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项目所处区域属于亚洲中部最干旱、荒漠化最强的核心地段。极端干旱的环境严重限制了植物群落的发育，调查范围内，植被分布极少。项目建设对当地植被覆盖面积不会有明显影响，评价区域内的生态功能不会发生大的改变。评价区域内主要植物群系见表5.8-2。</w:t>
      </w:r>
    </w:p>
    <w:p w14:paraId="5BF9E1FD">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表5.8-2</w:t>
      </w:r>
      <w:r>
        <w:rPr>
          <w:rFonts w:hint="default" w:ascii="Times New Roman" w:hAnsi="Times New Roman" w:eastAsia="宋体" w:cs="Times New Roman"/>
          <w:b/>
          <w:bCs/>
          <w:color w:val="auto"/>
          <w:spacing w:val="-2"/>
          <w:sz w:val="21"/>
          <w:szCs w:val="21"/>
          <w:lang w:val="en-US" w:eastAsia="zh-CN"/>
        </w:rPr>
        <w:t xml:space="preserve">    </w:t>
      </w:r>
      <w:r>
        <w:rPr>
          <w:rFonts w:hint="default" w:ascii="Times New Roman" w:hAnsi="Times New Roman" w:eastAsia="宋体" w:cs="Times New Roman"/>
          <w:b/>
          <w:bCs/>
          <w:color w:val="auto"/>
          <w:spacing w:val="-2"/>
          <w:sz w:val="21"/>
          <w:szCs w:val="21"/>
        </w:rPr>
        <w:t>评价范围主要植物群系</w:t>
      </w:r>
    </w:p>
    <w:tbl>
      <w:tblPr>
        <w:tblStyle w:val="31"/>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83"/>
        <w:gridCol w:w="1180"/>
        <w:gridCol w:w="4208"/>
        <w:gridCol w:w="1962"/>
      </w:tblGrid>
      <w:tr w14:paraId="0545F0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90" w:type="pct"/>
            <w:tcBorders>
              <w:tl2br w:val="nil"/>
              <w:tr2bl w:val="nil"/>
            </w:tcBorders>
            <w:vAlign w:val="center"/>
          </w:tcPr>
          <w:p w14:paraId="1DA0505E">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序号</w:t>
            </w:r>
          </w:p>
        </w:tc>
        <w:tc>
          <w:tcPr>
            <w:tcW w:w="708" w:type="pct"/>
            <w:tcBorders>
              <w:tl2br w:val="nil"/>
              <w:tr2bl w:val="nil"/>
            </w:tcBorders>
            <w:vAlign w:val="center"/>
          </w:tcPr>
          <w:p w14:paraId="3C98EAED">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群系名</w:t>
            </w:r>
          </w:p>
        </w:tc>
        <w:tc>
          <w:tcPr>
            <w:tcW w:w="2524" w:type="pct"/>
            <w:tcBorders>
              <w:tl2br w:val="nil"/>
              <w:tr2bl w:val="nil"/>
            </w:tcBorders>
            <w:vAlign w:val="center"/>
          </w:tcPr>
          <w:p w14:paraId="56A730C3">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拉丁名</w:t>
            </w:r>
          </w:p>
        </w:tc>
        <w:tc>
          <w:tcPr>
            <w:tcW w:w="1177" w:type="pct"/>
            <w:tcBorders>
              <w:tl2br w:val="nil"/>
              <w:tr2bl w:val="nil"/>
            </w:tcBorders>
            <w:vAlign w:val="center"/>
          </w:tcPr>
          <w:p w14:paraId="55BAB3F2">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盖度</w:t>
            </w:r>
          </w:p>
        </w:tc>
      </w:tr>
      <w:tr w14:paraId="034673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90" w:type="pct"/>
            <w:tcBorders>
              <w:tl2br w:val="nil"/>
              <w:tr2bl w:val="nil"/>
            </w:tcBorders>
            <w:vAlign w:val="center"/>
          </w:tcPr>
          <w:p w14:paraId="72204D1B">
            <w:pPr>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w:t>
            </w:r>
          </w:p>
        </w:tc>
        <w:tc>
          <w:tcPr>
            <w:tcW w:w="708" w:type="pct"/>
            <w:tcBorders>
              <w:tl2br w:val="nil"/>
              <w:tr2bl w:val="nil"/>
            </w:tcBorders>
            <w:vAlign w:val="center"/>
          </w:tcPr>
          <w:p w14:paraId="07F2B013">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lang w:eastAsia="zh-CN"/>
              </w:rPr>
            </w:pPr>
            <w:r>
              <w:rPr>
                <w:rFonts w:hint="default" w:ascii="Times New Roman" w:hAnsi="Times New Roman" w:cs="Times New Roman"/>
                <w:color w:val="auto"/>
                <w:spacing w:val="0"/>
                <w:w w:val="100"/>
                <w:position w:val="0"/>
                <w:lang w:val="en-US" w:eastAsia="zh-CN"/>
              </w:rPr>
              <w:t>猪毛菜</w:t>
            </w:r>
          </w:p>
        </w:tc>
        <w:tc>
          <w:tcPr>
            <w:tcW w:w="2524" w:type="pct"/>
            <w:tcBorders>
              <w:tl2br w:val="nil"/>
              <w:tr2bl w:val="nil"/>
            </w:tcBorders>
            <w:vAlign w:val="center"/>
          </w:tcPr>
          <w:p w14:paraId="656756B5">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lang w:val="en-US" w:eastAsia="zh-CN"/>
              </w:rPr>
              <w:t>Salsola collina Pall.</w:t>
            </w:r>
          </w:p>
        </w:tc>
        <w:tc>
          <w:tcPr>
            <w:tcW w:w="1177" w:type="pct"/>
            <w:tcBorders>
              <w:tl2br w:val="nil"/>
              <w:tr2bl w:val="nil"/>
            </w:tcBorders>
            <w:vAlign w:val="center"/>
          </w:tcPr>
          <w:p w14:paraId="765A18F7">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20-30%</w:t>
            </w:r>
          </w:p>
        </w:tc>
      </w:tr>
      <w:tr w14:paraId="357024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90" w:type="pct"/>
            <w:tcBorders>
              <w:tl2br w:val="nil"/>
              <w:tr2bl w:val="nil"/>
            </w:tcBorders>
            <w:vAlign w:val="center"/>
          </w:tcPr>
          <w:p w14:paraId="36F33D71">
            <w:pPr>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w:t>
            </w:r>
          </w:p>
        </w:tc>
        <w:tc>
          <w:tcPr>
            <w:tcW w:w="708" w:type="pct"/>
            <w:tcBorders>
              <w:tl2br w:val="nil"/>
              <w:tr2bl w:val="nil"/>
            </w:tcBorders>
            <w:vAlign w:val="center"/>
          </w:tcPr>
          <w:p w14:paraId="1228DCBB">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沙生针茅</w:t>
            </w:r>
          </w:p>
        </w:tc>
        <w:tc>
          <w:tcPr>
            <w:tcW w:w="2524" w:type="pct"/>
            <w:tcBorders>
              <w:tl2br w:val="nil"/>
              <w:tr2bl w:val="nil"/>
            </w:tcBorders>
            <w:vAlign w:val="center"/>
          </w:tcPr>
          <w:p w14:paraId="5E31D15E">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lang w:val="en-US" w:eastAsia="zh-CN"/>
              </w:rPr>
              <w:t>Stipa glareosa P. Smirn.</w:t>
            </w:r>
          </w:p>
        </w:tc>
        <w:tc>
          <w:tcPr>
            <w:tcW w:w="1177" w:type="pct"/>
            <w:tcBorders>
              <w:tl2br w:val="nil"/>
              <w:tr2bl w:val="nil"/>
            </w:tcBorders>
            <w:vAlign w:val="center"/>
          </w:tcPr>
          <w:p w14:paraId="6753E909">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20-30%</w:t>
            </w:r>
          </w:p>
        </w:tc>
      </w:tr>
      <w:tr w14:paraId="74AC5D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590" w:type="pct"/>
            <w:tcBorders>
              <w:tl2br w:val="nil"/>
              <w:tr2bl w:val="nil"/>
            </w:tcBorders>
            <w:vAlign w:val="center"/>
          </w:tcPr>
          <w:p w14:paraId="21E66A66">
            <w:pPr>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cs="Times New Roman"/>
                <w:color w:val="auto"/>
                <w:spacing w:val="0"/>
                <w:w w:val="100"/>
                <w:position w:val="0"/>
                <w:sz w:val="21"/>
                <w:szCs w:val="21"/>
                <w:lang w:val="en-US" w:eastAsia="zh-CN"/>
              </w:rPr>
              <w:t>3</w:t>
            </w:r>
          </w:p>
        </w:tc>
        <w:tc>
          <w:tcPr>
            <w:tcW w:w="708" w:type="pct"/>
            <w:tcBorders>
              <w:tl2br w:val="nil"/>
              <w:tr2bl w:val="nil"/>
            </w:tcBorders>
            <w:vAlign w:val="center"/>
          </w:tcPr>
          <w:p w14:paraId="1D9E3295">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cs="Times New Roman"/>
                <w:color w:val="auto"/>
                <w:spacing w:val="0"/>
                <w:w w:val="100"/>
                <w:position w:val="0"/>
                <w:lang w:val="en-US" w:eastAsia="zh-CN"/>
              </w:rPr>
              <w:t>驼绒藜</w:t>
            </w:r>
          </w:p>
        </w:tc>
        <w:tc>
          <w:tcPr>
            <w:tcW w:w="2524" w:type="pct"/>
            <w:tcBorders>
              <w:tl2br w:val="nil"/>
              <w:tr2bl w:val="nil"/>
            </w:tcBorders>
            <w:vAlign w:val="center"/>
          </w:tcPr>
          <w:p w14:paraId="19FC388F">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lang w:val="en-US" w:eastAsia="zh-CN"/>
              </w:rPr>
              <w:t>Krascheninnikovia ceratoides (L.) Gueldenst.</w:t>
            </w:r>
          </w:p>
        </w:tc>
        <w:tc>
          <w:tcPr>
            <w:tcW w:w="1177" w:type="pct"/>
            <w:tcBorders>
              <w:tl2br w:val="nil"/>
              <w:tr2bl w:val="nil"/>
            </w:tcBorders>
            <w:vAlign w:val="center"/>
          </w:tcPr>
          <w:p w14:paraId="6E562ED5">
            <w:pPr>
              <w:pStyle w:val="30"/>
              <w:keepNext w:val="0"/>
              <w:keepLines w:val="0"/>
              <w:pageBreakBefore w:val="0"/>
              <w:widowControl w:val="0"/>
              <w:kinsoku/>
              <w:wordWrap/>
              <w:overflowPunct/>
              <w:topLinePunct w:val="0"/>
              <w:autoSpaceDE/>
              <w:autoSpaceDN/>
              <w:bidi w:val="0"/>
              <w:adjustRightInd/>
              <w:snapToGrid/>
              <w:spacing w:line="360" w:lineRule="atLeas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20-30%</w:t>
            </w:r>
          </w:p>
        </w:tc>
      </w:tr>
    </w:tbl>
    <w:p w14:paraId="73CA397C">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"5.8.2.5"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5.8.1.5</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对野生动物的影响分析</w:t>
      </w:r>
    </w:p>
    <w:p w14:paraId="177C0D19">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本项目的开发将破坏地表植被，对野生动物的栖息地造成一定影响，但是由于植被生长极少，栖息在评价区附近的小型野生动物也鲜见，因而项目建设运营对评价区内野生动物活动及其生境影响极为有限。</w:t>
      </w:r>
    </w:p>
    <w:p w14:paraId="5990F2BB">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"5.8.2.6"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5.8.1.6</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地表错动</w:t>
      </w:r>
      <w:r>
        <w:rPr>
          <w:rFonts w:hint="default" w:ascii="Times New Roman" w:hAnsi="Times New Roman" w:cs="Times New Roman"/>
          <w:b/>
          <w:bCs/>
          <w:color w:val="auto"/>
          <w:spacing w:val="0"/>
          <w:w w:val="100"/>
          <w:kern w:val="2"/>
          <w:position w:val="0"/>
          <w:sz w:val="24"/>
          <w:szCs w:val="28"/>
          <w:highlight w:val="none"/>
          <w:lang w:val="en-US" w:eastAsia="zh-CN" w:bidi="ar-SA"/>
        </w:rPr>
        <w:t>及地面塌陷</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影响分析</w:t>
      </w:r>
    </w:p>
    <w:p w14:paraId="1A08E985">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w:t>
      </w:r>
      <w:r>
        <w:rPr>
          <w:rFonts w:hint="default" w:ascii="Times New Roman" w:hAnsi="Times New Roman" w:eastAsia="宋体" w:cs="Times New Roman"/>
          <w:color w:val="auto"/>
          <w:spacing w:val="0"/>
          <w:w w:val="100"/>
          <w:position w:val="0"/>
          <w:sz w:val="24"/>
          <w:szCs w:val="24"/>
          <w:highlight w:val="none"/>
          <w:lang w:val="en-US" w:eastAsia="zh-CN"/>
        </w:rPr>
        <w:t>1</w:t>
      </w:r>
      <w:r>
        <w:rPr>
          <w:rFonts w:hint="default" w:ascii="Times New Roman" w:hAnsi="Times New Roman" w:eastAsia="宋体" w:cs="Times New Roman"/>
          <w:color w:val="auto"/>
          <w:spacing w:val="0"/>
          <w:w w:val="100"/>
          <w:position w:val="0"/>
          <w:sz w:val="24"/>
          <w:szCs w:val="24"/>
          <w:highlight w:val="none"/>
        </w:rPr>
        <w:t>）地面塌陷影响分析</w:t>
      </w:r>
    </w:p>
    <w:p w14:paraId="0CE30C3E">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rPr>
        <w:t>根据矿体赋存特征及开采现状，设计采用地下开采方式分三个开采区逐步开采。采顺序为：先开采东南部的Ⅳ-1等矿体的南采区，接续开采中部的Ⅲ、Ⅵ号等矿体的中采区，后期开采北部的Ⅰ、Ⅱ号矿体的北采区。</w:t>
      </w:r>
      <w:r>
        <w:rPr>
          <w:rFonts w:hint="default" w:ascii="Times New Roman" w:hAnsi="Times New Roman" w:eastAsia="宋体" w:cs="Times New Roman"/>
          <w:color w:val="auto"/>
          <w:spacing w:val="0"/>
          <w:w w:val="100"/>
          <w:position w:val="0"/>
          <w:sz w:val="24"/>
          <w:szCs w:val="24"/>
          <w:highlight w:val="none"/>
          <w:lang w:val="en-US" w:eastAsia="zh-CN"/>
        </w:rPr>
        <w:t>《</w:t>
      </w:r>
      <w:r>
        <w:rPr>
          <w:rFonts w:hint="eastAsia" w:ascii="Times New Roman" w:hAnsi="Times New Roman" w:cs="Times New Roman"/>
          <w:color w:val="auto"/>
          <w:spacing w:val="0"/>
          <w:w w:val="100"/>
          <w:position w:val="0"/>
          <w:sz w:val="24"/>
          <w:szCs w:val="24"/>
          <w:highlight w:val="none"/>
          <w:lang w:val="en-US" w:eastAsia="zh-CN"/>
        </w:rPr>
        <w:t>哈密市金石矿业有限责任公司哈密市大红山北铜矿地下开采建设项目</w:t>
      </w:r>
      <w:r>
        <w:rPr>
          <w:rFonts w:hint="default" w:ascii="Times New Roman" w:hAnsi="Times New Roman" w:eastAsia="宋体" w:cs="Times New Roman"/>
          <w:color w:val="auto"/>
          <w:spacing w:val="0"/>
          <w:w w:val="100"/>
          <w:position w:val="0"/>
          <w:sz w:val="24"/>
          <w:szCs w:val="24"/>
          <w:highlight w:val="none"/>
          <w:lang w:val="en-US" w:eastAsia="zh-CN"/>
        </w:rPr>
        <w:t>生态修复方案》中的预测结果见表5.8-3</w:t>
      </w:r>
      <w:r>
        <w:rPr>
          <w:rFonts w:hint="default" w:ascii="Times New Roman" w:hAnsi="Times New Roman" w:eastAsia="宋体" w:cs="Times New Roman"/>
          <w:color w:val="auto"/>
          <w:spacing w:val="0"/>
          <w:w w:val="100"/>
          <w:position w:val="0"/>
          <w:sz w:val="24"/>
          <w:szCs w:val="24"/>
          <w:highlight w:val="none"/>
        </w:rPr>
        <w:t>。</w:t>
      </w:r>
    </w:p>
    <w:p w14:paraId="5F504991">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w:t>
      </w:r>
      <w:r>
        <w:rPr>
          <w:rFonts w:hint="default" w:ascii="Times New Roman" w:hAnsi="Times New Roman" w:eastAsia="宋体" w:cs="Times New Roman"/>
          <w:b/>
          <w:bCs/>
          <w:color w:val="auto"/>
          <w:spacing w:val="-2"/>
          <w:sz w:val="21"/>
          <w:szCs w:val="21"/>
          <w:lang w:val="en-US" w:eastAsia="zh-CN"/>
        </w:rPr>
        <w:t xml:space="preserve">5.8-3    </w:t>
      </w:r>
      <w:r>
        <w:rPr>
          <w:rFonts w:hint="default" w:ascii="Times New Roman" w:hAnsi="Times New Roman" w:eastAsia="宋体" w:cs="Times New Roman"/>
          <w:b/>
          <w:bCs/>
          <w:color w:val="auto"/>
          <w:spacing w:val="-2"/>
          <w:sz w:val="21"/>
          <w:szCs w:val="21"/>
        </w:rPr>
        <w:t>圈定地面塌陷情况一览表</w:t>
      </w:r>
    </w:p>
    <w:tbl>
      <w:tblPr>
        <w:tblStyle w:val="21"/>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23" w:type="dxa"/>
          <w:bottom w:w="0" w:type="dxa"/>
          <w:right w:w="23" w:type="dxa"/>
        </w:tblCellMar>
      </w:tblPr>
      <w:tblGrid>
        <w:gridCol w:w="487"/>
        <w:gridCol w:w="1366"/>
        <w:gridCol w:w="974"/>
        <w:gridCol w:w="974"/>
        <w:gridCol w:w="1268"/>
        <w:gridCol w:w="1230"/>
        <w:gridCol w:w="2053"/>
      </w:tblGrid>
      <w:tr w14:paraId="3A6D1C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26231A6A">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序号</w:t>
            </w:r>
          </w:p>
        </w:tc>
        <w:tc>
          <w:tcPr>
            <w:tcW w:w="1491" w:type="dxa"/>
            <w:tcBorders>
              <w:tl2br w:val="nil"/>
              <w:tr2bl w:val="nil"/>
            </w:tcBorders>
            <w:vAlign w:val="center"/>
          </w:tcPr>
          <w:p w14:paraId="2BB92D13">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矿体编号</w:t>
            </w:r>
          </w:p>
        </w:tc>
        <w:tc>
          <w:tcPr>
            <w:tcW w:w="1031" w:type="dxa"/>
            <w:tcBorders>
              <w:tl2br w:val="nil"/>
              <w:tr2bl w:val="nil"/>
            </w:tcBorders>
            <w:vAlign w:val="center"/>
          </w:tcPr>
          <w:p w14:paraId="7A030033">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预测地面塌陷区面积</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公顷）</w:t>
            </w:r>
          </w:p>
        </w:tc>
        <w:tc>
          <w:tcPr>
            <w:tcW w:w="1031" w:type="dxa"/>
            <w:tcBorders>
              <w:tl2br w:val="nil"/>
              <w:tr2bl w:val="nil"/>
            </w:tcBorders>
            <w:vAlign w:val="center"/>
          </w:tcPr>
          <w:p w14:paraId="602B9D9C">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采空区面积</w:t>
            </w:r>
            <w:r>
              <w:rPr>
                <w:rFonts w:hint="default" w:ascii="Times New Roman" w:hAnsi="Times New Roman" w:eastAsia="宋体" w:cs="Times New Roman"/>
                <w:color w:val="auto"/>
                <w:kern w:val="0"/>
                <w:sz w:val="21"/>
                <w:szCs w:val="21"/>
                <w:highlight w:val="none"/>
                <w:lang w:eastAsia="zh-CN" w:bidi="ar"/>
              </w:rPr>
              <w:t>（</w:t>
            </w:r>
            <w:r>
              <w:rPr>
                <w:rFonts w:hint="default" w:ascii="Times New Roman" w:hAnsi="Times New Roman" w:eastAsia="宋体" w:cs="Times New Roman"/>
                <w:color w:val="auto"/>
                <w:kern w:val="0"/>
                <w:sz w:val="21"/>
                <w:szCs w:val="21"/>
                <w:highlight w:val="none"/>
                <w:lang w:bidi="ar"/>
              </w:rPr>
              <w:t>公顷）</w:t>
            </w:r>
          </w:p>
        </w:tc>
        <w:tc>
          <w:tcPr>
            <w:tcW w:w="1405" w:type="dxa"/>
            <w:tcBorders>
              <w:tl2br w:val="nil"/>
              <w:tr2bl w:val="nil"/>
            </w:tcBorders>
            <w:vAlign w:val="center"/>
          </w:tcPr>
          <w:p w14:paraId="044A57E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地面塌陷最大深度（米）</w:t>
            </w:r>
          </w:p>
        </w:tc>
        <w:tc>
          <w:tcPr>
            <w:tcW w:w="1395" w:type="dxa"/>
            <w:tcBorders>
              <w:tl2br w:val="nil"/>
              <w:tr2bl w:val="nil"/>
            </w:tcBorders>
            <w:vAlign w:val="center"/>
          </w:tcPr>
          <w:p w14:paraId="331AA716">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开采深厚比</w:t>
            </w:r>
          </w:p>
        </w:tc>
        <w:tc>
          <w:tcPr>
            <w:tcW w:w="2337" w:type="dxa"/>
            <w:tcBorders>
              <w:tl2br w:val="nil"/>
              <w:tr2bl w:val="nil"/>
            </w:tcBorders>
            <w:vAlign w:val="center"/>
          </w:tcPr>
          <w:p w14:paraId="2088C7F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备注</w:t>
            </w:r>
          </w:p>
        </w:tc>
      </w:tr>
      <w:tr w14:paraId="522272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06E3F60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w:t>
            </w:r>
          </w:p>
        </w:tc>
        <w:tc>
          <w:tcPr>
            <w:tcW w:w="1491" w:type="dxa"/>
            <w:tcBorders>
              <w:tl2br w:val="nil"/>
              <w:tr2bl w:val="nil"/>
            </w:tcBorders>
            <w:vAlign w:val="center"/>
          </w:tcPr>
          <w:p w14:paraId="7261BFD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Ⅰ、Ⅱ</w:t>
            </w:r>
          </w:p>
        </w:tc>
        <w:tc>
          <w:tcPr>
            <w:tcW w:w="1031" w:type="dxa"/>
            <w:tcBorders>
              <w:tl2br w:val="nil"/>
              <w:tr2bl w:val="nil"/>
            </w:tcBorders>
            <w:vAlign w:val="center"/>
          </w:tcPr>
          <w:p w14:paraId="2B093A0D">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bidi="ar"/>
              </w:rPr>
              <w:t>1.761</w:t>
            </w:r>
            <w:r>
              <w:rPr>
                <w:rFonts w:hint="default" w:ascii="Times New Roman" w:hAnsi="Times New Roman" w:eastAsia="宋体" w:cs="Times New Roman"/>
                <w:color w:val="auto"/>
                <w:kern w:val="0"/>
                <w:sz w:val="21"/>
                <w:szCs w:val="21"/>
                <w:highlight w:val="none"/>
                <w:lang w:val="en-US" w:eastAsia="zh-CN" w:bidi="ar"/>
              </w:rPr>
              <w:t>0</w:t>
            </w:r>
          </w:p>
        </w:tc>
        <w:tc>
          <w:tcPr>
            <w:tcW w:w="1031" w:type="dxa"/>
            <w:tcBorders>
              <w:tl2br w:val="nil"/>
              <w:tr2bl w:val="nil"/>
            </w:tcBorders>
            <w:vAlign w:val="center"/>
          </w:tcPr>
          <w:p w14:paraId="1C04DF50">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0.8891</w:t>
            </w:r>
          </w:p>
        </w:tc>
        <w:tc>
          <w:tcPr>
            <w:tcW w:w="1405" w:type="dxa"/>
            <w:tcBorders>
              <w:tl2br w:val="nil"/>
              <w:tr2bl w:val="nil"/>
            </w:tcBorders>
            <w:vAlign w:val="center"/>
          </w:tcPr>
          <w:p w14:paraId="01F7CAB2">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0.07 </w:t>
            </w:r>
          </w:p>
        </w:tc>
        <w:tc>
          <w:tcPr>
            <w:tcW w:w="1395" w:type="dxa"/>
            <w:tcBorders>
              <w:tl2br w:val="nil"/>
              <w:tr2bl w:val="nil"/>
            </w:tcBorders>
            <w:vAlign w:val="center"/>
          </w:tcPr>
          <w:p w14:paraId="1A27BED8">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23.98 </w:t>
            </w:r>
          </w:p>
        </w:tc>
        <w:tc>
          <w:tcPr>
            <w:tcW w:w="2337" w:type="dxa"/>
            <w:tcBorders>
              <w:tl2br w:val="nil"/>
              <w:tr2bl w:val="nil"/>
            </w:tcBorders>
            <w:vAlign w:val="center"/>
          </w:tcPr>
          <w:p w14:paraId="01D13672">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Ⅰ、Ⅱ号预测塌陷区</w:t>
            </w:r>
          </w:p>
        </w:tc>
      </w:tr>
      <w:tr w14:paraId="6A13AE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0EA0D5A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2</w:t>
            </w:r>
          </w:p>
        </w:tc>
        <w:tc>
          <w:tcPr>
            <w:tcW w:w="1491" w:type="dxa"/>
            <w:tcBorders>
              <w:tl2br w:val="nil"/>
              <w:tr2bl w:val="nil"/>
            </w:tcBorders>
            <w:vAlign w:val="center"/>
          </w:tcPr>
          <w:p w14:paraId="4B32594A">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Ⅲ、Ⅲ-1</w:t>
            </w:r>
          </w:p>
        </w:tc>
        <w:tc>
          <w:tcPr>
            <w:tcW w:w="1031" w:type="dxa"/>
            <w:tcBorders>
              <w:tl2br w:val="nil"/>
              <w:tr2bl w:val="nil"/>
            </w:tcBorders>
            <w:vAlign w:val="center"/>
          </w:tcPr>
          <w:p w14:paraId="659846F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5.2148</w:t>
            </w:r>
          </w:p>
        </w:tc>
        <w:tc>
          <w:tcPr>
            <w:tcW w:w="1031" w:type="dxa"/>
            <w:tcBorders>
              <w:tl2br w:val="nil"/>
              <w:tr2bl w:val="nil"/>
            </w:tcBorders>
            <w:vAlign w:val="center"/>
          </w:tcPr>
          <w:p w14:paraId="1DE879A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4.0348</w:t>
            </w:r>
          </w:p>
        </w:tc>
        <w:tc>
          <w:tcPr>
            <w:tcW w:w="1405" w:type="dxa"/>
            <w:tcBorders>
              <w:tl2br w:val="nil"/>
              <w:tr2bl w:val="nil"/>
            </w:tcBorders>
            <w:vAlign w:val="center"/>
          </w:tcPr>
          <w:p w14:paraId="7A90E844">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2.61 </w:t>
            </w:r>
          </w:p>
        </w:tc>
        <w:tc>
          <w:tcPr>
            <w:tcW w:w="1395" w:type="dxa"/>
            <w:tcBorders>
              <w:tl2br w:val="nil"/>
              <w:tr2bl w:val="nil"/>
            </w:tcBorders>
            <w:vAlign w:val="center"/>
          </w:tcPr>
          <w:p w14:paraId="242B73AA">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10.26 </w:t>
            </w:r>
          </w:p>
        </w:tc>
        <w:tc>
          <w:tcPr>
            <w:tcW w:w="2337" w:type="dxa"/>
            <w:tcBorders>
              <w:tl2br w:val="nil"/>
              <w:tr2bl w:val="nil"/>
            </w:tcBorders>
            <w:vAlign w:val="center"/>
          </w:tcPr>
          <w:p w14:paraId="3200F71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Ⅲ、Ⅲ-1号预测塌陷区</w:t>
            </w:r>
          </w:p>
        </w:tc>
      </w:tr>
      <w:tr w14:paraId="03CD90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101C53D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w:t>
            </w:r>
          </w:p>
        </w:tc>
        <w:tc>
          <w:tcPr>
            <w:tcW w:w="1491" w:type="dxa"/>
            <w:tcBorders>
              <w:tl2br w:val="nil"/>
              <w:tr2bl w:val="nil"/>
            </w:tcBorders>
            <w:vAlign w:val="center"/>
          </w:tcPr>
          <w:p w14:paraId="29C8C87B">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Ⅵ</w:t>
            </w:r>
          </w:p>
        </w:tc>
        <w:tc>
          <w:tcPr>
            <w:tcW w:w="1031" w:type="dxa"/>
            <w:tcBorders>
              <w:tl2br w:val="nil"/>
              <w:tr2bl w:val="nil"/>
            </w:tcBorders>
            <w:vAlign w:val="center"/>
          </w:tcPr>
          <w:p w14:paraId="16BFCFB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1.6231</w:t>
            </w:r>
          </w:p>
        </w:tc>
        <w:tc>
          <w:tcPr>
            <w:tcW w:w="1031" w:type="dxa"/>
            <w:tcBorders>
              <w:tl2br w:val="nil"/>
              <w:tr2bl w:val="nil"/>
            </w:tcBorders>
            <w:vAlign w:val="center"/>
          </w:tcPr>
          <w:p w14:paraId="57900EF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1.7541</w:t>
            </w:r>
          </w:p>
        </w:tc>
        <w:tc>
          <w:tcPr>
            <w:tcW w:w="1405" w:type="dxa"/>
            <w:tcBorders>
              <w:tl2br w:val="nil"/>
              <w:tr2bl w:val="nil"/>
            </w:tcBorders>
            <w:vAlign w:val="center"/>
          </w:tcPr>
          <w:p w14:paraId="4C9C27F9">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0.78 </w:t>
            </w:r>
          </w:p>
        </w:tc>
        <w:tc>
          <w:tcPr>
            <w:tcW w:w="1395" w:type="dxa"/>
            <w:tcBorders>
              <w:tl2br w:val="nil"/>
              <w:tr2bl w:val="nil"/>
            </w:tcBorders>
            <w:vAlign w:val="center"/>
          </w:tcPr>
          <w:p w14:paraId="1DB66568">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22.40 </w:t>
            </w:r>
          </w:p>
        </w:tc>
        <w:tc>
          <w:tcPr>
            <w:tcW w:w="2337" w:type="dxa"/>
            <w:tcBorders>
              <w:tl2br w:val="nil"/>
              <w:tr2bl w:val="nil"/>
            </w:tcBorders>
            <w:vAlign w:val="center"/>
          </w:tcPr>
          <w:p w14:paraId="795D1A79">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Ⅵ号预测塌陷区</w:t>
            </w:r>
          </w:p>
        </w:tc>
      </w:tr>
      <w:tr w14:paraId="6B8DFC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001BA1A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4</w:t>
            </w:r>
          </w:p>
        </w:tc>
        <w:tc>
          <w:tcPr>
            <w:tcW w:w="1491" w:type="dxa"/>
            <w:tcBorders>
              <w:tl2br w:val="nil"/>
              <w:tr2bl w:val="nil"/>
            </w:tcBorders>
            <w:vAlign w:val="center"/>
          </w:tcPr>
          <w:p w14:paraId="3F166614">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Ⅴ</w:t>
            </w:r>
          </w:p>
        </w:tc>
        <w:tc>
          <w:tcPr>
            <w:tcW w:w="1031" w:type="dxa"/>
            <w:tcBorders>
              <w:tl2br w:val="nil"/>
              <w:tr2bl w:val="nil"/>
            </w:tcBorders>
            <w:vAlign w:val="center"/>
          </w:tcPr>
          <w:p w14:paraId="5956ED40">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0.2826</w:t>
            </w:r>
          </w:p>
        </w:tc>
        <w:tc>
          <w:tcPr>
            <w:tcW w:w="1031" w:type="dxa"/>
            <w:tcBorders>
              <w:tl2br w:val="nil"/>
              <w:tr2bl w:val="nil"/>
            </w:tcBorders>
            <w:vAlign w:val="center"/>
          </w:tcPr>
          <w:p w14:paraId="76D88C42">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0.3685</w:t>
            </w:r>
          </w:p>
        </w:tc>
        <w:tc>
          <w:tcPr>
            <w:tcW w:w="1405" w:type="dxa"/>
            <w:tcBorders>
              <w:tl2br w:val="nil"/>
              <w:tr2bl w:val="nil"/>
            </w:tcBorders>
            <w:vAlign w:val="center"/>
          </w:tcPr>
          <w:p w14:paraId="6C89C246">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1.50 </w:t>
            </w:r>
          </w:p>
        </w:tc>
        <w:tc>
          <w:tcPr>
            <w:tcW w:w="1395" w:type="dxa"/>
            <w:tcBorders>
              <w:tl2br w:val="nil"/>
              <w:tr2bl w:val="nil"/>
            </w:tcBorders>
            <w:vAlign w:val="center"/>
          </w:tcPr>
          <w:p w14:paraId="7BEEF2D5">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15.16 </w:t>
            </w:r>
          </w:p>
        </w:tc>
        <w:tc>
          <w:tcPr>
            <w:tcW w:w="2337" w:type="dxa"/>
            <w:tcBorders>
              <w:tl2br w:val="nil"/>
              <w:tr2bl w:val="nil"/>
            </w:tcBorders>
            <w:vAlign w:val="center"/>
          </w:tcPr>
          <w:p w14:paraId="18E6DBE1">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Ⅴ号预测塌陷区</w:t>
            </w:r>
          </w:p>
        </w:tc>
      </w:tr>
      <w:tr w14:paraId="45BDE4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4109DE8C">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5</w:t>
            </w:r>
          </w:p>
        </w:tc>
        <w:tc>
          <w:tcPr>
            <w:tcW w:w="1491" w:type="dxa"/>
            <w:tcBorders>
              <w:tl2br w:val="nil"/>
              <w:tr2bl w:val="nil"/>
            </w:tcBorders>
            <w:vAlign w:val="center"/>
          </w:tcPr>
          <w:p w14:paraId="32AB8A96">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Ⅳ</w:t>
            </w:r>
          </w:p>
        </w:tc>
        <w:tc>
          <w:tcPr>
            <w:tcW w:w="1031" w:type="dxa"/>
            <w:tcBorders>
              <w:tl2br w:val="nil"/>
              <w:tr2bl w:val="nil"/>
            </w:tcBorders>
            <w:vAlign w:val="center"/>
          </w:tcPr>
          <w:p w14:paraId="79F05B47">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0.3099</w:t>
            </w:r>
          </w:p>
        </w:tc>
        <w:tc>
          <w:tcPr>
            <w:tcW w:w="1031" w:type="dxa"/>
            <w:tcBorders>
              <w:tl2br w:val="nil"/>
              <w:tr2bl w:val="nil"/>
            </w:tcBorders>
            <w:vAlign w:val="center"/>
          </w:tcPr>
          <w:p w14:paraId="14EABB3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0.2672</w:t>
            </w:r>
          </w:p>
        </w:tc>
        <w:tc>
          <w:tcPr>
            <w:tcW w:w="1405" w:type="dxa"/>
            <w:tcBorders>
              <w:tl2br w:val="nil"/>
              <w:tr2bl w:val="nil"/>
            </w:tcBorders>
            <w:vAlign w:val="center"/>
          </w:tcPr>
          <w:p w14:paraId="0C1DE429">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0.89 </w:t>
            </w:r>
          </w:p>
        </w:tc>
        <w:tc>
          <w:tcPr>
            <w:tcW w:w="1395" w:type="dxa"/>
            <w:tcBorders>
              <w:tl2br w:val="nil"/>
              <w:tr2bl w:val="nil"/>
            </w:tcBorders>
            <w:vAlign w:val="center"/>
          </w:tcPr>
          <w:p w14:paraId="71C6B9E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16.29 </w:t>
            </w:r>
          </w:p>
        </w:tc>
        <w:tc>
          <w:tcPr>
            <w:tcW w:w="2337" w:type="dxa"/>
            <w:tcBorders>
              <w:tl2br w:val="nil"/>
              <w:tr2bl w:val="nil"/>
            </w:tcBorders>
            <w:vAlign w:val="center"/>
          </w:tcPr>
          <w:p w14:paraId="6FD7D2C6">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Ⅳ号预测塌陷区</w:t>
            </w:r>
          </w:p>
        </w:tc>
      </w:tr>
      <w:tr w14:paraId="2987C6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541" w:type="dxa"/>
            <w:tcBorders>
              <w:tl2br w:val="nil"/>
              <w:tr2bl w:val="nil"/>
            </w:tcBorders>
            <w:vAlign w:val="center"/>
          </w:tcPr>
          <w:p w14:paraId="20FD661B">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6</w:t>
            </w:r>
          </w:p>
        </w:tc>
        <w:tc>
          <w:tcPr>
            <w:tcW w:w="1491" w:type="dxa"/>
            <w:tcBorders>
              <w:tl2br w:val="nil"/>
              <w:tr2bl w:val="nil"/>
            </w:tcBorders>
            <w:vAlign w:val="center"/>
          </w:tcPr>
          <w:p w14:paraId="3442D0C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Ⅳ-1、Ⅳ-1-1、Ⅳ-1-2、Ⅳ-1-3</w:t>
            </w:r>
          </w:p>
        </w:tc>
        <w:tc>
          <w:tcPr>
            <w:tcW w:w="1031" w:type="dxa"/>
            <w:tcBorders>
              <w:tl2br w:val="nil"/>
              <w:tr2bl w:val="nil"/>
            </w:tcBorders>
            <w:vAlign w:val="center"/>
          </w:tcPr>
          <w:p w14:paraId="0251551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8.238</w:t>
            </w:r>
          </w:p>
        </w:tc>
        <w:tc>
          <w:tcPr>
            <w:tcW w:w="1031" w:type="dxa"/>
            <w:tcBorders>
              <w:tl2br w:val="nil"/>
              <w:tr2bl w:val="nil"/>
            </w:tcBorders>
            <w:vAlign w:val="center"/>
          </w:tcPr>
          <w:p w14:paraId="053B110E">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5.5506</w:t>
            </w:r>
          </w:p>
        </w:tc>
        <w:tc>
          <w:tcPr>
            <w:tcW w:w="1405" w:type="dxa"/>
            <w:tcBorders>
              <w:tl2br w:val="nil"/>
              <w:tr2bl w:val="nil"/>
            </w:tcBorders>
            <w:vAlign w:val="center"/>
          </w:tcPr>
          <w:p w14:paraId="4609FF8F">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10.87 </w:t>
            </w:r>
          </w:p>
        </w:tc>
        <w:tc>
          <w:tcPr>
            <w:tcW w:w="1395" w:type="dxa"/>
            <w:tcBorders>
              <w:tl2br w:val="nil"/>
              <w:tr2bl w:val="nil"/>
            </w:tcBorders>
            <w:vAlign w:val="center"/>
          </w:tcPr>
          <w:p w14:paraId="089DE7A3">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 xml:space="preserve">2.44 </w:t>
            </w:r>
          </w:p>
        </w:tc>
        <w:tc>
          <w:tcPr>
            <w:tcW w:w="2337" w:type="dxa"/>
            <w:tcBorders>
              <w:tl2br w:val="nil"/>
              <w:tr2bl w:val="nil"/>
            </w:tcBorders>
            <w:vAlign w:val="center"/>
          </w:tcPr>
          <w:p w14:paraId="2CCC027A">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Ⅳ-1、Ⅳ-1-1、Ⅳ-1-2、Ⅳ-1-3号预测塌陷区</w:t>
            </w:r>
          </w:p>
        </w:tc>
      </w:tr>
      <w:tr w14:paraId="12948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3" w:type="dxa"/>
            <w:bottom w:w="0" w:type="dxa"/>
            <w:right w:w="23" w:type="dxa"/>
          </w:tblCellMar>
        </w:tblPrEx>
        <w:trPr>
          <w:trHeight w:val="23" w:hRule="atLeast"/>
          <w:jc w:val="center"/>
        </w:trPr>
        <w:tc>
          <w:tcPr>
            <w:tcW w:w="2032" w:type="dxa"/>
            <w:gridSpan w:val="2"/>
            <w:tcBorders>
              <w:tl2br w:val="nil"/>
              <w:tr2bl w:val="nil"/>
            </w:tcBorders>
            <w:vAlign w:val="center"/>
          </w:tcPr>
          <w:p w14:paraId="58E5874B">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合计</w:t>
            </w:r>
          </w:p>
        </w:tc>
        <w:tc>
          <w:tcPr>
            <w:tcW w:w="1031" w:type="dxa"/>
            <w:tcBorders>
              <w:tl2br w:val="nil"/>
              <w:tr2bl w:val="nil"/>
            </w:tcBorders>
            <w:vAlign w:val="center"/>
          </w:tcPr>
          <w:p w14:paraId="7884351D">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17.4295</w:t>
            </w:r>
          </w:p>
        </w:tc>
        <w:tc>
          <w:tcPr>
            <w:tcW w:w="1031" w:type="dxa"/>
            <w:tcBorders>
              <w:tl2br w:val="nil"/>
              <w:tr2bl w:val="nil"/>
            </w:tcBorders>
            <w:vAlign w:val="center"/>
          </w:tcPr>
          <w:p w14:paraId="02F696D2">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12.8643</w:t>
            </w:r>
          </w:p>
        </w:tc>
        <w:tc>
          <w:tcPr>
            <w:tcW w:w="1405" w:type="dxa"/>
            <w:tcBorders>
              <w:tl2br w:val="nil"/>
              <w:tr2bl w:val="nil"/>
            </w:tcBorders>
            <w:vAlign w:val="center"/>
          </w:tcPr>
          <w:p w14:paraId="49049E60">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395" w:type="dxa"/>
            <w:tcBorders>
              <w:tl2br w:val="nil"/>
              <w:tr2bl w:val="nil"/>
            </w:tcBorders>
            <w:vAlign w:val="center"/>
          </w:tcPr>
          <w:p w14:paraId="513CA989">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2337" w:type="dxa"/>
            <w:tcBorders>
              <w:tl2br w:val="nil"/>
              <w:tr2bl w:val="nil"/>
            </w:tcBorders>
            <w:vAlign w:val="center"/>
          </w:tcPr>
          <w:p w14:paraId="1F40C364">
            <w:pPr>
              <w:widowControl/>
              <w:overflowPunct/>
              <w:snapToGrid w:val="0"/>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r>
    </w:tbl>
    <w:p w14:paraId="65147D6C">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矿山地面塌陷主要威胁井下采矿人员的安全和井下开拓工程及生产设备。根据《</w:t>
      </w:r>
      <w:r>
        <w:rPr>
          <w:rFonts w:hint="default" w:ascii="Times New Roman" w:hAnsi="Times New Roman" w:eastAsia="宋体" w:cs="Times New Roman"/>
          <w:color w:val="auto"/>
          <w:spacing w:val="0"/>
          <w:w w:val="100"/>
          <w:position w:val="0"/>
          <w:sz w:val="24"/>
          <w:szCs w:val="24"/>
          <w:highlight w:val="none"/>
          <w:lang w:val="zh-CN"/>
        </w:rPr>
        <w:t>哈密市金石矿业有限责任公司哈密市大红山北铜矿地下开采建设项目</w:t>
      </w:r>
      <w:r>
        <w:rPr>
          <w:rFonts w:hint="default" w:ascii="Times New Roman" w:hAnsi="Times New Roman" w:eastAsia="宋体" w:cs="Times New Roman"/>
          <w:color w:val="auto"/>
          <w:spacing w:val="0"/>
          <w:w w:val="100"/>
          <w:position w:val="0"/>
          <w:sz w:val="24"/>
          <w:szCs w:val="24"/>
          <w:highlight w:val="none"/>
        </w:rPr>
        <w:t>初步设计》，一班组井下采矿人员最多为47人；可能直接经济损失为400万元。矿山地面塌陷危害程度中等，危险性大。</w:t>
      </w:r>
    </w:p>
    <w:p w14:paraId="5924C5CB">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）地面沉降影响分析</w:t>
      </w:r>
    </w:p>
    <w:p w14:paraId="1A0D0B9B">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区地下水类型主要为基岩裂隙水，以接受降雨补给为主，补给来源少，补给量贫乏，含水层富水性差。</w:t>
      </w:r>
    </w:p>
    <w:p w14:paraId="72A0A9C7">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现状无地下水或地下油（气）开采活动，现状未发现地面沉降灾害。矿山为地下采矿活动，开采矿体部分位于地下水位以下或附近。</w:t>
      </w: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区矿山开采时期矿山正常涌水量为</w:t>
      </w:r>
      <w:r>
        <w:rPr>
          <w:rFonts w:hint="default" w:ascii="Times New Roman" w:hAnsi="Times New Roman" w:cs="Times New Roman"/>
          <w:color w:val="auto"/>
          <w:spacing w:val="0"/>
          <w:w w:val="100"/>
          <w:position w:val="0"/>
          <w:sz w:val="24"/>
          <w:szCs w:val="24"/>
          <w:lang w:val="en-US" w:eastAsia="zh-CN"/>
        </w:rPr>
        <w:t>519</w:t>
      </w:r>
      <w:r>
        <w:rPr>
          <w:rFonts w:hint="default" w:ascii="Times New Roman" w:hAnsi="Times New Roman" w:eastAsia="宋体" w:cs="Times New Roman"/>
          <w:color w:val="auto"/>
          <w:spacing w:val="0"/>
          <w:w w:val="100"/>
          <w:position w:val="0"/>
          <w:sz w:val="24"/>
          <w:szCs w:val="24"/>
        </w:rPr>
        <w:t>立方米/天，最大涌水量</w:t>
      </w:r>
      <w:r>
        <w:rPr>
          <w:rFonts w:hint="default" w:ascii="Times New Roman" w:hAnsi="Times New Roman" w:cs="Times New Roman"/>
          <w:color w:val="auto"/>
          <w:spacing w:val="0"/>
          <w:w w:val="100"/>
          <w:position w:val="0"/>
          <w:sz w:val="24"/>
          <w:szCs w:val="24"/>
          <w:lang w:val="en-US" w:eastAsia="zh-CN"/>
        </w:rPr>
        <w:t>706</w:t>
      </w:r>
      <w:r>
        <w:rPr>
          <w:rFonts w:hint="default" w:ascii="Times New Roman" w:hAnsi="Times New Roman" w:eastAsia="宋体" w:cs="Times New Roman"/>
          <w:color w:val="auto"/>
          <w:spacing w:val="0"/>
          <w:w w:val="100"/>
          <w:position w:val="0"/>
          <w:sz w:val="24"/>
          <w:szCs w:val="24"/>
        </w:rPr>
        <w:t>立方米/天，在开采过程中将疏干排水，但疏干排水量小。基岩裂隙水含水层岩性以结晶灰岩、大理岩和花岗岩为主，不会发生压缩变形。所以本矿山正式生产后不易引发地面沉降灾害。预测</w:t>
      </w: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采矿活动不易引发地面沉降灾害，危害程度小，危险性小。</w:t>
      </w:r>
    </w:p>
    <w:p w14:paraId="766DFADB">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）地裂缝影响分析</w:t>
      </w:r>
    </w:p>
    <w:p w14:paraId="122EBCC6">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现状调查</w:t>
      </w: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区无地裂缝灾害发育。</w:t>
      </w:r>
    </w:p>
    <w:p w14:paraId="671209D3">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区内断裂构造较发育，虽然发育断裂，但非活动断裂，不具备发生地裂缝地质灾害的条件。矿山的采矿活动不会改变</w:t>
      </w: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区内地质构造条件。预测</w:t>
      </w:r>
      <w:r>
        <w:rPr>
          <w:rFonts w:hint="default" w:ascii="Times New Roman" w:hAnsi="Times New Roman" w:eastAsia="宋体" w:cs="Times New Roman"/>
          <w:color w:val="auto"/>
          <w:spacing w:val="0"/>
          <w:w w:val="100"/>
          <w:position w:val="0"/>
          <w:sz w:val="24"/>
          <w:szCs w:val="24"/>
          <w:lang w:eastAsia="zh-CN"/>
        </w:rPr>
        <w:t>评价</w:t>
      </w:r>
      <w:r>
        <w:rPr>
          <w:rFonts w:hint="default" w:ascii="Times New Roman" w:hAnsi="Times New Roman" w:eastAsia="宋体" w:cs="Times New Roman"/>
          <w:color w:val="auto"/>
          <w:spacing w:val="0"/>
          <w:w w:val="100"/>
          <w:position w:val="0"/>
          <w:sz w:val="24"/>
          <w:szCs w:val="24"/>
        </w:rPr>
        <w:t>采矿活动不易引发地裂缝灾害，危害程度小，危险性小。</w:t>
      </w:r>
    </w:p>
    <w:p w14:paraId="1FC4AEBC">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begin"/>
      </w:r>
      <w:r>
        <w:rPr>
          <w:rFonts w:hint="default" w:ascii="Times New Roman" w:hAnsi="Times New Roman" w:eastAsia="宋体" w:cs="Times New Roman"/>
          <w:b/>
          <w:bCs/>
          <w:color w:val="auto"/>
          <w:spacing w:val="0"/>
          <w:w w:val="100"/>
          <w:kern w:val="2"/>
          <w:position w:val="0"/>
          <w:sz w:val="24"/>
          <w:szCs w:val="28"/>
          <w:highlight w:val="none"/>
          <w:lang w:val="en-US" w:eastAsia="zh-CN" w:bidi="ar-SA"/>
        </w:rPr>
        <w:instrText xml:space="preserve"> HYPERLINK "5.8.2.7" </w:instrTex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separate"/>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5.8.1.7</w:t>
      </w:r>
      <w:r>
        <w:rPr>
          <w:rFonts w:hint="default" w:ascii="Times New Roman" w:hAnsi="Times New Roman" w:eastAsia="宋体" w:cs="Times New Roman"/>
          <w:b/>
          <w:bCs/>
          <w:color w:val="auto"/>
          <w:spacing w:val="0"/>
          <w:w w:val="100"/>
          <w:kern w:val="2"/>
          <w:position w:val="0"/>
          <w:sz w:val="24"/>
          <w:szCs w:val="28"/>
          <w:highlight w:val="none"/>
          <w:lang w:val="en-US" w:eastAsia="zh-CN" w:bidi="ar-SA"/>
        </w:rPr>
        <w:fldChar w:fldCharType="end"/>
      </w:r>
      <w:r>
        <w:rPr>
          <w:rFonts w:hint="default" w:ascii="Times New Roman" w:hAnsi="Times New Roman" w:eastAsia="宋体" w:cs="Times New Roman"/>
          <w:b/>
          <w:bCs/>
          <w:color w:val="auto"/>
          <w:spacing w:val="0"/>
          <w:w w:val="100"/>
          <w:kern w:val="2"/>
          <w:position w:val="0"/>
          <w:sz w:val="24"/>
          <w:szCs w:val="28"/>
          <w:highlight w:val="none"/>
          <w:lang w:val="en-US" w:eastAsia="zh-CN" w:bidi="ar-SA"/>
        </w:rPr>
        <w:t>对土地沙化的影响</w:t>
      </w:r>
    </w:p>
    <w:p w14:paraId="32D1DF96">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土地利用现状图以及新疆沙漠分布图和新疆沙漠化防治区划图，项目区所在土地为裸岩石砾地，裸岩石砾地是指表层为岩石或石砾，其覆盖面积≥70%的土地，不属于表层为沙覆盖、基本无植被的沙地，因此本项目不属于沙漠区域。项目建设过程中可能会破坏裸岩石砾地表面石砾幕，导致土地类型变为表层为土质，基本无植被覆盖的裸土地，但随着项目建设进行，三平一通的展开和硬化与绿化工作的完成，项目整体不会加速区域内土地沙化，不会导致土地迅速沙化。</w:t>
      </w:r>
    </w:p>
    <w:p w14:paraId="7037BD64">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服务期满后对生态环境影响分析</w:t>
      </w:r>
    </w:p>
    <w:p w14:paraId="0D2C63B0">
      <w:pPr>
        <w:keepNext w:val="0"/>
        <w:keepLines w:val="0"/>
        <w:pageBreakBefore w:val="0"/>
        <w:widowControl w:val="0"/>
        <w:kinsoku/>
        <w:wordWrap/>
        <w:overflowPunct/>
        <w:topLinePunct w:val="0"/>
        <w:autoSpaceDE/>
        <w:autoSpaceDN/>
        <w:bidi w:val="0"/>
        <w:adjustRightInd/>
        <w:snapToGrid/>
        <w:spacing w:line="480" w:lineRule="exact"/>
        <w:ind w:left="0" w:right="0" w:firstLine="479"/>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矿山服务期满后，主体工程及其辅助工程对于地表的扰动也随之结束，不再产生新的不利影响。同时，矿山服务期满后即进行绿化复垦工作，不会对生态环境造成新的不利影响。</w:t>
      </w:r>
    </w:p>
    <w:p w14:paraId="71685372">
      <w:pPr>
        <w:pStyle w:val="4"/>
        <w:bidi w:val="0"/>
        <w:rPr>
          <w:rFonts w:hint="default" w:ascii="Times New Roman" w:hAnsi="Times New Roman" w:cs="Times New Roman"/>
          <w:color w:val="auto"/>
          <w:lang w:val="zh-CN" w:eastAsia="zh-CN"/>
        </w:rPr>
      </w:pPr>
      <w:bookmarkStart w:id="638" w:name="bookmark89"/>
      <w:bookmarkEnd w:id="638"/>
      <w:r>
        <w:rPr>
          <w:rFonts w:hint="default" w:ascii="Times New Roman" w:hAnsi="Times New Roman" w:cs="Times New Roman"/>
          <w:color w:val="auto"/>
          <w:lang w:val="zh-CN" w:eastAsia="zh-CN"/>
        </w:rPr>
        <w:t>生态影响评价自查表</w:t>
      </w:r>
    </w:p>
    <w:p w14:paraId="71A75A53">
      <w:pPr>
        <w:pStyle w:val="5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 w:val="0"/>
          <w:bCs/>
          <w:color w:val="auto"/>
          <w:spacing w:val="0"/>
          <w:w w:val="100"/>
          <w:position w:val="0"/>
          <w:szCs w:val="24"/>
          <w:lang w:val="en-US" w:eastAsia="zh-CN"/>
        </w:rPr>
      </w:pPr>
      <w:r>
        <w:rPr>
          <w:rFonts w:hint="default" w:ascii="Times New Roman" w:hAnsi="Times New Roman" w:eastAsia="宋体" w:cs="Times New Roman"/>
          <w:b w:val="0"/>
          <w:bCs/>
          <w:color w:val="auto"/>
          <w:spacing w:val="0"/>
          <w:w w:val="100"/>
          <w:position w:val="0"/>
          <w:szCs w:val="24"/>
          <w:lang w:val="en-US" w:eastAsia="zh-CN"/>
        </w:rPr>
        <w:t>本项目生态影响评价自查表见表5.8-4</w:t>
      </w:r>
      <w:r>
        <w:rPr>
          <w:rFonts w:hint="default" w:ascii="Times New Roman" w:hAnsi="Times New Roman" w:eastAsia="宋体" w:cs="Times New Roman"/>
          <w:b w:val="0"/>
          <w:bCs/>
          <w:color w:val="auto"/>
          <w:spacing w:val="0"/>
          <w:w w:val="100"/>
          <w:position w:val="0"/>
          <w:sz w:val="24"/>
          <w:szCs w:val="24"/>
        </w:rPr>
        <w:t>。</w:t>
      </w:r>
    </w:p>
    <w:p w14:paraId="32F40A4D">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表5.</w:t>
      </w:r>
      <w:r>
        <w:rPr>
          <w:rFonts w:hint="default" w:ascii="Times New Roman" w:hAnsi="Times New Roman" w:eastAsia="宋体" w:cs="Times New Roman"/>
          <w:b/>
          <w:bCs/>
          <w:color w:val="auto"/>
          <w:spacing w:val="-2"/>
          <w:sz w:val="21"/>
          <w:szCs w:val="21"/>
          <w:lang w:val="en-US" w:eastAsia="zh-CN"/>
        </w:rPr>
        <w:t>8</w:t>
      </w:r>
      <w:r>
        <w:rPr>
          <w:rFonts w:hint="default" w:ascii="Times New Roman" w:hAnsi="Times New Roman" w:eastAsia="宋体" w:cs="Times New Roman"/>
          <w:b/>
          <w:bCs/>
          <w:color w:val="auto"/>
          <w:spacing w:val="-2"/>
          <w:sz w:val="21"/>
          <w:szCs w:val="21"/>
        </w:rPr>
        <w:t>-</w:t>
      </w:r>
      <w:r>
        <w:rPr>
          <w:rFonts w:hint="default" w:ascii="Times New Roman" w:hAnsi="Times New Roman" w:eastAsia="宋体" w:cs="Times New Roman"/>
          <w:b/>
          <w:bCs/>
          <w:color w:val="auto"/>
          <w:spacing w:val="-2"/>
          <w:sz w:val="21"/>
          <w:szCs w:val="21"/>
          <w:lang w:val="en-US" w:eastAsia="zh-CN"/>
        </w:rPr>
        <w:t xml:space="preserve">4    </w:t>
      </w:r>
      <w:r>
        <w:rPr>
          <w:rFonts w:hint="default" w:ascii="Times New Roman" w:hAnsi="Times New Roman" w:eastAsia="宋体" w:cs="Times New Roman"/>
          <w:b/>
          <w:bCs/>
          <w:color w:val="auto"/>
          <w:spacing w:val="-2"/>
          <w:sz w:val="21"/>
          <w:szCs w:val="21"/>
        </w:rPr>
        <w:t>生态影响评价自查表</w:t>
      </w:r>
    </w:p>
    <w:tbl>
      <w:tblPr>
        <w:tblStyle w:val="21"/>
        <w:tblW w:w="503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90"/>
        <w:gridCol w:w="1267"/>
        <w:gridCol w:w="3139"/>
        <w:gridCol w:w="3097"/>
      </w:tblGrid>
      <w:tr w14:paraId="108B8D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6" w:hRule="atLeast"/>
          <w:tblHeader/>
          <w:jc w:val="center"/>
        </w:trPr>
        <w:tc>
          <w:tcPr>
            <w:tcW w:w="1285" w:type="pct"/>
            <w:gridSpan w:val="2"/>
            <w:tcBorders>
              <w:tl2br w:val="nil"/>
              <w:tr2bl w:val="nil"/>
            </w:tcBorders>
            <w:noWrap w:val="0"/>
            <w:vAlign w:val="center"/>
          </w:tcPr>
          <w:p w14:paraId="5602F2E3">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工作内容</w:t>
            </w:r>
          </w:p>
        </w:tc>
        <w:tc>
          <w:tcPr>
            <w:tcW w:w="3714" w:type="pct"/>
            <w:gridSpan w:val="2"/>
            <w:tcBorders>
              <w:tl2br w:val="nil"/>
              <w:tr2bl w:val="nil"/>
            </w:tcBorders>
            <w:noWrap w:val="0"/>
            <w:vAlign w:val="center"/>
          </w:tcPr>
          <w:p w14:paraId="3E3F1255">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自查项目</w:t>
            </w:r>
          </w:p>
        </w:tc>
      </w:tr>
      <w:tr w14:paraId="730449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60" w:hRule="atLeast"/>
          <w:jc w:val="center"/>
        </w:trPr>
        <w:tc>
          <w:tcPr>
            <w:tcW w:w="530" w:type="pct"/>
            <w:vMerge w:val="restart"/>
            <w:tcBorders>
              <w:tl2br w:val="nil"/>
              <w:tr2bl w:val="nil"/>
            </w:tcBorders>
            <w:noWrap w:val="0"/>
            <w:vAlign w:val="center"/>
          </w:tcPr>
          <w:p w14:paraId="31F0A8F4">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生态影响识别</w:t>
            </w:r>
          </w:p>
        </w:tc>
        <w:tc>
          <w:tcPr>
            <w:tcW w:w="755" w:type="pct"/>
            <w:tcBorders>
              <w:tl2br w:val="nil"/>
              <w:tr2bl w:val="nil"/>
            </w:tcBorders>
            <w:noWrap w:val="0"/>
            <w:vAlign w:val="center"/>
          </w:tcPr>
          <w:p w14:paraId="39F070CB">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生态保护目标</w:t>
            </w:r>
          </w:p>
        </w:tc>
        <w:tc>
          <w:tcPr>
            <w:tcW w:w="3714" w:type="pct"/>
            <w:gridSpan w:val="2"/>
            <w:tcBorders>
              <w:tl2br w:val="nil"/>
              <w:tr2bl w:val="nil"/>
            </w:tcBorders>
            <w:noWrap w:val="0"/>
            <w:vAlign w:val="center"/>
          </w:tcPr>
          <w:p w14:paraId="0C3306B3">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eastAsia" w:eastAsia="宋体"/>
                <w:color w:val="auto"/>
                <w:sz w:val="21"/>
                <w:szCs w:val="21"/>
                <w:highlight w:val="none"/>
                <w:lang w:eastAsia="zh-CN"/>
              </w:rPr>
            </w:pPr>
            <w:r>
              <w:rPr>
                <w:color w:val="auto"/>
                <w:sz w:val="21"/>
                <w:szCs w:val="21"/>
                <w:highlight w:val="none"/>
              </w:rPr>
              <w:t>重要物种</w:t>
            </w:r>
            <w:r>
              <w:rPr>
                <w:rFonts w:hint="eastAsia"/>
                <w:color w:val="auto"/>
                <w:sz w:val="21"/>
                <w:szCs w:val="21"/>
                <w:highlight w:val="none"/>
                <w:lang w:eastAsia="zh-CN"/>
              </w:rPr>
              <w:t>□</w:t>
            </w:r>
            <w:r>
              <w:rPr>
                <w:color w:val="auto"/>
                <w:sz w:val="21"/>
                <w:szCs w:val="21"/>
                <w:highlight w:val="none"/>
              </w:rPr>
              <w:t>；国家公园□；自然保护区□；自然公园□；世界自然遗产□；生态保护红线</w:t>
            </w:r>
            <w:r>
              <w:rPr>
                <w:color w:val="auto"/>
                <w:sz w:val="21"/>
                <w:szCs w:val="21"/>
                <w:highlight w:val="none"/>
              </w:rPr>
              <w:sym w:font="Wingdings 2" w:char="0052"/>
            </w:r>
            <w:r>
              <w:rPr>
                <w:color w:val="auto"/>
                <w:sz w:val="21"/>
                <w:szCs w:val="21"/>
                <w:highlight w:val="none"/>
              </w:rPr>
              <w:t>；重要生境</w:t>
            </w:r>
            <w:r>
              <w:rPr>
                <w:rFonts w:hint="eastAsia"/>
                <w:color w:val="auto"/>
                <w:sz w:val="21"/>
                <w:szCs w:val="21"/>
                <w:highlight w:val="none"/>
                <w:lang w:eastAsia="zh-CN"/>
              </w:rPr>
              <w:t>□</w:t>
            </w:r>
            <w:r>
              <w:rPr>
                <w:color w:val="auto"/>
                <w:sz w:val="21"/>
                <w:szCs w:val="21"/>
                <w:highlight w:val="none"/>
              </w:rPr>
              <w:t>；其他具有重要生态功能、对保护生物多样性具有重要意义的区域</w:t>
            </w:r>
            <w:r>
              <w:rPr>
                <w:rFonts w:hint="eastAsia"/>
                <w:color w:val="auto"/>
                <w:sz w:val="21"/>
                <w:szCs w:val="21"/>
                <w:highlight w:val="none"/>
                <w:lang w:eastAsia="zh-CN"/>
              </w:rPr>
              <w:t>□（</w:t>
            </w:r>
            <w:r>
              <w:rPr>
                <w:rFonts w:hint="eastAsia"/>
                <w:color w:val="auto"/>
                <w:sz w:val="21"/>
                <w:szCs w:val="21"/>
                <w:highlight w:val="none"/>
                <w:lang w:val="en-US" w:eastAsia="zh-CN"/>
              </w:rPr>
              <w:t>天山水源涵养区</w:t>
            </w:r>
            <w:r>
              <w:rPr>
                <w:rFonts w:hint="eastAsia"/>
                <w:color w:val="auto"/>
                <w:sz w:val="21"/>
                <w:szCs w:val="21"/>
                <w:highlight w:val="none"/>
                <w:lang w:eastAsia="zh-CN"/>
              </w:rPr>
              <w:t>）</w:t>
            </w:r>
            <w:r>
              <w:rPr>
                <w:color w:val="auto"/>
                <w:sz w:val="21"/>
                <w:szCs w:val="21"/>
                <w:highlight w:val="none"/>
              </w:rPr>
              <w:t>；其他</w:t>
            </w:r>
            <w:r>
              <w:rPr>
                <w:rFonts w:hint="eastAsia"/>
                <w:color w:val="auto"/>
                <w:sz w:val="21"/>
                <w:szCs w:val="21"/>
                <w:highlight w:val="none"/>
                <w:lang w:eastAsia="zh-CN"/>
              </w:rPr>
              <w:t>□（</w:t>
            </w:r>
            <w:r>
              <w:rPr>
                <w:rFonts w:hint="eastAsia"/>
                <w:color w:val="auto"/>
                <w:sz w:val="21"/>
                <w:szCs w:val="21"/>
                <w:highlight w:val="none"/>
                <w:lang w:val="en-US" w:eastAsia="zh-CN"/>
              </w:rPr>
              <w:t>冰川</w:t>
            </w:r>
            <w:r>
              <w:rPr>
                <w:rFonts w:hint="eastAsia"/>
                <w:color w:val="auto"/>
                <w:sz w:val="21"/>
                <w:szCs w:val="21"/>
                <w:highlight w:val="none"/>
                <w:lang w:eastAsia="zh-CN"/>
              </w:rPr>
              <w:t>）</w:t>
            </w:r>
          </w:p>
        </w:tc>
      </w:tr>
      <w:tr w14:paraId="2303C6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530" w:type="pct"/>
            <w:vMerge w:val="continue"/>
            <w:tcBorders>
              <w:tl2br w:val="nil"/>
              <w:tr2bl w:val="nil"/>
            </w:tcBorders>
            <w:noWrap w:val="0"/>
            <w:vAlign w:val="center"/>
          </w:tcPr>
          <w:p w14:paraId="74EB1642">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0EFF018C">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影响方式</w:t>
            </w:r>
          </w:p>
        </w:tc>
        <w:tc>
          <w:tcPr>
            <w:tcW w:w="3714" w:type="pct"/>
            <w:gridSpan w:val="2"/>
            <w:tcBorders>
              <w:tl2br w:val="nil"/>
              <w:tr2bl w:val="nil"/>
            </w:tcBorders>
            <w:noWrap w:val="0"/>
            <w:vAlign w:val="center"/>
          </w:tcPr>
          <w:p w14:paraId="58DFF409">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工程占用</w:t>
            </w:r>
            <w:r>
              <w:rPr>
                <w:color w:val="auto"/>
                <w:sz w:val="21"/>
                <w:szCs w:val="21"/>
                <w:highlight w:val="none"/>
              </w:rPr>
              <w:sym w:font="Wingdings 2" w:char="0052"/>
            </w:r>
            <w:r>
              <w:rPr>
                <w:color w:val="auto"/>
                <w:sz w:val="21"/>
                <w:szCs w:val="21"/>
                <w:highlight w:val="none"/>
              </w:rPr>
              <w:t>；施工活动干扰</w:t>
            </w:r>
            <w:r>
              <w:rPr>
                <w:color w:val="auto"/>
                <w:sz w:val="21"/>
                <w:szCs w:val="21"/>
                <w:highlight w:val="none"/>
              </w:rPr>
              <w:sym w:font="Wingdings 2" w:char="0052"/>
            </w:r>
            <w:r>
              <w:rPr>
                <w:color w:val="auto"/>
                <w:sz w:val="21"/>
                <w:szCs w:val="21"/>
                <w:highlight w:val="none"/>
              </w:rPr>
              <w:t>；改变环境条件</w:t>
            </w:r>
            <w:r>
              <w:rPr>
                <w:color w:val="auto"/>
                <w:sz w:val="21"/>
                <w:szCs w:val="21"/>
                <w:highlight w:val="none"/>
              </w:rPr>
              <w:sym w:font="Wingdings 2" w:char="0052"/>
            </w:r>
            <w:r>
              <w:rPr>
                <w:color w:val="auto"/>
                <w:sz w:val="21"/>
                <w:szCs w:val="21"/>
                <w:highlight w:val="none"/>
              </w:rPr>
              <w:t>；其他□</w:t>
            </w:r>
          </w:p>
        </w:tc>
      </w:tr>
      <w:tr w14:paraId="5228E2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12" w:hRule="atLeast"/>
          <w:jc w:val="center"/>
        </w:trPr>
        <w:tc>
          <w:tcPr>
            <w:tcW w:w="530" w:type="pct"/>
            <w:vMerge w:val="continue"/>
            <w:tcBorders>
              <w:tl2br w:val="nil"/>
              <w:tr2bl w:val="nil"/>
            </w:tcBorders>
            <w:noWrap w:val="0"/>
            <w:vAlign w:val="center"/>
          </w:tcPr>
          <w:p w14:paraId="748D5799">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75366F36">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评价因子</w:t>
            </w:r>
          </w:p>
        </w:tc>
        <w:tc>
          <w:tcPr>
            <w:tcW w:w="3714" w:type="pct"/>
            <w:gridSpan w:val="2"/>
            <w:tcBorders>
              <w:tl2br w:val="nil"/>
              <w:tr2bl w:val="nil"/>
            </w:tcBorders>
            <w:noWrap w:val="0"/>
            <w:vAlign w:val="center"/>
          </w:tcPr>
          <w:p w14:paraId="6A133295">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物种</w:t>
            </w:r>
            <w:r>
              <w:rPr>
                <w:color w:val="auto"/>
                <w:sz w:val="21"/>
                <w:szCs w:val="21"/>
                <w:highlight w:val="none"/>
              </w:rPr>
              <w:sym w:font="Wingdings 2" w:char="0052"/>
            </w:r>
            <w:r>
              <w:rPr>
                <w:color w:val="auto"/>
                <w:sz w:val="21"/>
                <w:szCs w:val="21"/>
                <w:highlight w:val="none"/>
              </w:rPr>
              <w:t>（</w:t>
            </w:r>
            <w:r>
              <w:rPr>
                <w:rFonts w:hint="eastAsia"/>
                <w:color w:val="auto"/>
                <w:sz w:val="21"/>
                <w:szCs w:val="21"/>
                <w:highlight w:val="none"/>
                <w:lang w:val="en-US" w:eastAsia="zh-CN"/>
              </w:rPr>
              <w:t xml:space="preserve">   </w:t>
            </w:r>
            <w:r>
              <w:rPr>
                <w:color w:val="auto"/>
                <w:sz w:val="21"/>
                <w:szCs w:val="21"/>
                <w:highlight w:val="none"/>
              </w:rPr>
              <w:t>）</w:t>
            </w:r>
          </w:p>
          <w:p w14:paraId="3BC74EEA">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生境</w:t>
            </w:r>
            <w:r>
              <w:rPr>
                <w:color w:val="auto"/>
                <w:sz w:val="21"/>
                <w:szCs w:val="21"/>
                <w:highlight w:val="none"/>
              </w:rPr>
              <w:sym w:font="Wingdings 2" w:char="0052"/>
            </w:r>
            <w:r>
              <w:rPr>
                <w:color w:val="auto"/>
                <w:sz w:val="21"/>
                <w:szCs w:val="21"/>
                <w:highlight w:val="none"/>
              </w:rPr>
              <w:t>（</w:t>
            </w:r>
            <w:r>
              <w:rPr>
                <w:rFonts w:hint="eastAsia"/>
                <w:color w:val="auto"/>
                <w:sz w:val="21"/>
                <w:szCs w:val="21"/>
                <w:highlight w:val="none"/>
                <w:lang w:val="en-US" w:eastAsia="zh-CN"/>
              </w:rPr>
              <w:t>低覆盖度草地及裸岩石砾地</w:t>
            </w:r>
            <w:r>
              <w:rPr>
                <w:color w:val="auto"/>
                <w:sz w:val="21"/>
                <w:szCs w:val="21"/>
                <w:highlight w:val="none"/>
              </w:rPr>
              <w:t>）</w:t>
            </w:r>
          </w:p>
          <w:p w14:paraId="0DC881C6">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生物群落</w:t>
            </w:r>
            <w:r>
              <w:rPr>
                <w:color w:val="auto"/>
                <w:sz w:val="21"/>
                <w:szCs w:val="21"/>
                <w:highlight w:val="none"/>
              </w:rPr>
              <w:sym w:font="Wingdings 2" w:char="00A3"/>
            </w:r>
            <w:r>
              <w:rPr>
                <w:color w:val="auto"/>
                <w:sz w:val="21"/>
                <w:szCs w:val="21"/>
                <w:highlight w:val="none"/>
              </w:rPr>
              <w:t>（</w:t>
            </w:r>
            <w:r>
              <w:rPr>
                <w:rFonts w:hint="eastAsia"/>
                <w:color w:val="auto"/>
                <w:sz w:val="21"/>
                <w:szCs w:val="21"/>
                <w:highlight w:val="none"/>
                <w:lang w:val="en-US" w:eastAsia="zh-CN"/>
              </w:rPr>
              <w:t>低覆盖度草地</w:t>
            </w:r>
            <w:r>
              <w:rPr>
                <w:color w:val="auto"/>
                <w:sz w:val="21"/>
                <w:szCs w:val="21"/>
                <w:highlight w:val="none"/>
              </w:rPr>
              <w:t>）</w:t>
            </w:r>
          </w:p>
          <w:p w14:paraId="047F9549">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生态系统</w:t>
            </w:r>
            <w:r>
              <w:rPr>
                <w:color w:val="auto"/>
                <w:sz w:val="21"/>
                <w:szCs w:val="21"/>
                <w:highlight w:val="none"/>
              </w:rPr>
              <w:sym w:font="Wingdings 2" w:char="00A3"/>
            </w:r>
            <w:r>
              <w:rPr>
                <w:color w:val="auto"/>
                <w:sz w:val="21"/>
                <w:szCs w:val="21"/>
                <w:highlight w:val="none"/>
              </w:rPr>
              <w:t>（</w:t>
            </w:r>
            <w:r>
              <w:rPr>
                <w:rFonts w:hint="eastAsia"/>
                <w:color w:val="auto"/>
                <w:sz w:val="21"/>
                <w:szCs w:val="21"/>
                <w:highlight w:val="none"/>
                <w:lang w:val="en-US" w:eastAsia="zh-CN"/>
              </w:rPr>
              <w:t>温带</w:t>
            </w:r>
            <w:r>
              <w:rPr>
                <w:rFonts w:hint="default"/>
                <w:color w:val="auto"/>
                <w:sz w:val="21"/>
                <w:szCs w:val="21"/>
                <w:highlight w:val="none"/>
                <w:lang w:val="en-US" w:eastAsia="zh-CN"/>
              </w:rPr>
              <w:t>草原</w:t>
            </w:r>
            <w:r>
              <w:rPr>
                <w:color w:val="auto"/>
                <w:sz w:val="21"/>
                <w:szCs w:val="21"/>
                <w:highlight w:val="none"/>
              </w:rPr>
              <w:t>）</w:t>
            </w:r>
          </w:p>
          <w:p w14:paraId="2FF0772E">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生物多样性</w:t>
            </w:r>
            <w:r>
              <w:rPr>
                <w:color w:val="auto"/>
                <w:sz w:val="21"/>
                <w:szCs w:val="21"/>
                <w:highlight w:val="none"/>
              </w:rPr>
              <w:sym w:font="Wingdings 2" w:char="00A3"/>
            </w:r>
            <w:r>
              <w:rPr>
                <w:color w:val="auto"/>
                <w:sz w:val="21"/>
                <w:szCs w:val="21"/>
                <w:highlight w:val="none"/>
              </w:rPr>
              <w:t>（</w:t>
            </w:r>
            <w:r>
              <w:rPr>
                <w:rFonts w:hint="eastAsia"/>
                <w:color w:val="auto"/>
                <w:sz w:val="21"/>
                <w:szCs w:val="21"/>
                <w:highlight w:val="none"/>
                <w:lang w:val="en-US" w:eastAsia="zh-CN"/>
              </w:rPr>
              <w:t>动物、植物</w:t>
            </w:r>
            <w:r>
              <w:rPr>
                <w:color w:val="auto"/>
                <w:sz w:val="21"/>
                <w:szCs w:val="21"/>
                <w:highlight w:val="none"/>
              </w:rPr>
              <w:t>）</w:t>
            </w:r>
          </w:p>
          <w:p w14:paraId="58692775">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生态敏感区</w:t>
            </w:r>
            <w:r>
              <w:rPr>
                <w:color w:val="auto"/>
                <w:sz w:val="21"/>
                <w:szCs w:val="21"/>
                <w:highlight w:val="none"/>
              </w:rPr>
              <w:sym w:font="Wingdings 2" w:char="00A3"/>
            </w:r>
            <w:r>
              <w:rPr>
                <w:color w:val="auto"/>
                <w:sz w:val="21"/>
                <w:szCs w:val="21"/>
                <w:highlight w:val="none"/>
              </w:rPr>
              <w:t>（</w:t>
            </w:r>
            <w:r>
              <w:rPr>
                <w:rFonts w:hint="eastAsia"/>
                <w:color w:val="auto"/>
                <w:sz w:val="21"/>
                <w:szCs w:val="21"/>
                <w:highlight w:val="none"/>
                <w:lang w:val="en-US" w:eastAsia="zh-CN"/>
              </w:rPr>
              <w:t xml:space="preserve">       </w:t>
            </w:r>
            <w:r>
              <w:rPr>
                <w:color w:val="auto"/>
                <w:sz w:val="21"/>
                <w:szCs w:val="21"/>
                <w:highlight w:val="none"/>
              </w:rPr>
              <w:t>）</w:t>
            </w:r>
          </w:p>
          <w:p w14:paraId="5A689EE9">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自然景观</w:t>
            </w:r>
            <w:r>
              <w:rPr>
                <w:color w:val="auto"/>
                <w:sz w:val="21"/>
                <w:szCs w:val="21"/>
                <w:highlight w:val="none"/>
              </w:rPr>
              <w:sym w:font="Wingdings 2" w:char="0052"/>
            </w:r>
            <w:r>
              <w:rPr>
                <w:color w:val="auto"/>
                <w:sz w:val="21"/>
                <w:szCs w:val="21"/>
                <w:highlight w:val="none"/>
              </w:rPr>
              <w:t>（</w:t>
            </w:r>
            <w:r>
              <w:rPr>
                <w:rFonts w:hint="eastAsia"/>
                <w:color w:val="auto"/>
                <w:sz w:val="21"/>
                <w:szCs w:val="21"/>
                <w:highlight w:val="none"/>
                <w:lang w:val="en-US" w:eastAsia="zh-CN"/>
              </w:rPr>
              <w:t xml:space="preserve"> 荒漠 </w:t>
            </w:r>
            <w:r>
              <w:rPr>
                <w:color w:val="auto"/>
                <w:sz w:val="21"/>
                <w:szCs w:val="21"/>
                <w:highlight w:val="none"/>
              </w:rPr>
              <w:t>）</w:t>
            </w:r>
          </w:p>
          <w:p w14:paraId="48BB9C28">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自然遗迹□（</w:t>
            </w:r>
            <w:r>
              <w:rPr>
                <w:rFonts w:hint="eastAsia"/>
                <w:color w:val="auto"/>
                <w:sz w:val="21"/>
                <w:szCs w:val="21"/>
                <w:highlight w:val="none"/>
                <w:lang w:val="en-US" w:eastAsia="zh-CN"/>
              </w:rPr>
              <w:t xml:space="preserve">    </w:t>
            </w:r>
            <w:r>
              <w:rPr>
                <w:color w:val="auto"/>
                <w:sz w:val="21"/>
                <w:szCs w:val="21"/>
                <w:highlight w:val="none"/>
              </w:rPr>
              <w:t>）</w:t>
            </w:r>
          </w:p>
          <w:p w14:paraId="5AD8D2DB">
            <w:pPr>
              <w:pStyle w:val="32"/>
              <w:keepNext w:val="0"/>
              <w:keepLines w:val="0"/>
              <w:pageBreakBefore w:val="0"/>
              <w:widowControl w:val="0"/>
              <w:tabs>
                <w:tab w:val="left" w:pos="3092"/>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其他□（</w:t>
            </w:r>
            <w:r>
              <w:rPr>
                <w:rFonts w:hint="eastAsia"/>
                <w:color w:val="auto"/>
                <w:sz w:val="21"/>
                <w:szCs w:val="21"/>
                <w:highlight w:val="none"/>
                <w:lang w:val="en-US" w:eastAsia="zh-CN"/>
              </w:rPr>
              <w:t xml:space="preserve">      </w:t>
            </w:r>
            <w:r>
              <w:rPr>
                <w:color w:val="auto"/>
                <w:sz w:val="21"/>
                <w:szCs w:val="21"/>
                <w:highlight w:val="none"/>
              </w:rPr>
              <w:t>）</w:t>
            </w:r>
          </w:p>
        </w:tc>
      </w:tr>
      <w:tr w14:paraId="0EE6D3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1285" w:type="pct"/>
            <w:gridSpan w:val="2"/>
            <w:tcBorders>
              <w:tl2br w:val="nil"/>
              <w:tr2bl w:val="nil"/>
            </w:tcBorders>
            <w:noWrap w:val="0"/>
            <w:vAlign w:val="center"/>
          </w:tcPr>
          <w:p w14:paraId="64A4C1D2">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评价等级</w:t>
            </w:r>
          </w:p>
        </w:tc>
        <w:tc>
          <w:tcPr>
            <w:tcW w:w="1870" w:type="pct"/>
            <w:tcBorders>
              <w:tl2br w:val="nil"/>
              <w:tr2bl w:val="nil"/>
            </w:tcBorders>
            <w:noWrap w:val="0"/>
            <w:vAlign w:val="center"/>
          </w:tcPr>
          <w:p w14:paraId="188F7F99">
            <w:pPr>
              <w:pStyle w:val="32"/>
              <w:keepNext w:val="0"/>
              <w:keepLines w:val="0"/>
              <w:pageBreakBefore w:val="0"/>
              <w:widowControl w:val="0"/>
              <w:tabs>
                <w:tab w:val="left" w:pos="1471"/>
                <w:tab w:val="left" w:pos="2823"/>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一级</w:t>
            </w:r>
            <w:r>
              <w:rPr>
                <w:color w:val="auto"/>
                <w:sz w:val="21"/>
                <w:szCs w:val="21"/>
                <w:highlight w:val="none"/>
              </w:rPr>
              <w:sym w:font="Wingdings 2" w:char="00A3"/>
            </w:r>
            <w:r>
              <w:rPr>
                <w:rFonts w:hint="eastAsia"/>
                <w:color w:val="auto"/>
                <w:sz w:val="21"/>
                <w:szCs w:val="21"/>
                <w:highlight w:val="none"/>
                <w:lang w:val="en-US" w:eastAsia="zh-CN"/>
              </w:rPr>
              <w:t xml:space="preserve"> </w:t>
            </w:r>
            <w:r>
              <w:rPr>
                <w:color w:val="auto"/>
                <w:sz w:val="21"/>
                <w:szCs w:val="21"/>
                <w:highlight w:val="none"/>
              </w:rPr>
              <w:t>二级</w:t>
            </w:r>
            <w:r>
              <w:rPr>
                <w:color w:val="auto"/>
                <w:sz w:val="21"/>
                <w:szCs w:val="21"/>
                <w:highlight w:val="none"/>
              </w:rPr>
              <w:sym w:font="Wingdings 2" w:char="0052"/>
            </w:r>
            <w:r>
              <w:rPr>
                <w:rFonts w:hint="eastAsia"/>
                <w:color w:val="auto"/>
                <w:sz w:val="21"/>
                <w:szCs w:val="21"/>
                <w:highlight w:val="none"/>
                <w:lang w:val="en-US" w:eastAsia="zh-CN"/>
              </w:rPr>
              <w:t xml:space="preserve"> </w:t>
            </w:r>
            <w:r>
              <w:rPr>
                <w:color w:val="auto"/>
                <w:sz w:val="21"/>
                <w:szCs w:val="21"/>
                <w:highlight w:val="none"/>
              </w:rPr>
              <w:t>三级□</w:t>
            </w:r>
          </w:p>
        </w:tc>
        <w:tc>
          <w:tcPr>
            <w:tcW w:w="1843" w:type="pct"/>
            <w:tcBorders>
              <w:tl2br w:val="nil"/>
              <w:tr2bl w:val="nil"/>
            </w:tcBorders>
            <w:noWrap w:val="0"/>
            <w:vAlign w:val="center"/>
          </w:tcPr>
          <w:p w14:paraId="72A0B65C">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生态影响简单分析□</w:t>
            </w:r>
          </w:p>
        </w:tc>
      </w:tr>
      <w:tr w14:paraId="02DFC0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1285" w:type="pct"/>
            <w:gridSpan w:val="2"/>
            <w:tcBorders>
              <w:tl2br w:val="nil"/>
              <w:tr2bl w:val="nil"/>
            </w:tcBorders>
            <w:noWrap w:val="0"/>
            <w:vAlign w:val="center"/>
          </w:tcPr>
          <w:p w14:paraId="0045CB48">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评价范围</w:t>
            </w:r>
          </w:p>
        </w:tc>
        <w:tc>
          <w:tcPr>
            <w:tcW w:w="3714" w:type="pct"/>
            <w:gridSpan w:val="2"/>
            <w:tcBorders>
              <w:tl2br w:val="nil"/>
              <w:tr2bl w:val="nil"/>
            </w:tcBorders>
            <w:noWrap w:val="0"/>
            <w:vAlign w:val="center"/>
          </w:tcPr>
          <w:p w14:paraId="0E257144">
            <w:pPr>
              <w:pStyle w:val="32"/>
              <w:keepNext w:val="0"/>
              <w:keepLines w:val="0"/>
              <w:pageBreakBefore w:val="0"/>
              <w:widowControl w:val="0"/>
              <w:tabs>
                <w:tab w:val="left" w:pos="1560"/>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default" w:ascii="Times New Roman" w:eastAsia="宋体"/>
                <w:color w:val="auto"/>
                <w:sz w:val="21"/>
                <w:szCs w:val="21"/>
                <w:highlight w:val="none"/>
                <w:vertAlign w:val="baseline"/>
                <w:lang w:val="en-US" w:eastAsia="zh-CN"/>
              </w:rPr>
            </w:pPr>
            <w:r>
              <w:rPr>
                <w:rFonts w:eastAsia="宋体"/>
                <w:color w:val="auto"/>
                <w:sz w:val="21"/>
                <w:szCs w:val="21"/>
                <w:highlight w:val="none"/>
              </w:rPr>
              <w:t>陆域面积</w:t>
            </w:r>
            <w:r>
              <w:rPr>
                <w:rFonts w:eastAsia="宋体"/>
                <w:color w:val="auto"/>
                <w:spacing w:val="-92"/>
                <w:sz w:val="21"/>
                <w:szCs w:val="21"/>
                <w:highlight w:val="none"/>
              </w:rPr>
              <w:t>：</w:t>
            </w:r>
            <w:r>
              <w:rPr>
                <w:rFonts w:eastAsia="宋体"/>
                <w:color w:val="auto"/>
                <w:sz w:val="21"/>
                <w:szCs w:val="21"/>
                <w:highlight w:val="none"/>
              </w:rPr>
              <w:t>（</w:t>
            </w:r>
            <w:r>
              <w:rPr>
                <w:rFonts w:hint="eastAsia"/>
                <w:color w:val="auto"/>
                <w:sz w:val="21"/>
                <w:szCs w:val="21"/>
                <w:highlight w:val="none"/>
                <w:lang w:val="en-US" w:eastAsia="zh-CN"/>
              </w:rPr>
              <w:t>0.1584</w:t>
            </w:r>
            <w:r>
              <w:rPr>
                <w:rFonts w:eastAsia="宋体"/>
                <w:color w:val="auto"/>
                <w:sz w:val="21"/>
                <w:szCs w:val="21"/>
                <w:highlight w:val="none"/>
              </w:rPr>
              <w:t>）</w:t>
            </w:r>
            <w:r>
              <w:rPr>
                <w:rFonts w:ascii="Times New Roman" w:eastAsia="宋体"/>
                <w:color w:val="auto"/>
                <w:spacing w:val="-2"/>
                <w:sz w:val="21"/>
                <w:szCs w:val="21"/>
                <w:highlight w:val="none"/>
              </w:rPr>
              <w:t>k</w:t>
            </w:r>
            <w:r>
              <w:rPr>
                <w:rFonts w:ascii="Times New Roman" w:eastAsia="宋体"/>
                <w:color w:val="auto"/>
                <w:spacing w:val="-4"/>
                <w:sz w:val="21"/>
                <w:szCs w:val="21"/>
                <w:highlight w:val="none"/>
              </w:rPr>
              <w:t>m</w:t>
            </w:r>
            <w:r>
              <w:rPr>
                <w:rFonts w:ascii="Times New Roman" w:eastAsia="宋体"/>
                <w:color w:val="auto"/>
                <w:w w:val="97"/>
                <w:sz w:val="21"/>
                <w:szCs w:val="21"/>
                <w:highlight w:val="none"/>
                <w:vertAlign w:val="superscript"/>
              </w:rPr>
              <w:t>2</w:t>
            </w:r>
            <w:r>
              <w:rPr>
                <w:rFonts w:hint="eastAsia" w:ascii="Times New Roman" w:eastAsia="宋体"/>
                <w:color w:val="auto"/>
                <w:w w:val="97"/>
                <w:sz w:val="21"/>
                <w:szCs w:val="21"/>
                <w:highlight w:val="none"/>
                <w:vertAlign w:val="baseline"/>
                <w:lang w:eastAsia="zh-CN"/>
              </w:rPr>
              <w:t>，</w:t>
            </w:r>
            <w:r>
              <w:rPr>
                <w:rFonts w:hint="eastAsia" w:eastAsia="宋体"/>
                <w:color w:val="auto"/>
                <w:w w:val="97"/>
                <w:sz w:val="21"/>
                <w:szCs w:val="21"/>
                <w:highlight w:val="none"/>
                <w:vertAlign w:val="baseline"/>
                <w:lang w:val="en-US" w:eastAsia="zh-CN"/>
              </w:rPr>
              <w:t>水域面积</w:t>
            </w:r>
            <w:r>
              <w:rPr>
                <w:rFonts w:eastAsia="宋体"/>
                <w:color w:val="auto"/>
                <w:sz w:val="21"/>
                <w:szCs w:val="21"/>
                <w:highlight w:val="none"/>
              </w:rPr>
              <w:t>（</w:t>
            </w:r>
            <w:r>
              <w:rPr>
                <w:rFonts w:hint="eastAsia" w:eastAsia="宋体"/>
                <w:color w:val="auto"/>
                <w:sz w:val="21"/>
                <w:szCs w:val="21"/>
                <w:highlight w:val="none"/>
                <w:lang w:val="en-US" w:eastAsia="zh-CN"/>
              </w:rPr>
              <w:t>/</w:t>
            </w:r>
            <w:r>
              <w:rPr>
                <w:rFonts w:eastAsia="宋体"/>
                <w:color w:val="auto"/>
                <w:sz w:val="21"/>
                <w:szCs w:val="21"/>
                <w:highlight w:val="none"/>
              </w:rPr>
              <w:t>）</w:t>
            </w:r>
            <w:r>
              <w:rPr>
                <w:rFonts w:ascii="Times New Roman" w:eastAsia="宋体"/>
                <w:color w:val="auto"/>
                <w:spacing w:val="-2"/>
                <w:sz w:val="21"/>
                <w:szCs w:val="21"/>
                <w:highlight w:val="none"/>
              </w:rPr>
              <w:t>k</w:t>
            </w:r>
            <w:r>
              <w:rPr>
                <w:rFonts w:ascii="Times New Roman" w:eastAsia="宋体"/>
                <w:color w:val="auto"/>
                <w:spacing w:val="-4"/>
                <w:sz w:val="21"/>
                <w:szCs w:val="21"/>
                <w:highlight w:val="none"/>
              </w:rPr>
              <w:t>m</w:t>
            </w:r>
            <w:r>
              <w:rPr>
                <w:rFonts w:ascii="Times New Roman" w:eastAsia="宋体"/>
                <w:color w:val="auto"/>
                <w:w w:val="97"/>
                <w:sz w:val="21"/>
                <w:szCs w:val="21"/>
                <w:highlight w:val="none"/>
                <w:vertAlign w:val="superscript"/>
              </w:rPr>
              <w:t>2</w:t>
            </w:r>
          </w:p>
        </w:tc>
      </w:tr>
      <w:tr w14:paraId="1CE77E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30" w:hRule="atLeast"/>
          <w:jc w:val="center"/>
        </w:trPr>
        <w:tc>
          <w:tcPr>
            <w:tcW w:w="530" w:type="pct"/>
            <w:vMerge w:val="restart"/>
            <w:tcBorders>
              <w:tl2br w:val="nil"/>
              <w:tr2bl w:val="nil"/>
            </w:tcBorders>
            <w:noWrap w:val="0"/>
            <w:vAlign w:val="center"/>
          </w:tcPr>
          <w:p w14:paraId="5942D902">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pacing w:val="-5"/>
                <w:sz w:val="21"/>
                <w:szCs w:val="21"/>
                <w:highlight w:val="none"/>
              </w:rPr>
              <w:t>生态现状</w:t>
            </w:r>
            <w:r>
              <w:rPr>
                <w:color w:val="auto"/>
                <w:sz w:val="21"/>
                <w:szCs w:val="21"/>
                <w:highlight w:val="none"/>
              </w:rPr>
              <w:t>调查与评价</w:t>
            </w:r>
          </w:p>
        </w:tc>
        <w:tc>
          <w:tcPr>
            <w:tcW w:w="755" w:type="pct"/>
            <w:tcBorders>
              <w:tl2br w:val="nil"/>
              <w:tr2bl w:val="nil"/>
            </w:tcBorders>
            <w:noWrap w:val="0"/>
            <w:vAlign w:val="center"/>
          </w:tcPr>
          <w:p w14:paraId="3B7FE131">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调查方法</w:t>
            </w:r>
          </w:p>
        </w:tc>
        <w:tc>
          <w:tcPr>
            <w:tcW w:w="3714" w:type="pct"/>
            <w:gridSpan w:val="2"/>
            <w:tcBorders>
              <w:tl2br w:val="nil"/>
              <w:tr2bl w:val="nil"/>
            </w:tcBorders>
            <w:noWrap w:val="0"/>
            <w:vAlign w:val="center"/>
          </w:tcPr>
          <w:p w14:paraId="5AF74007">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eastAsia" w:eastAsia="宋体"/>
                <w:color w:val="auto"/>
                <w:sz w:val="21"/>
                <w:szCs w:val="21"/>
                <w:highlight w:val="none"/>
                <w:lang w:eastAsia="zh-CN"/>
              </w:rPr>
            </w:pPr>
            <w:r>
              <w:rPr>
                <w:color w:val="auto"/>
                <w:sz w:val="21"/>
                <w:szCs w:val="21"/>
                <w:highlight w:val="none"/>
              </w:rPr>
              <w:t>资料收集</w:t>
            </w:r>
            <w:r>
              <w:rPr>
                <w:color w:val="auto"/>
                <w:sz w:val="21"/>
                <w:szCs w:val="21"/>
                <w:highlight w:val="none"/>
              </w:rPr>
              <w:sym w:font="Wingdings 2" w:char="0052"/>
            </w:r>
            <w:r>
              <w:rPr>
                <w:color w:val="auto"/>
                <w:sz w:val="21"/>
                <w:szCs w:val="21"/>
                <w:highlight w:val="none"/>
              </w:rPr>
              <w:t>；遥感调查</w:t>
            </w:r>
            <w:r>
              <w:rPr>
                <w:rFonts w:hint="eastAsia"/>
                <w:color w:val="auto"/>
                <w:sz w:val="21"/>
                <w:szCs w:val="21"/>
                <w:highlight w:val="none"/>
                <w:lang w:eastAsia="zh-CN"/>
              </w:rPr>
              <w:t>☑</w:t>
            </w:r>
            <w:r>
              <w:rPr>
                <w:color w:val="auto"/>
                <w:sz w:val="21"/>
                <w:szCs w:val="21"/>
                <w:highlight w:val="none"/>
              </w:rPr>
              <w:t>；调查样方、样线</w:t>
            </w:r>
            <w:r>
              <w:rPr>
                <w:color w:val="auto"/>
                <w:sz w:val="21"/>
                <w:szCs w:val="21"/>
                <w:highlight w:val="none"/>
              </w:rPr>
              <w:sym w:font="Wingdings 2" w:char="0052"/>
            </w:r>
            <w:r>
              <w:rPr>
                <w:color w:val="auto"/>
                <w:sz w:val="21"/>
                <w:szCs w:val="21"/>
                <w:highlight w:val="none"/>
              </w:rPr>
              <w:t>；调查点位、断面□；专家和公众咨询法</w:t>
            </w:r>
            <w:r>
              <w:rPr>
                <w:rFonts w:hint="eastAsia"/>
                <w:color w:val="auto"/>
                <w:sz w:val="21"/>
                <w:szCs w:val="21"/>
                <w:highlight w:val="none"/>
                <w:lang w:eastAsia="zh-CN"/>
              </w:rPr>
              <w:t>☑</w:t>
            </w:r>
            <w:r>
              <w:rPr>
                <w:color w:val="auto"/>
                <w:sz w:val="21"/>
                <w:szCs w:val="21"/>
                <w:highlight w:val="none"/>
              </w:rPr>
              <w:t>；其他</w:t>
            </w:r>
            <w:r>
              <w:rPr>
                <w:rFonts w:hint="eastAsia"/>
                <w:color w:val="auto"/>
                <w:sz w:val="21"/>
                <w:szCs w:val="21"/>
                <w:highlight w:val="none"/>
                <w:lang w:eastAsia="zh-CN"/>
              </w:rPr>
              <w:t>☑（</w:t>
            </w:r>
            <w:r>
              <w:rPr>
                <w:rFonts w:hint="eastAsia"/>
                <w:color w:val="auto"/>
                <w:sz w:val="21"/>
                <w:szCs w:val="21"/>
                <w:highlight w:val="none"/>
                <w:lang w:val="en-US" w:eastAsia="zh-CN"/>
              </w:rPr>
              <w:t>地方新闻资料</w:t>
            </w:r>
            <w:r>
              <w:rPr>
                <w:rFonts w:hint="eastAsia"/>
                <w:color w:val="auto"/>
                <w:sz w:val="21"/>
                <w:szCs w:val="21"/>
                <w:highlight w:val="none"/>
                <w:lang w:eastAsia="zh-CN"/>
              </w:rPr>
              <w:t>）</w:t>
            </w:r>
          </w:p>
        </w:tc>
      </w:tr>
      <w:tr w14:paraId="380ABF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530" w:type="pct"/>
            <w:vMerge w:val="continue"/>
            <w:tcBorders>
              <w:tl2br w:val="nil"/>
              <w:tr2bl w:val="nil"/>
            </w:tcBorders>
            <w:noWrap w:val="0"/>
            <w:vAlign w:val="center"/>
          </w:tcPr>
          <w:p w14:paraId="4EFD0588">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16D20D3A">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调查时间</w:t>
            </w:r>
          </w:p>
        </w:tc>
        <w:tc>
          <w:tcPr>
            <w:tcW w:w="3714" w:type="pct"/>
            <w:gridSpan w:val="2"/>
            <w:tcBorders>
              <w:tl2br w:val="nil"/>
              <w:tr2bl w:val="nil"/>
            </w:tcBorders>
            <w:noWrap w:val="0"/>
            <w:vAlign w:val="center"/>
          </w:tcPr>
          <w:p w14:paraId="41D2F538">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eastAsia" w:eastAsia="宋体"/>
                <w:color w:val="auto"/>
                <w:sz w:val="21"/>
                <w:szCs w:val="21"/>
                <w:highlight w:val="none"/>
                <w:lang w:eastAsia="zh-CN"/>
              </w:rPr>
            </w:pPr>
            <w:r>
              <w:rPr>
                <w:color w:val="auto"/>
                <w:sz w:val="21"/>
                <w:szCs w:val="21"/>
                <w:highlight w:val="none"/>
              </w:rPr>
              <w:t>春季□；夏季</w:t>
            </w:r>
            <w:r>
              <w:rPr>
                <w:color w:val="auto"/>
                <w:sz w:val="21"/>
                <w:szCs w:val="21"/>
                <w:highlight w:val="none"/>
              </w:rPr>
              <w:sym w:font="Wingdings 2" w:char="0052"/>
            </w:r>
            <w:r>
              <w:rPr>
                <w:color w:val="auto"/>
                <w:sz w:val="21"/>
                <w:szCs w:val="21"/>
                <w:highlight w:val="none"/>
              </w:rPr>
              <w:t>；秋季</w:t>
            </w:r>
            <w:r>
              <w:rPr>
                <w:rFonts w:hint="eastAsia"/>
                <w:color w:val="auto"/>
                <w:sz w:val="21"/>
                <w:szCs w:val="21"/>
                <w:highlight w:val="none"/>
                <w:lang w:eastAsia="zh-CN"/>
              </w:rPr>
              <w:t>☑</w:t>
            </w:r>
            <w:r>
              <w:rPr>
                <w:color w:val="auto"/>
                <w:sz w:val="21"/>
                <w:szCs w:val="21"/>
                <w:highlight w:val="none"/>
              </w:rPr>
              <w:t>；冬季</w:t>
            </w:r>
            <w:r>
              <w:rPr>
                <w:rFonts w:hint="eastAsia"/>
                <w:color w:val="auto"/>
                <w:sz w:val="21"/>
                <w:szCs w:val="21"/>
                <w:highlight w:val="none"/>
                <w:lang w:eastAsia="zh-CN"/>
              </w:rPr>
              <w:t>□</w:t>
            </w:r>
            <w:r>
              <w:rPr>
                <w:color w:val="auto"/>
                <w:sz w:val="21"/>
                <w:szCs w:val="21"/>
                <w:highlight w:val="none"/>
              </w:rPr>
              <w:t xml:space="preserve"> 丰水期</w:t>
            </w:r>
            <w:r>
              <w:rPr>
                <w:rFonts w:hint="eastAsia"/>
                <w:color w:val="auto"/>
                <w:sz w:val="21"/>
                <w:szCs w:val="21"/>
                <w:highlight w:val="none"/>
                <w:lang w:eastAsia="zh-CN"/>
              </w:rPr>
              <w:t>□</w:t>
            </w:r>
            <w:r>
              <w:rPr>
                <w:color w:val="auto"/>
                <w:sz w:val="21"/>
                <w:szCs w:val="21"/>
                <w:highlight w:val="none"/>
              </w:rPr>
              <w:t>；枯水期</w:t>
            </w:r>
            <w:r>
              <w:rPr>
                <w:rFonts w:hint="eastAsia"/>
                <w:color w:val="auto"/>
                <w:sz w:val="21"/>
                <w:szCs w:val="21"/>
                <w:highlight w:val="none"/>
                <w:lang w:eastAsia="zh-CN"/>
              </w:rPr>
              <w:t>□</w:t>
            </w:r>
            <w:r>
              <w:rPr>
                <w:color w:val="auto"/>
                <w:sz w:val="21"/>
                <w:szCs w:val="21"/>
                <w:highlight w:val="none"/>
              </w:rPr>
              <w:t>；平水期</w:t>
            </w:r>
            <w:r>
              <w:rPr>
                <w:rFonts w:hint="eastAsia"/>
                <w:color w:val="auto"/>
                <w:sz w:val="21"/>
                <w:szCs w:val="21"/>
                <w:highlight w:val="none"/>
                <w:lang w:eastAsia="zh-CN"/>
              </w:rPr>
              <w:t>□</w:t>
            </w:r>
          </w:p>
        </w:tc>
      </w:tr>
      <w:tr w14:paraId="10BD6A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530" w:type="pct"/>
            <w:vMerge w:val="continue"/>
            <w:tcBorders>
              <w:tl2br w:val="nil"/>
              <w:tr2bl w:val="nil"/>
            </w:tcBorders>
            <w:noWrap w:val="0"/>
            <w:vAlign w:val="center"/>
          </w:tcPr>
          <w:p w14:paraId="7EE5ACDA">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7FEA0E2F">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所在区域的</w:t>
            </w:r>
          </w:p>
          <w:p w14:paraId="54684A3B">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生态问题</w:t>
            </w:r>
          </w:p>
        </w:tc>
        <w:tc>
          <w:tcPr>
            <w:tcW w:w="3714" w:type="pct"/>
            <w:gridSpan w:val="2"/>
            <w:tcBorders>
              <w:tl2br w:val="nil"/>
              <w:tr2bl w:val="nil"/>
            </w:tcBorders>
            <w:noWrap w:val="0"/>
            <w:vAlign w:val="center"/>
          </w:tcPr>
          <w:p w14:paraId="0CFB078B">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水土流失</w:t>
            </w:r>
            <w:r>
              <w:rPr>
                <w:color w:val="auto"/>
                <w:sz w:val="21"/>
                <w:szCs w:val="21"/>
                <w:highlight w:val="none"/>
              </w:rPr>
              <w:sym w:font="Wingdings 2" w:char="0052"/>
            </w:r>
            <w:r>
              <w:rPr>
                <w:color w:val="auto"/>
                <w:sz w:val="21"/>
                <w:szCs w:val="21"/>
                <w:highlight w:val="none"/>
              </w:rPr>
              <w:t>；沙漠化</w:t>
            </w:r>
            <w:r>
              <w:rPr>
                <w:color w:val="auto"/>
                <w:sz w:val="21"/>
                <w:szCs w:val="21"/>
                <w:highlight w:val="none"/>
              </w:rPr>
              <w:sym w:font="Wingdings 2" w:char="0052"/>
            </w:r>
            <w:r>
              <w:rPr>
                <w:color w:val="auto"/>
                <w:sz w:val="21"/>
                <w:szCs w:val="21"/>
                <w:highlight w:val="none"/>
              </w:rPr>
              <w:t>；石漠化□；盐渍化□；生物入侵□；污染危害</w:t>
            </w:r>
            <w:r>
              <w:rPr>
                <w:color w:val="auto"/>
                <w:sz w:val="21"/>
                <w:szCs w:val="21"/>
                <w:highlight w:val="none"/>
              </w:rPr>
              <w:sym w:font="Wingdings 2" w:char="0052"/>
            </w:r>
            <w:r>
              <w:rPr>
                <w:color w:val="auto"/>
                <w:sz w:val="21"/>
                <w:szCs w:val="21"/>
                <w:highlight w:val="none"/>
              </w:rPr>
              <w:t>；其他□</w:t>
            </w:r>
          </w:p>
        </w:tc>
      </w:tr>
      <w:tr w14:paraId="3E0196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30" w:type="pct"/>
            <w:vMerge w:val="continue"/>
            <w:tcBorders>
              <w:tl2br w:val="nil"/>
              <w:tr2bl w:val="nil"/>
            </w:tcBorders>
            <w:noWrap w:val="0"/>
            <w:vAlign w:val="center"/>
          </w:tcPr>
          <w:p w14:paraId="4D3DCD63">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0D8F7287">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评价内容</w:t>
            </w:r>
          </w:p>
        </w:tc>
        <w:tc>
          <w:tcPr>
            <w:tcW w:w="3714" w:type="pct"/>
            <w:gridSpan w:val="2"/>
            <w:tcBorders>
              <w:tl2br w:val="nil"/>
              <w:tr2bl w:val="nil"/>
            </w:tcBorders>
            <w:noWrap w:val="0"/>
            <w:vAlign w:val="center"/>
          </w:tcPr>
          <w:p w14:paraId="3F104E88">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植被</w:t>
            </w:r>
            <w:r>
              <w:rPr>
                <w:rFonts w:ascii="Times New Roman" w:hAnsi="Times New Roman" w:eastAsia="Times New Roman"/>
                <w:color w:val="auto"/>
                <w:sz w:val="21"/>
                <w:szCs w:val="21"/>
                <w:highlight w:val="none"/>
              </w:rPr>
              <w:t>/</w:t>
            </w:r>
            <w:r>
              <w:rPr>
                <w:color w:val="auto"/>
                <w:sz w:val="21"/>
                <w:szCs w:val="21"/>
                <w:highlight w:val="none"/>
              </w:rPr>
              <w:t>植物群落</w:t>
            </w:r>
            <w:r>
              <w:rPr>
                <w:color w:val="auto"/>
                <w:sz w:val="21"/>
                <w:szCs w:val="21"/>
                <w:highlight w:val="none"/>
              </w:rPr>
              <w:sym w:font="Wingdings 2" w:char="0052"/>
            </w:r>
            <w:r>
              <w:rPr>
                <w:color w:val="auto"/>
                <w:sz w:val="21"/>
                <w:szCs w:val="21"/>
                <w:highlight w:val="none"/>
              </w:rPr>
              <w:t>；土地利用</w:t>
            </w:r>
            <w:r>
              <w:rPr>
                <w:color w:val="auto"/>
                <w:sz w:val="21"/>
                <w:szCs w:val="21"/>
                <w:highlight w:val="none"/>
              </w:rPr>
              <w:sym w:font="Wingdings 2" w:char="0052"/>
            </w:r>
            <w:r>
              <w:rPr>
                <w:color w:val="auto"/>
                <w:sz w:val="21"/>
                <w:szCs w:val="21"/>
                <w:highlight w:val="none"/>
              </w:rPr>
              <w:t>；生态系统</w:t>
            </w:r>
            <w:r>
              <w:rPr>
                <w:color w:val="auto"/>
                <w:sz w:val="21"/>
                <w:szCs w:val="21"/>
                <w:highlight w:val="none"/>
              </w:rPr>
              <w:sym w:font="Wingdings 2" w:char="0052"/>
            </w:r>
            <w:r>
              <w:rPr>
                <w:color w:val="auto"/>
                <w:sz w:val="21"/>
                <w:szCs w:val="21"/>
                <w:highlight w:val="none"/>
              </w:rPr>
              <w:t>；生物多样性</w:t>
            </w:r>
            <w:r>
              <w:rPr>
                <w:color w:val="auto"/>
                <w:sz w:val="21"/>
                <w:szCs w:val="21"/>
                <w:highlight w:val="none"/>
              </w:rPr>
              <w:sym w:font="Wingdings 2" w:char="0052"/>
            </w:r>
            <w:r>
              <w:rPr>
                <w:color w:val="auto"/>
                <w:sz w:val="21"/>
                <w:szCs w:val="21"/>
                <w:highlight w:val="none"/>
              </w:rPr>
              <w:t>；重要物种</w:t>
            </w:r>
            <w:r>
              <w:rPr>
                <w:rFonts w:hint="eastAsia"/>
                <w:color w:val="auto"/>
                <w:sz w:val="21"/>
                <w:szCs w:val="21"/>
                <w:highlight w:val="none"/>
                <w:lang w:eastAsia="zh-CN"/>
              </w:rPr>
              <w:t>☑</w:t>
            </w:r>
            <w:r>
              <w:rPr>
                <w:color w:val="auto"/>
                <w:sz w:val="21"/>
                <w:szCs w:val="21"/>
                <w:highlight w:val="none"/>
              </w:rPr>
              <w:t>；生态敏感区</w:t>
            </w:r>
            <w:r>
              <w:rPr>
                <w:color w:val="auto"/>
                <w:sz w:val="21"/>
                <w:szCs w:val="21"/>
                <w:highlight w:val="none"/>
              </w:rPr>
              <w:sym w:font="Wingdings 2" w:char="00A3"/>
            </w:r>
            <w:r>
              <w:rPr>
                <w:color w:val="auto"/>
                <w:sz w:val="21"/>
                <w:szCs w:val="21"/>
                <w:highlight w:val="none"/>
              </w:rPr>
              <w:t>；其他□</w:t>
            </w:r>
          </w:p>
        </w:tc>
      </w:tr>
      <w:tr w14:paraId="021D67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0" w:type="pct"/>
            <w:vMerge w:val="restart"/>
            <w:tcBorders>
              <w:tl2br w:val="nil"/>
              <w:tr2bl w:val="nil"/>
            </w:tcBorders>
            <w:noWrap w:val="0"/>
            <w:vAlign w:val="center"/>
          </w:tcPr>
          <w:p w14:paraId="06E2B9D1">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pacing w:val="-5"/>
                <w:sz w:val="21"/>
                <w:szCs w:val="21"/>
                <w:highlight w:val="none"/>
              </w:rPr>
              <w:t>生态影响</w:t>
            </w:r>
            <w:r>
              <w:rPr>
                <w:color w:val="auto"/>
                <w:sz w:val="21"/>
                <w:szCs w:val="21"/>
                <w:highlight w:val="none"/>
              </w:rPr>
              <w:t>预测与评价</w:t>
            </w:r>
          </w:p>
        </w:tc>
        <w:tc>
          <w:tcPr>
            <w:tcW w:w="755" w:type="pct"/>
            <w:tcBorders>
              <w:tl2br w:val="nil"/>
              <w:tr2bl w:val="nil"/>
            </w:tcBorders>
            <w:noWrap w:val="0"/>
            <w:vAlign w:val="center"/>
          </w:tcPr>
          <w:p w14:paraId="7678E9FD">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评价方法</w:t>
            </w:r>
          </w:p>
        </w:tc>
        <w:tc>
          <w:tcPr>
            <w:tcW w:w="3714" w:type="pct"/>
            <w:gridSpan w:val="2"/>
            <w:tcBorders>
              <w:tl2br w:val="nil"/>
              <w:tr2bl w:val="nil"/>
            </w:tcBorders>
            <w:noWrap w:val="0"/>
            <w:vAlign w:val="center"/>
          </w:tcPr>
          <w:p w14:paraId="0F67D2FE">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eastAsia" w:eastAsia="宋体"/>
                <w:color w:val="auto"/>
                <w:sz w:val="21"/>
                <w:szCs w:val="21"/>
                <w:highlight w:val="none"/>
                <w:lang w:eastAsia="zh-CN"/>
              </w:rPr>
            </w:pPr>
            <w:r>
              <w:rPr>
                <w:color w:val="auto"/>
                <w:sz w:val="21"/>
                <w:szCs w:val="21"/>
                <w:highlight w:val="none"/>
              </w:rPr>
              <w:t>定性</w:t>
            </w:r>
            <w:r>
              <w:rPr>
                <w:color w:val="auto"/>
                <w:sz w:val="21"/>
                <w:szCs w:val="21"/>
                <w:highlight w:val="none"/>
              </w:rPr>
              <w:sym w:font="Wingdings 2" w:char="00A3"/>
            </w:r>
            <w:r>
              <w:rPr>
                <w:color w:val="auto"/>
                <w:sz w:val="21"/>
                <w:szCs w:val="21"/>
                <w:highlight w:val="none"/>
              </w:rPr>
              <w:t>；定性和定量</w:t>
            </w:r>
            <w:r>
              <w:rPr>
                <w:rFonts w:hint="eastAsia"/>
                <w:color w:val="auto"/>
                <w:sz w:val="21"/>
                <w:szCs w:val="21"/>
                <w:highlight w:val="none"/>
                <w:lang w:eastAsia="zh-CN"/>
              </w:rPr>
              <w:t>☑</w:t>
            </w:r>
          </w:p>
        </w:tc>
      </w:tr>
      <w:tr w14:paraId="085801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530" w:type="pct"/>
            <w:vMerge w:val="continue"/>
            <w:tcBorders>
              <w:tl2br w:val="nil"/>
              <w:tr2bl w:val="nil"/>
            </w:tcBorders>
            <w:noWrap w:val="0"/>
            <w:vAlign w:val="center"/>
          </w:tcPr>
          <w:p w14:paraId="5307C9DF">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49D0A15A">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评价内容</w:t>
            </w:r>
          </w:p>
        </w:tc>
        <w:tc>
          <w:tcPr>
            <w:tcW w:w="3714" w:type="pct"/>
            <w:gridSpan w:val="2"/>
            <w:tcBorders>
              <w:tl2br w:val="nil"/>
              <w:tr2bl w:val="nil"/>
            </w:tcBorders>
            <w:noWrap w:val="0"/>
            <w:vAlign w:val="center"/>
          </w:tcPr>
          <w:p w14:paraId="676E24CF">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植被</w:t>
            </w:r>
            <w:r>
              <w:rPr>
                <w:rFonts w:ascii="Times New Roman" w:hAnsi="Times New Roman" w:eastAsia="Times New Roman"/>
                <w:color w:val="auto"/>
                <w:sz w:val="21"/>
                <w:szCs w:val="21"/>
                <w:highlight w:val="none"/>
              </w:rPr>
              <w:t>/</w:t>
            </w:r>
            <w:r>
              <w:rPr>
                <w:color w:val="auto"/>
                <w:sz w:val="21"/>
                <w:szCs w:val="21"/>
                <w:highlight w:val="none"/>
              </w:rPr>
              <w:t>植物群落</w:t>
            </w:r>
            <w:r>
              <w:rPr>
                <w:color w:val="auto"/>
                <w:sz w:val="21"/>
                <w:szCs w:val="21"/>
                <w:highlight w:val="none"/>
              </w:rPr>
              <w:sym w:font="Wingdings 2" w:char="0052"/>
            </w:r>
            <w:r>
              <w:rPr>
                <w:color w:val="auto"/>
                <w:sz w:val="21"/>
                <w:szCs w:val="21"/>
                <w:highlight w:val="none"/>
              </w:rPr>
              <w:t>；土地利用</w:t>
            </w:r>
            <w:r>
              <w:rPr>
                <w:color w:val="auto"/>
                <w:sz w:val="21"/>
                <w:szCs w:val="21"/>
                <w:highlight w:val="none"/>
              </w:rPr>
              <w:sym w:font="Wingdings 2" w:char="0052"/>
            </w:r>
            <w:r>
              <w:rPr>
                <w:color w:val="auto"/>
                <w:sz w:val="21"/>
                <w:szCs w:val="21"/>
                <w:highlight w:val="none"/>
              </w:rPr>
              <w:t>；生态系统</w:t>
            </w:r>
            <w:r>
              <w:rPr>
                <w:color w:val="auto"/>
                <w:sz w:val="21"/>
                <w:szCs w:val="21"/>
                <w:highlight w:val="none"/>
              </w:rPr>
              <w:sym w:font="Wingdings 2" w:char="0052"/>
            </w:r>
            <w:r>
              <w:rPr>
                <w:color w:val="auto"/>
                <w:sz w:val="21"/>
                <w:szCs w:val="21"/>
                <w:highlight w:val="none"/>
              </w:rPr>
              <w:t>；生物多样性</w:t>
            </w:r>
            <w:r>
              <w:rPr>
                <w:color w:val="auto"/>
                <w:sz w:val="21"/>
                <w:szCs w:val="21"/>
                <w:highlight w:val="none"/>
              </w:rPr>
              <w:sym w:font="Wingdings 2" w:char="0052"/>
            </w:r>
            <w:r>
              <w:rPr>
                <w:color w:val="auto"/>
                <w:sz w:val="21"/>
                <w:szCs w:val="21"/>
                <w:highlight w:val="none"/>
              </w:rPr>
              <w:t>；重要物种</w:t>
            </w:r>
            <w:r>
              <w:rPr>
                <w:rFonts w:hint="eastAsia"/>
                <w:color w:val="auto"/>
                <w:sz w:val="21"/>
                <w:szCs w:val="21"/>
                <w:highlight w:val="none"/>
                <w:lang w:eastAsia="zh-CN"/>
              </w:rPr>
              <w:t>□</w:t>
            </w:r>
            <w:r>
              <w:rPr>
                <w:color w:val="auto"/>
                <w:sz w:val="21"/>
                <w:szCs w:val="21"/>
                <w:highlight w:val="none"/>
              </w:rPr>
              <w:t>；生态敏感区</w:t>
            </w:r>
            <w:r>
              <w:rPr>
                <w:color w:val="auto"/>
                <w:sz w:val="21"/>
                <w:szCs w:val="21"/>
                <w:highlight w:val="none"/>
              </w:rPr>
              <w:sym w:font="Wingdings 2" w:char="00A3"/>
            </w:r>
            <w:r>
              <w:rPr>
                <w:color w:val="auto"/>
                <w:sz w:val="21"/>
                <w:szCs w:val="21"/>
                <w:highlight w:val="none"/>
              </w:rPr>
              <w:t>；生物入侵风险□；其他□</w:t>
            </w:r>
          </w:p>
        </w:tc>
      </w:tr>
      <w:tr w14:paraId="7875A2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530" w:type="pct"/>
            <w:vMerge w:val="restart"/>
            <w:tcBorders>
              <w:tl2br w:val="nil"/>
              <w:tr2bl w:val="nil"/>
            </w:tcBorders>
            <w:noWrap w:val="0"/>
            <w:vAlign w:val="center"/>
          </w:tcPr>
          <w:p w14:paraId="36CAB8ED">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生态保护对策措施</w:t>
            </w:r>
          </w:p>
        </w:tc>
        <w:tc>
          <w:tcPr>
            <w:tcW w:w="755" w:type="pct"/>
            <w:tcBorders>
              <w:tl2br w:val="nil"/>
              <w:tr2bl w:val="nil"/>
            </w:tcBorders>
            <w:noWrap w:val="0"/>
            <w:vAlign w:val="center"/>
          </w:tcPr>
          <w:p w14:paraId="594E4BDA">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对策措施</w:t>
            </w:r>
          </w:p>
        </w:tc>
        <w:tc>
          <w:tcPr>
            <w:tcW w:w="3714" w:type="pct"/>
            <w:gridSpan w:val="2"/>
            <w:tcBorders>
              <w:tl2br w:val="nil"/>
              <w:tr2bl w:val="nil"/>
            </w:tcBorders>
            <w:noWrap w:val="0"/>
            <w:vAlign w:val="center"/>
          </w:tcPr>
          <w:p w14:paraId="4B64862B">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避让</w:t>
            </w:r>
            <w:r>
              <w:rPr>
                <w:color w:val="auto"/>
                <w:sz w:val="21"/>
                <w:szCs w:val="21"/>
                <w:highlight w:val="none"/>
              </w:rPr>
              <w:sym w:font="Wingdings 2" w:char="0052"/>
            </w:r>
            <w:r>
              <w:rPr>
                <w:color w:val="auto"/>
                <w:sz w:val="21"/>
                <w:szCs w:val="21"/>
                <w:highlight w:val="none"/>
              </w:rPr>
              <w:t>；减缓</w:t>
            </w:r>
            <w:r>
              <w:rPr>
                <w:color w:val="auto"/>
                <w:sz w:val="21"/>
                <w:szCs w:val="21"/>
                <w:highlight w:val="none"/>
              </w:rPr>
              <w:sym w:font="Wingdings 2" w:char="0052"/>
            </w:r>
            <w:r>
              <w:rPr>
                <w:color w:val="auto"/>
                <w:sz w:val="21"/>
                <w:szCs w:val="21"/>
                <w:highlight w:val="none"/>
              </w:rPr>
              <w:t>；生态修复</w:t>
            </w:r>
            <w:r>
              <w:rPr>
                <w:color w:val="auto"/>
                <w:sz w:val="21"/>
                <w:szCs w:val="21"/>
                <w:highlight w:val="none"/>
              </w:rPr>
              <w:sym w:font="Wingdings 2" w:char="0052"/>
            </w:r>
            <w:r>
              <w:rPr>
                <w:color w:val="auto"/>
                <w:sz w:val="21"/>
                <w:szCs w:val="21"/>
                <w:highlight w:val="none"/>
              </w:rPr>
              <w:t>；生态补偿</w:t>
            </w:r>
            <w:r>
              <w:rPr>
                <w:color w:val="auto"/>
                <w:sz w:val="21"/>
                <w:szCs w:val="21"/>
                <w:highlight w:val="none"/>
              </w:rPr>
              <w:sym w:font="Wingdings 2" w:char="0052"/>
            </w:r>
            <w:r>
              <w:rPr>
                <w:color w:val="auto"/>
                <w:sz w:val="21"/>
                <w:szCs w:val="21"/>
                <w:highlight w:val="none"/>
              </w:rPr>
              <w:t>；科研</w:t>
            </w:r>
            <w:r>
              <w:rPr>
                <w:rFonts w:hint="eastAsia"/>
                <w:color w:val="auto"/>
                <w:sz w:val="21"/>
                <w:szCs w:val="21"/>
                <w:highlight w:val="none"/>
                <w:lang w:eastAsia="zh-CN"/>
              </w:rPr>
              <w:t>□</w:t>
            </w:r>
            <w:r>
              <w:rPr>
                <w:color w:val="auto"/>
                <w:sz w:val="21"/>
                <w:szCs w:val="21"/>
                <w:highlight w:val="none"/>
              </w:rPr>
              <w:t>；其他□</w:t>
            </w:r>
          </w:p>
        </w:tc>
      </w:tr>
      <w:tr w14:paraId="1B18E7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0" w:type="pct"/>
            <w:vMerge w:val="continue"/>
            <w:tcBorders>
              <w:tl2br w:val="nil"/>
              <w:tr2bl w:val="nil"/>
            </w:tcBorders>
            <w:noWrap w:val="0"/>
            <w:vAlign w:val="center"/>
          </w:tcPr>
          <w:p w14:paraId="64506435">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491B3964">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生态监测计划</w:t>
            </w:r>
          </w:p>
        </w:tc>
        <w:tc>
          <w:tcPr>
            <w:tcW w:w="3714" w:type="pct"/>
            <w:gridSpan w:val="2"/>
            <w:tcBorders>
              <w:tl2br w:val="nil"/>
              <w:tr2bl w:val="nil"/>
            </w:tcBorders>
            <w:noWrap w:val="0"/>
            <w:vAlign w:val="center"/>
          </w:tcPr>
          <w:p w14:paraId="17555312">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全生命周期</w:t>
            </w:r>
            <w:r>
              <w:rPr>
                <w:color w:val="auto"/>
                <w:sz w:val="21"/>
                <w:szCs w:val="21"/>
                <w:highlight w:val="none"/>
              </w:rPr>
              <w:sym w:font="Wingdings 2" w:char="0052"/>
            </w:r>
            <w:r>
              <w:rPr>
                <w:color w:val="auto"/>
                <w:sz w:val="21"/>
                <w:szCs w:val="21"/>
                <w:highlight w:val="none"/>
              </w:rPr>
              <w:t>；长期跟踪</w:t>
            </w:r>
            <w:r>
              <w:rPr>
                <w:rFonts w:hint="eastAsia"/>
                <w:color w:val="auto"/>
                <w:sz w:val="21"/>
                <w:szCs w:val="21"/>
                <w:highlight w:val="none"/>
                <w:lang w:eastAsia="zh-CN"/>
              </w:rPr>
              <w:t>☑</w:t>
            </w:r>
            <w:r>
              <w:rPr>
                <w:color w:val="auto"/>
                <w:sz w:val="21"/>
                <w:szCs w:val="21"/>
                <w:highlight w:val="none"/>
              </w:rPr>
              <w:t>；常规□；无□</w:t>
            </w:r>
          </w:p>
        </w:tc>
      </w:tr>
      <w:tr w14:paraId="366704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530" w:type="pct"/>
            <w:vMerge w:val="continue"/>
            <w:tcBorders>
              <w:tl2br w:val="nil"/>
              <w:tr2bl w:val="nil"/>
            </w:tcBorders>
            <w:noWrap w:val="0"/>
            <w:vAlign w:val="center"/>
          </w:tcPr>
          <w:p w14:paraId="7D9F5F07">
            <w:pPr>
              <w:keepNext w:val="0"/>
              <w:keepLines w:val="0"/>
              <w:pageBreakBefore w:val="0"/>
              <w:widowControl w:val="0"/>
              <w:kinsoku/>
              <w:wordWrap/>
              <w:overflowPunct/>
              <w:topLinePunct w:val="0"/>
              <w:autoSpaceDE/>
              <w:autoSpaceDN/>
              <w:bidi w:val="0"/>
              <w:adjustRightInd/>
              <w:snapToGrid/>
              <w:spacing w:beforeAutospacing="0" w:line="360" w:lineRule="exact"/>
              <w:ind w:left="0" w:right="0" w:firstLine="0" w:firstLineChars="0"/>
              <w:jc w:val="center"/>
              <w:textAlignment w:val="auto"/>
              <w:rPr>
                <w:color w:val="auto"/>
                <w:sz w:val="21"/>
                <w:szCs w:val="21"/>
                <w:highlight w:val="none"/>
              </w:rPr>
            </w:pPr>
          </w:p>
        </w:tc>
        <w:tc>
          <w:tcPr>
            <w:tcW w:w="755" w:type="pct"/>
            <w:tcBorders>
              <w:tl2br w:val="nil"/>
              <w:tr2bl w:val="nil"/>
            </w:tcBorders>
            <w:noWrap w:val="0"/>
            <w:vAlign w:val="center"/>
          </w:tcPr>
          <w:p w14:paraId="220FB228">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环境管理</w:t>
            </w:r>
          </w:p>
        </w:tc>
        <w:tc>
          <w:tcPr>
            <w:tcW w:w="3714" w:type="pct"/>
            <w:gridSpan w:val="2"/>
            <w:tcBorders>
              <w:tl2br w:val="nil"/>
              <w:tr2bl w:val="nil"/>
            </w:tcBorders>
            <w:noWrap w:val="0"/>
            <w:vAlign w:val="center"/>
          </w:tcPr>
          <w:p w14:paraId="7A3837C6">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环境监理</w:t>
            </w:r>
            <w:r>
              <w:rPr>
                <w:color w:val="auto"/>
                <w:sz w:val="21"/>
                <w:szCs w:val="21"/>
                <w:highlight w:val="none"/>
              </w:rPr>
              <w:sym w:font="Wingdings 2" w:char="0052"/>
            </w:r>
            <w:r>
              <w:rPr>
                <w:color w:val="auto"/>
                <w:sz w:val="21"/>
                <w:szCs w:val="21"/>
                <w:highlight w:val="none"/>
              </w:rPr>
              <w:t>；环境影响后评价</w:t>
            </w:r>
            <w:r>
              <w:rPr>
                <w:color w:val="auto"/>
                <w:sz w:val="21"/>
                <w:szCs w:val="21"/>
                <w:highlight w:val="none"/>
              </w:rPr>
              <w:sym w:font="Wingdings 2" w:char="0052"/>
            </w:r>
            <w:r>
              <w:rPr>
                <w:color w:val="auto"/>
                <w:sz w:val="21"/>
                <w:szCs w:val="21"/>
                <w:highlight w:val="none"/>
              </w:rPr>
              <w:t>；其他□</w:t>
            </w:r>
          </w:p>
        </w:tc>
      </w:tr>
      <w:tr w14:paraId="045E2B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jc w:val="center"/>
        </w:trPr>
        <w:tc>
          <w:tcPr>
            <w:tcW w:w="530" w:type="pct"/>
            <w:tcBorders>
              <w:tl2br w:val="nil"/>
              <w:tr2bl w:val="nil"/>
            </w:tcBorders>
            <w:noWrap w:val="0"/>
            <w:vAlign w:val="center"/>
          </w:tcPr>
          <w:p w14:paraId="4EF9EEE1">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评价结论</w:t>
            </w:r>
          </w:p>
        </w:tc>
        <w:tc>
          <w:tcPr>
            <w:tcW w:w="755" w:type="pct"/>
            <w:tcBorders>
              <w:tl2br w:val="nil"/>
              <w:tr2bl w:val="nil"/>
            </w:tcBorders>
            <w:noWrap w:val="0"/>
            <w:vAlign w:val="center"/>
          </w:tcPr>
          <w:p w14:paraId="14D43F57">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生态影响</w:t>
            </w:r>
          </w:p>
        </w:tc>
        <w:tc>
          <w:tcPr>
            <w:tcW w:w="3714" w:type="pct"/>
            <w:gridSpan w:val="2"/>
            <w:tcBorders>
              <w:tl2br w:val="nil"/>
              <w:tr2bl w:val="nil"/>
            </w:tcBorders>
            <w:noWrap w:val="0"/>
            <w:vAlign w:val="center"/>
          </w:tcPr>
          <w:p w14:paraId="0191F7CB">
            <w:pPr>
              <w:pStyle w:val="32"/>
              <w:keepNext w:val="0"/>
              <w:keepLines w:val="0"/>
              <w:pageBreakBefore w:val="0"/>
              <w:widowControl w:val="0"/>
              <w:kinsoku/>
              <w:wordWrap/>
              <w:overflowPunct/>
              <w:topLinePunct w:val="0"/>
              <w:autoSpaceDE/>
              <w:autoSpaceDN/>
              <w:bidi w:val="0"/>
              <w:adjustRightInd/>
              <w:snapToGrid/>
              <w:spacing w:before="0" w:beforeAutospacing="0" w:line="360" w:lineRule="exact"/>
              <w:ind w:left="0" w:right="0" w:firstLine="0" w:firstLineChars="0"/>
              <w:jc w:val="center"/>
              <w:textAlignment w:val="auto"/>
              <w:rPr>
                <w:color w:val="auto"/>
                <w:sz w:val="21"/>
                <w:szCs w:val="21"/>
                <w:highlight w:val="none"/>
              </w:rPr>
            </w:pPr>
            <w:r>
              <w:rPr>
                <w:color w:val="auto"/>
                <w:sz w:val="21"/>
                <w:szCs w:val="21"/>
                <w:highlight w:val="none"/>
              </w:rPr>
              <w:t>可行</w:t>
            </w:r>
            <w:r>
              <w:rPr>
                <w:color w:val="auto"/>
                <w:sz w:val="21"/>
                <w:szCs w:val="21"/>
                <w:highlight w:val="none"/>
              </w:rPr>
              <w:sym w:font="Wingdings 2" w:char="0052"/>
            </w:r>
            <w:r>
              <w:rPr>
                <w:color w:val="auto"/>
                <w:sz w:val="21"/>
                <w:szCs w:val="21"/>
                <w:highlight w:val="none"/>
              </w:rPr>
              <w:t>；不可行□</w:t>
            </w:r>
          </w:p>
        </w:tc>
      </w:tr>
      <w:tr w14:paraId="41FE0D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6" w:hRule="atLeast"/>
          <w:jc w:val="center"/>
        </w:trPr>
        <w:tc>
          <w:tcPr>
            <w:tcW w:w="5000" w:type="pct"/>
            <w:gridSpan w:val="4"/>
            <w:tcBorders>
              <w:tl2br w:val="nil"/>
              <w:tr2bl w:val="nil"/>
            </w:tcBorders>
            <w:noWrap w:val="0"/>
            <w:vAlign w:val="center"/>
          </w:tcPr>
          <w:p w14:paraId="16C6EDB4">
            <w:pPr>
              <w:pStyle w:val="32"/>
              <w:keepNext w:val="0"/>
              <w:keepLines w:val="0"/>
              <w:pageBreakBefore w:val="0"/>
              <w:widowControl w:val="0"/>
              <w:tabs>
                <w:tab w:val="left" w:pos="3259"/>
              </w:tabs>
              <w:kinsoku/>
              <w:wordWrap/>
              <w:overflowPunct/>
              <w:topLinePunct w:val="0"/>
              <w:autoSpaceDE/>
              <w:autoSpaceDN/>
              <w:bidi w:val="0"/>
              <w:adjustRightInd/>
              <w:snapToGrid/>
              <w:spacing w:before="0" w:beforeAutospacing="0" w:line="360" w:lineRule="exact"/>
              <w:ind w:left="0" w:right="0" w:firstLine="0" w:firstLineChars="0"/>
              <w:jc w:val="center"/>
              <w:textAlignment w:val="auto"/>
              <w:rPr>
                <w:rFonts w:hint="default" w:eastAsia="宋体"/>
                <w:color w:val="auto"/>
                <w:sz w:val="21"/>
                <w:szCs w:val="21"/>
                <w:highlight w:val="none"/>
                <w:lang w:val="en-US" w:eastAsia="zh-CN"/>
              </w:rPr>
            </w:pPr>
            <w:r>
              <w:rPr>
                <w:color w:val="auto"/>
                <w:sz w:val="21"/>
                <w:szCs w:val="21"/>
                <w:highlight w:val="none"/>
              </w:rPr>
              <w:t>注：</w:t>
            </w:r>
            <w:r>
              <w:rPr>
                <w:color w:val="auto"/>
                <w:spacing w:val="1"/>
                <w:sz w:val="21"/>
                <w:szCs w:val="21"/>
                <w:highlight w:val="none"/>
              </w:rPr>
              <w:t xml:space="preserve"> </w:t>
            </w:r>
            <w:r>
              <w:rPr>
                <w:color w:val="auto"/>
                <w:sz w:val="21"/>
                <w:szCs w:val="21"/>
                <w:highlight w:val="none"/>
              </w:rPr>
              <w:t>“□”</w:t>
            </w:r>
            <w:r>
              <w:rPr>
                <w:color w:val="auto"/>
                <w:spacing w:val="1"/>
                <w:sz w:val="21"/>
                <w:szCs w:val="21"/>
                <w:highlight w:val="none"/>
              </w:rPr>
              <w:t xml:space="preserve"> </w:t>
            </w:r>
            <w:r>
              <w:rPr>
                <w:color w:val="auto"/>
                <w:sz w:val="21"/>
                <w:szCs w:val="21"/>
                <w:highlight w:val="none"/>
              </w:rPr>
              <w:t>为勾选项</w:t>
            </w:r>
            <w:r>
              <w:rPr>
                <w:color w:val="auto"/>
                <w:spacing w:val="1"/>
                <w:sz w:val="21"/>
                <w:szCs w:val="21"/>
                <w:highlight w:val="none"/>
              </w:rPr>
              <w:t xml:space="preserve"> </w:t>
            </w:r>
            <w:r>
              <w:rPr>
                <w:color w:val="auto"/>
                <w:sz w:val="21"/>
                <w:szCs w:val="21"/>
                <w:highlight w:val="none"/>
              </w:rPr>
              <w:t>，可</w:t>
            </w:r>
            <w:r>
              <w:rPr>
                <w:rFonts w:hint="eastAsia"/>
                <w:color w:val="auto"/>
                <w:sz w:val="21"/>
                <w:szCs w:val="21"/>
                <w:highlight w:val="none"/>
                <w:lang w:eastAsia="zh-CN"/>
              </w:rPr>
              <w:t>“</w:t>
            </w:r>
            <w:r>
              <w:rPr>
                <w:color w:val="auto"/>
                <w:sz w:val="21"/>
                <w:szCs w:val="21"/>
                <w:highlight w:val="none"/>
              </w:rPr>
              <w:t>√</w:t>
            </w:r>
            <w:r>
              <w:rPr>
                <w:rFonts w:hint="eastAsia"/>
                <w:color w:val="auto"/>
                <w:sz w:val="21"/>
                <w:szCs w:val="21"/>
                <w:highlight w:val="none"/>
                <w:lang w:eastAsia="zh-CN"/>
              </w:rPr>
              <w:t>”</w:t>
            </w:r>
            <w:r>
              <w:rPr>
                <w:rFonts w:hint="eastAsia"/>
                <w:color w:val="auto"/>
                <w:spacing w:val="-1"/>
                <w:sz w:val="21"/>
                <w:szCs w:val="21"/>
                <w:highlight w:val="none"/>
                <w:lang w:eastAsia="zh-CN"/>
              </w:rPr>
              <w:t>；“（）”</w:t>
            </w:r>
            <w:r>
              <w:rPr>
                <w:rFonts w:hint="eastAsia"/>
                <w:color w:val="auto"/>
                <w:spacing w:val="-1"/>
                <w:sz w:val="21"/>
                <w:szCs w:val="21"/>
                <w:highlight w:val="none"/>
                <w:lang w:val="en-US" w:eastAsia="zh-CN"/>
              </w:rPr>
              <w:t>为内容填写</w:t>
            </w:r>
          </w:p>
        </w:tc>
      </w:tr>
    </w:tbl>
    <w:p w14:paraId="53523653">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position w:val="0"/>
          <w:sz w:val="24"/>
          <w:szCs w:val="24"/>
        </w:rPr>
        <w:sectPr>
          <w:headerReference r:id="rId49" w:type="default"/>
          <w:footerReference r:id="rId50" w:type="default"/>
          <w:footerReference r:id="rId51" w:type="even"/>
          <w:pgSz w:w="11906" w:h="16838"/>
          <w:pgMar w:top="1440" w:right="1800" w:bottom="1440" w:left="1800" w:header="680" w:footer="850" w:gutter="0"/>
          <w:pgBorders>
            <w:top w:val="none" w:sz="0" w:space="0"/>
            <w:left w:val="none" w:sz="0" w:space="0"/>
            <w:bottom w:val="none" w:sz="0" w:space="0"/>
            <w:right w:val="none" w:sz="0" w:space="0"/>
          </w:pgBorders>
          <w:pgNumType w:fmt="decimal"/>
          <w:cols w:space="720" w:num="1"/>
        </w:sectPr>
      </w:pPr>
    </w:p>
    <w:p w14:paraId="6F1DBFE5">
      <w:pPr>
        <w:pStyle w:val="3"/>
        <w:bidi w:val="0"/>
        <w:rPr>
          <w:rFonts w:hint="default" w:ascii="Times New Roman" w:hAnsi="Times New Roman" w:cs="Times New Roman"/>
          <w:color w:val="auto"/>
          <w:lang w:val="en-US" w:eastAsia="zh-CN"/>
        </w:rPr>
      </w:pPr>
      <w:bookmarkStart w:id="639" w:name="bookmark40"/>
      <w:bookmarkEnd w:id="639"/>
      <w:bookmarkStart w:id="640" w:name="_Toc32676"/>
      <w:bookmarkStart w:id="641" w:name="_Toc15173"/>
      <w:bookmarkStart w:id="642" w:name="_Toc28577"/>
      <w:bookmarkStart w:id="643" w:name="_Toc29000"/>
      <w:r>
        <w:rPr>
          <w:rFonts w:hint="default" w:ascii="Times New Roman" w:hAnsi="Times New Roman" w:cs="Times New Roman"/>
          <w:color w:val="auto"/>
          <w:lang w:val="en-US" w:eastAsia="zh-CN"/>
        </w:rPr>
        <w:t>环境风险分析</w:t>
      </w:r>
      <w:bookmarkEnd w:id="640"/>
      <w:bookmarkEnd w:id="641"/>
      <w:bookmarkEnd w:id="642"/>
      <w:bookmarkEnd w:id="643"/>
    </w:p>
    <w:p w14:paraId="47C3872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环境风险评价以突发性事故导致的危险物质环境急性损害为防控目标，对建设项目的环境风险进行分析、预测和评估，提出环境风险防控、控制、减缓措施，明确环境风险监控及应急建议要求，为建设项目环境风险防控提供科学依据。</w:t>
      </w:r>
    </w:p>
    <w:p w14:paraId="4D75C2E5">
      <w:pPr>
        <w:pStyle w:val="4"/>
        <w:bidi w:val="0"/>
        <w:rPr>
          <w:rFonts w:hint="default" w:ascii="Times New Roman" w:hAnsi="Times New Roman" w:cs="Times New Roman"/>
          <w:color w:val="auto"/>
          <w:lang w:val="en-US" w:eastAsia="zh-CN"/>
        </w:rPr>
      </w:pPr>
      <w:bookmarkStart w:id="644" w:name="_Toc20507"/>
      <w:bookmarkStart w:id="645" w:name="_Toc18457"/>
      <w:bookmarkStart w:id="646" w:name="_Toc23988"/>
      <w:r>
        <w:rPr>
          <w:rFonts w:hint="default" w:ascii="Times New Roman" w:hAnsi="Times New Roman" w:cs="Times New Roman"/>
          <w:color w:val="auto"/>
          <w:lang w:val="en-US" w:eastAsia="zh-CN"/>
        </w:rPr>
        <w:t>环境风险评价程序</w:t>
      </w:r>
      <w:bookmarkEnd w:id="644"/>
      <w:bookmarkEnd w:id="645"/>
      <w:bookmarkEnd w:id="646"/>
    </w:p>
    <w:p w14:paraId="37CAE667">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本项目环境风险评价程序详见图5.9-1。</w:t>
      </w:r>
    </w:p>
    <w:p w14:paraId="2718EA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rPr>
        <w:object>
          <v:shape id="_x0000_i1050" o:spt="75" type="#_x0000_t75" style="height:440.2pt;width:333.3pt;" o:ole="t" filled="f" o:preferrelative="t" stroked="f" coordsize="21600,21600">
            <v:path/>
            <v:fill on="f" focussize="0,0"/>
            <v:stroke on="f"/>
            <v:imagedata r:id="rId118" o:title=""/>
            <o:lock v:ext="edit" aspectratio="t"/>
            <w10:wrap type="none"/>
            <w10:anchorlock/>
          </v:shape>
          <o:OLEObject Type="Embed" ProgID="Visio.Drawing.11" ShapeID="_x0000_i1050" DrawAspect="Content" ObjectID="_1468075752" r:id="rId117">
            <o:LockedField>false</o:LockedField>
          </o:OLEObject>
        </w:object>
      </w:r>
    </w:p>
    <w:p w14:paraId="31977903">
      <w:pPr>
        <w:pStyle w:val="60"/>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color w:val="auto"/>
          <w:spacing w:val="0"/>
          <w:w w:val="100"/>
          <w:position w:val="0"/>
          <w:sz w:val="24"/>
          <w:szCs w:val="24"/>
        </w:rPr>
      </w:pPr>
      <w:r>
        <w:rPr>
          <w:rFonts w:hint="default" w:ascii="Times New Roman" w:hAnsi="Times New Roman" w:eastAsia="宋体" w:cs="Times New Roman"/>
          <w:b/>
          <w:color w:val="auto"/>
          <w:spacing w:val="0"/>
          <w:w w:val="100"/>
          <w:position w:val="0"/>
          <w:sz w:val="24"/>
          <w:szCs w:val="24"/>
          <w:highlight w:val="none"/>
        </w:rPr>
        <w:t>图</w:t>
      </w:r>
      <w:r>
        <w:rPr>
          <w:rFonts w:hint="default" w:ascii="Times New Roman" w:hAnsi="Times New Roman" w:eastAsia="宋体" w:cs="Times New Roman"/>
          <w:b/>
          <w:color w:val="auto"/>
          <w:spacing w:val="0"/>
          <w:w w:val="100"/>
          <w:position w:val="0"/>
          <w:sz w:val="24"/>
          <w:szCs w:val="24"/>
          <w:highlight w:val="none"/>
          <w:lang w:eastAsia="zh-CN"/>
        </w:rPr>
        <w:t>5.</w:t>
      </w:r>
      <w:r>
        <w:rPr>
          <w:rFonts w:hint="default" w:ascii="Times New Roman" w:hAnsi="Times New Roman" w:eastAsia="宋体" w:cs="Times New Roman"/>
          <w:b/>
          <w:color w:val="auto"/>
          <w:spacing w:val="0"/>
          <w:w w:val="100"/>
          <w:position w:val="0"/>
          <w:sz w:val="24"/>
          <w:szCs w:val="24"/>
          <w:highlight w:val="none"/>
          <w:lang w:val="en-US" w:eastAsia="zh-CN"/>
        </w:rPr>
        <w:t>9</w:t>
      </w:r>
      <w:r>
        <w:rPr>
          <w:rFonts w:hint="default" w:ascii="Times New Roman" w:hAnsi="Times New Roman" w:eastAsia="宋体" w:cs="Times New Roman"/>
          <w:b/>
          <w:color w:val="auto"/>
          <w:spacing w:val="0"/>
          <w:w w:val="100"/>
          <w:position w:val="0"/>
          <w:sz w:val="24"/>
          <w:szCs w:val="24"/>
          <w:highlight w:val="none"/>
        </w:rPr>
        <w:t xml:space="preserve">-1  </w:t>
      </w:r>
      <w:r>
        <w:rPr>
          <w:rFonts w:hint="default" w:ascii="Times New Roman" w:hAnsi="Times New Roman" w:eastAsia="宋体" w:cs="Times New Roman"/>
          <w:b/>
          <w:color w:val="auto"/>
          <w:spacing w:val="0"/>
          <w:w w:val="100"/>
          <w:position w:val="0"/>
          <w:sz w:val="24"/>
          <w:szCs w:val="24"/>
          <w:lang w:val="en-US" w:eastAsia="zh-CN"/>
        </w:rPr>
        <w:t xml:space="preserve">  </w:t>
      </w:r>
      <w:r>
        <w:rPr>
          <w:rFonts w:hint="default" w:ascii="Times New Roman" w:hAnsi="Times New Roman" w:eastAsia="宋体" w:cs="Times New Roman"/>
          <w:b/>
          <w:color w:val="auto"/>
          <w:spacing w:val="0"/>
          <w:w w:val="100"/>
          <w:position w:val="0"/>
          <w:sz w:val="24"/>
          <w:szCs w:val="24"/>
        </w:rPr>
        <w:t>环境风险评价工作程序图</w:t>
      </w:r>
    </w:p>
    <w:p w14:paraId="5CCFE874">
      <w:pPr>
        <w:pStyle w:val="4"/>
        <w:bidi w:val="0"/>
        <w:rPr>
          <w:rFonts w:hint="default" w:ascii="Times New Roman" w:hAnsi="Times New Roman" w:cs="Times New Roman"/>
          <w:color w:val="auto"/>
          <w:lang w:val="en-US" w:eastAsia="zh-CN"/>
        </w:rPr>
      </w:pPr>
      <w:bookmarkStart w:id="647" w:name="_Toc4057"/>
      <w:bookmarkStart w:id="648" w:name="_Toc6104"/>
      <w:bookmarkStart w:id="649" w:name="_Toc2237"/>
      <w:bookmarkStart w:id="650" w:name="_Toc28269"/>
      <w:bookmarkStart w:id="651" w:name="_Toc22620"/>
      <w:bookmarkStart w:id="652" w:name="_Toc12923"/>
      <w:r>
        <w:rPr>
          <w:rFonts w:hint="default" w:ascii="Times New Roman" w:hAnsi="Times New Roman" w:cs="Times New Roman"/>
          <w:color w:val="auto"/>
          <w:lang w:val="en-US" w:eastAsia="zh-CN"/>
        </w:rPr>
        <w:t>风险调查</w:t>
      </w:r>
      <w:bookmarkEnd w:id="647"/>
      <w:bookmarkEnd w:id="648"/>
      <w:bookmarkEnd w:id="649"/>
      <w:bookmarkEnd w:id="650"/>
      <w:bookmarkEnd w:id="651"/>
      <w:bookmarkEnd w:id="652"/>
    </w:p>
    <w:p w14:paraId="2F210364">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5.9.2.1风险源调查</w:t>
      </w:r>
    </w:p>
    <w:p w14:paraId="72B38D4F">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建设项目风险源调查建设项目危险物质数量和分布情况以及工艺特点。</w:t>
      </w:r>
    </w:p>
    <w:p w14:paraId="2196479D">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（1）物质危险性调查</w:t>
      </w:r>
    </w:p>
    <w:p w14:paraId="1676B598">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矿山日常柴油供应均来源于周边加油站，矿山不设油库硐室以及储油设备，矿山日常炸药均由当地民爆公司统一运送。</w:t>
      </w:r>
      <w:r>
        <w:rPr>
          <w:rFonts w:hint="default" w:ascii="Times New Roman" w:hAnsi="Times New Roman" w:eastAsia="宋体" w:cs="Times New Roman"/>
          <w:color w:val="auto"/>
          <w:spacing w:val="0"/>
          <w:w w:val="100"/>
          <w:position w:val="0"/>
          <w:sz w:val="24"/>
          <w:szCs w:val="24"/>
          <w:lang w:eastAsia="zh-CN"/>
        </w:rPr>
        <w:t>项目</w:t>
      </w:r>
      <w:r>
        <w:rPr>
          <w:rFonts w:hint="default" w:ascii="Times New Roman" w:hAnsi="Times New Roman" w:eastAsia="宋体" w:cs="Times New Roman"/>
          <w:color w:val="auto"/>
          <w:spacing w:val="0"/>
          <w:w w:val="100"/>
          <w:position w:val="0"/>
          <w:sz w:val="24"/>
          <w:szCs w:val="24"/>
        </w:rPr>
        <w:t>运行过程中涉及的</w:t>
      </w:r>
      <w:r>
        <w:rPr>
          <w:rFonts w:hint="default" w:ascii="Times New Roman" w:hAnsi="Times New Roman" w:eastAsia="宋体" w:cs="Times New Roman"/>
          <w:color w:val="auto"/>
          <w:spacing w:val="0"/>
          <w:w w:val="100"/>
          <w:position w:val="0"/>
          <w:sz w:val="24"/>
          <w:szCs w:val="24"/>
          <w:lang w:val="en-US" w:eastAsia="zh-CN"/>
        </w:rPr>
        <w:t>风险</w:t>
      </w:r>
      <w:r>
        <w:rPr>
          <w:rFonts w:hint="default" w:ascii="Times New Roman" w:hAnsi="Times New Roman" w:eastAsia="宋体" w:cs="Times New Roman"/>
          <w:color w:val="auto"/>
          <w:spacing w:val="0"/>
          <w:w w:val="100"/>
          <w:position w:val="0"/>
          <w:sz w:val="24"/>
          <w:szCs w:val="24"/>
        </w:rPr>
        <w:t>物质为</w:t>
      </w:r>
      <w:r>
        <w:rPr>
          <w:rFonts w:hint="default" w:ascii="Times New Roman" w:hAnsi="Times New Roman" w:eastAsia="宋体" w:cs="Times New Roman"/>
          <w:color w:val="auto"/>
          <w:spacing w:val="0"/>
          <w:w w:val="100"/>
          <w:position w:val="0"/>
          <w:sz w:val="24"/>
          <w:szCs w:val="24"/>
          <w:lang w:val="en-US" w:eastAsia="zh-CN"/>
        </w:rPr>
        <w:t>机油</w:t>
      </w:r>
      <w:r>
        <w:rPr>
          <w:rFonts w:hint="default" w:ascii="Times New Roman" w:hAnsi="Times New Roman" w:eastAsia="宋体" w:cs="Times New Roman"/>
          <w:color w:val="auto"/>
          <w:spacing w:val="0"/>
          <w:w w:val="100"/>
          <w:position w:val="0"/>
          <w:sz w:val="24"/>
          <w:highlight w:val="none"/>
          <w:lang w:val="en-US" w:eastAsia="zh-CN"/>
        </w:rPr>
        <w:t>。</w:t>
      </w:r>
    </w:p>
    <w:p w14:paraId="3462A2AA">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其理化性质及基本特征情况见表5.9-1。</w:t>
      </w:r>
    </w:p>
    <w:p w14:paraId="04AA785F">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表5.9-1    机油的</w:t>
      </w:r>
      <w:r>
        <w:rPr>
          <w:rFonts w:hint="default" w:ascii="Times New Roman" w:hAnsi="Times New Roman" w:eastAsia="宋体" w:cs="Times New Roman"/>
          <w:b/>
          <w:bCs/>
          <w:color w:val="auto"/>
          <w:spacing w:val="-2"/>
          <w:sz w:val="21"/>
          <w:szCs w:val="21"/>
        </w:rPr>
        <w:t>理化性质及危险特性</w:t>
      </w:r>
      <w:r>
        <w:rPr>
          <w:rFonts w:hint="default" w:ascii="Times New Roman" w:hAnsi="Times New Roman" w:eastAsia="宋体" w:cs="Times New Roman"/>
          <w:b/>
          <w:bCs/>
          <w:color w:val="auto"/>
          <w:spacing w:val="-2"/>
          <w:sz w:val="21"/>
          <w:szCs w:val="21"/>
          <w:lang w:val="en-US" w:eastAsia="zh-CN"/>
        </w:rPr>
        <w:t>一览表</w:t>
      </w:r>
    </w:p>
    <w:tbl>
      <w:tblPr>
        <w:tblStyle w:val="31"/>
        <w:tblW w:w="5033"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84"/>
        <w:gridCol w:w="827"/>
        <w:gridCol w:w="451"/>
        <w:gridCol w:w="721"/>
        <w:gridCol w:w="772"/>
        <w:gridCol w:w="923"/>
        <w:gridCol w:w="168"/>
        <w:gridCol w:w="944"/>
        <w:gridCol w:w="387"/>
        <w:gridCol w:w="394"/>
        <w:gridCol w:w="1075"/>
        <w:gridCol w:w="74"/>
        <w:gridCol w:w="163"/>
        <w:gridCol w:w="802"/>
      </w:tblGrid>
      <w:tr w14:paraId="30FF22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restart"/>
            <w:tcBorders>
              <w:tl2br w:val="nil"/>
              <w:tr2bl w:val="nil"/>
            </w:tcBorders>
            <w:vAlign w:val="center"/>
          </w:tcPr>
          <w:p w14:paraId="27B6104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标识</w:t>
            </w:r>
          </w:p>
        </w:tc>
        <w:tc>
          <w:tcPr>
            <w:tcW w:w="493" w:type="pct"/>
            <w:tcBorders>
              <w:tl2br w:val="nil"/>
              <w:tr2bl w:val="nil"/>
            </w:tcBorders>
            <w:vAlign w:val="center"/>
          </w:tcPr>
          <w:p w14:paraId="0F07D46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中文名</w:t>
            </w:r>
          </w:p>
        </w:tc>
        <w:tc>
          <w:tcPr>
            <w:tcW w:w="699" w:type="pct"/>
            <w:gridSpan w:val="2"/>
            <w:tcBorders>
              <w:tl2br w:val="nil"/>
              <w:tr2bl w:val="nil"/>
            </w:tcBorders>
            <w:vAlign w:val="center"/>
          </w:tcPr>
          <w:p w14:paraId="5FAF067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机油</w:t>
            </w:r>
          </w:p>
        </w:tc>
        <w:tc>
          <w:tcPr>
            <w:tcW w:w="460" w:type="pct"/>
            <w:tcBorders>
              <w:tl2br w:val="nil"/>
              <w:tr2bl w:val="nil"/>
            </w:tcBorders>
            <w:vAlign w:val="center"/>
          </w:tcPr>
          <w:p w14:paraId="5490004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英文名</w:t>
            </w:r>
          </w:p>
        </w:tc>
        <w:tc>
          <w:tcPr>
            <w:tcW w:w="1442" w:type="pct"/>
            <w:gridSpan w:val="4"/>
            <w:tcBorders>
              <w:tl2br w:val="nil"/>
              <w:tr2bl w:val="nil"/>
            </w:tcBorders>
            <w:vAlign w:val="center"/>
          </w:tcPr>
          <w:p w14:paraId="786A2B9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lubricatingoil；Lubeoil</w:t>
            </w:r>
          </w:p>
        </w:tc>
        <w:tc>
          <w:tcPr>
            <w:tcW w:w="1017" w:type="pct"/>
            <w:gridSpan w:val="4"/>
            <w:tcBorders>
              <w:tl2br w:val="nil"/>
              <w:tr2bl w:val="nil"/>
            </w:tcBorders>
            <w:vAlign w:val="center"/>
          </w:tcPr>
          <w:p w14:paraId="2945B30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危险货物编号</w:t>
            </w:r>
          </w:p>
        </w:tc>
        <w:tc>
          <w:tcPr>
            <w:tcW w:w="476" w:type="pct"/>
            <w:tcBorders>
              <w:tl2br w:val="nil"/>
              <w:tr2bl w:val="nil"/>
            </w:tcBorders>
            <w:vAlign w:val="center"/>
          </w:tcPr>
          <w:p w14:paraId="58F37C4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0CFD0F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5F85809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493" w:type="pct"/>
            <w:tcBorders>
              <w:tl2br w:val="nil"/>
              <w:tr2bl w:val="nil"/>
            </w:tcBorders>
            <w:vAlign w:val="center"/>
          </w:tcPr>
          <w:p w14:paraId="40FABE3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分子式</w:t>
            </w:r>
          </w:p>
        </w:tc>
        <w:tc>
          <w:tcPr>
            <w:tcW w:w="699" w:type="pct"/>
            <w:gridSpan w:val="2"/>
            <w:tcBorders>
              <w:tl2br w:val="nil"/>
              <w:tr2bl w:val="nil"/>
            </w:tcBorders>
            <w:vAlign w:val="center"/>
          </w:tcPr>
          <w:p w14:paraId="437181E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c>
          <w:tcPr>
            <w:tcW w:w="460" w:type="pct"/>
            <w:tcBorders>
              <w:tl2br w:val="nil"/>
              <w:tr2bl w:val="nil"/>
            </w:tcBorders>
            <w:vAlign w:val="center"/>
          </w:tcPr>
          <w:p w14:paraId="7ECD882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分子量</w:t>
            </w:r>
          </w:p>
        </w:tc>
        <w:tc>
          <w:tcPr>
            <w:tcW w:w="548" w:type="pct"/>
            <w:tcBorders>
              <w:tl2br w:val="nil"/>
              <w:tr2bl w:val="nil"/>
            </w:tcBorders>
            <w:vAlign w:val="center"/>
          </w:tcPr>
          <w:p w14:paraId="22118EC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230~500</w:t>
            </w:r>
          </w:p>
        </w:tc>
        <w:tc>
          <w:tcPr>
            <w:tcW w:w="894" w:type="pct"/>
            <w:gridSpan w:val="3"/>
            <w:tcBorders>
              <w:tl2br w:val="nil"/>
              <w:tr2bl w:val="nil"/>
            </w:tcBorders>
            <w:vAlign w:val="center"/>
          </w:tcPr>
          <w:p w14:paraId="5B276A1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UN编号</w:t>
            </w:r>
          </w:p>
        </w:tc>
        <w:tc>
          <w:tcPr>
            <w:tcW w:w="235" w:type="pct"/>
            <w:tcBorders>
              <w:tl2br w:val="nil"/>
              <w:tr2bl w:val="nil"/>
            </w:tcBorders>
            <w:vAlign w:val="center"/>
          </w:tcPr>
          <w:p w14:paraId="7503CF6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c>
          <w:tcPr>
            <w:tcW w:w="782" w:type="pct"/>
            <w:gridSpan w:val="3"/>
            <w:tcBorders>
              <w:tl2br w:val="nil"/>
              <w:tr2bl w:val="nil"/>
            </w:tcBorders>
            <w:vAlign w:val="center"/>
          </w:tcPr>
          <w:p w14:paraId="4C8B2A9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CAS编号</w:t>
            </w:r>
          </w:p>
        </w:tc>
        <w:tc>
          <w:tcPr>
            <w:tcW w:w="476" w:type="pct"/>
            <w:tcBorders>
              <w:tl2br w:val="nil"/>
              <w:tr2bl w:val="nil"/>
            </w:tcBorders>
            <w:vAlign w:val="center"/>
          </w:tcPr>
          <w:p w14:paraId="130AC3D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7E9DF8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restart"/>
            <w:tcBorders>
              <w:tl2br w:val="nil"/>
              <w:tr2bl w:val="nil"/>
            </w:tcBorders>
            <w:vAlign w:val="center"/>
          </w:tcPr>
          <w:p w14:paraId="40F23E0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理化性质</w:t>
            </w:r>
          </w:p>
        </w:tc>
        <w:tc>
          <w:tcPr>
            <w:tcW w:w="493" w:type="pct"/>
            <w:tcBorders>
              <w:tl2br w:val="nil"/>
              <w:tr2bl w:val="nil"/>
            </w:tcBorders>
            <w:vAlign w:val="center"/>
          </w:tcPr>
          <w:p w14:paraId="61206FD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性状</w:t>
            </w:r>
          </w:p>
        </w:tc>
        <w:tc>
          <w:tcPr>
            <w:tcW w:w="4097" w:type="pct"/>
            <w:gridSpan w:val="12"/>
            <w:tcBorders>
              <w:tl2br w:val="nil"/>
              <w:tr2bl w:val="nil"/>
            </w:tcBorders>
            <w:vAlign w:val="center"/>
          </w:tcPr>
          <w:p w14:paraId="430E0E5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油状液体，淡黄色至褐色，无气味或略带异味。</w:t>
            </w:r>
          </w:p>
        </w:tc>
      </w:tr>
      <w:tr w14:paraId="4FB32B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3132E58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30883ED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熔点（℃）</w:t>
            </w:r>
          </w:p>
        </w:tc>
        <w:tc>
          <w:tcPr>
            <w:tcW w:w="1440" w:type="pct"/>
            <w:gridSpan w:val="3"/>
            <w:tcBorders>
              <w:tl2br w:val="nil"/>
              <w:tr2bl w:val="nil"/>
            </w:tcBorders>
            <w:vAlign w:val="center"/>
          </w:tcPr>
          <w:p w14:paraId="0F49545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-95.3~-94.3</w:t>
            </w:r>
          </w:p>
        </w:tc>
        <w:tc>
          <w:tcPr>
            <w:tcW w:w="1770" w:type="pct"/>
            <w:gridSpan w:val="5"/>
            <w:tcBorders>
              <w:tl2br w:val="nil"/>
              <w:tr2bl w:val="nil"/>
            </w:tcBorders>
            <w:vAlign w:val="center"/>
          </w:tcPr>
          <w:p w14:paraId="25CC2D0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临界压力（Mpa）</w:t>
            </w:r>
          </w:p>
        </w:tc>
        <w:tc>
          <w:tcPr>
            <w:tcW w:w="618" w:type="pct"/>
            <w:gridSpan w:val="3"/>
            <w:tcBorders>
              <w:tl2br w:val="nil"/>
              <w:tr2bl w:val="nil"/>
            </w:tcBorders>
            <w:vAlign w:val="center"/>
          </w:tcPr>
          <w:p w14:paraId="3A1C62F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r>
      <w:tr w14:paraId="128FB5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56B8185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30481BA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沸点（℃）</w:t>
            </w:r>
          </w:p>
        </w:tc>
        <w:tc>
          <w:tcPr>
            <w:tcW w:w="1440" w:type="pct"/>
            <w:gridSpan w:val="3"/>
            <w:tcBorders>
              <w:tl2br w:val="nil"/>
              <w:tr2bl w:val="nil"/>
            </w:tcBorders>
            <w:vAlign w:val="center"/>
          </w:tcPr>
          <w:p w14:paraId="6D67290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69</w:t>
            </w:r>
          </w:p>
        </w:tc>
        <w:tc>
          <w:tcPr>
            <w:tcW w:w="1770" w:type="pct"/>
            <w:gridSpan w:val="5"/>
            <w:tcBorders>
              <w:tl2br w:val="nil"/>
              <w:tr2bl w:val="nil"/>
            </w:tcBorders>
            <w:vAlign w:val="center"/>
          </w:tcPr>
          <w:p w14:paraId="0DB6A2B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相对密度（水＝1）</w:t>
            </w:r>
          </w:p>
        </w:tc>
        <w:tc>
          <w:tcPr>
            <w:tcW w:w="618" w:type="pct"/>
            <w:gridSpan w:val="3"/>
            <w:tcBorders>
              <w:tl2br w:val="nil"/>
              <w:tr2bl w:val="nil"/>
            </w:tcBorders>
            <w:vAlign w:val="center"/>
          </w:tcPr>
          <w:p w14:paraId="76D7F87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＜1</w:t>
            </w:r>
          </w:p>
        </w:tc>
      </w:tr>
      <w:tr w14:paraId="521A59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7278443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4FD1A6B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饱和蒸汽压（</w:t>
            </w:r>
            <w:r>
              <w:rPr>
                <w:rFonts w:hint="eastAsia" w:ascii="Times New Roman" w:hAnsi="Times New Roman" w:cs="Times New Roman"/>
                <w:snapToGrid/>
                <w:color w:val="auto"/>
                <w:spacing w:val="0"/>
                <w:w w:val="100"/>
                <w:kern w:val="2"/>
                <w:position w:val="0"/>
                <w:sz w:val="21"/>
                <w:szCs w:val="21"/>
                <w:lang w:eastAsia="zh-CN"/>
              </w:rPr>
              <w:t>kPa</w:t>
            </w:r>
            <w:r>
              <w:rPr>
                <w:rFonts w:hint="default" w:ascii="Times New Roman" w:hAnsi="Times New Roman" w:eastAsia="宋体" w:cs="Times New Roman"/>
                <w:snapToGrid/>
                <w:color w:val="auto"/>
                <w:spacing w:val="0"/>
                <w:w w:val="100"/>
                <w:kern w:val="2"/>
                <w:position w:val="0"/>
                <w:sz w:val="21"/>
                <w:szCs w:val="21"/>
                <w:lang w:eastAsia="zh-CN"/>
              </w:rPr>
              <w:t>）</w:t>
            </w:r>
          </w:p>
        </w:tc>
        <w:tc>
          <w:tcPr>
            <w:tcW w:w="1440" w:type="pct"/>
            <w:gridSpan w:val="3"/>
            <w:tcBorders>
              <w:tl2br w:val="nil"/>
              <w:tr2bl w:val="nil"/>
            </w:tcBorders>
            <w:vAlign w:val="center"/>
          </w:tcPr>
          <w:p w14:paraId="68A531E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17</w:t>
            </w:r>
          </w:p>
        </w:tc>
        <w:tc>
          <w:tcPr>
            <w:tcW w:w="1770" w:type="pct"/>
            <w:gridSpan w:val="5"/>
            <w:tcBorders>
              <w:tl2br w:val="nil"/>
              <w:tr2bl w:val="nil"/>
            </w:tcBorders>
            <w:vAlign w:val="center"/>
          </w:tcPr>
          <w:p w14:paraId="6C72B15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相对密度（空气＝1）</w:t>
            </w:r>
          </w:p>
        </w:tc>
        <w:tc>
          <w:tcPr>
            <w:tcW w:w="618" w:type="pct"/>
            <w:gridSpan w:val="3"/>
            <w:tcBorders>
              <w:tl2br w:val="nil"/>
              <w:tr2bl w:val="nil"/>
            </w:tcBorders>
            <w:vAlign w:val="center"/>
          </w:tcPr>
          <w:p w14:paraId="0E9E4CF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0.66</w:t>
            </w:r>
          </w:p>
        </w:tc>
      </w:tr>
      <w:tr w14:paraId="2AC1E1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0261A42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6B02634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临界温度（℃）</w:t>
            </w:r>
          </w:p>
        </w:tc>
        <w:tc>
          <w:tcPr>
            <w:tcW w:w="1440" w:type="pct"/>
            <w:gridSpan w:val="3"/>
            <w:tcBorders>
              <w:tl2br w:val="nil"/>
              <w:tr2bl w:val="nil"/>
            </w:tcBorders>
            <w:vAlign w:val="center"/>
          </w:tcPr>
          <w:p w14:paraId="43DF192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234.8</w:t>
            </w:r>
          </w:p>
        </w:tc>
        <w:tc>
          <w:tcPr>
            <w:tcW w:w="1770" w:type="pct"/>
            <w:gridSpan w:val="5"/>
            <w:tcBorders>
              <w:tl2br w:val="nil"/>
              <w:tr2bl w:val="nil"/>
            </w:tcBorders>
            <w:vAlign w:val="center"/>
          </w:tcPr>
          <w:p w14:paraId="0606CC8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燃烧热（KJ·mol-1）</w:t>
            </w:r>
          </w:p>
        </w:tc>
        <w:tc>
          <w:tcPr>
            <w:tcW w:w="618" w:type="pct"/>
            <w:gridSpan w:val="3"/>
            <w:tcBorders>
              <w:tl2br w:val="nil"/>
              <w:tr2bl w:val="nil"/>
            </w:tcBorders>
            <w:vAlign w:val="center"/>
          </w:tcPr>
          <w:p w14:paraId="5544590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3B47C1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textDirection w:val="tbRlV"/>
            <w:vAlign w:val="center"/>
          </w:tcPr>
          <w:p w14:paraId="33FD1E8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76874AF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溶解性</w:t>
            </w:r>
          </w:p>
        </w:tc>
        <w:tc>
          <w:tcPr>
            <w:tcW w:w="3828" w:type="pct"/>
            <w:gridSpan w:val="11"/>
            <w:tcBorders>
              <w:tl2br w:val="nil"/>
              <w:tr2bl w:val="nil"/>
            </w:tcBorders>
            <w:vAlign w:val="center"/>
          </w:tcPr>
          <w:p w14:paraId="398733F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不溶于水</w:t>
            </w:r>
          </w:p>
        </w:tc>
      </w:tr>
      <w:tr w14:paraId="75718E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408" w:type="pct"/>
            <w:vMerge w:val="restart"/>
            <w:tcBorders>
              <w:tl2br w:val="nil"/>
              <w:tr2bl w:val="nil"/>
            </w:tcBorders>
            <w:vAlign w:val="center"/>
          </w:tcPr>
          <w:p w14:paraId="7E7D131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燃烧爆炸危险性</w:t>
            </w:r>
          </w:p>
        </w:tc>
        <w:tc>
          <w:tcPr>
            <w:tcW w:w="762" w:type="pct"/>
            <w:gridSpan w:val="2"/>
            <w:tcBorders>
              <w:tl2br w:val="nil"/>
              <w:tr2bl w:val="nil"/>
            </w:tcBorders>
            <w:vAlign w:val="center"/>
          </w:tcPr>
          <w:p w14:paraId="60A5C65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燃烧性</w:t>
            </w:r>
          </w:p>
        </w:tc>
        <w:tc>
          <w:tcPr>
            <w:tcW w:w="1440" w:type="pct"/>
            <w:gridSpan w:val="3"/>
            <w:tcBorders>
              <w:tl2br w:val="nil"/>
              <w:tr2bl w:val="nil"/>
            </w:tcBorders>
            <w:vAlign w:val="center"/>
          </w:tcPr>
          <w:p w14:paraId="34D502A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可燃</w:t>
            </w:r>
          </w:p>
        </w:tc>
        <w:tc>
          <w:tcPr>
            <w:tcW w:w="1770" w:type="pct"/>
            <w:gridSpan w:val="5"/>
            <w:tcBorders>
              <w:tl2br w:val="nil"/>
              <w:tr2bl w:val="nil"/>
            </w:tcBorders>
            <w:vAlign w:val="center"/>
          </w:tcPr>
          <w:p w14:paraId="779952B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闪点（℃）</w:t>
            </w:r>
          </w:p>
        </w:tc>
        <w:tc>
          <w:tcPr>
            <w:tcW w:w="618" w:type="pct"/>
            <w:gridSpan w:val="3"/>
            <w:tcBorders>
              <w:tl2br w:val="nil"/>
              <w:tr2bl w:val="nil"/>
            </w:tcBorders>
            <w:vAlign w:val="center"/>
          </w:tcPr>
          <w:p w14:paraId="05DCD63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76~300</w:t>
            </w:r>
          </w:p>
        </w:tc>
      </w:tr>
      <w:tr w14:paraId="1D34D4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7AFF428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443ADCC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爆炸极限（%）</w:t>
            </w:r>
          </w:p>
        </w:tc>
        <w:tc>
          <w:tcPr>
            <w:tcW w:w="1440" w:type="pct"/>
            <w:gridSpan w:val="3"/>
            <w:tcBorders>
              <w:tl2br w:val="nil"/>
              <w:tr2bl w:val="nil"/>
            </w:tcBorders>
            <w:vAlign w:val="center"/>
          </w:tcPr>
          <w:p w14:paraId="2CB3DE3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无资料</w:t>
            </w:r>
          </w:p>
        </w:tc>
        <w:tc>
          <w:tcPr>
            <w:tcW w:w="1770" w:type="pct"/>
            <w:gridSpan w:val="5"/>
            <w:tcBorders>
              <w:tl2br w:val="nil"/>
              <w:tr2bl w:val="nil"/>
            </w:tcBorders>
            <w:vAlign w:val="center"/>
          </w:tcPr>
          <w:p w14:paraId="5D599F1E">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最小点火能（MJ）</w:t>
            </w:r>
          </w:p>
        </w:tc>
        <w:tc>
          <w:tcPr>
            <w:tcW w:w="618" w:type="pct"/>
            <w:gridSpan w:val="3"/>
            <w:tcBorders>
              <w:tl2br w:val="nil"/>
              <w:tr2bl w:val="nil"/>
            </w:tcBorders>
            <w:vAlign w:val="center"/>
          </w:tcPr>
          <w:p w14:paraId="0A066A7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7C86B7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54267AA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726D49D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引燃温度（℃）</w:t>
            </w:r>
          </w:p>
        </w:tc>
        <w:tc>
          <w:tcPr>
            <w:tcW w:w="1440" w:type="pct"/>
            <w:gridSpan w:val="3"/>
            <w:tcBorders>
              <w:tl2br w:val="nil"/>
              <w:tr2bl w:val="nil"/>
            </w:tcBorders>
            <w:vAlign w:val="center"/>
          </w:tcPr>
          <w:p w14:paraId="2CCD5C5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248~350</w:t>
            </w:r>
          </w:p>
        </w:tc>
        <w:tc>
          <w:tcPr>
            <w:tcW w:w="1770" w:type="pct"/>
            <w:gridSpan w:val="5"/>
            <w:tcBorders>
              <w:tl2br w:val="nil"/>
              <w:tr2bl w:val="nil"/>
            </w:tcBorders>
            <w:vAlign w:val="center"/>
          </w:tcPr>
          <w:p w14:paraId="6C13051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最大爆炸压力（Mpa）</w:t>
            </w:r>
          </w:p>
        </w:tc>
        <w:tc>
          <w:tcPr>
            <w:tcW w:w="618" w:type="pct"/>
            <w:gridSpan w:val="3"/>
            <w:tcBorders>
              <w:tl2br w:val="nil"/>
              <w:tr2bl w:val="nil"/>
            </w:tcBorders>
            <w:vAlign w:val="center"/>
          </w:tcPr>
          <w:p w14:paraId="5E2FFCB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3CB49E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1B96ECA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2B51955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危险特性</w:t>
            </w:r>
          </w:p>
        </w:tc>
        <w:tc>
          <w:tcPr>
            <w:tcW w:w="3828" w:type="pct"/>
            <w:gridSpan w:val="11"/>
            <w:tcBorders>
              <w:tl2br w:val="nil"/>
              <w:tr2bl w:val="nil"/>
            </w:tcBorders>
            <w:vAlign w:val="center"/>
          </w:tcPr>
          <w:p w14:paraId="4DE4C16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遇明火、高热可燃。</w:t>
            </w:r>
          </w:p>
        </w:tc>
      </w:tr>
      <w:tr w14:paraId="700F99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4BA5038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559ABC1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灭火方法</w:t>
            </w:r>
          </w:p>
        </w:tc>
        <w:tc>
          <w:tcPr>
            <w:tcW w:w="3828" w:type="pct"/>
            <w:gridSpan w:val="11"/>
            <w:tcBorders>
              <w:tl2br w:val="nil"/>
              <w:tr2bl w:val="nil"/>
            </w:tcBorders>
            <w:vAlign w:val="center"/>
          </w:tcPr>
          <w:p w14:paraId="1274DF5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消防人员须佩戴防毒面具、穿全身消防服，在上风向灭火。尽可能将容器从火场移至空旷处。喷水保持火场容器冷却，直至灭火结束。处在火场中的容器若已变色或从安全泄压装置中产生声音，必须马上撤离。灭火剂：雾状水、泡沫、干粉、二氧化碳、砂土。</w:t>
            </w:r>
          </w:p>
        </w:tc>
      </w:tr>
      <w:tr w14:paraId="0A34F9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11777E0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0966406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禁忌物</w:t>
            </w:r>
          </w:p>
        </w:tc>
        <w:tc>
          <w:tcPr>
            <w:tcW w:w="2569" w:type="pct"/>
            <w:gridSpan w:val="7"/>
            <w:tcBorders>
              <w:tl2br w:val="nil"/>
              <w:tr2bl w:val="nil"/>
            </w:tcBorders>
            <w:vAlign w:val="center"/>
          </w:tcPr>
          <w:p w14:paraId="355263C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c>
          <w:tcPr>
            <w:tcW w:w="685" w:type="pct"/>
            <w:gridSpan w:val="2"/>
            <w:tcBorders>
              <w:tl2br w:val="nil"/>
              <w:tr2bl w:val="nil"/>
            </w:tcBorders>
            <w:vAlign w:val="center"/>
          </w:tcPr>
          <w:p w14:paraId="2D3D290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稳定性</w:t>
            </w:r>
          </w:p>
        </w:tc>
        <w:tc>
          <w:tcPr>
            <w:tcW w:w="573" w:type="pct"/>
            <w:gridSpan w:val="2"/>
            <w:tcBorders>
              <w:tl2br w:val="nil"/>
              <w:tr2bl w:val="nil"/>
            </w:tcBorders>
            <w:vAlign w:val="center"/>
          </w:tcPr>
          <w:p w14:paraId="2AFB9EBF">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稳定</w:t>
            </w:r>
          </w:p>
        </w:tc>
      </w:tr>
      <w:tr w14:paraId="026916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28A1C86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tcBorders>
              <w:tl2br w:val="nil"/>
              <w:tr2bl w:val="nil"/>
            </w:tcBorders>
            <w:vAlign w:val="center"/>
          </w:tcPr>
          <w:p w14:paraId="12C8A394">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燃烧产物</w:t>
            </w:r>
          </w:p>
        </w:tc>
        <w:tc>
          <w:tcPr>
            <w:tcW w:w="2569" w:type="pct"/>
            <w:gridSpan w:val="7"/>
            <w:tcBorders>
              <w:tl2br w:val="nil"/>
              <w:tr2bl w:val="nil"/>
            </w:tcBorders>
            <w:vAlign w:val="center"/>
          </w:tcPr>
          <w:p w14:paraId="165D178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一氧化碳、二氧化碳</w:t>
            </w:r>
          </w:p>
        </w:tc>
        <w:tc>
          <w:tcPr>
            <w:tcW w:w="685" w:type="pct"/>
            <w:gridSpan w:val="2"/>
            <w:tcBorders>
              <w:tl2br w:val="nil"/>
              <w:tr2bl w:val="nil"/>
            </w:tcBorders>
            <w:vAlign w:val="center"/>
          </w:tcPr>
          <w:p w14:paraId="323F317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聚合危害</w:t>
            </w:r>
          </w:p>
        </w:tc>
        <w:tc>
          <w:tcPr>
            <w:tcW w:w="573" w:type="pct"/>
            <w:gridSpan w:val="2"/>
            <w:tcBorders>
              <w:tl2br w:val="nil"/>
              <w:tr2bl w:val="nil"/>
            </w:tcBorders>
            <w:vAlign w:val="center"/>
          </w:tcPr>
          <w:p w14:paraId="56C5F86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不聚合</w:t>
            </w:r>
          </w:p>
        </w:tc>
      </w:tr>
      <w:tr w14:paraId="3B4876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restart"/>
            <w:tcBorders>
              <w:tl2br w:val="nil"/>
              <w:tr2bl w:val="nil"/>
            </w:tcBorders>
            <w:vAlign w:val="center"/>
          </w:tcPr>
          <w:p w14:paraId="60A8BBD8">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毒性及健康危害</w:t>
            </w:r>
          </w:p>
        </w:tc>
        <w:tc>
          <w:tcPr>
            <w:tcW w:w="762" w:type="pct"/>
            <w:gridSpan w:val="2"/>
            <w:tcBorders>
              <w:tl2br w:val="nil"/>
              <w:tr2bl w:val="nil"/>
            </w:tcBorders>
            <w:vAlign w:val="center"/>
          </w:tcPr>
          <w:p w14:paraId="4BC978A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急性毒性</w:t>
            </w:r>
          </w:p>
        </w:tc>
        <w:tc>
          <w:tcPr>
            <w:tcW w:w="1540" w:type="pct"/>
            <w:gridSpan w:val="4"/>
            <w:tcBorders>
              <w:tl2br w:val="nil"/>
              <w:tr2bl w:val="nil"/>
            </w:tcBorders>
            <w:vAlign w:val="center"/>
          </w:tcPr>
          <w:p w14:paraId="44B5575B">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LD50（mg/kg，大鼠经口）</w:t>
            </w:r>
          </w:p>
        </w:tc>
        <w:tc>
          <w:tcPr>
            <w:tcW w:w="563" w:type="pct"/>
            <w:tcBorders>
              <w:tl2br w:val="nil"/>
              <w:tr2bl w:val="nil"/>
            </w:tcBorders>
            <w:vAlign w:val="center"/>
          </w:tcPr>
          <w:p w14:paraId="6CE3FDD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无资料</w:t>
            </w:r>
          </w:p>
        </w:tc>
        <w:tc>
          <w:tcPr>
            <w:tcW w:w="1151" w:type="pct"/>
            <w:gridSpan w:val="4"/>
            <w:tcBorders>
              <w:tl2br w:val="nil"/>
              <w:tr2bl w:val="nil"/>
            </w:tcBorders>
            <w:vAlign w:val="center"/>
          </w:tcPr>
          <w:p w14:paraId="1F837A8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LC50（mg/kg）</w:t>
            </w:r>
          </w:p>
        </w:tc>
        <w:tc>
          <w:tcPr>
            <w:tcW w:w="573" w:type="pct"/>
            <w:gridSpan w:val="2"/>
            <w:tcBorders>
              <w:tl2br w:val="nil"/>
              <w:tr2bl w:val="nil"/>
            </w:tcBorders>
            <w:vAlign w:val="center"/>
          </w:tcPr>
          <w:p w14:paraId="785941A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无资料</w:t>
            </w:r>
          </w:p>
        </w:tc>
      </w:tr>
      <w:tr w14:paraId="27916E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65B7152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vMerge w:val="restart"/>
            <w:tcBorders>
              <w:tl2br w:val="nil"/>
              <w:tr2bl w:val="nil"/>
            </w:tcBorders>
            <w:vAlign w:val="center"/>
          </w:tcPr>
          <w:p w14:paraId="541C25E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健康危害</w:t>
            </w:r>
          </w:p>
        </w:tc>
        <w:tc>
          <w:tcPr>
            <w:tcW w:w="2103" w:type="pct"/>
            <w:gridSpan w:val="5"/>
            <w:tcBorders>
              <w:tl2br w:val="nil"/>
              <w:tr2bl w:val="nil"/>
            </w:tcBorders>
            <w:vAlign w:val="center"/>
          </w:tcPr>
          <w:p w14:paraId="559F5BD3">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车间卫生标准</w:t>
            </w:r>
          </w:p>
        </w:tc>
        <w:tc>
          <w:tcPr>
            <w:tcW w:w="1725" w:type="pct"/>
            <w:gridSpan w:val="6"/>
            <w:tcBorders>
              <w:tl2br w:val="nil"/>
              <w:tr2bl w:val="nil"/>
            </w:tcBorders>
            <w:vAlign w:val="center"/>
          </w:tcPr>
          <w:p w14:paraId="457488A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val="en-US" w:eastAsia="zh-CN"/>
              </w:rPr>
            </w:pPr>
            <w:r>
              <w:rPr>
                <w:rFonts w:hint="default" w:ascii="Times New Roman" w:hAnsi="Times New Roman" w:eastAsia="宋体" w:cs="Times New Roman"/>
                <w:snapToGrid/>
                <w:color w:val="auto"/>
                <w:spacing w:val="0"/>
                <w:w w:val="100"/>
                <w:kern w:val="2"/>
                <w:position w:val="0"/>
                <w:sz w:val="21"/>
                <w:szCs w:val="21"/>
                <w:lang w:val="en-US" w:eastAsia="zh-CN"/>
              </w:rPr>
              <w:t>-</w:t>
            </w:r>
          </w:p>
        </w:tc>
      </w:tr>
      <w:tr w14:paraId="44CBA2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vMerge w:val="continue"/>
            <w:tcBorders>
              <w:tl2br w:val="nil"/>
              <w:tr2bl w:val="nil"/>
            </w:tcBorders>
            <w:vAlign w:val="center"/>
          </w:tcPr>
          <w:p w14:paraId="0F02D72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762" w:type="pct"/>
            <w:gridSpan w:val="2"/>
            <w:vMerge w:val="continue"/>
            <w:tcBorders>
              <w:tl2br w:val="nil"/>
              <w:tr2bl w:val="nil"/>
            </w:tcBorders>
            <w:vAlign w:val="center"/>
          </w:tcPr>
          <w:p w14:paraId="679F0DC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p>
        </w:tc>
        <w:tc>
          <w:tcPr>
            <w:tcW w:w="3828" w:type="pct"/>
            <w:gridSpan w:val="11"/>
            <w:tcBorders>
              <w:tl2br w:val="nil"/>
              <w:tr2bl w:val="nil"/>
            </w:tcBorders>
            <w:vAlign w:val="center"/>
          </w:tcPr>
          <w:p w14:paraId="6775B4B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侵入途径：吸如、食入；</w:t>
            </w:r>
          </w:p>
          <w:p w14:paraId="48DA9DE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急性吸入，可出现乏力、头晕、头痛、恶心，严重者可引起油脂性肺炎。慢接触者，暴露部位可发生油性痤疮和接触性皮炎。可引起神经衰弱综合征，呼吸道和眼</w:t>
            </w:r>
            <w:r>
              <w:rPr>
                <w:rFonts w:hint="eastAsia" w:ascii="Times New Roman" w:hAnsi="Times New Roman" w:cs="Times New Roman"/>
                <w:snapToGrid/>
                <w:color w:val="auto"/>
                <w:spacing w:val="0"/>
                <w:w w:val="100"/>
                <w:kern w:val="2"/>
                <w:position w:val="0"/>
                <w:sz w:val="21"/>
                <w:szCs w:val="21"/>
                <w:lang w:eastAsia="zh-CN"/>
              </w:rPr>
              <w:t>刺激征</w:t>
            </w:r>
            <w:r>
              <w:rPr>
                <w:rFonts w:hint="default" w:ascii="Times New Roman" w:hAnsi="Times New Roman" w:eastAsia="宋体" w:cs="Times New Roman"/>
                <w:snapToGrid/>
                <w:color w:val="auto"/>
                <w:spacing w:val="0"/>
                <w:w w:val="100"/>
                <w:kern w:val="2"/>
                <w:position w:val="0"/>
                <w:sz w:val="21"/>
                <w:szCs w:val="21"/>
                <w:lang w:eastAsia="zh-CN"/>
              </w:rPr>
              <w:t>状及慢性油脂性肺炎。有资料报道，接触石油润滑油类的工人，有致癌的病例报告。</w:t>
            </w:r>
          </w:p>
        </w:tc>
      </w:tr>
      <w:tr w14:paraId="75A74D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tcBorders>
              <w:tl2br w:val="nil"/>
              <w:tr2bl w:val="nil"/>
            </w:tcBorders>
            <w:vAlign w:val="center"/>
          </w:tcPr>
          <w:p w14:paraId="3EA599B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急救</w:t>
            </w:r>
          </w:p>
        </w:tc>
        <w:tc>
          <w:tcPr>
            <w:tcW w:w="4591" w:type="pct"/>
            <w:gridSpan w:val="13"/>
            <w:tcBorders>
              <w:tl2br w:val="nil"/>
              <w:tr2bl w:val="nil"/>
            </w:tcBorders>
            <w:vAlign w:val="center"/>
          </w:tcPr>
          <w:p w14:paraId="23DBDB0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皮肤接触：立即脱去被污染的衣着，用大量清水冲洗；眼睛接触：立即提起眼睑，用大量流动清水或生理盐水冲洗，就医；吸入：迅速脱离现场至空气新鲜处，保持呼吸道通畅，如呼吸困难，给输氧；如呼吸停止，立即进行人工呼吸，就医；食</w:t>
            </w:r>
          </w:p>
          <w:p w14:paraId="1A5D41C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入：饮足量温水，催吐，就医。</w:t>
            </w:r>
          </w:p>
        </w:tc>
      </w:tr>
      <w:tr w14:paraId="5BB3CE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tcBorders>
              <w:tl2br w:val="nil"/>
              <w:tr2bl w:val="nil"/>
            </w:tcBorders>
            <w:vAlign w:val="center"/>
          </w:tcPr>
          <w:p w14:paraId="1F632F9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防护</w:t>
            </w:r>
          </w:p>
        </w:tc>
        <w:tc>
          <w:tcPr>
            <w:tcW w:w="4591" w:type="pct"/>
            <w:gridSpan w:val="13"/>
            <w:tcBorders>
              <w:tl2br w:val="nil"/>
              <w:tr2bl w:val="nil"/>
            </w:tcBorders>
            <w:vAlign w:val="center"/>
          </w:tcPr>
          <w:p w14:paraId="1B4F9B6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工程控制：密闭操作，注意通风；呼吸系统防护：空气中浓度超标时，建议佩戴自吸过滤式防毒面具（半面罩）。紧急事态抢救或撤离时，应该佩戴空气呼吸器。眼</w:t>
            </w:r>
          </w:p>
          <w:p w14:paraId="4030E846">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睛防护：戴化学安全防护眼镜。</w:t>
            </w:r>
          </w:p>
          <w:p w14:paraId="2E5189C9">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身体防护：穿防毒物渗透工作服；手防护：戴橡胶耐油手套；其他：工作现场严禁吸烟。避免长期反复接触。</w:t>
            </w:r>
          </w:p>
        </w:tc>
      </w:tr>
      <w:tr w14:paraId="1E4346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408" w:type="pct"/>
            <w:tcBorders>
              <w:tl2br w:val="nil"/>
              <w:tr2bl w:val="nil"/>
            </w:tcBorders>
            <w:vAlign w:val="center"/>
          </w:tcPr>
          <w:p w14:paraId="0155E66C">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泄漏处理</w:t>
            </w:r>
          </w:p>
        </w:tc>
        <w:tc>
          <w:tcPr>
            <w:tcW w:w="4591" w:type="pct"/>
            <w:gridSpan w:val="13"/>
            <w:tcBorders>
              <w:tl2br w:val="nil"/>
              <w:tr2bl w:val="nil"/>
            </w:tcBorders>
            <w:vAlign w:val="center"/>
          </w:tcPr>
          <w:p w14:paraId="73A2478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迅速撤离泄漏污染区人员至安全区，并进行隔离，严格限制出入。切断火源。建议应急处理人员戴自给正压式呼吸器，穿防毒服。尽可能切断泄漏源。防止流入下水道、排洪沟等限制性空间。</w:t>
            </w:r>
          </w:p>
          <w:p w14:paraId="6C35D5A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小量泄漏：用砂土或</w:t>
            </w:r>
            <w:r>
              <w:rPr>
                <w:rFonts w:hint="default" w:ascii="Times New Roman" w:hAnsi="Times New Roman" w:cs="Times New Roman"/>
                <w:snapToGrid/>
                <w:color w:val="auto"/>
                <w:spacing w:val="0"/>
                <w:w w:val="100"/>
                <w:kern w:val="2"/>
                <w:position w:val="0"/>
                <w:sz w:val="21"/>
                <w:szCs w:val="21"/>
                <w:lang w:eastAsia="zh-CN"/>
              </w:rPr>
              <w:t>其他</w:t>
            </w:r>
            <w:r>
              <w:rPr>
                <w:rFonts w:hint="default" w:ascii="Times New Roman" w:hAnsi="Times New Roman" w:eastAsia="宋体" w:cs="Times New Roman"/>
                <w:snapToGrid/>
                <w:color w:val="auto"/>
                <w:spacing w:val="0"/>
                <w:w w:val="100"/>
                <w:kern w:val="2"/>
                <w:position w:val="0"/>
                <w:sz w:val="21"/>
                <w:szCs w:val="21"/>
                <w:lang w:eastAsia="zh-CN"/>
              </w:rPr>
              <w:t>不燃材料吸附或吸收。</w:t>
            </w:r>
          </w:p>
          <w:p w14:paraId="154340E0">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snapToGrid/>
                <w:color w:val="auto"/>
                <w:spacing w:val="0"/>
                <w:w w:val="100"/>
                <w:kern w:val="2"/>
                <w:position w:val="0"/>
                <w:sz w:val="21"/>
                <w:szCs w:val="21"/>
                <w:lang w:eastAsia="zh-CN"/>
              </w:rPr>
            </w:pPr>
            <w:r>
              <w:rPr>
                <w:rFonts w:hint="default" w:ascii="Times New Roman" w:hAnsi="Times New Roman" w:eastAsia="宋体" w:cs="Times New Roman"/>
                <w:snapToGrid/>
                <w:color w:val="auto"/>
                <w:spacing w:val="0"/>
                <w:w w:val="100"/>
                <w:kern w:val="2"/>
                <w:position w:val="0"/>
                <w:sz w:val="21"/>
                <w:szCs w:val="21"/>
                <w:lang w:eastAsia="zh-CN"/>
              </w:rPr>
              <w:t>大量泄漏：构筑围堤或挖坑收容。用泵转移至槽车或专用收集器内，回收或运至废物处理场所处置。</w:t>
            </w:r>
          </w:p>
        </w:tc>
      </w:tr>
    </w:tbl>
    <w:p w14:paraId="4783DBF0">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（2）工艺系统危险性调查</w:t>
      </w:r>
    </w:p>
    <w:p w14:paraId="76A51E8E">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本项目为采矿工程，地下开采过程中不安全因素较多。各种风险事故多发生于井下，事故严重则会</w:t>
      </w:r>
      <w:r>
        <w:rPr>
          <w:rFonts w:hint="eastAsia" w:ascii="Times New Roman" w:hAnsi="Times New Roman" w:cs="Times New Roman"/>
          <w:color w:val="auto"/>
          <w:spacing w:val="0"/>
          <w:w w:val="100"/>
          <w:position w:val="0"/>
          <w:sz w:val="24"/>
          <w:highlight w:val="none"/>
          <w:lang w:val="en-US" w:eastAsia="zh-CN"/>
        </w:rPr>
        <w:t>波及</w:t>
      </w:r>
      <w:r>
        <w:rPr>
          <w:rFonts w:hint="default" w:ascii="Times New Roman" w:hAnsi="Times New Roman" w:eastAsia="宋体" w:cs="Times New Roman"/>
          <w:color w:val="auto"/>
          <w:spacing w:val="0"/>
          <w:w w:val="100"/>
          <w:position w:val="0"/>
          <w:sz w:val="24"/>
          <w:highlight w:val="none"/>
          <w:lang w:val="en-US" w:eastAsia="zh-CN"/>
        </w:rPr>
        <w:t>地面，铜矿采掘过程中潜在的风险主要有采掘工作面冒顶、矿井透水事故；地面环境风险事故主要为机油泄漏对地下水环境的影响，以及发生火灾、爆炸次生污染物对大气环境的影响等。</w:t>
      </w:r>
    </w:p>
    <w:p w14:paraId="6AF62CBA">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5.9.2.2环境敏感目标调查</w:t>
      </w:r>
    </w:p>
    <w:p w14:paraId="39B74A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项目区为中心5km范围内无常住人群居住，无文教环境敏感区、国家和地方级文物古迹、珍稀濒危动植物保护物种等，矿区附近无其他国家及省级确定的风景名胜区、历史遗迹等保护区。</w:t>
      </w:r>
    </w:p>
    <w:p w14:paraId="0F2C5701">
      <w:pPr>
        <w:pStyle w:val="4"/>
        <w:bidi w:val="0"/>
        <w:rPr>
          <w:rFonts w:hint="default" w:ascii="Times New Roman" w:hAnsi="Times New Roman" w:cs="Times New Roman"/>
          <w:color w:val="auto"/>
          <w:lang w:val="en-US" w:eastAsia="zh-CN"/>
        </w:rPr>
      </w:pPr>
      <w:bookmarkStart w:id="653" w:name="_Toc9124"/>
      <w:bookmarkStart w:id="654" w:name="_Toc30774"/>
      <w:bookmarkStart w:id="655" w:name="_Toc6143"/>
      <w:r>
        <w:rPr>
          <w:rFonts w:hint="default" w:ascii="Times New Roman" w:hAnsi="Times New Roman" w:cs="Times New Roman"/>
          <w:color w:val="auto"/>
          <w:lang w:val="en-US" w:eastAsia="zh-CN"/>
        </w:rPr>
        <w:t>环境风险潜势初判</w:t>
      </w:r>
      <w:bookmarkEnd w:id="653"/>
      <w:bookmarkEnd w:id="654"/>
      <w:bookmarkEnd w:id="655"/>
    </w:p>
    <w:p w14:paraId="6CC8A59E">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56" w:name="_Toc16979"/>
      <w:r>
        <w:rPr>
          <w:rFonts w:hint="default" w:ascii="Times New Roman" w:hAnsi="Times New Roman" w:eastAsia="宋体" w:cs="Times New Roman"/>
          <w:b/>
          <w:bCs w:val="0"/>
          <w:color w:val="auto"/>
          <w:spacing w:val="0"/>
          <w:w w:val="100"/>
          <w:kern w:val="0"/>
          <w:position w:val="0"/>
          <w:sz w:val="24"/>
          <w:szCs w:val="24"/>
          <w:highlight w:val="none"/>
          <w:lang w:val="en-US" w:eastAsia="zh-CN"/>
        </w:rPr>
        <w:t>5.9.3.1环境风险潜势划分</w:t>
      </w:r>
      <w:bookmarkEnd w:id="656"/>
    </w:p>
    <w:p w14:paraId="6487B6CE">
      <w:pPr>
        <w:pStyle w:val="61"/>
        <w:keepNext w:val="0"/>
        <w:keepLines w:val="0"/>
        <w:pageBreakBefore w:val="0"/>
        <w:widowControl w:val="0"/>
        <w:kinsoku/>
        <w:wordWrap/>
        <w:overflowPunct/>
        <w:topLinePunct w:val="0"/>
        <w:autoSpaceDE/>
        <w:autoSpaceDN/>
        <w:bidi w:val="0"/>
        <w:adjustRightInd/>
        <w:snapToGrid/>
        <w:spacing w:before="0" w:line="480" w:lineRule="exact"/>
        <w:ind w:firstLine="480" w:firstLineChars="20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建设项目环境风险潜势划分为Ⅰ、Ⅱ、Ⅲ、Ⅳ/Ⅳ</w:t>
      </w:r>
      <w:r>
        <w:rPr>
          <w:rFonts w:hint="default" w:ascii="Times New Roman" w:hAnsi="Times New Roman" w:eastAsia="宋体" w:cs="Times New Roman"/>
          <w:color w:val="auto"/>
          <w:spacing w:val="0"/>
          <w:w w:val="100"/>
          <w:position w:val="0"/>
          <w:vertAlign w:val="superscript"/>
        </w:rPr>
        <w:t>+</w:t>
      </w:r>
      <w:r>
        <w:rPr>
          <w:rFonts w:hint="default" w:ascii="Times New Roman" w:hAnsi="Times New Roman" w:eastAsia="宋体" w:cs="Times New Roman"/>
          <w:color w:val="auto"/>
          <w:spacing w:val="0"/>
          <w:w w:val="100"/>
          <w:position w:val="0"/>
        </w:rPr>
        <w:t>级。</w:t>
      </w:r>
    </w:p>
    <w:p w14:paraId="2B9B7C87">
      <w:pPr>
        <w:pStyle w:val="61"/>
        <w:keepNext w:val="0"/>
        <w:keepLines w:val="0"/>
        <w:pageBreakBefore w:val="0"/>
        <w:widowControl w:val="0"/>
        <w:kinsoku/>
        <w:wordWrap/>
        <w:overflowPunct/>
        <w:topLinePunct w:val="0"/>
        <w:autoSpaceDE/>
        <w:autoSpaceDN/>
        <w:bidi w:val="0"/>
        <w:adjustRightInd/>
        <w:snapToGrid/>
        <w:spacing w:before="0" w:line="480" w:lineRule="exact"/>
        <w:ind w:firstLine="480" w:firstLineChars="20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根据建设项目所涉及的物质和工艺系统的危险性及其所在地的环境敏感程度，结合事故情形下环境影响途径，对建设项目潜在环境危害程度进行概化分析，环境风险潜势划分详见表</w:t>
      </w:r>
      <w:r>
        <w:rPr>
          <w:rFonts w:hint="default" w:ascii="Times New Roman" w:hAnsi="Times New Roman" w:eastAsia="宋体" w:cs="Times New Roman"/>
          <w:color w:val="auto"/>
          <w:spacing w:val="0"/>
          <w:w w:val="100"/>
          <w:position w:val="0"/>
          <w:lang w:eastAsia="zh-CN"/>
        </w:rPr>
        <w:t>5.</w:t>
      </w:r>
      <w:r>
        <w:rPr>
          <w:rFonts w:hint="default" w:ascii="Times New Roman" w:hAnsi="Times New Roman" w:eastAsia="宋体" w:cs="Times New Roman"/>
          <w:color w:val="auto"/>
          <w:spacing w:val="0"/>
          <w:w w:val="100"/>
          <w:position w:val="0"/>
          <w:lang w:val="en-US" w:eastAsia="zh-CN"/>
        </w:rPr>
        <w:t>9</w:t>
      </w: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2</w:t>
      </w:r>
      <w:r>
        <w:rPr>
          <w:rFonts w:hint="default" w:ascii="Times New Roman" w:hAnsi="Times New Roman" w:eastAsia="宋体" w:cs="Times New Roman"/>
          <w:color w:val="auto"/>
          <w:spacing w:val="0"/>
          <w:w w:val="100"/>
          <w:position w:val="0"/>
        </w:rPr>
        <w:t>。</w:t>
      </w:r>
    </w:p>
    <w:p w14:paraId="482A5DAA">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p>
    <w:p w14:paraId="67371F3B">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p>
    <w:p w14:paraId="7FE1FB70">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p>
    <w:p w14:paraId="0496BA80">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表5.9-2    建设项目环境风险潜势划分一览表</w:t>
      </w:r>
    </w:p>
    <w:tbl>
      <w:tblPr>
        <w:tblStyle w:val="21"/>
        <w:tblW w:w="851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72"/>
        <w:gridCol w:w="1584"/>
        <w:gridCol w:w="1584"/>
        <w:gridCol w:w="1580"/>
        <w:gridCol w:w="1594"/>
      </w:tblGrid>
      <w:tr w14:paraId="6CFD22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vMerge w:val="restart"/>
            <w:tcBorders>
              <w:tl2br w:val="nil"/>
              <w:tr2bl w:val="nil"/>
            </w:tcBorders>
            <w:vAlign w:val="center"/>
          </w:tcPr>
          <w:p w14:paraId="339CAF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环境敏感程度（E）</w:t>
            </w:r>
          </w:p>
        </w:tc>
        <w:tc>
          <w:tcPr>
            <w:tcW w:w="6342" w:type="dxa"/>
            <w:gridSpan w:val="4"/>
            <w:tcBorders>
              <w:tl2br w:val="nil"/>
              <w:tr2bl w:val="nil"/>
            </w:tcBorders>
            <w:vAlign w:val="center"/>
          </w:tcPr>
          <w:p w14:paraId="67BD87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危险物质及工艺系统危险性（P）</w:t>
            </w:r>
          </w:p>
        </w:tc>
      </w:tr>
      <w:tr w14:paraId="723D2E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vMerge w:val="continue"/>
            <w:tcBorders>
              <w:tl2br w:val="nil"/>
              <w:tr2bl w:val="nil"/>
            </w:tcBorders>
            <w:vAlign w:val="center"/>
          </w:tcPr>
          <w:p w14:paraId="2A20AA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p>
        </w:tc>
        <w:tc>
          <w:tcPr>
            <w:tcW w:w="1584" w:type="dxa"/>
            <w:tcBorders>
              <w:tl2br w:val="nil"/>
              <w:tr2bl w:val="nil"/>
            </w:tcBorders>
            <w:vAlign w:val="center"/>
          </w:tcPr>
          <w:p w14:paraId="3450DB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极高危害（P1）</w:t>
            </w:r>
          </w:p>
        </w:tc>
        <w:tc>
          <w:tcPr>
            <w:tcW w:w="1584" w:type="dxa"/>
            <w:tcBorders>
              <w:tl2br w:val="nil"/>
              <w:tr2bl w:val="nil"/>
            </w:tcBorders>
            <w:vAlign w:val="center"/>
          </w:tcPr>
          <w:p w14:paraId="63C361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高度危害（P2）</w:t>
            </w:r>
          </w:p>
        </w:tc>
        <w:tc>
          <w:tcPr>
            <w:tcW w:w="1580" w:type="dxa"/>
            <w:tcBorders>
              <w:tl2br w:val="nil"/>
              <w:tr2bl w:val="nil"/>
            </w:tcBorders>
            <w:vAlign w:val="center"/>
          </w:tcPr>
          <w:p w14:paraId="6835E4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中度危害（P3）</w:t>
            </w:r>
          </w:p>
        </w:tc>
        <w:tc>
          <w:tcPr>
            <w:tcW w:w="1594" w:type="dxa"/>
            <w:tcBorders>
              <w:tl2br w:val="nil"/>
              <w:tr2bl w:val="nil"/>
            </w:tcBorders>
            <w:vAlign w:val="center"/>
          </w:tcPr>
          <w:p w14:paraId="38FE60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轻度危害（P4）</w:t>
            </w:r>
          </w:p>
        </w:tc>
      </w:tr>
      <w:tr w14:paraId="16F62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tcBorders>
              <w:tl2br w:val="nil"/>
              <w:tr2bl w:val="nil"/>
            </w:tcBorders>
            <w:vAlign w:val="center"/>
          </w:tcPr>
          <w:p w14:paraId="0D8998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环境高度敏感区（E1）</w:t>
            </w:r>
          </w:p>
        </w:tc>
        <w:tc>
          <w:tcPr>
            <w:tcW w:w="1584" w:type="dxa"/>
            <w:tcBorders>
              <w:tl2br w:val="nil"/>
              <w:tr2bl w:val="nil"/>
            </w:tcBorders>
            <w:vAlign w:val="center"/>
          </w:tcPr>
          <w:p w14:paraId="50C359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Ⅳ</w:t>
            </w:r>
            <w:r>
              <w:rPr>
                <w:rFonts w:hint="default" w:ascii="Times New Roman" w:hAnsi="Times New Roman" w:eastAsia="宋体" w:cs="Times New Roman"/>
                <w:bCs/>
                <w:color w:val="auto"/>
                <w:spacing w:val="0"/>
                <w:w w:val="100"/>
                <w:position w:val="0"/>
                <w:sz w:val="21"/>
                <w:szCs w:val="21"/>
                <w:vertAlign w:val="superscript"/>
              </w:rPr>
              <w:t>+</w:t>
            </w:r>
          </w:p>
        </w:tc>
        <w:tc>
          <w:tcPr>
            <w:tcW w:w="1584" w:type="dxa"/>
            <w:tcBorders>
              <w:tl2br w:val="nil"/>
              <w:tr2bl w:val="nil"/>
            </w:tcBorders>
            <w:vAlign w:val="center"/>
          </w:tcPr>
          <w:p w14:paraId="2EECEF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Ⅳ</w:t>
            </w:r>
          </w:p>
        </w:tc>
        <w:tc>
          <w:tcPr>
            <w:tcW w:w="1580" w:type="dxa"/>
            <w:tcBorders>
              <w:tl2br w:val="nil"/>
              <w:tr2bl w:val="nil"/>
            </w:tcBorders>
            <w:vAlign w:val="center"/>
          </w:tcPr>
          <w:p w14:paraId="3C6A53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c>
          <w:tcPr>
            <w:tcW w:w="1594" w:type="dxa"/>
            <w:tcBorders>
              <w:tl2br w:val="nil"/>
              <w:tr2bl w:val="nil"/>
            </w:tcBorders>
            <w:vAlign w:val="center"/>
          </w:tcPr>
          <w:p w14:paraId="1D089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r>
      <w:tr w14:paraId="4628F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tcBorders>
              <w:tl2br w:val="nil"/>
              <w:tr2bl w:val="nil"/>
            </w:tcBorders>
            <w:vAlign w:val="center"/>
          </w:tcPr>
          <w:p w14:paraId="7D4D99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环境中度敏感区（E2）</w:t>
            </w:r>
          </w:p>
        </w:tc>
        <w:tc>
          <w:tcPr>
            <w:tcW w:w="1584" w:type="dxa"/>
            <w:tcBorders>
              <w:tl2br w:val="nil"/>
              <w:tr2bl w:val="nil"/>
            </w:tcBorders>
            <w:vAlign w:val="center"/>
          </w:tcPr>
          <w:p w14:paraId="1B1730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Ⅳ</w:t>
            </w:r>
          </w:p>
        </w:tc>
        <w:tc>
          <w:tcPr>
            <w:tcW w:w="1584" w:type="dxa"/>
            <w:tcBorders>
              <w:tl2br w:val="nil"/>
              <w:tr2bl w:val="nil"/>
            </w:tcBorders>
            <w:vAlign w:val="center"/>
          </w:tcPr>
          <w:p w14:paraId="0D15E3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c>
          <w:tcPr>
            <w:tcW w:w="1580" w:type="dxa"/>
            <w:tcBorders>
              <w:tl2br w:val="nil"/>
              <w:tr2bl w:val="nil"/>
            </w:tcBorders>
            <w:vAlign w:val="center"/>
          </w:tcPr>
          <w:p w14:paraId="48C69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c>
          <w:tcPr>
            <w:tcW w:w="1594" w:type="dxa"/>
            <w:tcBorders>
              <w:tl2br w:val="nil"/>
              <w:tr2bl w:val="nil"/>
            </w:tcBorders>
            <w:vAlign w:val="center"/>
          </w:tcPr>
          <w:p w14:paraId="26B836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Ⅱ</w:t>
            </w:r>
          </w:p>
        </w:tc>
      </w:tr>
      <w:tr w14:paraId="440EB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2" w:type="dxa"/>
            <w:tcBorders>
              <w:tl2br w:val="nil"/>
              <w:tr2bl w:val="nil"/>
            </w:tcBorders>
            <w:vAlign w:val="center"/>
          </w:tcPr>
          <w:p w14:paraId="64C900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环境低度敏感区（E3）</w:t>
            </w:r>
          </w:p>
        </w:tc>
        <w:tc>
          <w:tcPr>
            <w:tcW w:w="1584" w:type="dxa"/>
            <w:tcBorders>
              <w:tl2br w:val="nil"/>
              <w:tr2bl w:val="nil"/>
            </w:tcBorders>
            <w:vAlign w:val="center"/>
          </w:tcPr>
          <w:p w14:paraId="48337D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c>
          <w:tcPr>
            <w:tcW w:w="1584" w:type="dxa"/>
            <w:tcBorders>
              <w:tl2br w:val="nil"/>
              <w:tr2bl w:val="nil"/>
            </w:tcBorders>
            <w:vAlign w:val="center"/>
          </w:tcPr>
          <w:p w14:paraId="76ACC3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Ⅲ</w:t>
            </w:r>
          </w:p>
        </w:tc>
        <w:tc>
          <w:tcPr>
            <w:tcW w:w="1580" w:type="dxa"/>
            <w:tcBorders>
              <w:tl2br w:val="nil"/>
              <w:tr2bl w:val="nil"/>
            </w:tcBorders>
            <w:vAlign w:val="center"/>
          </w:tcPr>
          <w:p w14:paraId="221F5D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Ⅱ</w:t>
            </w:r>
          </w:p>
        </w:tc>
        <w:tc>
          <w:tcPr>
            <w:tcW w:w="1594" w:type="dxa"/>
            <w:tcBorders>
              <w:tl2br w:val="nil"/>
              <w:tr2bl w:val="nil"/>
            </w:tcBorders>
            <w:vAlign w:val="center"/>
          </w:tcPr>
          <w:p w14:paraId="08750A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Ⅰ</w:t>
            </w:r>
          </w:p>
        </w:tc>
      </w:tr>
      <w:tr w14:paraId="79EC0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4" w:type="dxa"/>
            <w:gridSpan w:val="5"/>
            <w:tcBorders>
              <w:tl2br w:val="nil"/>
              <w:tr2bl w:val="nil"/>
            </w:tcBorders>
            <w:vAlign w:val="center"/>
          </w:tcPr>
          <w:p w14:paraId="0D140A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bCs/>
                <w:color w:val="auto"/>
                <w:spacing w:val="0"/>
                <w:w w:val="100"/>
                <w:position w:val="0"/>
                <w:sz w:val="21"/>
                <w:szCs w:val="21"/>
              </w:rPr>
            </w:pPr>
            <w:r>
              <w:rPr>
                <w:rFonts w:hint="default" w:ascii="Times New Roman" w:hAnsi="Times New Roman" w:eastAsia="宋体" w:cs="Times New Roman"/>
                <w:bCs/>
                <w:color w:val="auto"/>
                <w:spacing w:val="0"/>
                <w:w w:val="100"/>
                <w:position w:val="0"/>
                <w:sz w:val="21"/>
                <w:szCs w:val="21"/>
              </w:rPr>
              <w:t>注：Ⅳ</w:t>
            </w:r>
            <w:r>
              <w:rPr>
                <w:rFonts w:hint="default" w:ascii="Times New Roman" w:hAnsi="Times New Roman" w:eastAsia="宋体" w:cs="Times New Roman"/>
                <w:bCs/>
                <w:color w:val="auto"/>
                <w:spacing w:val="0"/>
                <w:w w:val="100"/>
                <w:position w:val="0"/>
                <w:sz w:val="21"/>
                <w:szCs w:val="21"/>
                <w:vertAlign w:val="superscript"/>
              </w:rPr>
              <w:t>+</w:t>
            </w:r>
            <w:r>
              <w:rPr>
                <w:rFonts w:hint="default" w:ascii="Times New Roman" w:hAnsi="Times New Roman" w:eastAsia="宋体" w:cs="Times New Roman"/>
                <w:bCs/>
                <w:color w:val="auto"/>
                <w:spacing w:val="0"/>
                <w:w w:val="100"/>
                <w:position w:val="0"/>
                <w:sz w:val="21"/>
                <w:szCs w:val="21"/>
              </w:rPr>
              <w:t>为极高环境风险</w:t>
            </w:r>
          </w:p>
        </w:tc>
      </w:tr>
    </w:tbl>
    <w:p w14:paraId="263F7787">
      <w:pPr>
        <w:pStyle w:val="60"/>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根据《建设项目环境风险评价技术导则》</w:t>
      </w:r>
      <w:bookmarkStart w:id="657" w:name="OLE_LINK43"/>
      <w:r>
        <w:rPr>
          <w:rFonts w:hint="default" w:ascii="Times New Roman" w:hAnsi="Times New Roman" w:eastAsia="宋体" w:cs="Times New Roman"/>
          <w:color w:val="auto"/>
          <w:spacing w:val="0"/>
          <w:w w:val="100"/>
          <w:position w:val="0"/>
        </w:rPr>
        <w:t>（HJ169-2018）</w:t>
      </w:r>
      <w:bookmarkEnd w:id="657"/>
      <w:r>
        <w:rPr>
          <w:rFonts w:hint="default" w:ascii="Times New Roman" w:hAnsi="Times New Roman" w:eastAsia="宋体" w:cs="Times New Roman"/>
          <w:color w:val="auto"/>
          <w:spacing w:val="0"/>
          <w:w w:val="100"/>
          <w:position w:val="0"/>
        </w:rPr>
        <w:t>附录B确定危险物质的临界量。按照附录C定量分析危险物质数量与临界量的比值（</w:t>
      </w:r>
      <w:r>
        <w:rPr>
          <w:rFonts w:hint="default" w:ascii="Times New Roman" w:hAnsi="Times New Roman" w:eastAsia="宋体" w:cs="Times New Roman"/>
          <w:i/>
          <w:color w:val="auto"/>
          <w:spacing w:val="0"/>
          <w:w w:val="100"/>
          <w:position w:val="0"/>
        </w:rPr>
        <w:t>Q</w:t>
      </w:r>
      <w:r>
        <w:rPr>
          <w:rFonts w:hint="default" w:ascii="Times New Roman" w:hAnsi="Times New Roman" w:eastAsia="宋体" w:cs="Times New Roman"/>
          <w:color w:val="auto"/>
          <w:spacing w:val="0"/>
          <w:w w:val="100"/>
          <w:position w:val="0"/>
        </w:rPr>
        <w:t>）和所属行业及生产工艺特点（M）对危险物质及工艺系统危险性（P）等级进行判断。</w:t>
      </w:r>
    </w:p>
    <w:p w14:paraId="40A8F11A">
      <w:pPr>
        <w:pStyle w:val="60"/>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危险物质数量与临界量比值（</w:t>
      </w:r>
      <w:r>
        <w:rPr>
          <w:rFonts w:hint="default" w:ascii="Times New Roman" w:hAnsi="Times New Roman" w:eastAsia="宋体" w:cs="Times New Roman"/>
          <w:i/>
          <w:color w:val="auto"/>
          <w:spacing w:val="0"/>
          <w:w w:val="100"/>
          <w:position w:val="0"/>
        </w:rPr>
        <w:t>Q</w:t>
      </w:r>
      <w:r>
        <w:rPr>
          <w:rFonts w:hint="default" w:ascii="Times New Roman" w:hAnsi="Times New Roman" w:eastAsia="宋体" w:cs="Times New Roman"/>
          <w:color w:val="auto"/>
          <w:spacing w:val="0"/>
          <w:w w:val="100"/>
          <w:position w:val="0"/>
        </w:rPr>
        <w:t>）</w:t>
      </w:r>
    </w:p>
    <w:p w14:paraId="0C7D4398">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rPr>
        <w:t>计算所涉及的每种危险物质在厂界内最大存在量与附录B中临界量的比值Q具体计算方法如下</w:t>
      </w:r>
      <w:r>
        <w:rPr>
          <w:rFonts w:hint="default" w:ascii="Times New Roman" w:hAnsi="Times New Roman" w:eastAsia="宋体" w:cs="Times New Roman"/>
          <w:color w:val="auto"/>
          <w:spacing w:val="0"/>
          <w:w w:val="100"/>
          <w:position w:val="0"/>
          <w:sz w:val="24"/>
          <w:lang w:eastAsia="zh-CN"/>
        </w:rPr>
        <w:t>：</w:t>
      </w:r>
    </w:p>
    <w:p w14:paraId="6ED1732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rPr>
      </w:pPr>
      <w:r>
        <w:rPr>
          <w:rFonts w:hint="default" w:ascii="Times New Roman" w:hAnsi="Times New Roman" w:eastAsia="宋体" w:cs="Times New Roman"/>
          <w:color w:val="auto"/>
          <w:spacing w:val="0"/>
          <w:w w:val="100"/>
          <w:position w:val="0"/>
          <w:sz w:val="24"/>
        </w:rPr>
        <w:t>当涉及一种危险物质时，计算该物质的总量与其临界量比值，即为Q；</w:t>
      </w:r>
    </w:p>
    <w:p w14:paraId="0E5491A6">
      <w:pPr>
        <w:pStyle w:val="60"/>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当存在多种危险物质时，则按如下式计算物质总量与其临界量比值Q：</w:t>
      </w:r>
    </w:p>
    <w:p w14:paraId="082CF776">
      <w:pPr>
        <w:pStyle w:val="60"/>
        <w:ind w:firstLine="0" w:firstLineChars="0"/>
        <w:jc w:val="center"/>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object>
          <v:shape id="_x0000_i1051" o:spt="75" type="#_x0000_t75" style="height:34pt;width:105pt;" o:ole="t" filled="f" o:preferrelative="t" stroked="f" coordsize="21600,21600">
            <v:path/>
            <v:fill on="f" alignshape="1" focussize="0,0"/>
            <v:stroke on="f"/>
            <v:imagedata r:id="rId120" o:title=""/>
            <o:lock v:ext="edit" aspectratio="t"/>
            <w10:wrap type="none"/>
            <w10:anchorlock/>
          </v:shape>
          <o:OLEObject Type="Embed" ProgID="Equation.KSEE3" ShapeID="_x0000_i1051" DrawAspect="Content" ObjectID="_1468075753" r:id="rId119">
            <o:LockedField>false</o:LockedField>
          </o:OLEObject>
        </w:object>
      </w:r>
    </w:p>
    <w:p w14:paraId="47C730A1">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式中：q</w:t>
      </w:r>
      <w:r>
        <w:rPr>
          <w:rFonts w:hint="default" w:ascii="Times New Roman" w:hAnsi="Times New Roman" w:eastAsia="宋体" w:cs="Times New Roman"/>
          <w:color w:val="auto"/>
          <w:spacing w:val="0"/>
          <w:w w:val="100"/>
          <w:position w:val="0"/>
          <w:vertAlign w:val="subscript"/>
        </w:rPr>
        <w:t>1</w:t>
      </w:r>
      <w:r>
        <w:rPr>
          <w:rFonts w:hint="default" w:ascii="Times New Roman" w:hAnsi="Times New Roman" w:eastAsia="宋体" w:cs="Times New Roman"/>
          <w:color w:val="auto"/>
          <w:spacing w:val="0"/>
          <w:w w:val="100"/>
          <w:position w:val="0"/>
        </w:rPr>
        <w:t>、q</w:t>
      </w:r>
      <w:r>
        <w:rPr>
          <w:rFonts w:hint="default" w:ascii="Times New Roman" w:hAnsi="Times New Roman" w:eastAsia="宋体" w:cs="Times New Roman"/>
          <w:color w:val="auto"/>
          <w:spacing w:val="0"/>
          <w:w w:val="100"/>
          <w:position w:val="0"/>
          <w:vertAlign w:val="subscript"/>
        </w:rPr>
        <w:t>2</w:t>
      </w:r>
      <w:r>
        <w:rPr>
          <w:rFonts w:hint="default" w:ascii="Times New Roman" w:hAnsi="Times New Roman" w:eastAsia="宋体" w:cs="Times New Roman"/>
          <w:color w:val="auto"/>
          <w:spacing w:val="0"/>
          <w:w w:val="100"/>
          <w:position w:val="0"/>
        </w:rPr>
        <w:t>···，q</w:t>
      </w:r>
      <w:r>
        <w:rPr>
          <w:rFonts w:hint="default" w:ascii="Times New Roman" w:hAnsi="Times New Roman" w:eastAsia="宋体" w:cs="Times New Roman"/>
          <w:color w:val="auto"/>
          <w:spacing w:val="0"/>
          <w:w w:val="100"/>
          <w:position w:val="0"/>
          <w:vertAlign w:val="subscript"/>
        </w:rPr>
        <w:t>n</w:t>
      </w:r>
      <w:r>
        <w:rPr>
          <w:rFonts w:hint="default" w:ascii="Times New Roman" w:hAnsi="Times New Roman" w:eastAsia="宋体" w:cs="Times New Roman"/>
          <w:color w:val="auto"/>
          <w:spacing w:val="0"/>
          <w:w w:val="100"/>
          <w:position w:val="0"/>
        </w:rPr>
        <w:t>为每种危险化学品实际存在量，t。</w:t>
      </w:r>
    </w:p>
    <w:p w14:paraId="5FB50DAD">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1200" w:firstLineChars="5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Q</w:t>
      </w:r>
      <w:r>
        <w:rPr>
          <w:rFonts w:hint="default" w:ascii="Times New Roman" w:hAnsi="Times New Roman" w:eastAsia="宋体" w:cs="Times New Roman"/>
          <w:color w:val="auto"/>
          <w:spacing w:val="0"/>
          <w:w w:val="100"/>
          <w:position w:val="0"/>
          <w:vertAlign w:val="subscript"/>
        </w:rPr>
        <w:t>1</w:t>
      </w:r>
      <w:r>
        <w:rPr>
          <w:rFonts w:hint="default" w:ascii="Times New Roman" w:hAnsi="Times New Roman" w:eastAsia="宋体" w:cs="Times New Roman"/>
          <w:color w:val="auto"/>
          <w:spacing w:val="0"/>
          <w:w w:val="100"/>
          <w:position w:val="0"/>
        </w:rPr>
        <w:t>、Q</w:t>
      </w:r>
      <w:r>
        <w:rPr>
          <w:rFonts w:hint="default" w:ascii="Times New Roman" w:hAnsi="Times New Roman" w:eastAsia="宋体" w:cs="Times New Roman"/>
          <w:color w:val="auto"/>
          <w:spacing w:val="0"/>
          <w:w w:val="100"/>
          <w:position w:val="0"/>
          <w:vertAlign w:val="subscript"/>
        </w:rPr>
        <w:t>2</w:t>
      </w:r>
      <w:r>
        <w:rPr>
          <w:rFonts w:hint="default" w:ascii="Times New Roman" w:hAnsi="Times New Roman" w:eastAsia="宋体" w:cs="Times New Roman"/>
          <w:color w:val="auto"/>
          <w:spacing w:val="0"/>
          <w:w w:val="100"/>
          <w:position w:val="0"/>
        </w:rPr>
        <w:t>···，Q</w:t>
      </w:r>
      <w:r>
        <w:rPr>
          <w:rFonts w:hint="default" w:ascii="Times New Roman" w:hAnsi="Times New Roman" w:eastAsia="宋体" w:cs="Times New Roman"/>
          <w:color w:val="auto"/>
          <w:spacing w:val="0"/>
          <w:w w:val="100"/>
          <w:position w:val="0"/>
          <w:vertAlign w:val="subscript"/>
        </w:rPr>
        <w:t>n</w:t>
      </w:r>
      <w:r>
        <w:rPr>
          <w:rFonts w:hint="default" w:ascii="Times New Roman" w:hAnsi="Times New Roman" w:eastAsia="宋体" w:cs="Times New Roman"/>
          <w:color w:val="auto"/>
          <w:spacing w:val="0"/>
          <w:w w:val="100"/>
          <w:position w:val="0"/>
        </w:rPr>
        <w:t>为与各危险化学品相对应的临界量，t。</w:t>
      </w:r>
    </w:p>
    <w:p w14:paraId="0786C71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1200" w:firstLineChars="5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当Q＜1时，该项目环境风险潜势为Ⅰ。</w:t>
      </w:r>
    </w:p>
    <w:p w14:paraId="7C3D71A5">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1200" w:firstLineChars="500"/>
        <w:jc w:val="both"/>
        <w:textAlignment w:val="auto"/>
        <w:outlineLvl w:val="9"/>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当Q≥1时，将Q值划分为：</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lang w:val="en-US" w:eastAsia="zh-CN"/>
        </w:rPr>
        <w:t>1</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1≤Q＜10；</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lang w:val="en-US" w:eastAsia="zh-CN"/>
        </w:rPr>
        <w:t>2</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10≤Q＜100；⑶Q≥100。</w:t>
      </w:r>
    </w:p>
    <w:p w14:paraId="2A91D2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rPr>
        <w:t>针对企业的生产原料、燃料、辅助生产物料等，对照《建设项目环境风险评价技术导则》（HJ169-2018）附录B环境风险物质，该项目危险物质数量与临界量比值情况具体见表</w:t>
      </w:r>
      <w:r>
        <w:rPr>
          <w:rFonts w:hint="default" w:ascii="Times New Roman" w:hAnsi="Times New Roman" w:eastAsia="宋体" w:cs="Times New Roman"/>
          <w:color w:val="auto"/>
          <w:spacing w:val="0"/>
          <w:w w:val="100"/>
          <w:position w:val="0"/>
          <w:sz w:val="24"/>
          <w:highlight w:val="none"/>
          <w:lang w:eastAsia="zh-CN"/>
        </w:rPr>
        <w:t>5.</w:t>
      </w:r>
      <w:r>
        <w:rPr>
          <w:rFonts w:hint="default" w:ascii="Times New Roman" w:hAnsi="Times New Roman" w:eastAsia="宋体" w:cs="Times New Roman"/>
          <w:color w:val="auto"/>
          <w:spacing w:val="0"/>
          <w:w w:val="100"/>
          <w:position w:val="0"/>
          <w:sz w:val="24"/>
          <w:highlight w:val="none"/>
          <w:lang w:val="en-US" w:eastAsia="zh-CN"/>
        </w:rPr>
        <w:t>9</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val="en-US" w:eastAsia="zh-CN"/>
        </w:rPr>
        <w:t>3</w:t>
      </w:r>
      <w:r>
        <w:rPr>
          <w:rFonts w:hint="default" w:ascii="Times New Roman" w:hAnsi="Times New Roman" w:eastAsia="宋体" w:cs="Times New Roman"/>
          <w:color w:val="auto"/>
          <w:spacing w:val="0"/>
          <w:w w:val="100"/>
          <w:position w:val="0"/>
          <w:sz w:val="24"/>
          <w:highlight w:val="none"/>
        </w:rPr>
        <w:t>。</w:t>
      </w:r>
    </w:p>
    <w:p w14:paraId="48A55A64">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表5.9-3    风险物质数量与临界量比值情况一览表</w:t>
      </w:r>
    </w:p>
    <w:tbl>
      <w:tblPr>
        <w:tblStyle w:val="31"/>
        <w:tblW w:w="503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89"/>
        <w:gridCol w:w="1333"/>
        <w:gridCol w:w="1421"/>
        <w:gridCol w:w="1678"/>
        <w:gridCol w:w="1136"/>
        <w:gridCol w:w="945"/>
        <w:gridCol w:w="1185"/>
      </w:tblGrid>
      <w:tr w14:paraId="2D5B52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11" w:type="pct"/>
            <w:tcBorders>
              <w:tl2br w:val="nil"/>
              <w:tr2bl w:val="nil"/>
            </w:tcBorders>
            <w:vAlign w:val="center"/>
          </w:tcPr>
          <w:p w14:paraId="33309751">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序号</w:t>
            </w:r>
          </w:p>
        </w:tc>
        <w:tc>
          <w:tcPr>
            <w:tcW w:w="1642" w:type="pct"/>
            <w:gridSpan w:val="2"/>
            <w:tcBorders>
              <w:tl2br w:val="nil"/>
              <w:tr2bl w:val="nil"/>
            </w:tcBorders>
            <w:vAlign w:val="center"/>
          </w:tcPr>
          <w:p w14:paraId="7F709C3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危险物质名称</w:t>
            </w:r>
          </w:p>
        </w:tc>
        <w:tc>
          <w:tcPr>
            <w:tcW w:w="1000" w:type="pct"/>
            <w:tcBorders>
              <w:tl2br w:val="nil"/>
              <w:tr2bl w:val="nil"/>
            </w:tcBorders>
            <w:vAlign w:val="center"/>
          </w:tcPr>
          <w:p w14:paraId="79CC8C7F">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CAS号</w:t>
            </w:r>
          </w:p>
        </w:tc>
        <w:tc>
          <w:tcPr>
            <w:tcW w:w="677" w:type="pct"/>
            <w:tcBorders>
              <w:tl2br w:val="nil"/>
              <w:tr2bl w:val="nil"/>
            </w:tcBorders>
            <w:vAlign w:val="center"/>
          </w:tcPr>
          <w:p w14:paraId="0279090E">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最大存在总量/t</w:t>
            </w:r>
          </w:p>
        </w:tc>
        <w:tc>
          <w:tcPr>
            <w:tcW w:w="560" w:type="pct"/>
            <w:tcBorders>
              <w:tl2br w:val="nil"/>
              <w:tr2bl w:val="nil"/>
            </w:tcBorders>
            <w:vAlign w:val="center"/>
          </w:tcPr>
          <w:p w14:paraId="5E7A1AB4">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临界量/t</w:t>
            </w:r>
          </w:p>
        </w:tc>
        <w:tc>
          <w:tcPr>
            <w:tcW w:w="706" w:type="pct"/>
            <w:tcBorders>
              <w:tl2br w:val="nil"/>
              <w:tr2bl w:val="nil"/>
            </w:tcBorders>
            <w:vAlign w:val="center"/>
          </w:tcPr>
          <w:p w14:paraId="6B9E1E1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该种危险物质Q值</w:t>
            </w:r>
          </w:p>
        </w:tc>
      </w:tr>
      <w:tr w14:paraId="34E280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411" w:type="pct"/>
            <w:tcBorders>
              <w:tl2br w:val="nil"/>
              <w:tr2bl w:val="nil"/>
            </w:tcBorders>
            <w:vAlign w:val="center"/>
          </w:tcPr>
          <w:p w14:paraId="2F0AADA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val="en-US" w:eastAsia="zh-CN"/>
              </w:rPr>
              <w:t>1</w:t>
            </w:r>
          </w:p>
        </w:tc>
        <w:tc>
          <w:tcPr>
            <w:tcW w:w="795" w:type="pct"/>
            <w:tcBorders>
              <w:tl2br w:val="nil"/>
              <w:tr2bl w:val="nil"/>
            </w:tcBorders>
            <w:vAlign w:val="center"/>
          </w:tcPr>
          <w:p w14:paraId="25B95B7D">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油类物质</w:t>
            </w:r>
          </w:p>
        </w:tc>
        <w:tc>
          <w:tcPr>
            <w:tcW w:w="847" w:type="pct"/>
            <w:tcBorders>
              <w:tl2br w:val="nil"/>
              <w:tr2bl w:val="nil"/>
            </w:tcBorders>
            <w:vAlign w:val="center"/>
          </w:tcPr>
          <w:p w14:paraId="650E8205">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机油</w:t>
            </w:r>
          </w:p>
        </w:tc>
        <w:tc>
          <w:tcPr>
            <w:tcW w:w="1000" w:type="pct"/>
            <w:tcBorders>
              <w:tl2br w:val="nil"/>
              <w:tr2bl w:val="nil"/>
            </w:tcBorders>
            <w:vAlign w:val="center"/>
          </w:tcPr>
          <w:p w14:paraId="0F6C0A06">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p>
        </w:tc>
        <w:tc>
          <w:tcPr>
            <w:tcW w:w="677" w:type="pct"/>
            <w:tcBorders>
              <w:tl2br w:val="nil"/>
              <w:tr2bl w:val="nil"/>
            </w:tcBorders>
            <w:vAlign w:val="center"/>
          </w:tcPr>
          <w:p w14:paraId="16B6C69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16</w:t>
            </w:r>
          </w:p>
        </w:tc>
        <w:tc>
          <w:tcPr>
            <w:tcW w:w="560" w:type="pct"/>
            <w:tcBorders>
              <w:tl2br w:val="nil"/>
              <w:tr2bl w:val="nil"/>
            </w:tcBorders>
            <w:vAlign w:val="center"/>
          </w:tcPr>
          <w:p w14:paraId="576BEB98">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2500</w:t>
            </w:r>
          </w:p>
        </w:tc>
        <w:tc>
          <w:tcPr>
            <w:tcW w:w="706" w:type="pct"/>
            <w:tcBorders>
              <w:tl2br w:val="nil"/>
              <w:tr2bl w:val="nil"/>
            </w:tcBorders>
            <w:vAlign w:val="center"/>
          </w:tcPr>
          <w:p w14:paraId="476E9213">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0.006</w:t>
            </w:r>
          </w:p>
        </w:tc>
      </w:tr>
      <w:tr w14:paraId="661520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11" w:type="pct"/>
            <w:tcBorders>
              <w:tl2br w:val="nil"/>
              <w:tr2bl w:val="nil"/>
            </w:tcBorders>
            <w:vAlign w:val="center"/>
          </w:tcPr>
          <w:p w14:paraId="7F6D9FF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eastAsia="zh-CN"/>
              </w:rPr>
            </w:pPr>
            <w:r>
              <w:rPr>
                <w:rFonts w:hint="default" w:ascii="Times New Roman" w:hAnsi="Times New Roman" w:cs="Times New Roman"/>
                <w:color w:val="auto"/>
                <w:spacing w:val="0"/>
                <w:w w:val="100"/>
                <w:position w:val="0"/>
                <w:sz w:val="21"/>
                <w:szCs w:val="21"/>
                <w:lang w:val="en-US" w:eastAsia="zh-CN"/>
              </w:rPr>
              <w:t>2</w:t>
            </w:r>
          </w:p>
        </w:tc>
        <w:tc>
          <w:tcPr>
            <w:tcW w:w="1642" w:type="pct"/>
            <w:gridSpan w:val="2"/>
            <w:tcBorders>
              <w:tl2br w:val="nil"/>
              <w:tr2bl w:val="nil"/>
            </w:tcBorders>
            <w:vAlign w:val="center"/>
          </w:tcPr>
          <w:p w14:paraId="3EAFAE6C">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硝酸铵</w:t>
            </w:r>
          </w:p>
        </w:tc>
        <w:tc>
          <w:tcPr>
            <w:tcW w:w="1000" w:type="pct"/>
            <w:tcBorders>
              <w:tl2br w:val="nil"/>
              <w:tr2bl w:val="nil"/>
            </w:tcBorders>
            <w:vAlign w:val="center"/>
          </w:tcPr>
          <w:p w14:paraId="3928EA50">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6484-52-2</w:t>
            </w:r>
          </w:p>
        </w:tc>
        <w:tc>
          <w:tcPr>
            <w:tcW w:w="677" w:type="pct"/>
            <w:tcBorders>
              <w:tl2br w:val="nil"/>
              <w:tr2bl w:val="nil"/>
            </w:tcBorders>
            <w:vAlign w:val="center"/>
          </w:tcPr>
          <w:p w14:paraId="30460FD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10</w:t>
            </w:r>
          </w:p>
        </w:tc>
        <w:tc>
          <w:tcPr>
            <w:tcW w:w="560" w:type="pct"/>
            <w:tcBorders>
              <w:tl2br w:val="nil"/>
              <w:tr2bl w:val="nil"/>
            </w:tcBorders>
            <w:vAlign w:val="center"/>
          </w:tcPr>
          <w:p w14:paraId="02411EE5">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50</w:t>
            </w:r>
          </w:p>
        </w:tc>
        <w:tc>
          <w:tcPr>
            <w:tcW w:w="706" w:type="pct"/>
            <w:tcBorders>
              <w:tl2br w:val="nil"/>
              <w:tr2bl w:val="nil"/>
            </w:tcBorders>
            <w:vAlign w:val="center"/>
          </w:tcPr>
          <w:p w14:paraId="0AA43B31">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0.2</w:t>
            </w:r>
          </w:p>
        </w:tc>
      </w:tr>
      <w:tr w14:paraId="4420E9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4293" w:type="pct"/>
            <w:gridSpan w:val="6"/>
            <w:tcBorders>
              <w:tl2br w:val="nil"/>
              <w:tr2bl w:val="nil"/>
            </w:tcBorders>
            <w:vAlign w:val="center"/>
          </w:tcPr>
          <w:p w14:paraId="7ECBC79A">
            <w:pPr>
              <w:pStyle w:val="30"/>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项目Q值Σ</w:t>
            </w:r>
          </w:p>
        </w:tc>
        <w:tc>
          <w:tcPr>
            <w:tcW w:w="706" w:type="pct"/>
            <w:tcBorders>
              <w:tl2br w:val="nil"/>
              <w:tr2bl w:val="nil"/>
            </w:tcBorders>
            <w:vAlign w:val="center"/>
          </w:tcPr>
          <w:p w14:paraId="4E78511C">
            <w:pPr>
              <w:keepNext w:val="0"/>
              <w:keepLines w:val="0"/>
              <w:pageBreakBefore w:val="0"/>
              <w:widowControl w:val="0"/>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lang w:val="en-US" w:eastAsia="zh-CN"/>
              </w:rPr>
            </w:pPr>
            <w:r>
              <w:rPr>
                <w:rFonts w:hint="default" w:ascii="Times New Roman" w:hAnsi="Times New Roman" w:eastAsia="宋体" w:cs="Times New Roman"/>
                <w:color w:val="auto"/>
                <w:spacing w:val="0"/>
                <w:w w:val="100"/>
                <w:position w:val="0"/>
                <w:sz w:val="21"/>
                <w:szCs w:val="21"/>
                <w:lang w:val="en-US" w:eastAsia="zh-CN"/>
              </w:rPr>
              <w:t>0.2</w:t>
            </w:r>
            <w:r>
              <w:rPr>
                <w:rFonts w:hint="default" w:ascii="Times New Roman" w:hAnsi="Times New Roman" w:cs="Times New Roman"/>
                <w:color w:val="auto"/>
                <w:spacing w:val="0"/>
                <w:w w:val="100"/>
                <w:position w:val="0"/>
                <w:sz w:val="21"/>
                <w:szCs w:val="21"/>
                <w:lang w:val="en-US" w:eastAsia="zh-CN"/>
              </w:rPr>
              <w:t>06</w:t>
            </w:r>
          </w:p>
        </w:tc>
      </w:tr>
    </w:tbl>
    <w:p w14:paraId="039FD4CB">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项目危险物质数量与临界量比值Q值为0.</w:t>
      </w:r>
      <w:r>
        <w:rPr>
          <w:rFonts w:hint="eastAsia" w:ascii="Times New Roman" w:hAnsi="Times New Roman" w:cs="Times New Roman"/>
          <w:color w:val="auto"/>
          <w:spacing w:val="0"/>
          <w:w w:val="100"/>
          <w:position w:val="0"/>
          <w:sz w:val="24"/>
          <w:highlight w:val="none"/>
          <w:lang w:val="en-US" w:eastAsia="zh-CN"/>
        </w:rPr>
        <w:t>206</w:t>
      </w:r>
      <w:r>
        <w:rPr>
          <w:rFonts w:hint="default" w:ascii="Times New Roman" w:hAnsi="Times New Roman" w:eastAsia="宋体" w:cs="Times New Roman"/>
          <w:color w:val="auto"/>
          <w:spacing w:val="0"/>
          <w:w w:val="100"/>
          <w:position w:val="0"/>
          <w:sz w:val="24"/>
          <w:highlight w:val="none"/>
          <w:lang w:val="en-US" w:eastAsia="zh-CN"/>
        </w:rPr>
        <w:t>＜1，当Q＜1时，该项目环境风险潜势直接判定为Ⅰ。</w:t>
      </w:r>
    </w:p>
    <w:p w14:paraId="12AEE771">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58" w:name="_Toc23807"/>
      <w:r>
        <w:rPr>
          <w:rFonts w:hint="default" w:ascii="Times New Roman" w:hAnsi="Times New Roman" w:eastAsia="宋体" w:cs="Times New Roman"/>
          <w:b/>
          <w:bCs w:val="0"/>
          <w:color w:val="auto"/>
          <w:spacing w:val="0"/>
          <w:w w:val="100"/>
          <w:kern w:val="0"/>
          <w:position w:val="0"/>
          <w:sz w:val="24"/>
          <w:szCs w:val="24"/>
          <w:highlight w:val="none"/>
          <w:lang w:val="en-US" w:eastAsia="zh-CN"/>
        </w:rPr>
        <w:t>5.9.3.2环境风险评价等级的确定</w:t>
      </w:r>
      <w:bookmarkEnd w:id="658"/>
    </w:p>
    <w:p w14:paraId="31060ED9">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环境风险评价工作等级划分为一级、二级、三级。根据建设项目涉及的物质及工艺系统危险性和所在地的环境敏感性确定环境风险潜势，按照表1确定评价工作等级。风险潜势为Ⅳ及以上，进行一级评价；风险潜势为Ⅲ，进行二级评价；风险潜势为Ⅱ，进行三级评价；风险潜势为Ⅰ，可开展简单分析。</w:t>
      </w:r>
    </w:p>
    <w:p w14:paraId="437DAEE8">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表5.9-4    风险评价等级划分表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03"/>
        <w:gridCol w:w="1701"/>
        <w:gridCol w:w="1701"/>
        <w:gridCol w:w="1708"/>
      </w:tblGrid>
      <w:tr w14:paraId="6A2CBD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jc w:val="center"/>
        </w:trPr>
        <w:tc>
          <w:tcPr>
            <w:tcW w:w="1700" w:type="dxa"/>
            <w:tcBorders>
              <w:tl2br w:val="nil"/>
              <w:tr2bl w:val="nil"/>
            </w:tcBorders>
            <w:vAlign w:val="center"/>
          </w:tcPr>
          <w:p w14:paraId="6E4D56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环境风险潜势</w:t>
            </w:r>
          </w:p>
        </w:tc>
        <w:tc>
          <w:tcPr>
            <w:tcW w:w="1703" w:type="dxa"/>
            <w:tcBorders>
              <w:tl2br w:val="nil"/>
              <w:tr2bl w:val="nil"/>
            </w:tcBorders>
            <w:vAlign w:val="center"/>
          </w:tcPr>
          <w:p w14:paraId="35B521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rPr>
              <w:t>Ⅳ</w:t>
            </w:r>
            <w:r>
              <w:rPr>
                <w:rFonts w:hint="default" w:ascii="Times New Roman" w:hAnsi="Times New Roman"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Ⅳ</w:t>
            </w:r>
            <w:r>
              <w:rPr>
                <w:rFonts w:hint="default" w:ascii="Times New Roman" w:hAnsi="Times New Roman" w:eastAsia="宋体" w:cs="Times New Roman"/>
                <w:color w:val="auto"/>
                <w:spacing w:val="0"/>
                <w:w w:val="100"/>
                <w:position w:val="0"/>
                <w:vertAlign w:val="superscript"/>
              </w:rPr>
              <w:t>+</w:t>
            </w:r>
          </w:p>
        </w:tc>
        <w:tc>
          <w:tcPr>
            <w:tcW w:w="1701" w:type="dxa"/>
            <w:tcBorders>
              <w:tl2br w:val="nil"/>
              <w:tr2bl w:val="nil"/>
            </w:tcBorders>
            <w:vAlign w:val="center"/>
          </w:tcPr>
          <w:p w14:paraId="407302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Ⅲ</w:t>
            </w:r>
          </w:p>
        </w:tc>
        <w:tc>
          <w:tcPr>
            <w:tcW w:w="1701" w:type="dxa"/>
            <w:tcBorders>
              <w:tl2br w:val="nil"/>
              <w:tr2bl w:val="nil"/>
            </w:tcBorders>
            <w:vAlign w:val="center"/>
          </w:tcPr>
          <w:p w14:paraId="488182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Ⅱ</w:t>
            </w:r>
          </w:p>
        </w:tc>
        <w:tc>
          <w:tcPr>
            <w:tcW w:w="1708" w:type="dxa"/>
            <w:tcBorders>
              <w:tl2br w:val="nil"/>
              <w:tr2bl w:val="nil"/>
            </w:tcBorders>
            <w:vAlign w:val="center"/>
          </w:tcPr>
          <w:p w14:paraId="4CE355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Ⅰ</w:t>
            </w:r>
          </w:p>
        </w:tc>
      </w:tr>
      <w:tr w14:paraId="6D2E3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00" w:type="dxa"/>
            <w:tcBorders>
              <w:tl2br w:val="nil"/>
              <w:tr2bl w:val="nil"/>
            </w:tcBorders>
            <w:vAlign w:val="center"/>
          </w:tcPr>
          <w:p w14:paraId="429755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环境评价等级</w:t>
            </w:r>
          </w:p>
        </w:tc>
        <w:tc>
          <w:tcPr>
            <w:tcW w:w="1703" w:type="dxa"/>
            <w:tcBorders>
              <w:tl2br w:val="nil"/>
              <w:tr2bl w:val="nil"/>
            </w:tcBorders>
            <w:vAlign w:val="center"/>
          </w:tcPr>
          <w:p w14:paraId="7F0BB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一</w:t>
            </w:r>
          </w:p>
        </w:tc>
        <w:tc>
          <w:tcPr>
            <w:tcW w:w="1701" w:type="dxa"/>
            <w:tcBorders>
              <w:tl2br w:val="nil"/>
              <w:tr2bl w:val="nil"/>
            </w:tcBorders>
            <w:vAlign w:val="center"/>
          </w:tcPr>
          <w:p w14:paraId="34BAC3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二</w:t>
            </w:r>
          </w:p>
        </w:tc>
        <w:tc>
          <w:tcPr>
            <w:tcW w:w="1701" w:type="dxa"/>
            <w:tcBorders>
              <w:tl2br w:val="nil"/>
              <w:tr2bl w:val="nil"/>
            </w:tcBorders>
            <w:vAlign w:val="center"/>
          </w:tcPr>
          <w:p w14:paraId="71AD2C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三</w:t>
            </w:r>
          </w:p>
        </w:tc>
        <w:tc>
          <w:tcPr>
            <w:tcW w:w="1708" w:type="dxa"/>
            <w:tcBorders>
              <w:tl2br w:val="nil"/>
              <w:tr2bl w:val="nil"/>
            </w:tcBorders>
            <w:vAlign w:val="center"/>
          </w:tcPr>
          <w:p w14:paraId="35DB6F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简单分析</w:t>
            </w:r>
            <w:r>
              <w:rPr>
                <w:rFonts w:hint="default" w:ascii="Times New Roman" w:hAnsi="Times New Roman" w:eastAsia="宋体" w:cs="Times New Roman"/>
                <w:color w:val="auto"/>
                <w:spacing w:val="0"/>
                <w:w w:val="100"/>
                <w:position w:val="0"/>
                <w:sz w:val="21"/>
                <w:szCs w:val="21"/>
                <w:highlight w:val="none"/>
                <w:vertAlign w:val="superscript"/>
              </w:rPr>
              <w:t>a</w:t>
            </w:r>
          </w:p>
        </w:tc>
      </w:tr>
      <w:tr w14:paraId="2B53B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13" w:type="dxa"/>
            <w:gridSpan w:val="5"/>
            <w:tcBorders>
              <w:tl2br w:val="nil"/>
              <w:tr2bl w:val="nil"/>
            </w:tcBorders>
            <w:vAlign w:val="center"/>
          </w:tcPr>
          <w:p w14:paraId="3A10B1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left"/>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vertAlign w:val="superscript"/>
              </w:rPr>
              <w:t>a</w:t>
            </w:r>
            <w:r>
              <w:rPr>
                <w:rFonts w:hint="default" w:ascii="Times New Roman" w:hAnsi="Times New Roman" w:eastAsia="宋体" w:cs="Times New Roman"/>
                <w:color w:val="auto"/>
                <w:spacing w:val="0"/>
                <w:w w:val="100"/>
                <w:position w:val="0"/>
                <w:sz w:val="21"/>
                <w:szCs w:val="21"/>
                <w:highlight w:val="none"/>
              </w:rPr>
              <w:t>是相对于详解评价工作内容而言，在描述危险物质、</w:t>
            </w:r>
            <w:r>
              <w:rPr>
                <w:rFonts w:hint="eastAsia" w:ascii="Times New Roman" w:hAnsi="Times New Roman" w:cs="Times New Roman"/>
                <w:color w:val="auto"/>
                <w:spacing w:val="0"/>
                <w:w w:val="100"/>
                <w:position w:val="0"/>
                <w:sz w:val="21"/>
                <w:szCs w:val="21"/>
                <w:highlight w:val="none"/>
                <w:lang w:eastAsia="zh-CN"/>
              </w:rPr>
              <w:t>环境影响</w:t>
            </w:r>
            <w:r>
              <w:rPr>
                <w:rFonts w:hint="default" w:ascii="Times New Roman" w:hAnsi="Times New Roman" w:eastAsia="宋体" w:cs="Times New Roman"/>
                <w:color w:val="auto"/>
                <w:spacing w:val="0"/>
                <w:w w:val="100"/>
                <w:position w:val="0"/>
                <w:sz w:val="21"/>
                <w:szCs w:val="21"/>
                <w:highlight w:val="none"/>
              </w:rPr>
              <w:t>途径、环境危害后果、风险防范措施等方面给出定性的说明</w:t>
            </w:r>
          </w:p>
        </w:tc>
      </w:tr>
    </w:tbl>
    <w:p w14:paraId="60FB42C2">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根据判断，本项目的风险潜势为Ⅰ级。由表5.9-4可知，环境风险评价等级为简单分析，本次风险评价按照附录A要求进行环境风险识别、环境风险分析、环境风险防范措施及应急要求。</w:t>
      </w:r>
    </w:p>
    <w:p w14:paraId="0256C482">
      <w:pPr>
        <w:pStyle w:val="4"/>
        <w:bidi w:val="0"/>
        <w:rPr>
          <w:rFonts w:hint="default" w:ascii="Times New Roman" w:hAnsi="Times New Roman" w:cs="Times New Roman"/>
          <w:color w:val="auto"/>
          <w:lang w:val="en-US" w:eastAsia="zh-CN"/>
        </w:rPr>
      </w:pPr>
      <w:bookmarkStart w:id="659" w:name="_Toc22309"/>
      <w:bookmarkStart w:id="660" w:name="_Toc26101"/>
      <w:bookmarkStart w:id="661" w:name="_Toc12445"/>
      <w:bookmarkStart w:id="662" w:name="_Toc29274"/>
      <w:bookmarkStart w:id="663" w:name="_Toc2517"/>
      <w:bookmarkStart w:id="664" w:name="_Toc10223"/>
      <w:r>
        <w:rPr>
          <w:rFonts w:hint="default" w:ascii="Times New Roman" w:hAnsi="Times New Roman" w:cs="Times New Roman"/>
          <w:color w:val="auto"/>
          <w:lang w:val="en-US" w:eastAsia="zh-CN"/>
        </w:rPr>
        <w:t>环境风险识别</w:t>
      </w:r>
      <w:bookmarkEnd w:id="659"/>
      <w:bookmarkEnd w:id="660"/>
      <w:bookmarkEnd w:id="661"/>
      <w:bookmarkEnd w:id="662"/>
      <w:bookmarkEnd w:id="663"/>
      <w:bookmarkEnd w:id="664"/>
    </w:p>
    <w:p w14:paraId="11763B0A">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rPr>
        <w:t>风险识别范围包括生产设施风险识别和生产过程中所涉及的物质风险识别。本项目为采矿类项目，生产过程涉及的风险物质为机油。根据项目特点，本次生产设施识别范围为主要采矿区、工业场地、公用工程系统、环保设施及辅助生产设施。</w:t>
      </w:r>
    </w:p>
    <w:p w14:paraId="1CC0A22F">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65" w:name="_Toc2150"/>
      <w:r>
        <w:rPr>
          <w:rFonts w:hint="default" w:ascii="Times New Roman" w:hAnsi="Times New Roman" w:eastAsia="宋体" w:cs="Times New Roman"/>
          <w:b/>
          <w:bCs w:val="0"/>
          <w:color w:val="auto"/>
          <w:spacing w:val="0"/>
          <w:w w:val="100"/>
          <w:kern w:val="0"/>
          <w:position w:val="0"/>
          <w:sz w:val="24"/>
          <w:szCs w:val="24"/>
          <w:highlight w:val="none"/>
          <w:lang w:val="en-US" w:eastAsia="zh-CN"/>
        </w:rPr>
        <w:t>5.9.4.1</w:t>
      </w:r>
      <w:bookmarkEnd w:id="665"/>
      <w:r>
        <w:rPr>
          <w:rFonts w:hint="default" w:ascii="Times New Roman" w:hAnsi="Times New Roman" w:eastAsia="宋体" w:cs="Times New Roman"/>
          <w:b/>
          <w:bCs w:val="0"/>
          <w:color w:val="auto"/>
          <w:spacing w:val="0"/>
          <w:w w:val="100"/>
          <w:kern w:val="0"/>
          <w:position w:val="0"/>
          <w:sz w:val="24"/>
          <w:szCs w:val="24"/>
          <w:highlight w:val="none"/>
          <w:lang w:val="en-US" w:eastAsia="zh-CN"/>
        </w:rPr>
        <w:t>工程环境风险识别</w:t>
      </w:r>
    </w:p>
    <w:p w14:paraId="285840A1">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工程主要环境风险见表5.</w:t>
      </w:r>
      <w:r>
        <w:rPr>
          <w:rFonts w:hint="default" w:ascii="Times New Roman" w:hAnsi="Times New Roman" w:eastAsia="宋体" w:cs="Times New Roman"/>
          <w:color w:val="auto"/>
          <w:spacing w:val="0"/>
          <w:w w:val="100"/>
          <w:position w:val="0"/>
          <w:sz w:val="24"/>
          <w:highlight w:val="none"/>
          <w:lang w:val="en-US" w:eastAsia="zh-CN"/>
        </w:rPr>
        <w:t>9-5</w:t>
      </w:r>
      <w:r>
        <w:rPr>
          <w:rFonts w:hint="default" w:ascii="Times New Roman" w:hAnsi="Times New Roman" w:eastAsia="宋体" w:cs="Times New Roman"/>
          <w:color w:val="auto"/>
          <w:spacing w:val="0"/>
          <w:w w:val="100"/>
          <w:position w:val="0"/>
          <w:sz w:val="24"/>
          <w:highlight w:val="none"/>
        </w:rPr>
        <w:t>。</w:t>
      </w:r>
    </w:p>
    <w:p w14:paraId="591860F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表5.9-5    工程主要环境风险</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89"/>
        <w:gridCol w:w="1561"/>
        <w:gridCol w:w="1410"/>
        <w:gridCol w:w="2292"/>
        <w:gridCol w:w="2561"/>
      </w:tblGrid>
      <w:tr w14:paraId="29AF2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89" w:type="dxa"/>
            <w:tcBorders>
              <w:top w:val="single" w:color="auto" w:sz="12" w:space="0"/>
            </w:tcBorders>
            <w:vAlign w:val="center"/>
          </w:tcPr>
          <w:p w14:paraId="30239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序号</w:t>
            </w:r>
          </w:p>
        </w:tc>
        <w:tc>
          <w:tcPr>
            <w:tcW w:w="1561" w:type="dxa"/>
            <w:tcBorders>
              <w:top w:val="single" w:color="auto" w:sz="12" w:space="0"/>
            </w:tcBorders>
            <w:vAlign w:val="center"/>
          </w:tcPr>
          <w:p w14:paraId="6F95C9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发生环境风险对象</w:t>
            </w:r>
          </w:p>
        </w:tc>
        <w:tc>
          <w:tcPr>
            <w:tcW w:w="1410" w:type="dxa"/>
            <w:tcBorders>
              <w:top w:val="single" w:color="auto" w:sz="12" w:space="0"/>
            </w:tcBorders>
            <w:vAlign w:val="center"/>
          </w:tcPr>
          <w:p w14:paraId="53EECE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风险类别</w:t>
            </w:r>
          </w:p>
        </w:tc>
        <w:tc>
          <w:tcPr>
            <w:tcW w:w="2292" w:type="dxa"/>
            <w:tcBorders>
              <w:top w:val="single" w:color="auto" w:sz="12" w:space="0"/>
            </w:tcBorders>
            <w:vAlign w:val="center"/>
          </w:tcPr>
          <w:p w14:paraId="4C062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发生原因</w:t>
            </w:r>
          </w:p>
        </w:tc>
        <w:tc>
          <w:tcPr>
            <w:tcW w:w="2561" w:type="dxa"/>
            <w:tcBorders>
              <w:top w:val="single" w:color="auto" w:sz="12" w:space="0"/>
            </w:tcBorders>
            <w:vAlign w:val="center"/>
          </w:tcPr>
          <w:p w14:paraId="31F5F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产生危害</w:t>
            </w:r>
          </w:p>
        </w:tc>
      </w:tr>
      <w:tr w14:paraId="474788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89" w:type="dxa"/>
            <w:tcBorders>
              <w:bottom w:val="single" w:color="auto" w:sz="12" w:space="0"/>
            </w:tcBorders>
            <w:vAlign w:val="center"/>
          </w:tcPr>
          <w:p w14:paraId="246B9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lang w:val="en-US" w:eastAsia="zh-CN"/>
              </w:rPr>
              <w:t>1</w:t>
            </w:r>
          </w:p>
        </w:tc>
        <w:tc>
          <w:tcPr>
            <w:tcW w:w="1561" w:type="dxa"/>
            <w:tcBorders>
              <w:bottom w:val="single" w:color="auto" w:sz="12" w:space="0"/>
            </w:tcBorders>
            <w:vAlign w:val="center"/>
          </w:tcPr>
          <w:p w14:paraId="09D21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lang w:val="en-US" w:eastAsia="zh-CN"/>
              </w:rPr>
              <w:t>机修间</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危废贮存库、爆破器材库</w:t>
            </w:r>
          </w:p>
        </w:tc>
        <w:tc>
          <w:tcPr>
            <w:tcW w:w="1410" w:type="dxa"/>
            <w:tcBorders>
              <w:bottom w:val="single" w:color="auto" w:sz="12" w:space="0"/>
            </w:tcBorders>
            <w:vAlign w:val="center"/>
          </w:tcPr>
          <w:p w14:paraId="7B2C6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泄漏、火灾</w:t>
            </w:r>
          </w:p>
        </w:tc>
        <w:tc>
          <w:tcPr>
            <w:tcW w:w="2292" w:type="dxa"/>
            <w:tcBorders>
              <w:bottom w:val="single" w:color="auto" w:sz="12" w:space="0"/>
            </w:tcBorders>
            <w:vAlign w:val="center"/>
          </w:tcPr>
          <w:p w14:paraId="6527F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自然灾害、储存、管理、维护不善</w:t>
            </w:r>
          </w:p>
        </w:tc>
        <w:tc>
          <w:tcPr>
            <w:tcW w:w="2561" w:type="dxa"/>
            <w:tcBorders>
              <w:bottom w:val="single" w:color="auto" w:sz="12" w:space="0"/>
            </w:tcBorders>
            <w:vAlign w:val="center"/>
          </w:tcPr>
          <w:p w14:paraId="58B12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人员伤亡、损坏设施、环境污染</w:t>
            </w:r>
          </w:p>
        </w:tc>
      </w:tr>
    </w:tbl>
    <w:p w14:paraId="75E23DAD">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5.9.4.2生产设施风险识别</w:t>
      </w:r>
    </w:p>
    <w:p w14:paraId="2DFF3300">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val="en-US" w:eastAsia="zh-CN"/>
        </w:rPr>
        <w:t>矿山</w:t>
      </w:r>
      <w:r>
        <w:rPr>
          <w:rFonts w:hint="default" w:ascii="Times New Roman" w:hAnsi="Times New Roman" w:eastAsia="宋体" w:cs="Times New Roman"/>
          <w:color w:val="auto"/>
          <w:spacing w:val="0"/>
          <w:w w:val="100"/>
          <w:position w:val="0"/>
          <w:sz w:val="24"/>
          <w:highlight w:val="none"/>
        </w:rPr>
        <w:t>开采中，炸药在生产场所每个爆破孔均为数公斤小剂量的使用；其他过程物料不存在易燃易爆或有毒有害性，也没有风险性的生产设施或装置，因此是一个发生生产设施危险性较小的行业。但从实际情况来看，采矿行业的危险性主要来自采矿过程的风险事故，是矿难安全事故的多发行业，所以防范安全风险事故是该行业的重点。</w:t>
      </w:r>
    </w:p>
    <w:p w14:paraId="50D9BB9C">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废石场是一个具有高势能的人造泥石流的危险源，各种天然的和人为的不利因素威胁着它的安全，一旦失事，将会造成巨大的灾难与损失。废石场可能存在的风险、有害因素有：拦渣坝坝体失稳、溃坝。</w:t>
      </w:r>
    </w:p>
    <w:p w14:paraId="2707FC6E">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本矿</w:t>
      </w:r>
      <w:r>
        <w:rPr>
          <w:rFonts w:hint="default" w:ascii="Times New Roman" w:hAnsi="Times New Roman" w:eastAsia="宋体" w:cs="Times New Roman"/>
          <w:color w:val="auto"/>
          <w:spacing w:val="0"/>
          <w:w w:val="100"/>
          <w:position w:val="0"/>
          <w:sz w:val="24"/>
          <w:highlight w:val="none"/>
          <w:lang w:val="en-US" w:eastAsia="zh-CN"/>
        </w:rPr>
        <w:t>不</w:t>
      </w:r>
      <w:r>
        <w:rPr>
          <w:rFonts w:hint="default" w:ascii="Times New Roman" w:hAnsi="Times New Roman" w:eastAsia="宋体" w:cs="Times New Roman"/>
          <w:color w:val="auto"/>
          <w:spacing w:val="0"/>
          <w:w w:val="100"/>
          <w:position w:val="0"/>
          <w:sz w:val="24"/>
          <w:highlight w:val="none"/>
        </w:rPr>
        <w:t>设爆破</w:t>
      </w:r>
      <w:r>
        <w:rPr>
          <w:rFonts w:hint="default" w:ascii="Times New Roman" w:hAnsi="Times New Roman" w:eastAsia="宋体" w:cs="Times New Roman"/>
          <w:color w:val="auto"/>
          <w:spacing w:val="0"/>
          <w:w w:val="100"/>
          <w:position w:val="0"/>
          <w:sz w:val="24"/>
          <w:szCs w:val="24"/>
          <w:highlight w:val="none"/>
        </w:rPr>
        <w:t>材料库，</w:t>
      </w:r>
      <w:r>
        <w:rPr>
          <w:rFonts w:hint="default" w:ascii="Times New Roman" w:hAnsi="Times New Roman" w:eastAsia="宋体" w:cs="Times New Roman"/>
          <w:color w:val="auto"/>
          <w:spacing w:val="0"/>
          <w:w w:val="100"/>
          <w:position w:val="0"/>
          <w:sz w:val="24"/>
          <w:szCs w:val="24"/>
          <w:highlight w:val="none"/>
          <w:lang w:val="en-US" w:eastAsia="zh-CN"/>
        </w:rPr>
        <w:t>爆破委托民爆公司</w:t>
      </w:r>
      <w:r>
        <w:rPr>
          <w:rFonts w:hint="default" w:ascii="Times New Roman" w:hAnsi="Times New Roman" w:eastAsia="宋体" w:cs="Times New Roman"/>
          <w:color w:val="auto"/>
          <w:spacing w:val="0"/>
          <w:w w:val="100"/>
          <w:position w:val="0"/>
          <w:sz w:val="24"/>
          <w:szCs w:val="24"/>
          <w:highlight w:val="none"/>
        </w:rPr>
        <w:t>，</w:t>
      </w:r>
      <w:r>
        <w:rPr>
          <w:rFonts w:hint="default" w:ascii="Times New Roman" w:hAnsi="Times New Roman" w:eastAsia="宋体" w:cs="Times New Roman"/>
          <w:color w:val="auto"/>
          <w:spacing w:val="0"/>
          <w:w w:val="100"/>
          <w:position w:val="0"/>
          <w:sz w:val="24"/>
          <w:szCs w:val="24"/>
        </w:rPr>
        <w:t>环境危害主要为爆炸后引发火灾时，对其周边区域生态环境的影响。</w:t>
      </w:r>
    </w:p>
    <w:p w14:paraId="7A88A284">
      <w:pPr>
        <w:pStyle w:val="4"/>
        <w:bidi w:val="0"/>
        <w:rPr>
          <w:rFonts w:hint="default" w:ascii="Times New Roman" w:hAnsi="Times New Roman" w:cs="Times New Roman"/>
          <w:color w:val="auto"/>
          <w:lang w:val="en-US" w:eastAsia="zh-CN"/>
        </w:rPr>
      </w:pPr>
      <w:bookmarkStart w:id="666" w:name="_Toc7048"/>
      <w:bookmarkStart w:id="667" w:name="_Toc13381"/>
      <w:bookmarkStart w:id="668" w:name="_Toc10079"/>
      <w:bookmarkStart w:id="669" w:name="_Toc18335"/>
      <w:bookmarkStart w:id="670" w:name="_Toc14116"/>
      <w:r>
        <w:rPr>
          <w:rFonts w:hint="default" w:ascii="Times New Roman" w:hAnsi="Times New Roman" w:cs="Times New Roman"/>
          <w:color w:val="auto"/>
          <w:lang w:val="en-US" w:eastAsia="zh-CN"/>
        </w:rPr>
        <w:t>环境风险分析</w:t>
      </w:r>
      <w:bookmarkEnd w:id="666"/>
      <w:bookmarkEnd w:id="667"/>
      <w:bookmarkEnd w:id="668"/>
      <w:bookmarkEnd w:id="669"/>
      <w:bookmarkEnd w:id="670"/>
    </w:p>
    <w:p w14:paraId="367A2AC8">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71" w:name="_Toc3098"/>
      <w:r>
        <w:rPr>
          <w:rFonts w:hint="default" w:ascii="Times New Roman" w:hAnsi="Times New Roman" w:eastAsia="宋体" w:cs="Times New Roman"/>
          <w:b/>
          <w:bCs w:val="0"/>
          <w:color w:val="auto"/>
          <w:spacing w:val="0"/>
          <w:w w:val="100"/>
          <w:kern w:val="0"/>
          <w:position w:val="0"/>
          <w:sz w:val="24"/>
          <w:szCs w:val="24"/>
          <w:highlight w:val="none"/>
          <w:lang w:val="en-US" w:eastAsia="zh-CN"/>
        </w:rPr>
        <w:t>5.9.5.1爆破环境风险分析</w:t>
      </w:r>
    </w:p>
    <w:p w14:paraId="2AB34520">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本项目使用的危险物质炸药是一种含有少量水分的多组分均匀分布的爆炸混合物，常温下化学性质稳定，与外界物质接触时，能发生氧化反应，生成高感度物质，在《危险化学品目录》（20</w:t>
      </w:r>
      <w:r>
        <w:rPr>
          <w:rFonts w:hint="eastAsia" w:ascii="Times New Roman" w:hAnsi="Times New Roman" w:cs="Times New Roman"/>
          <w:color w:val="auto"/>
          <w:spacing w:val="0"/>
          <w:w w:val="100"/>
          <w:position w:val="0"/>
          <w:sz w:val="24"/>
          <w:highlight w:val="none"/>
          <w:lang w:val="en-US" w:eastAsia="zh-CN"/>
        </w:rPr>
        <w:t>22</w:t>
      </w:r>
      <w:r>
        <w:rPr>
          <w:rFonts w:hint="default" w:ascii="Times New Roman" w:hAnsi="Times New Roman" w:eastAsia="宋体" w:cs="Times New Roman"/>
          <w:color w:val="auto"/>
          <w:spacing w:val="0"/>
          <w:w w:val="100"/>
          <w:position w:val="0"/>
          <w:sz w:val="24"/>
          <w:highlight w:val="none"/>
          <w:lang w:val="en-US" w:eastAsia="zh-CN"/>
        </w:rPr>
        <w:t>年</w:t>
      </w:r>
      <w:r>
        <w:rPr>
          <w:rFonts w:hint="eastAsia" w:ascii="Times New Roman" w:hAnsi="Times New Roman" w:cs="Times New Roman"/>
          <w:color w:val="auto"/>
          <w:spacing w:val="0"/>
          <w:w w:val="100"/>
          <w:position w:val="0"/>
          <w:sz w:val="24"/>
          <w:highlight w:val="none"/>
          <w:lang w:val="en-US" w:eastAsia="zh-CN"/>
        </w:rPr>
        <w:t>修订</w:t>
      </w:r>
      <w:r>
        <w:rPr>
          <w:rFonts w:hint="default" w:ascii="Times New Roman" w:hAnsi="Times New Roman" w:eastAsia="宋体" w:cs="Times New Roman"/>
          <w:color w:val="auto"/>
          <w:spacing w:val="0"/>
          <w:w w:val="100"/>
          <w:position w:val="0"/>
          <w:sz w:val="24"/>
          <w:highlight w:val="none"/>
          <w:lang w:val="en-US" w:eastAsia="zh-CN"/>
        </w:rPr>
        <w:t>）中为第一类易爆炸物质，雷管也属于易爆炸物质。</w:t>
      </w:r>
    </w:p>
    <w:p w14:paraId="383152F7">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炸药的爆炸是一种化学过程，但与一般的化学反应过程相比，具有三大特征：</w:t>
      </w:r>
    </w:p>
    <w:p w14:paraId="3CB00F52">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（1）反常过程的放热性。一般常用炸药的爆热约在3700～7500kJ/kg。</w:t>
      </w:r>
    </w:p>
    <w:p w14:paraId="682F761D">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（2）反应过程的高速度。许多炸药的氧化剂和还原剂共存一个分子内，能够发生快速的逐层传递的化学反应，使爆炸过程以极快的速度进行，通常为每秒几百米或几千米。</w:t>
      </w:r>
    </w:p>
    <w:p w14:paraId="42DFF250">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（3）反应成物含有大量的气态物质。</w:t>
      </w:r>
    </w:p>
    <w:p w14:paraId="6FEBAEF0">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炸药在运输、使用过程中的环境问题可归纳为如下三类：由于爆破力学效应，产生地震波、冲击波和噪声；由于炸药爆炸时的化学反应，产生大量的有毒气体；突发性爆破事故，如炸药的早爆、拒爆和因操作失误而引起的安全事故。如果贮存或使用过程中违反爆破安全规程的有关规定，一旦发生爆炸事故，往往造成生命财产重大损失。</w:t>
      </w:r>
    </w:p>
    <w:p w14:paraId="717B2784">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5.9.5.2油品风险事故影响分析</w:t>
      </w:r>
      <w:bookmarkEnd w:id="671"/>
    </w:p>
    <w:p w14:paraId="0D018527">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（1）火灾爆炸危险性分析</w:t>
      </w:r>
    </w:p>
    <w:p w14:paraId="5CE5F5AE">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①油品的易燃、易爆性</w:t>
      </w:r>
    </w:p>
    <w:p w14:paraId="6A891EA9">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油品挥发出来的蒸汽与空气混合，浓度处于爆炸浓度范围内时，遇有一定能量的着火源，容易发生爆炸，爆炸浓度（或极限）范围越宽，爆炸危险性就越大。在油品储运过程中，爆炸和燃烧经常同时出现。由于油品蒸汽具有燃烧和爆炸性，因此在生产操作过程中，应防止其可燃性蒸汽的积聚，尽可能将其浓度控制在爆炸下限以下，以防止火灾、爆炸事故的发生。</w:t>
      </w:r>
    </w:p>
    <w:p w14:paraId="6E3CCBA8">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②油品有较大的蒸汽压</w:t>
      </w:r>
    </w:p>
    <w:p w14:paraId="7E596B0D">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油库储存的柴油是蒸汽压较大的液体，它们易产生能引起燃烧所需要的最低限度的蒸汽量，蒸汽压越大，其危险性也越大。另外，温度对蒸汽压的影响很大，温度升高，其蒸气压将迅速增大。所以盛装易燃油品的容器，如储罐、槽车等，应有足够的强度，以防止容器胀裂。此外，还应使油品远离热源、火源。</w:t>
      </w:r>
    </w:p>
    <w:p w14:paraId="2D9F723F">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③油品易积聚静电</w:t>
      </w:r>
    </w:p>
    <w:p w14:paraId="77255561">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据资料介绍，电阻率在1010~1515Ω.cm范围内的油品容易产生和积聚静电，且不易消散。油库储存的油品都具有易积聚静电荷的特点，在油品储运和生产过程中，其静电的产生和积聚量的大小与管道内壁粗糙度、流速、运送距离以及储运设备的导电性能等诸多因素有关。静电放电是导致火灾爆炸事故的一个重要原因。</w:t>
      </w:r>
    </w:p>
    <w:p w14:paraId="0D4BC516">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④油品的易扩散、流淌性</w:t>
      </w:r>
    </w:p>
    <w:p w14:paraId="14496FEA">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易燃油品的粘度一般较小，容易流淌扩散。同时，由于其渗透、浸润和毛细管引力等作用，而扩大其表面积，使蒸发速度加快，并向四周迅速扩散，与空气混合，遇有火源极易发生燃烧爆炸。</w:t>
      </w:r>
    </w:p>
    <w:p w14:paraId="46E2EBA7">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⑤油品的受热易膨胀性</w:t>
      </w:r>
    </w:p>
    <w:p w14:paraId="4260BE89">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油品受热后，温度升高，体积膨胀，若容器灌装过满，管道输油后不及时排空而又无泄压装置，会导致容器和管道的损坏，可能引起油渗漏和外溢。另一方面，由于温度降低，体积收缩，容器内有可能出现负压，也会使容器变形损坏。</w:t>
      </w:r>
    </w:p>
    <w:p w14:paraId="136C44FF">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w:t>
      </w:r>
      <w:r>
        <w:rPr>
          <w:rFonts w:hint="eastAsia" w:ascii="Times New Roman" w:hAnsi="Times New Roman" w:cs="Times New Roman"/>
          <w:color w:val="auto"/>
          <w:spacing w:val="0"/>
          <w:w w:val="100"/>
          <w:position w:val="0"/>
          <w:sz w:val="24"/>
          <w:highlight w:val="none"/>
          <w:lang w:val="en-US" w:eastAsia="zh-CN"/>
        </w:rPr>
        <w:t>2</w:t>
      </w:r>
      <w:r>
        <w:rPr>
          <w:rFonts w:hint="default" w:ascii="Times New Roman" w:hAnsi="Times New Roman" w:eastAsia="宋体" w:cs="Times New Roman"/>
          <w:color w:val="auto"/>
          <w:spacing w:val="0"/>
          <w:w w:val="100"/>
          <w:position w:val="0"/>
          <w:sz w:val="24"/>
          <w:highlight w:val="none"/>
        </w:rPr>
        <w:t>）次生大气污染物对环境的影响分析</w:t>
      </w:r>
    </w:p>
    <w:p w14:paraId="4B1D0DEE">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lang w:val="en-US" w:eastAsia="zh-CN"/>
        </w:rPr>
        <w:t>油品</w:t>
      </w:r>
      <w:r>
        <w:rPr>
          <w:rFonts w:hint="default" w:ascii="Times New Roman" w:hAnsi="Times New Roman" w:eastAsia="宋体" w:cs="Times New Roman"/>
          <w:color w:val="auto"/>
          <w:spacing w:val="0"/>
          <w:w w:val="100"/>
          <w:position w:val="0"/>
          <w:sz w:val="24"/>
          <w:highlight w:val="none"/>
        </w:rPr>
        <w:t>发生泄漏后，引发火灾、爆炸事故，次生大气污染物主要为不完全燃烧产生的CO以及THC等。由于项目</w:t>
      </w:r>
      <w:r>
        <w:rPr>
          <w:rFonts w:hint="default" w:ascii="Times New Roman" w:hAnsi="Times New Roman" w:eastAsia="宋体" w:cs="Times New Roman"/>
          <w:color w:val="auto"/>
          <w:spacing w:val="0"/>
          <w:w w:val="100"/>
          <w:position w:val="0"/>
          <w:sz w:val="24"/>
          <w:highlight w:val="none"/>
          <w:lang w:val="en-US" w:eastAsia="zh-CN"/>
        </w:rPr>
        <w:t>机油存量</w:t>
      </w:r>
      <w:r>
        <w:rPr>
          <w:rFonts w:hint="default" w:ascii="Times New Roman" w:hAnsi="Times New Roman" w:eastAsia="宋体" w:cs="Times New Roman"/>
          <w:color w:val="auto"/>
          <w:spacing w:val="0"/>
          <w:w w:val="100"/>
          <w:position w:val="0"/>
          <w:sz w:val="24"/>
          <w:highlight w:val="none"/>
        </w:rPr>
        <w:t>较小，发生事故后可及时有效得到处置，其次生大气污染物对环境影响较小，在可控范围内。</w:t>
      </w:r>
    </w:p>
    <w:p w14:paraId="7D8DC23E">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72" w:name="_Toc24690"/>
      <w:r>
        <w:rPr>
          <w:rFonts w:hint="default" w:ascii="Times New Roman" w:hAnsi="Times New Roman" w:eastAsia="宋体" w:cs="Times New Roman"/>
          <w:b/>
          <w:bCs w:val="0"/>
          <w:color w:val="auto"/>
          <w:spacing w:val="0"/>
          <w:w w:val="100"/>
          <w:kern w:val="0"/>
          <w:position w:val="0"/>
          <w:sz w:val="24"/>
          <w:szCs w:val="24"/>
          <w:highlight w:val="none"/>
          <w:lang w:val="en-US" w:eastAsia="zh-CN"/>
        </w:rPr>
        <w:t>5.9.5.3井巷工程事故风险分析</w:t>
      </w:r>
      <w:bookmarkEnd w:id="672"/>
    </w:p>
    <w:p w14:paraId="4DAABC5A">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eastAsia="zh-CN"/>
        </w:rPr>
        <w:t>本项目</w:t>
      </w:r>
      <w:r>
        <w:rPr>
          <w:rFonts w:hint="default" w:ascii="Times New Roman" w:hAnsi="Times New Roman" w:eastAsia="宋体" w:cs="Times New Roman"/>
          <w:color w:val="auto"/>
          <w:spacing w:val="0"/>
          <w:w w:val="100"/>
          <w:position w:val="0"/>
          <w:sz w:val="24"/>
          <w:highlight w:val="none"/>
        </w:rPr>
        <w:t>为井下采矿工程，建设及运行过程中存在以下环境风险：</w:t>
      </w:r>
    </w:p>
    <w:p w14:paraId="4BEF1FC3">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（1）地质灾害风险；</w:t>
      </w:r>
    </w:p>
    <w:p w14:paraId="0CF80F2B">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（2）井下安全事故风险。</w:t>
      </w:r>
    </w:p>
    <w:p w14:paraId="48BC45E4">
      <w:pPr>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矿井突水、崩塌安全隐患灾害对人体和环境的损害见表5.</w:t>
      </w:r>
      <w:r>
        <w:rPr>
          <w:rFonts w:hint="default" w:ascii="Times New Roman" w:hAnsi="Times New Roman" w:eastAsia="宋体" w:cs="Times New Roman"/>
          <w:color w:val="auto"/>
          <w:spacing w:val="0"/>
          <w:w w:val="100"/>
          <w:position w:val="0"/>
          <w:sz w:val="24"/>
          <w:highlight w:val="none"/>
          <w:lang w:val="en-US" w:eastAsia="zh-CN"/>
        </w:rPr>
        <w:t>9-6</w:t>
      </w:r>
      <w:r>
        <w:rPr>
          <w:rFonts w:hint="default" w:ascii="Times New Roman" w:hAnsi="Times New Roman" w:eastAsia="宋体" w:cs="Times New Roman"/>
          <w:color w:val="auto"/>
          <w:spacing w:val="0"/>
          <w:w w:val="100"/>
          <w:position w:val="0"/>
          <w:sz w:val="24"/>
          <w:highlight w:val="none"/>
        </w:rPr>
        <w:t>。</w:t>
      </w:r>
    </w:p>
    <w:p w14:paraId="12FD62F4">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表5.9-6    风险表征表</w:t>
      </w:r>
    </w:p>
    <w:tbl>
      <w:tblPr>
        <w:tblStyle w:val="21"/>
        <w:tblW w:w="851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7153"/>
      </w:tblGrid>
      <w:tr w14:paraId="709C3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361" w:type="dxa"/>
            <w:tcBorders>
              <w:tl2br w:val="nil"/>
              <w:tr2bl w:val="nil"/>
            </w:tcBorders>
            <w:vAlign w:val="center"/>
          </w:tcPr>
          <w:p w14:paraId="7A754F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风险类型</w:t>
            </w:r>
          </w:p>
        </w:tc>
        <w:tc>
          <w:tcPr>
            <w:tcW w:w="7153" w:type="dxa"/>
            <w:tcBorders>
              <w:tl2br w:val="nil"/>
              <w:tr2bl w:val="nil"/>
            </w:tcBorders>
            <w:vAlign w:val="center"/>
          </w:tcPr>
          <w:p w14:paraId="2F262A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对人体与环境损害</w:t>
            </w:r>
          </w:p>
        </w:tc>
      </w:tr>
      <w:tr w14:paraId="6C8E1D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61" w:type="dxa"/>
            <w:tcBorders>
              <w:tl2br w:val="nil"/>
              <w:tr2bl w:val="nil"/>
            </w:tcBorders>
            <w:vAlign w:val="center"/>
          </w:tcPr>
          <w:p w14:paraId="4CC9F8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地质灾害</w:t>
            </w:r>
          </w:p>
        </w:tc>
        <w:tc>
          <w:tcPr>
            <w:tcW w:w="7153" w:type="dxa"/>
            <w:tcBorders>
              <w:tl2br w:val="nil"/>
              <w:tr2bl w:val="nil"/>
            </w:tcBorders>
            <w:vAlign w:val="center"/>
          </w:tcPr>
          <w:p w14:paraId="4C05AA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地表裂缝错动会使影响范围内的建（构）筑物及天然地物受到破坏；行人、机械及车辆等误入错动区会受到损害；暴雨洪水汇入会危及井下安全。</w:t>
            </w:r>
          </w:p>
        </w:tc>
      </w:tr>
      <w:tr w14:paraId="6CA43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361" w:type="dxa"/>
            <w:tcBorders>
              <w:tl2br w:val="nil"/>
              <w:tr2bl w:val="nil"/>
            </w:tcBorders>
            <w:vAlign w:val="center"/>
          </w:tcPr>
          <w:p w14:paraId="4C6416C4">
            <w:pPr>
              <w:pStyle w:val="18"/>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bCs/>
                <w:color w:val="auto"/>
                <w:spacing w:val="0"/>
                <w:w w:val="100"/>
                <w:position w:val="0"/>
                <w:sz w:val="21"/>
                <w:szCs w:val="21"/>
              </w:rPr>
            </w:pPr>
            <w:r>
              <w:rPr>
                <w:rFonts w:hint="default" w:ascii="Times New Roman" w:hAnsi="Times New Roman" w:eastAsia="宋体" w:cs="Times New Roman"/>
                <w:b/>
                <w:bCs/>
                <w:color w:val="auto"/>
                <w:spacing w:val="0"/>
                <w:w w:val="100"/>
                <w:position w:val="0"/>
                <w:sz w:val="21"/>
                <w:szCs w:val="21"/>
              </w:rPr>
              <w:t>矿井突水及骨顶</w:t>
            </w:r>
          </w:p>
        </w:tc>
        <w:tc>
          <w:tcPr>
            <w:tcW w:w="7153" w:type="dxa"/>
            <w:tcBorders>
              <w:tl2br w:val="nil"/>
              <w:tr2bl w:val="nil"/>
            </w:tcBorders>
            <w:vAlign w:val="center"/>
          </w:tcPr>
          <w:p w14:paraId="113E6192">
            <w:pPr>
              <w:pStyle w:val="62"/>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对井下人员和内、外环境造成损害，发生率较大，瞬间会发生淹井，造成人员伤亡，改变地下水环境原有状况、补给径流、排泄途径，局部影响地表水与地下水的水力联系，并增加了排水量。巷道骨顶会造成井下伤亡事故。</w:t>
            </w:r>
          </w:p>
        </w:tc>
      </w:tr>
    </w:tbl>
    <w:p w14:paraId="2C85D15A">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5.9.5.4废石场环境风险分析</w:t>
      </w:r>
    </w:p>
    <w:p w14:paraId="618596A7">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（1）拦渣坝溃坝</w:t>
      </w:r>
    </w:p>
    <w:p w14:paraId="418885F7">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废石场是一个具有高势能的人造泥石流的危险源，各种天然的和人为的不利因素威胁着它的安全，一旦失事，将会造成巨大的灾难与损失。废石场可能存在的风险、有害因素有：拦渣坝坝体失稳、溃坝。</w:t>
      </w:r>
    </w:p>
    <w:p w14:paraId="5CAB43C2">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对溃坝事故用预先危险性分析法（PHA）分析如下：</w:t>
      </w:r>
    </w:p>
    <w:p w14:paraId="304A8B06">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表5.9-7    溃坝事故预先危险性分析表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905"/>
        <w:gridCol w:w="1560"/>
        <w:gridCol w:w="1663"/>
        <w:gridCol w:w="782"/>
        <w:gridCol w:w="1956"/>
      </w:tblGrid>
      <w:tr w14:paraId="67FF4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47" w:type="dxa"/>
            <w:tcBorders>
              <w:tl2br w:val="nil"/>
              <w:tr2bl w:val="nil"/>
            </w:tcBorders>
            <w:vAlign w:val="center"/>
          </w:tcPr>
          <w:p w14:paraId="19F715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潜在事故</w:t>
            </w:r>
          </w:p>
        </w:tc>
        <w:tc>
          <w:tcPr>
            <w:tcW w:w="1905" w:type="dxa"/>
            <w:tcBorders>
              <w:tl2br w:val="nil"/>
              <w:tr2bl w:val="nil"/>
            </w:tcBorders>
            <w:vAlign w:val="center"/>
          </w:tcPr>
          <w:p w14:paraId="4A7528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产生原因</w:t>
            </w:r>
          </w:p>
        </w:tc>
        <w:tc>
          <w:tcPr>
            <w:tcW w:w="1560" w:type="dxa"/>
            <w:tcBorders>
              <w:tl2br w:val="nil"/>
              <w:tr2bl w:val="nil"/>
            </w:tcBorders>
            <w:vAlign w:val="center"/>
          </w:tcPr>
          <w:p w14:paraId="5B4D5A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触发条件</w:t>
            </w:r>
          </w:p>
        </w:tc>
        <w:tc>
          <w:tcPr>
            <w:tcW w:w="1663" w:type="dxa"/>
            <w:tcBorders>
              <w:tl2br w:val="nil"/>
              <w:tr2bl w:val="nil"/>
            </w:tcBorders>
            <w:vAlign w:val="center"/>
          </w:tcPr>
          <w:p w14:paraId="01E8B2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事故后果</w:t>
            </w:r>
          </w:p>
        </w:tc>
        <w:tc>
          <w:tcPr>
            <w:tcW w:w="782" w:type="dxa"/>
            <w:tcBorders>
              <w:tl2br w:val="nil"/>
              <w:tr2bl w:val="nil"/>
            </w:tcBorders>
            <w:vAlign w:val="center"/>
          </w:tcPr>
          <w:p w14:paraId="2A05B4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危险等级</w:t>
            </w:r>
          </w:p>
        </w:tc>
        <w:tc>
          <w:tcPr>
            <w:tcW w:w="1956" w:type="dxa"/>
            <w:tcBorders>
              <w:tl2br w:val="nil"/>
              <w:tr2bl w:val="nil"/>
            </w:tcBorders>
            <w:vAlign w:val="center"/>
          </w:tcPr>
          <w:p w14:paraId="40158C2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措施</w:t>
            </w:r>
          </w:p>
        </w:tc>
      </w:tr>
      <w:tr w14:paraId="6A5EE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tcBorders>
              <w:tl2br w:val="nil"/>
              <w:tr2bl w:val="nil"/>
            </w:tcBorders>
            <w:vAlign w:val="center"/>
          </w:tcPr>
          <w:p w14:paraId="3A1346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坝体整体失稳、溃坝</w:t>
            </w:r>
          </w:p>
        </w:tc>
        <w:tc>
          <w:tcPr>
            <w:tcW w:w="1905" w:type="dxa"/>
            <w:tcBorders>
              <w:tl2br w:val="nil"/>
              <w:tr2bl w:val="nil"/>
            </w:tcBorders>
            <w:vAlign w:val="center"/>
          </w:tcPr>
          <w:p w14:paraId="48D6D60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（1）场内存水过多；</w:t>
            </w:r>
          </w:p>
          <w:p w14:paraId="2EB166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（2）汛期雨量大；</w:t>
            </w:r>
          </w:p>
          <w:p w14:paraId="7E102B9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（3）地震；</w:t>
            </w:r>
          </w:p>
          <w:p w14:paraId="44226F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（4）排水构筑物堵塞、损毁；</w:t>
            </w:r>
          </w:p>
          <w:p w14:paraId="4B64DC2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（5）坝体出现裂缝、滑坡、渗漏以及管涌流土；</w:t>
            </w:r>
          </w:p>
          <w:p w14:paraId="6A1A9D8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（6）坝体施工不当。</w:t>
            </w:r>
          </w:p>
        </w:tc>
        <w:tc>
          <w:tcPr>
            <w:tcW w:w="1560" w:type="dxa"/>
            <w:tcBorders>
              <w:tl2br w:val="nil"/>
              <w:tr2bl w:val="nil"/>
            </w:tcBorders>
            <w:vAlign w:val="center"/>
          </w:tcPr>
          <w:p w14:paraId="727182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（1）设计不合理；</w:t>
            </w:r>
          </w:p>
          <w:p w14:paraId="6D98D3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（2）截洪沟排水达不到设计要求、洪水大量涌入库内。</w:t>
            </w:r>
          </w:p>
          <w:p w14:paraId="0F43AE7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3</w:t>
            </w:r>
            <w:r>
              <w:rPr>
                <w:rFonts w:hint="default" w:ascii="Times New Roman" w:hAnsi="Times New Roman" w:eastAsia="宋体" w:cs="Times New Roman"/>
                <w:color w:val="auto"/>
                <w:spacing w:val="0"/>
                <w:w w:val="100"/>
                <w:position w:val="0"/>
                <w:sz w:val="21"/>
                <w:szCs w:val="21"/>
              </w:rPr>
              <w:t>）未在堆场周围山坡修建截、排水沟</w:t>
            </w:r>
          </w:p>
        </w:tc>
        <w:tc>
          <w:tcPr>
            <w:tcW w:w="1663" w:type="dxa"/>
            <w:tcBorders>
              <w:tl2br w:val="nil"/>
              <w:tr2bl w:val="nil"/>
            </w:tcBorders>
            <w:vAlign w:val="center"/>
          </w:tcPr>
          <w:p w14:paraId="39AA856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（1）坝体垮塌，导致人员伤亡，财产损失和严重的环境污染；</w:t>
            </w:r>
          </w:p>
          <w:p w14:paraId="5E7991F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rPr>
              <w:t>（2）</w:t>
            </w:r>
            <w:r>
              <w:rPr>
                <w:rFonts w:hint="default" w:ascii="Times New Roman" w:hAnsi="Times New Roman" w:eastAsia="宋体" w:cs="Times New Roman"/>
                <w:color w:val="auto"/>
                <w:spacing w:val="0"/>
                <w:w w:val="100"/>
                <w:position w:val="0"/>
                <w:sz w:val="21"/>
                <w:lang w:eastAsia="zh-CN"/>
              </w:rPr>
              <w:t>废石场</w:t>
            </w:r>
            <w:r>
              <w:rPr>
                <w:rFonts w:hint="default" w:ascii="Times New Roman" w:hAnsi="Times New Roman" w:eastAsia="宋体" w:cs="Times New Roman"/>
                <w:color w:val="auto"/>
                <w:spacing w:val="0"/>
                <w:w w:val="100"/>
                <w:position w:val="0"/>
                <w:sz w:val="21"/>
              </w:rPr>
              <w:t>坝体局部滑坡、沉陷、威胁整体的安全</w:t>
            </w:r>
            <w:r>
              <w:rPr>
                <w:rFonts w:hint="default" w:ascii="Times New Roman" w:hAnsi="Times New Roman" w:eastAsia="宋体" w:cs="Times New Roman"/>
                <w:color w:val="auto"/>
                <w:spacing w:val="0"/>
                <w:w w:val="100"/>
                <w:position w:val="0"/>
                <w:sz w:val="21"/>
                <w:lang w:eastAsia="zh-CN"/>
              </w:rPr>
              <w:t>。</w:t>
            </w:r>
          </w:p>
        </w:tc>
        <w:tc>
          <w:tcPr>
            <w:tcW w:w="782" w:type="dxa"/>
            <w:tcBorders>
              <w:tl2br w:val="nil"/>
              <w:tr2bl w:val="nil"/>
            </w:tcBorders>
            <w:vAlign w:val="center"/>
          </w:tcPr>
          <w:p w14:paraId="208431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IV</w:t>
            </w:r>
          </w:p>
        </w:tc>
        <w:tc>
          <w:tcPr>
            <w:tcW w:w="1956" w:type="dxa"/>
            <w:tcBorders>
              <w:tl2br w:val="nil"/>
              <w:tr2bl w:val="nil"/>
            </w:tcBorders>
            <w:vAlign w:val="center"/>
          </w:tcPr>
          <w:p w14:paraId="51D175A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（1）认真选址，并做好工程地质勘察工作；</w:t>
            </w:r>
          </w:p>
          <w:p w14:paraId="0E63A78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（2）请具有资质和经验的设计人员精心设计渣场坝体，严格审查设计方案；</w:t>
            </w:r>
          </w:p>
          <w:p w14:paraId="3E5001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（3）严格实行工程监理制，确保渣场坝体施工质量。</w:t>
            </w:r>
          </w:p>
        </w:tc>
      </w:tr>
    </w:tbl>
    <w:p w14:paraId="0784EE07">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由以上分析看出，</w:t>
      </w:r>
      <w:r>
        <w:rPr>
          <w:rFonts w:hint="default" w:ascii="Times New Roman" w:hAnsi="Times New Roman" w:eastAsia="宋体" w:cs="Times New Roman"/>
          <w:color w:val="auto"/>
          <w:spacing w:val="0"/>
          <w:w w:val="100"/>
          <w:position w:val="0"/>
          <w:sz w:val="24"/>
          <w:szCs w:val="24"/>
          <w:lang w:val="en-US" w:eastAsia="zh-CN"/>
        </w:rPr>
        <w:t>废石场</w:t>
      </w:r>
      <w:r>
        <w:rPr>
          <w:rFonts w:hint="default" w:ascii="Times New Roman" w:hAnsi="Times New Roman" w:eastAsia="宋体" w:cs="Times New Roman"/>
          <w:color w:val="auto"/>
          <w:spacing w:val="0"/>
          <w:w w:val="100"/>
          <w:position w:val="0"/>
          <w:sz w:val="24"/>
          <w:szCs w:val="24"/>
        </w:rPr>
        <w:t>坝体整体失稳须重点进行预防与控制。</w:t>
      </w:r>
    </w:p>
    <w:p w14:paraId="6EAC68F0">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lang w:val="en-US" w:eastAsia="zh-CN"/>
        </w:rPr>
        <w:t>滑坡</w:t>
      </w:r>
    </w:p>
    <w:p w14:paraId="115AF6B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rPr>
      </w:pPr>
      <w:r>
        <w:rPr>
          <w:rFonts w:hint="default" w:ascii="Times New Roman" w:hAnsi="Times New Roman" w:eastAsia="宋体" w:cs="Times New Roman"/>
          <w:color w:val="auto"/>
          <w:spacing w:val="0"/>
          <w:w w:val="100"/>
          <w:position w:val="0"/>
          <w:sz w:val="24"/>
          <w:szCs w:val="24"/>
          <w:lang w:val="en-US" w:eastAsia="zh-CN"/>
        </w:rPr>
        <w:t>由于废石场废石与基岩间，有一层残坡积物，为软弱层，在地形坡度适合，残留坡积物含水量适宜时，有可能引起滑坡。</w:t>
      </w:r>
    </w:p>
    <w:p w14:paraId="58D50CB0">
      <w:pPr>
        <w:bidi w:val="0"/>
        <w:rPr>
          <w:rFonts w:hint="default" w:ascii="Times New Roman" w:hAnsi="Times New Roman" w:eastAsia="宋体" w:cs="Times New Roman"/>
          <w:color w:val="auto"/>
          <w:spacing w:val="0"/>
          <w:w w:val="100"/>
          <w:position w:val="0"/>
          <w:sz w:val="24"/>
          <w:szCs w:val="24"/>
          <w:lang w:val="en-US"/>
        </w:rPr>
      </w:pPr>
      <w:r>
        <w:rPr>
          <w:rFonts w:hint="default" w:ascii="Times New Roman" w:hAnsi="Times New Roman" w:eastAsia="宋体" w:cs="Times New Roman"/>
          <w:color w:val="auto"/>
          <w:spacing w:val="0"/>
          <w:w w:val="100"/>
          <w:position w:val="0"/>
          <w:sz w:val="24"/>
          <w:szCs w:val="24"/>
          <w:lang w:val="en-US" w:eastAsia="zh-CN"/>
        </w:rPr>
        <w:t>滑坡是因边坡开挖后，破坏了岩体内部初始应力的平衡引起岩体大规模位移的现象。按破坏形式，滑坡可分为塌落和倾倒式破坏。滑坡发生时对处于危险区的设备、设施可能造成破坏，对处于危险区人员可能构成伤亡。</w:t>
      </w:r>
    </w:p>
    <w:p w14:paraId="3A5FE370">
      <w:pPr>
        <w:bidi w:val="0"/>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引起滑坡的主要原因有：不良地质条件；地压过高；凿岩爆破不当；降水影响；维护加固不当；边坡过高过陡等。</w:t>
      </w:r>
    </w:p>
    <w:p w14:paraId="6DCD4C76">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5.9.5.5拦渣坝溃坝事故发生可能性分析</w:t>
      </w:r>
    </w:p>
    <w:p w14:paraId="18F52C26">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废石场是一个具有高势能的人造泥石流的危险源，各种天然的和人为的不利因素威胁着它的安全，一旦失事，将会造成巨大的灾难与损失。废石场可能存在的风险、有害因素有：拦渣坝坝体失稳、溃坝。</w:t>
      </w:r>
    </w:p>
    <w:p w14:paraId="4D2994DB">
      <w:pPr>
        <w:ind w:firstLine="480"/>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对溃坝事故用预先危险性分析法（PHA）分析如下：</w:t>
      </w:r>
    </w:p>
    <w:p w14:paraId="1DBCF3FD">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表5.9-8    溃坝事故预先危险性分析表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905"/>
        <w:gridCol w:w="1560"/>
        <w:gridCol w:w="1663"/>
        <w:gridCol w:w="782"/>
        <w:gridCol w:w="1956"/>
      </w:tblGrid>
      <w:tr w14:paraId="68FC3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47" w:type="dxa"/>
            <w:tcBorders>
              <w:tl2br w:val="nil"/>
              <w:tr2bl w:val="nil"/>
            </w:tcBorders>
            <w:vAlign w:val="center"/>
          </w:tcPr>
          <w:p w14:paraId="1299FB0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潜在事故</w:t>
            </w:r>
          </w:p>
        </w:tc>
        <w:tc>
          <w:tcPr>
            <w:tcW w:w="1905" w:type="dxa"/>
            <w:tcBorders>
              <w:tl2br w:val="nil"/>
              <w:tr2bl w:val="nil"/>
            </w:tcBorders>
            <w:vAlign w:val="center"/>
          </w:tcPr>
          <w:p w14:paraId="227107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产生原因</w:t>
            </w:r>
          </w:p>
        </w:tc>
        <w:tc>
          <w:tcPr>
            <w:tcW w:w="1560" w:type="dxa"/>
            <w:tcBorders>
              <w:tl2br w:val="nil"/>
              <w:tr2bl w:val="nil"/>
            </w:tcBorders>
            <w:vAlign w:val="center"/>
          </w:tcPr>
          <w:p w14:paraId="7E802DA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触发条件</w:t>
            </w:r>
          </w:p>
        </w:tc>
        <w:tc>
          <w:tcPr>
            <w:tcW w:w="1663" w:type="dxa"/>
            <w:tcBorders>
              <w:tl2br w:val="nil"/>
              <w:tr2bl w:val="nil"/>
            </w:tcBorders>
            <w:vAlign w:val="center"/>
          </w:tcPr>
          <w:p w14:paraId="2623580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事故后果</w:t>
            </w:r>
          </w:p>
        </w:tc>
        <w:tc>
          <w:tcPr>
            <w:tcW w:w="782" w:type="dxa"/>
            <w:tcBorders>
              <w:tl2br w:val="nil"/>
              <w:tr2bl w:val="nil"/>
            </w:tcBorders>
            <w:vAlign w:val="center"/>
          </w:tcPr>
          <w:p w14:paraId="04AD75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危险等级</w:t>
            </w:r>
          </w:p>
        </w:tc>
        <w:tc>
          <w:tcPr>
            <w:tcW w:w="1956" w:type="dxa"/>
            <w:tcBorders>
              <w:tl2br w:val="nil"/>
              <w:tr2bl w:val="nil"/>
            </w:tcBorders>
            <w:vAlign w:val="center"/>
          </w:tcPr>
          <w:p w14:paraId="1656CA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b w:val="0"/>
                <w:bCs/>
                <w:color w:val="auto"/>
                <w:spacing w:val="0"/>
                <w:w w:val="100"/>
                <w:position w:val="0"/>
                <w:sz w:val="21"/>
                <w:szCs w:val="21"/>
              </w:rPr>
            </w:pPr>
            <w:r>
              <w:rPr>
                <w:rFonts w:hint="default" w:ascii="Times New Roman" w:hAnsi="Times New Roman" w:eastAsia="宋体" w:cs="Times New Roman"/>
                <w:b w:val="0"/>
                <w:bCs/>
                <w:color w:val="auto"/>
                <w:spacing w:val="0"/>
                <w:w w:val="100"/>
                <w:position w:val="0"/>
                <w:sz w:val="21"/>
                <w:szCs w:val="21"/>
              </w:rPr>
              <w:t>措施</w:t>
            </w:r>
          </w:p>
        </w:tc>
      </w:tr>
      <w:tr w14:paraId="1686E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7" w:type="dxa"/>
            <w:tcBorders>
              <w:tl2br w:val="nil"/>
              <w:tr2bl w:val="nil"/>
            </w:tcBorders>
            <w:vAlign w:val="center"/>
          </w:tcPr>
          <w:p w14:paraId="40F36F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坝体整体失稳、溃坝</w:t>
            </w:r>
          </w:p>
        </w:tc>
        <w:tc>
          <w:tcPr>
            <w:tcW w:w="1905" w:type="dxa"/>
            <w:tcBorders>
              <w:tl2br w:val="nil"/>
              <w:tr2bl w:val="nil"/>
            </w:tcBorders>
            <w:vAlign w:val="center"/>
          </w:tcPr>
          <w:p w14:paraId="51EA0EF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（1）场内存水过多；</w:t>
            </w:r>
          </w:p>
          <w:p w14:paraId="69F73AB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（2）汛期雨量大；</w:t>
            </w:r>
          </w:p>
          <w:p w14:paraId="05555C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（3）地震；</w:t>
            </w:r>
          </w:p>
          <w:p w14:paraId="2B4568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（4）排水构筑物堵塞、损毁；</w:t>
            </w:r>
          </w:p>
          <w:p w14:paraId="43237C0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（5）坝体出现裂缝、滑坡、渗漏以及管涌流土；</w:t>
            </w:r>
          </w:p>
          <w:p w14:paraId="125924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（6）坝体施工不当。</w:t>
            </w:r>
          </w:p>
        </w:tc>
        <w:tc>
          <w:tcPr>
            <w:tcW w:w="1560" w:type="dxa"/>
            <w:tcBorders>
              <w:tl2br w:val="nil"/>
              <w:tr2bl w:val="nil"/>
            </w:tcBorders>
            <w:vAlign w:val="center"/>
          </w:tcPr>
          <w:p w14:paraId="36F0BE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（1）设计不合理；</w:t>
            </w:r>
          </w:p>
          <w:p w14:paraId="0C50E88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（2）截洪沟排水达不到设计要求、洪水大量涌入库内。</w:t>
            </w:r>
          </w:p>
          <w:p w14:paraId="7ED5AC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w:t>
            </w:r>
            <w:r>
              <w:rPr>
                <w:rFonts w:hint="default" w:ascii="Times New Roman" w:hAnsi="Times New Roman" w:eastAsia="宋体" w:cs="Times New Roman"/>
                <w:color w:val="auto"/>
                <w:spacing w:val="0"/>
                <w:w w:val="100"/>
                <w:position w:val="0"/>
                <w:sz w:val="21"/>
                <w:szCs w:val="21"/>
                <w:lang w:val="en-US" w:eastAsia="zh-CN"/>
              </w:rPr>
              <w:t>3</w:t>
            </w:r>
            <w:r>
              <w:rPr>
                <w:rFonts w:hint="default" w:ascii="Times New Roman" w:hAnsi="Times New Roman" w:eastAsia="宋体" w:cs="Times New Roman"/>
                <w:color w:val="auto"/>
                <w:spacing w:val="0"/>
                <w:w w:val="100"/>
                <w:position w:val="0"/>
                <w:sz w:val="21"/>
                <w:szCs w:val="21"/>
              </w:rPr>
              <w:t>）未在堆场周围山坡修建截、排水沟</w:t>
            </w:r>
          </w:p>
        </w:tc>
        <w:tc>
          <w:tcPr>
            <w:tcW w:w="1663" w:type="dxa"/>
            <w:tcBorders>
              <w:tl2br w:val="nil"/>
              <w:tr2bl w:val="nil"/>
            </w:tcBorders>
            <w:vAlign w:val="center"/>
          </w:tcPr>
          <w:p w14:paraId="52C9B28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（1）坝体垮塌，导致人员伤亡，财产损失和严重的环境污染；</w:t>
            </w:r>
          </w:p>
          <w:p w14:paraId="700BD6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rPr>
              <w:t>（2）</w:t>
            </w:r>
            <w:r>
              <w:rPr>
                <w:rFonts w:hint="default" w:ascii="Times New Roman" w:hAnsi="Times New Roman" w:eastAsia="宋体" w:cs="Times New Roman"/>
                <w:color w:val="auto"/>
                <w:spacing w:val="0"/>
                <w:w w:val="100"/>
                <w:position w:val="0"/>
                <w:sz w:val="21"/>
                <w:lang w:eastAsia="zh-CN"/>
              </w:rPr>
              <w:t>废石场</w:t>
            </w:r>
            <w:r>
              <w:rPr>
                <w:rFonts w:hint="default" w:ascii="Times New Roman" w:hAnsi="Times New Roman" w:eastAsia="宋体" w:cs="Times New Roman"/>
                <w:color w:val="auto"/>
                <w:spacing w:val="0"/>
                <w:w w:val="100"/>
                <w:position w:val="0"/>
                <w:sz w:val="21"/>
              </w:rPr>
              <w:t>坝体局部滑坡、沉陷阱、威胁整体的安全</w:t>
            </w:r>
            <w:r>
              <w:rPr>
                <w:rFonts w:hint="default" w:ascii="Times New Roman" w:hAnsi="Times New Roman" w:eastAsia="宋体" w:cs="Times New Roman"/>
                <w:color w:val="auto"/>
                <w:spacing w:val="0"/>
                <w:w w:val="100"/>
                <w:position w:val="0"/>
                <w:sz w:val="21"/>
                <w:lang w:eastAsia="zh-CN"/>
              </w:rPr>
              <w:t>。</w:t>
            </w:r>
          </w:p>
        </w:tc>
        <w:tc>
          <w:tcPr>
            <w:tcW w:w="782" w:type="dxa"/>
            <w:tcBorders>
              <w:tl2br w:val="nil"/>
              <w:tr2bl w:val="nil"/>
            </w:tcBorders>
            <w:vAlign w:val="center"/>
          </w:tcPr>
          <w:p w14:paraId="265E4F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IV</w:t>
            </w:r>
          </w:p>
        </w:tc>
        <w:tc>
          <w:tcPr>
            <w:tcW w:w="1956" w:type="dxa"/>
            <w:tcBorders>
              <w:tl2br w:val="nil"/>
              <w:tr2bl w:val="nil"/>
            </w:tcBorders>
            <w:vAlign w:val="center"/>
          </w:tcPr>
          <w:p w14:paraId="05455C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（1）认真选址，并做好工程地质勘察工作；</w:t>
            </w:r>
          </w:p>
          <w:p w14:paraId="41B6A1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（2）请具有资质和经验的设计人员精心设计渣场坝体，严格审查设计方案；</w:t>
            </w:r>
          </w:p>
          <w:p w14:paraId="13CBDE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（3）严格实行工程监理制，确保渣场坝体施工质量。</w:t>
            </w:r>
          </w:p>
        </w:tc>
      </w:tr>
    </w:tbl>
    <w:p w14:paraId="15B0DCD1">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由以上分析看出，</w:t>
      </w:r>
      <w:r>
        <w:rPr>
          <w:rFonts w:hint="default" w:ascii="Times New Roman" w:hAnsi="Times New Roman" w:eastAsia="宋体" w:cs="Times New Roman"/>
          <w:color w:val="auto"/>
          <w:spacing w:val="0"/>
          <w:w w:val="100"/>
          <w:position w:val="0"/>
          <w:lang w:val="en-US" w:eastAsia="zh-CN"/>
        </w:rPr>
        <w:t>废石场</w:t>
      </w:r>
      <w:r>
        <w:rPr>
          <w:rFonts w:hint="default" w:ascii="Times New Roman" w:hAnsi="Times New Roman" w:eastAsia="宋体" w:cs="Times New Roman"/>
          <w:color w:val="auto"/>
          <w:spacing w:val="0"/>
          <w:w w:val="100"/>
          <w:position w:val="0"/>
        </w:rPr>
        <w:t>坝体整体失稳</w:t>
      </w:r>
      <w:r>
        <w:rPr>
          <w:rFonts w:hint="eastAsia" w:ascii="Times New Roman" w:hAnsi="Times New Roman" w:eastAsia="宋体" w:cs="Times New Roman"/>
          <w:color w:val="auto"/>
          <w:spacing w:val="0"/>
          <w:w w:val="100"/>
          <w:position w:val="0"/>
          <w:lang w:eastAsia="zh-CN"/>
        </w:rPr>
        <w:t>需</w:t>
      </w:r>
      <w:r>
        <w:rPr>
          <w:rFonts w:hint="default" w:ascii="Times New Roman" w:hAnsi="Times New Roman" w:eastAsia="宋体" w:cs="Times New Roman"/>
          <w:color w:val="auto"/>
          <w:spacing w:val="0"/>
          <w:w w:val="100"/>
          <w:position w:val="0"/>
        </w:rPr>
        <w:t>重点进行预防与控制。</w:t>
      </w:r>
    </w:p>
    <w:p w14:paraId="67BC13D0">
      <w:pPr>
        <w:pStyle w:val="4"/>
        <w:bidi w:val="0"/>
        <w:rPr>
          <w:rFonts w:hint="default" w:ascii="Times New Roman" w:hAnsi="Times New Roman" w:cs="Times New Roman"/>
          <w:color w:val="auto"/>
          <w:lang w:val="en-US" w:eastAsia="zh-CN"/>
        </w:rPr>
      </w:pPr>
      <w:bookmarkStart w:id="673" w:name="_Toc375217615"/>
      <w:bookmarkStart w:id="674" w:name="_Toc19379"/>
      <w:bookmarkStart w:id="675" w:name="_Toc16012"/>
      <w:bookmarkStart w:id="676" w:name="_Toc8744"/>
      <w:bookmarkStart w:id="677" w:name="_Toc417856553"/>
      <w:bookmarkStart w:id="678" w:name="_Toc1925"/>
      <w:bookmarkStart w:id="679" w:name="_Toc3537"/>
      <w:bookmarkStart w:id="680" w:name="_Toc387680763"/>
      <w:bookmarkStart w:id="681" w:name="_Toc31860"/>
      <w:r>
        <w:rPr>
          <w:rFonts w:hint="default" w:ascii="Times New Roman" w:hAnsi="Times New Roman" w:cs="Times New Roman"/>
          <w:color w:val="auto"/>
          <w:lang w:val="en-US" w:eastAsia="zh-CN"/>
        </w:rPr>
        <w:t>风险事故防范措施</w:t>
      </w:r>
      <w:bookmarkEnd w:id="673"/>
      <w:bookmarkEnd w:id="674"/>
      <w:bookmarkEnd w:id="675"/>
      <w:bookmarkEnd w:id="676"/>
      <w:bookmarkEnd w:id="677"/>
      <w:bookmarkEnd w:id="678"/>
      <w:bookmarkEnd w:id="679"/>
      <w:bookmarkEnd w:id="680"/>
      <w:bookmarkEnd w:id="681"/>
    </w:p>
    <w:p w14:paraId="3467B508">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82" w:name="_Toc10438"/>
      <w:r>
        <w:rPr>
          <w:rFonts w:hint="default" w:ascii="Times New Roman" w:hAnsi="Times New Roman" w:eastAsia="宋体" w:cs="Times New Roman"/>
          <w:b/>
          <w:bCs w:val="0"/>
          <w:color w:val="auto"/>
          <w:spacing w:val="0"/>
          <w:w w:val="100"/>
          <w:kern w:val="0"/>
          <w:position w:val="0"/>
          <w:sz w:val="24"/>
          <w:szCs w:val="24"/>
          <w:highlight w:val="none"/>
          <w:lang w:val="en-US" w:eastAsia="zh-CN"/>
        </w:rPr>
        <w:t>5.9.6.1工业场地及建、构筑物布置</w:t>
      </w:r>
      <w:bookmarkEnd w:id="682"/>
    </w:p>
    <w:p w14:paraId="0AA4DB56">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bookmarkStart w:id="683" w:name="_Toc11559"/>
      <w:r>
        <w:rPr>
          <w:rFonts w:hint="default" w:ascii="Times New Roman" w:hAnsi="Times New Roman" w:eastAsia="宋体" w:cs="Times New Roman"/>
          <w:color w:val="auto"/>
          <w:spacing w:val="0"/>
          <w:w w:val="100"/>
          <w:position w:val="0"/>
        </w:rPr>
        <w:t>（1）在该建设项目施工前要对工业场地的开挖边坡稳定性进行研究，并对场地工程地质进行勘察，验算地基的稳定性。确保所选的井工程布置及其构筑物，不受岩移、滑坡、滚石等危害；</w:t>
      </w:r>
    </w:p>
    <w:p w14:paraId="2A0280D6">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（2）井巷应设在稳固的岩层中，避免开凿在含水层、断层或断层破碎带、岩溶发育带中；</w:t>
      </w:r>
    </w:p>
    <w:p w14:paraId="7BB26426">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（3）在保证安全的前提下，主要井巷工程应布置在工程量和总运输功最小的矿体下盘。平硐口、井口位置应便于布置各种建筑物、堆放场地，尽量不占或少占草场；</w:t>
      </w:r>
    </w:p>
    <w:p w14:paraId="59D5CC52">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（4）回风井应布置在主导风向的下侧方向。如因各方面的情况影响时，出风口必须采取降尘措施，使排出污风达到矿山安全规程的排放标准；</w:t>
      </w:r>
    </w:p>
    <w:p w14:paraId="577F05F5">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5</w:t>
      </w:r>
      <w:r>
        <w:rPr>
          <w:rFonts w:hint="default" w:ascii="Times New Roman" w:hAnsi="Times New Roman" w:eastAsia="宋体" w:cs="Times New Roman"/>
          <w:color w:val="auto"/>
          <w:spacing w:val="0"/>
          <w:w w:val="100"/>
          <w:position w:val="0"/>
        </w:rPr>
        <w:t>）全矿生产设备按生产工艺流程顺序配置，生产作业线不交叉，采用短捷的运输线路，合理的储运方式。各生产设备点为操作人员留有足够的操作场地</w:t>
      </w:r>
      <w:r>
        <w:rPr>
          <w:rFonts w:hint="default" w:ascii="Times New Roman" w:hAnsi="Times New Roman" w:eastAsia="宋体" w:cs="Times New Roman"/>
          <w:color w:val="auto"/>
          <w:spacing w:val="0"/>
          <w:w w:val="100"/>
          <w:position w:val="0"/>
          <w:lang w:eastAsia="zh-CN"/>
        </w:rPr>
        <w:t>；</w:t>
      </w:r>
    </w:p>
    <w:p w14:paraId="16E95319">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6</w:t>
      </w:r>
      <w:r>
        <w:rPr>
          <w:rFonts w:hint="default" w:ascii="Times New Roman" w:hAnsi="Times New Roman" w:eastAsia="宋体" w:cs="Times New Roman"/>
          <w:color w:val="auto"/>
          <w:spacing w:val="0"/>
          <w:w w:val="100"/>
          <w:position w:val="0"/>
        </w:rPr>
        <w:t>）各建筑物均按当地地震烈度进行设防，重要建（构）筑物地震设防烈度应提高一度设防；</w:t>
      </w:r>
    </w:p>
    <w:p w14:paraId="44FBC164">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7</w:t>
      </w:r>
      <w:r>
        <w:rPr>
          <w:rFonts w:hint="default" w:ascii="Times New Roman" w:hAnsi="Times New Roman" w:eastAsia="宋体" w:cs="Times New Roman"/>
          <w:color w:val="auto"/>
          <w:spacing w:val="0"/>
          <w:w w:val="100"/>
          <w:position w:val="0"/>
        </w:rPr>
        <w:t>）矿山工业场地及建</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构</w:t>
      </w:r>
      <w:r>
        <w:rPr>
          <w:rFonts w:hint="default" w:ascii="Times New Roman" w:hAnsi="Times New Roman" w:eastAsia="宋体" w:cs="Times New Roman"/>
          <w:color w:val="auto"/>
          <w:spacing w:val="0"/>
          <w:w w:val="100"/>
          <w:position w:val="0"/>
          <w:lang w:eastAsia="zh-CN"/>
        </w:rPr>
        <w:t>）</w:t>
      </w:r>
      <w:r>
        <w:rPr>
          <w:rFonts w:hint="default" w:ascii="Times New Roman" w:hAnsi="Times New Roman" w:eastAsia="宋体" w:cs="Times New Roman"/>
          <w:color w:val="auto"/>
          <w:spacing w:val="0"/>
          <w:w w:val="100"/>
          <w:position w:val="0"/>
        </w:rPr>
        <w:t>筑物高度超过15m的设置避雷针或避雷带，以防雷击</w:t>
      </w:r>
      <w:r>
        <w:rPr>
          <w:rFonts w:hint="default" w:ascii="Times New Roman" w:hAnsi="Times New Roman" w:eastAsia="宋体" w:cs="Times New Roman"/>
          <w:color w:val="auto"/>
          <w:spacing w:val="0"/>
          <w:w w:val="100"/>
          <w:position w:val="0"/>
          <w:lang w:eastAsia="zh-CN"/>
        </w:rPr>
        <w:t>；</w:t>
      </w:r>
    </w:p>
    <w:p w14:paraId="4CCBD970">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8</w:t>
      </w:r>
      <w:r>
        <w:rPr>
          <w:rFonts w:hint="default" w:ascii="Times New Roman" w:hAnsi="Times New Roman" w:eastAsia="宋体" w:cs="Times New Roman"/>
          <w:color w:val="auto"/>
          <w:spacing w:val="0"/>
          <w:w w:val="100"/>
          <w:position w:val="0"/>
        </w:rPr>
        <w:t>）对于可能发生</w:t>
      </w:r>
      <w:r>
        <w:rPr>
          <w:rFonts w:hint="default" w:ascii="Times New Roman" w:hAnsi="Times New Roman" w:eastAsia="宋体" w:cs="Times New Roman"/>
          <w:color w:val="auto"/>
          <w:spacing w:val="0"/>
          <w:w w:val="100"/>
          <w:position w:val="0"/>
          <w:lang w:val="en-US" w:eastAsia="zh-CN"/>
        </w:rPr>
        <w:t>崩塌、滑坡</w:t>
      </w:r>
      <w:r>
        <w:rPr>
          <w:rFonts w:hint="default" w:ascii="Times New Roman" w:hAnsi="Times New Roman" w:eastAsia="宋体" w:cs="Times New Roman"/>
          <w:color w:val="auto"/>
          <w:spacing w:val="0"/>
          <w:w w:val="100"/>
          <w:position w:val="0"/>
        </w:rPr>
        <w:t>、泥石流</w:t>
      </w:r>
      <w:r>
        <w:rPr>
          <w:rFonts w:hint="eastAsia" w:ascii="Times New Roman" w:hAnsi="Times New Roman" w:eastAsia="宋体" w:cs="Times New Roman"/>
          <w:color w:val="auto"/>
          <w:spacing w:val="0"/>
          <w:w w:val="100"/>
          <w:position w:val="0"/>
          <w:lang w:eastAsia="zh-CN"/>
        </w:rPr>
        <w:t>等</w:t>
      </w:r>
      <w:r>
        <w:rPr>
          <w:rFonts w:hint="default" w:ascii="Times New Roman" w:hAnsi="Times New Roman" w:eastAsia="宋体" w:cs="Times New Roman"/>
          <w:color w:val="auto"/>
          <w:spacing w:val="0"/>
          <w:w w:val="100"/>
          <w:position w:val="0"/>
        </w:rPr>
        <w:t>地带，不设工业场地和居民住宅；</w:t>
      </w:r>
    </w:p>
    <w:p w14:paraId="2701CE53">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9</w:t>
      </w:r>
      <w:r>
        <w:rPr>
          <w:rFonts w:hint="default" w:ascii="Times New Roman" w:hAnsi="Times New Roman" w:eastAsia="宋体" w:cs="Times New Roman"/>
          <w:color w:val="auto"/>
          <w:spacing w:val="0"/>
          <w:w w:val="100"/>
          <w:position w:val="0"/>
        </w:rPr>
        <w:t>）在坑内设置安全警示标志；在井下车场设中段简图，标明进出方向</w:t>
      </w:r>
      <w:r>
        <w:rPr>
          <w:rFonts w:hint="default" w:ascii="Times New Roman" w:hAnsi="Times New Roman" w:eastAsia="宋体" w:cs="Times New Roman"/>
          <w:color w:val="auto"/>
          <w:spacing w:val="0"/>
          <w:w w:val="100"/>
          <w:position w:val="0"/>
          <w:lang w:eastAsia="zh-CN"/>
        </w:rPr>
        <w:t>。</w:t>
      </w:r>
    </w:p>
    <w:p w14:paraId="01517693">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5.9.6.2爆破事故预防措施</w:t>
      </w:r>
      <w:bookmarkEnd w:id="683"/>
    </w:p>
    <w:p w14:paraId="3A36FCE5">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bookmarkStart w:id="684" w:name="_Toc3574"/>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爆破工作全部委托民爆公司完成，主要提出以下措施：</w:t>
      </w:r>
    </w:p>
    <w:p w14:paraId="4F0E6140">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1</w:t>
      </w:r>
      <w:r>
        <w:rPr>
          <w:rFonts w:hint="default" w:ascii="Times New Roman" w:hAnsi="Times New Roman" w:eastAsia="宋体" w:cs="Times New Roman"/>
          <w:color w:val="auto"/>
          <w:spacing w:val="0"/>
          <w:w w:val="100"/>
          <w:position w:val="0"/>
        </w:rPr>
        <w:t>）在爆破作业现场临时存放民用爆炸物品的，应当具备临时存放民用爆炸物品的条件，并设专人管理、看护，不得在不具备安全存放条件的场所存放民用爆炸物品</w:t>
      </w:r>
      <w:r>
        <w:rPr>
          <w:rFonts w:hint="default" w:ascii="Times New Roman" w:hAnsi="Times New Roman" w:eastAsia="宋体" w:cs="Times New Roman"/>
          <w:color w:val="auto"/>
          <w:spacing w:val="0"/>
          <w:w w:val="100"/>
          <w:position w:val="0"/>
          <w:lang w:eastAsia="zh-CN"/>
        </w:rPr>
        <w:t>；</w:t>
      </w:r>
    </w:p>
    <w:p w14:paraId="1C37580C">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2</w:t>
      </w:r>
      <w:r>
        <w:rPr>
          <w:rFonts w:hint="default" w:ascii="Times New Roman" w:hAnsi="Times New Roman" w:eastAsia="宋体" w:cs="Times New Roman"/>
          <w:color w:val="auto"/>
          <w:spacing w:val="0"/>
          <w:w w:val="100"/>
          <w:position w:val="0"/>
        </w:rPr>
        <w:t>）建设单位委托专业的危险品运输车辆承担矿区爆破器材的运输，运输</w:t>
      </w:r>
      <w:r>
        <w:rPr>
          <w:rFonts w:hint="eastAsia" w:ascii="Times New Roman" w:hAnsi="Times New Roman" w:eastAsia="宋体" w:cs="Times New Roman"/>
          <w:color w:val="auto"/>
          <w:spacing w:val="0"/>
          <w:w w:val="100"/>
          <w:position w:val="0"/>
          <w:lang w:eastAsia="zh-CN"/>
        </w:rPr>
        <w:t>车辆</w:t>
      </w:r>
      <w:r>
        <w:rPr>
          <w:rFonts w:hint="default" w:ascii="Times New Roman" w:hAnsi="Times New Roman" w:eastAsia="宋体" w:cs="Times New Roman"/>
          <w:color w:val="auto"/>
          <w:spacing w:val="0"/>
          <w:w w:val="100"/>
          <w:position w:val="0"/>
        </w:rPr>
        <w:t>要远离火种、热源，防止阳光直射，保证运输的安全。运输时车辆上标注清楚醒目的危险警示标志</w:t>
      </w:r>
      <w:r>
        <w:rPr>
          <w:rFonts w:hint="default" w:ascii="Times New Roman" w:hAnsi="Times New Roman" w:eastAsia="宋体" w:cs="Times New Roman"/>
          <w:color w:val="auto"/>
          <w:spacing w:val="0"/>
          <w:w w:val="100"/>
          <w:position w:val="0"/>
          <w:lang w:eastAsia="zh-CN"/>
        </w:rPr>
        <w:t>；</w:t>
      </w:r>
    </w:p>
    <w:p w14:paraId="2F7F1829">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3</w:t>
      </w:r>
      <w:r>
        <w:rPr>
          <w:rFonts w:hint="default" w:ascii="Times New Roman" w:hAnsi="Times New Roman" w:eastAsia="宋体" w:cs="Times New Roman"/>
          <w:color w:val="auto"/>
          <w:spacing w:val="0"/>
          <w:w w:val="100"/>
          <w:position w:val="0"/>
        </w:rPr>
        <w:t>）爆破作业、火药库管理、器材运输、存放、加工使用必须严格遵循《爆破安全规程》（GB6722-20</w:t>
      </w:r>
      <w:r>
        <w:rPr>
          <w:rFonts w:hint="default" w:ascii="Times New Roman" w:hAnsi="Times New Roman" w:eastAsia="宋体" w:cs="Times New Roman"/>
          <w:color w:val="auto"/>
          <w:spacing w:val="0"/>
          <w:w w:val="100"/>
          <w:position w:val="0"/>
          <w:lang w:val="en-US" w:eastAsia="zh-CN"/>
        </w:rPr>
        <w:t>14</w:t>
      </w: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eastAsia="zh-CN"/>
        </w:rPr>
        <w:t>；</w:t>
      </w:r>
    </w:p>
    <w:p w14:paraId="691E7967">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4</w:t>
      </w:r>
      <w:r>
        <w:rPr>
          <w:rFonts w:hint="default" w:ascii="Times New Roman" w:hAnsi="Times New Roman" w:eastAsia="宋体" w:cs="Times New Roman"/>
          <w:color w:val="auto"/>
          <w:spacing w:val="0"/>
          <w:w w:val="100"/>
          <w:position w:val="0"/>
        </w:rPr>
        <w:t>）从事爆破作业人员必须受过爆破技术训练，熟悉爆破器材性能、操作方法和安全规程；</w:t>
      </w:r>
    </w:p>
    <w:p w14:paraId="62CB7479">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5</w:t>
      </w:r>
      <w:r>
        <w:rPr>
          <w:rFonts w:hint="default" w:ascii="Times New Roman" w:hAnsi="Times New Roman" w:eastAsia="宋体" w:cs="Times New Roman"/>
          <w:color w:val="auto"/>
          <w:spacing w:val="0"/>
          <w:w w:val="100"/>
          <w:position w:val="0"/>
        </w:rPr>
        <w:t>）爆破施工的安全技术措施要点：</w:t>
      </w:r>
    </w:p>
    <w:p w14:paraId="78810B9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①炮眼应严格按规定的药量装药堵塞。堵塞时应注意保持导火索、导爆索及电雷管脚线的完整。</w:t>
      </w:r>
    </w:p>
    <w:p w14:paraId="1D89CDEE">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②装药必须用木棒把炸药轻轻压入炮孔，严禁冲捣和使用金属棒。堵塞炮泥时切不可击动雷管。</w:t>
      </w:r>
    </w:p>
    <w:p w14:paraId="0342ADC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③炮孔深度超过4m时，须用两个雷管起爆；如深度超过10m，则不得用火花起爆。</w:t>
      </w:r>
    </w:p>
    <w:p w14:paraId="60AF97D0">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④在闪电鸣雷时，禁止装药、安装电雷管和</w:t>
      </w:r>
      <w:r>
        <w:rPr>
          <w:rFonts w:hint="eastAsia" w:ascii="Times New Roman" w:hAnsi="Times New Roman" w:eastAsia="宋体" w:cs="Times New Roman"/>
          <w:color w:val="auto"/>
          <w:spacing w:val="0"/>
          <w:w w:val="100"/>
          <w:position w:val="0"/>
          <w:lang w:eastAsia="zh-CN"/>
        </w:rPr>
        <w:t>连接</w:t>
      </w:r>
      <w:r>
        <w:rPr>
          <w:rFonts w:hint="default" w:ascii="Times New Roman" w:hAnsi="Times New Roman" w:eastAsia="宋体" w:cs="Times New Roman"/>
          <w:color w:val="auto"/>
          <w:spacing w:val="0"/>
          <w:w w:val="100"/>
          <w:position w:val="0"/>
        </w:rPr>
        <w:t>电线等操作，应迅速将雷管的脚线和电线的主线两端短路。所有工作人员应立即离开装药地点，隐藏于安全区。</w:t>
      </w:r>
    </w:p>
    <w:p w14:paraId="2520E214">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⑤放炮前必须划出警戒范围，立好标志，并有专人警戒。</w:t>
      </w:r>
    </w:p>
    <w:p w14:paraId="2A0250EB">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⑥扩大药壶时，不得将起爆药卷的导火索点燃后丢进炮眼去。扩大眼深超过4m的药壶，宜采用电雷管或导爆索起爆。在两次扩大爆破之间要留有炮眼冷却需要的时间：当眼深在5m之内时，使用硝铵炸药或梯思梯炸药时，其间隔时间不少于15分钟；使用硝化甘油炸药时，其间隔时间不少于30分钟。</w:t>
      </w:r>
    </w:p>
    <w:p w14:paraId="0093C3B8">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5.9.6.3井巷工程事故风险防范措施</w:t>
      </w:r>
      <w:bookmarkEnd w:id="684"/>
    </w:p>
    <w:p w14:paraId="3E7288D6">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bookmarkStart w:id="685" w:name="_Toc6308"/>
      <w:r>
        <w:rPr>
          <w:rFonts w:hint="default" w:ascii="Times New Roman" w:hAnsi="Times New Roman" w:eastAsia="宋体" w:cs="Times New Roman"/>
          <w:color w:val="auto"/>
          <w:spacing w:val="0"/>
          <w:w w:val="100"/>
          <w:position w:val="0"/>
        </w:rPr>
        <w:t>（1）在矿山基建期间或基建结束后，应安排采矿方法试验。通过试验可以达到：找到合适的采场结构参数，可以初步掌握地压活动规律，掌握该采矿方法的主要技术经济指标</w:t>
      </w:r>
      <w:r>
        <w:rPr>
          <w:rFonts w:hint="default" w:ascii="Times New Roman" w:hAnsi="Times New Roman" w:eastAsia="宋体" w:cs="Times New Roman"/>
          <w:color w:val="auto"/>
          <w:spacing w:val="0"/>
          <w:w w:val="100"/>
          <w:position w:val="0"/>
          <w:lang w:eastAsia="zh-CN"/>
        </w:rPr>
        <w:t>；</w:t>
      </w:r>
    </w:p>
    <w:p w14:paraId="785C6A5F">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（2）采场作业应首先进行安全检查，然后方可作业</w:t>
      </w:r>
      <w:r>
        <w:rPr>
          <w:rFonts w:hint="default" w:ascii="Times New Roman" w:hAnsi="Times New Roman" w:eastAsia="宋体" w:cs="Times New Roman"/>
          <w:color w:val="auto"/>
          <w:spacing w:val="0"/>
          <w:w w:val="100"/>
          <w:position w:val="0"/>
          <w:lang w:eastAsia="zh-CN"/>
        </w:rPr>
        <w:t>；</w:t>
      </w:r>
    </w:p>
    <w:p w14:paraId="5CC8379F">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（3）在每个采场均设有两个可到达地表的安全出口；</w:t>
      </w:r>
    </w:p>
    <w:p w14:paraId="7B96551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（4）对于不稳固的采场顶板及掘进作业面采用喷锚、喷锚网及砌筑混凝土支护；</w:t>
      </w:r>
    </w:p>
    <w:p w14:paraId="63956584">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（5）井下主要生产硐室均采用喷射或砌筑混凝土支护，确保安全；</w:t>
      </w:r>
    </w:p>
    <w:p w14:paraId="3D4B5FDF">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（6）对于采矿出现的陷坑、裂缝及可能出现的地表塌陷范围，要及时圈定，并设置标志和采取安全措施；</w:t>
      </w:r>
    </w:p>
    <w:p w14:paraId="0D515AA4">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（7）上山等处</w:t>
      </w:r>
      <w:r>
        <w:rPr>
          <w:rFonts w:hint="eastAsia" w:ascii="Times New Roman" w:hAnsi="Times New Roman" w:eastAsia="宋体" w:cs="Times New Roman"/>
          <w:color w:val="auto"/>
          <w:spacing w:val="0"/>
          <w:w w:val="100"/>
          <w:position w:val="0"/>
          <w:lang w:eastAsia="zh-CN"/>
        </w:rPr>
        <w:t>设置</w:t>
      </w:r>
      <w:r>
        <w:rPr>
          <w:rFonts w:hint="default" w:ascii="Times New Roman" w:hAnsi="Times New Roman" w:eastAsia="宋体" w:cs="Times New Roman"/>
          <w:color w:val="auto"/>
          <w:spacing w:val="0"/>
          <w:w w:val="100"/>
          <w:position w:val="0"/>
        </w:rPr>
        <w:t>明显标志、照明、</w:t>
      </w:r>
      <w:r>
        <w:rPr>
          <w:rFonts w:hint="default" w:ascii="Times New Roman" w:hAnsi="Times New Roman" w:eastAsia="宋体" w:cs="Times New Roman"/>
          <w:color w:val="auto"/>
          <w:spacing w:val="0"/>
          <w:w w:val="100"/>
          <w:position w:val="0"/>
          <w:lang w:eastAsia="zh-CN"/>
        </w:rPr>
        <w:t>护栏</w:t>
      </w:r>
      <w:r>
        <w:rPr>
          <w:rFonts w:hint="default" w:ascii="Times New Roman" w:hAnsi="Times New Roman" w:eastAsia="宋体" w:cs="Times New Roman"/>
          <w:color w:val="auto"/>
          <w:spacing w:val="0"/>
          <w:w w:val="100"/>
          <w:position w:val="0"/>
        </w:rPr>
        <w:t>和盖板；及时封闭已结束回采的采场及溜井；</w:t>
      </w:r>
    </w:p>
    <w:p w14:paraId="66C6F79F">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（8）制定科学合理的采掘计划以指导生产，采矿作业应严格按设计顺序进行。</w:t>
      </w:r>
    </w:p>
    <w:bookmarkEnd w:id="685"/>
    <w:p w14:paraId="18FE35E6">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bookmarkStart w:id="686" w:name="_Toc19571"/>
      <w:r>
        <w:rPr>
          <w:rFonts w:hint="default" w:ascii="Times New Roman" w:hAnsi="Times New Roman" w:eastAsia="宋体" w:cs="Times New Roman"/>
          <w:b/>
          <w:bCs w:val="0"/>
          <w:color w:val="auto"/>
          <w:spacing w:val="0"/>
          <w:w w:val="100"/>
          <w:kern w:val="0"/>
          <w:position w:val="0"/>
          <w:sz w:val="24"/>
          <w:szCs w:val="24"/>
          <w:highlight w:val="none"/>
          <w:lang w:val="en-US" w:eastAsia="zh-CN"/>
        </w:rPr>
        <w:t>5.9.6.5洪水风险预防措施</w:t>
      </w:r>
      <w:bookmarkEnd w:id="686"/>
    </w:p>
    <w:p w14:paraId="07E8CD43">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bookmarkStart w:id="687" w:name="_Toc417856554"/>
      <w:bookmarkStart w:id="688" w:name="_Toc25580"/>
      <w:bookmarkStart w:id="689" w:name="_Toc21936"/>
      <w:bookmarkStart w:id="690" w:name="_Toc387680764"/>
      <w:r>
        <w:rPr>
          <w:rFonts w:hint="default" w:ascii="Times New Roman" w:hAnsi="Times New Roman" w:eastAsia="宋体" w:cs="Times New Roman"/>
          <w:color w:val="auto"/>
          <w:spacing w:val="0"/>
          <w:w w:val="100"/>
          <w:position w:val="0"/>
        </w:rPr>
        <w:t>（1）工业场地、</w:t>
      </w:r>
      <w:r>
        <w:rPr>
          <w:rFonts w:hint="default" w:ascii="Times New Roman" w:hAnsi="Times New Roman" w:eastAsia="宋体" w:cs="Times New Roman"/>
          <w:color w:val="auto"/>
          <w:spacing w:val="0"/>
          <w:w w:val="100"/>
          <w:position w:val="0"/>
          <w:lang w:eastAsia="zh-CN"/>
        </w:rPr>
        <w:t>废石场</w:t>
      </w:r>
      <w:r>
        <w:rPr>
          <w:rFonts w:hint="default" w:ascii="Times New Roman" w:hAnsi="Times New Roman" w:eastAsia="宋体" w:cs="Times New Roman"/>
          <w:color w:val="auto"/>
          <w:spacing w:val="0"/>
          <w:w w:val="100"/>
          <w:position w:val="0"/>
        </w:rPr>
        <w:t>等所有固定建、构筑物及设施均布置在开采错动范围之外。并且均高出当地最高洪水位1m以上。</w:t>
      </w:r>
    </w:p>
    <w:p w14:paraId="0A319F39">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2</w:t>
      </w:r>
      <w:r>
        <w:rPr>
          <w:rFonts w:hint="default" w:ascii="Times New Roman" w:hAnsi="Times New Roman" w:eastAsia="宋体" w:cs="Times New Roman"/>
          <w:color w:val="auto"/>
          <w:spacing w:val="0"/>
          <w:w w:val="100"/>
          <w:position w:val="0"/>
        </w:rPr>
        <w:t>）确保场内排水系统的畅通，在雨季特别是暴雨期应加强对工业场地、</w:t>
      </w:r>
      <w:r>
        <w:rPr>
          <w:rFonts w:hint="default" w:ascii="Times New Roman" w:hAnsi="Times New Roman" w:eastAsia="宋体" w:cs="Times New Roman"/>
          <w:color w:val="auto"/>
          <w:spacing w:val="0"/>
          <w:w w:val="100"/>
          <w:position w:val="0"/>
          <w:lang w:eastAsia="zh-CN"/>
        </w:rPr>
        <w:t>废石场</w:t>
      </w: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eastAsia="zh-CN"/>
        </w:rPr>
        <w:t>拦渣坝</w:t>
      </w:r>
      <w:r>
        <w:rPr>
          <w:rFonts w:hint="default" w:ascii="Times New Roman" w:hAnsi="Times New Roman" w:eastAsia="宋体" w:cs="Times New Roman"/>
          <w:color w:val="auto"/>
          <w:spacing w:val="0"/>
          <w:w w:val="100"/>
          <w:position w:val="0"/>
        </w:rPr>
        <w:t>的巡逻检查，如发现坝体出现裂缝应采取补救措施。</w:t>
      </w:r>
      <w:r>
        <w:rPr>
          <w:rFonts w:hint="default" w:ascii="Times New Roman" w:hAnsi="Times New Roman" w:eastAsia="宋体" w:cs="Times New Roman"/>
          <w:color w:val="auto"/>
          <w:spacing w:val="0"/>
          <w:w w:val="100"/>
          <w:position w:val="0"/>
          <w:lang w:eastAsia="zh-CN"/>
        </w:rPr>
        <w:t>拦渣坝</w:t>
      </w:r>
      <w:r>
        <w:rPr>
          <w:rFonts w:hint="default" w:ascii="Times New Roman" w:hAnsi="Times New Roman" w:eastAsia="宋体" w:cs="Times New Roman"/>
          <w:color w:val="auto"/>
          <w:spacing w:val="0"/>
          <w:w w:val="100"/>
          <w:position w:val="0"/>
        </w:rPr>
        <w:t>溃决后应立即采取抢救措施，同时配备必需的通信设施，保持与地方政府的联系，如发现坝体开裂等垮坝征兆，应立即组织力量进行抢修和安全加固。</w:t>
      </w:r>
    </w:p>
    <w:p w14:paraId="5D387E7E">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3</w:t>
      </w:r>
      <w:r>
        <w:rPr>
          <w:rFonts w:hint="default" w:ascii="Times New Roman" w:hAnsi="Times New Roman" w:eastAsia="宋体" w:cs="Times New Roman"/>
          <w:color w:val="auto"/>
          <w:spacing w:val="0"/>
          <w:w w:val="100"/>
          <w:position w:val="0"/>
        </w:rPr>
        <w:t>）组织</w:t>
      </w:r>
      <w:r>
        <w:rPr>
          <w:rFonts w:hint="eastAsia" w:ascii="Times New Roman" w:hAnsi="Times New Roman" w:eastAsia="宋体" w:cs="Times New Roman"/>
          <w:color w:val="auto"/>
          <w:spacing w:val="0"/>
          <w:w w:val="100"/>
          <w:position w:val="0"/>
          <w:lang w:eastAsia="zh-CN"/>
        </w:rPr>
        <w:t>防洪</w:t>
      </w:r>
      <w:r>
        <w:rPr>
          <w:rFonts w:hint="default" w:ascii="Times New Roman" w:hAnsi="Times New Roman" w:eastAsia="宋体" w:cs="Times New Roman"/>
          <w:color w:val="auto"/>
          <w:spacing w:val="0"/>
          <w:w w:val="100"/>
          <w:position w:val="0"/>
        </w:rPr>
        <w:t>检查，并编制防洪计划，其工程必须在雨季前竣工。</w:t>
      </w:r>
    </w:p>
    <w:p w14:paraId="09EB2353">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4</w:t>
      </w:r>
      <w:r>
        <w:rPr>
          <w:rFonts w:hint="default" w:ascii="Times New Roman" w:hAnsi="Times New Roman" w:eastAsia="宋体" w:cs="Times New Roman"/>
          <w:color w:val="auto"/>
          <w:spacing w:val="0"/>
          <w:w w:val="100"/>
          <w:position w:val="0"/>
        </w:rPr>
        <w:t>）雨季应有专人检查矿区防洪情况，情况危险时，必须停产，所有人员必须撤出井下，确保人员安全。</w:t>
      </w:r>
    </w:p>
    <w:p w14:paraId="4DD1F520">
      <w:pPr>
        <w:pStyle w:val="5"/>
        <w:numPr>
          <w:ilvl w:val="3"/>
          <w:numId w:val="0"/>
        </w:numPr>
        <w:spacing w:before="0" w:after="0" w:line="520" w:lineRule="exact"/>
        <w:ind w:firstLine="482" w:firstLineChars="200"/>
        <w:jc w:val="both"/>
        <w:rPr>
          <w:rFonts w:hint="default" w:ascii="Times New Roman" w:hAnsi="Times New Roman" w:eastAsia="宋体" w:cs="Times New Roman"/>
          <w:b/>
          <w:bCs w:val="0"/>
          <w:color w:val="auto"/>
          <w:spacing w:val="0"/>
          <w:w w:val="100"/>
          <w:kern w:val="0"/>
          <w:position w:val="0"/>
          <w:sz w:val="24"/>
          <w:szCs w:val="24"/>
          <w:highlight w:val="none"/>
          <w:lang w:val="en-US" w:eastAsia="zh-CN"/>
        </w:rPr>
      </w:pPr>
      <w:r>
        <w:rPr>
          <w:rFonts w:hint="default" w:ascii="Times New Roman" w:hAnsi="Times New Roman" w:eastAsia="宋体" w:cs="Times New Roman"/>
          <w:b/>
          <w:bCs w:val="0"/>
          <w:color w:val="auto"/>
          <w:spacing w:val="0"/>
          <w:w w:val="100"/>
          <w:kern w:val="0"/>
          <w:position w:val="0"/>
          <w:sz w:val="24"/>
          <w:szCs w:val="24"/>
          <w:highlight w:val="none"/>
          <w:lang w:val="en-US" w:eastAsia="zh-CN"/>
        </w:rPr>
        <w:t>5.9.6.6废石场滑坡、溃坝防治方案</w:t>
      </w:r>
    </w:p>
    <w:p w14:paraId="6887761B">
      <w:pPr>
        <w:pStyle w:val="9"/>
        <w:keepNext w:val="0"/>
        <w:keepLines w:val="0"/>
        <w:pageBreakBefore w:val="0"/>
        <w:widowControl/>
        <w:kinsoku/>
        <w:wordWrap/>
        <w:overflowPunct/>
        <w:topLinePunct w:val="0"/>
        <w:autoSpaceDE/>
        <w:autoSpaceDN/>
        <w:bidi w:val="0"/>
        <w:adjustRightInd/>
        <w:snapToGrid/>
        <w:spacing w:after="0" w:line="480" w:lineRule="exact"/>
        <w:ind w:left="0" w:right="0"/>
        <w:jc w:val="left"/>
        <w:textAlignment w:val="auto"/>
        <w:rPr>
          <w:rFonts w:hint="default" w:ascii="Times New Roman" w:hAnsi="Times New Roman" w:eastAsia="宋体" w:cs="Times New Roman"/>
          <w:color w:val="auto"/>
          <w:spacing w:val="0"/>
          <w:w w:val="100"/>
          <w:position w:val="0"/>
          <w:sz w:val="24"/>
          <w:lang w:eastAsia="zh-CN"/>
        </w:rPr>
      </w:pPr>
      <w:r>
        <w:rPr>
          <w:rFonts w:hint="default" w:ascii="Times New Roman" w:hAnsi="Times New Roman" w:eastAsia="宋体" w:cs="Times New Roman"/>
          <w:color w:val="auto"/>
          <w:spacing w:val="0"/>
          <w:w w:val="100"/>
          <w:position w:val="0"/>
          <w:sz w:val="24"/>
        </w:rPr>
        <w:t>矿山开采期间采取措施增强废石场坡脚稳定性，设计在其下方修建拦渣坝；在其上方修建截水沟。拦渣坝、截水沟的具体设置方案，建议矿方请专业队伍进行</w:t>
      </w:r>
      <w:r>
        <w:rPr>
          <w:rFonts w:hint="eastAsia" w:ascii="Times New Roman" w:hAnsi="Times New Roman" w:cs="Times New Roman"/>
          <w:color w:val="auto"/>
          <w:spacing w:val="0"/>
          <w:w w:val="100"/>
          <w:position w:val="0"/>
          <w:sz w:val="24"/>
          <w:lang w:eastAsia="zh-CN"/>
        </w:rPr>
        <w:t>勘察</w:t>
      </w:r>
      <w:r>
        <w:rPr>
          <w:rFonts w:hint="default" w:ascii="Times New Roman" w:hAnsi="Times New Roman" w:eastAsia="宋体" w:cs="Times New Roman"/>
          <w:color w:val="auto"/>
          <w:spacing w:val="0"/>
          <w:w w:val="100"/>
          <w:position w:val="0"/>
          <w:sz w:val="24"/>
        </w:rPr>
        <w:t>、设计、施工，以确保拦石坝、截水沟设计的科学合理、施工质量安全可靠。并且严格控制其堆放坡度在30°之内。闭矿期废石场的废石进行分层（形成台阶状）、压实、平整、覆土、恢复</w:t>
      </w:r>
      <w:r>
        <w:rPr>
          <w:rFonts w:hint="default" w:ascii="Times New Roman" w:hAnsi="Times New Roman" w:eastAsia="宋体" w:cs="Times New Roman"/>
          <w:color w:val="auto"/>
          <w:spacing w:val="0"/>
          <w:w w:val="100"/>
          <w:position w:val="0"/>
          <w:sz w:val="24"/>
          <w:lang w:val="en-US" w:eastAsia="zh-CN"/>
        </w:rPr>
        <w:t>砾幕</w:t>
      </w:r>
      <w:r>
        <w:rPr>
          <w:rFonts w:hint="default" w:ascii="Times New Roman" w:hAnsi="Times New Roman" w:eastAsia="宋体" w:cs="Times New Roman"/>
          <w:color w:val="auto"/>
          <w:spacing w:val="0"/>
          <w:w w:val="100"/>
          <w:position w:val="0"/>
          <w:sz w:val="24"/>
        </w:rPr>
        <w:t>，使其与周围地貌相协调</w:t>
      </w:r>
      <w:r>
        <w:rPr>
          <w:rFonts w:hint="default" w:ascii="Times New Roman" w:hAnsi="Times New Roman" w:eastAsia="宋体" w:cs="Times New Roman"/>
          <w:color w:val="auto"/>
          <w:spacing w:val="0"/>
          <w:w w:val="100"/>
          <w:position w:val="0"/>
          <w:sz w:val="24"/>
          <w:lang w:eastAsia="zh-CN"/>
        </w:rPr>
        <w:t>。</w:t>
      </w:r>
    </w:p>
    <w:p w14:paraId="5B1F592E">
      <w:pPr>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kern w:val="2"/>
          <w:position w:val="0"/>
          <w:sz w:val="24"/>
          <w:szCs w:val="24"/>
          <w:lang w:val="en-US" w:eastAsia="zh-CN" w:bidi="ar"/>
        </w:rPr>
        <w:t>废石场应修建在边坡稳定境界250m以外，边坡台阶顶面应保持2%的方向坡度，在废石滚落范围内不允许修建道路和建筑物，竖警示牌。</w:t>
      </w:r>
    </w:p>
    <w:p w14:paraId="61E5C58C">
      <w:pPr>
        <w:pStyle w:val="4"/>
        <w:bidi w:val="0"/>
        <w:rPr>
          <w:rFonts w:hint="default" w:ascii="Times New Roman" w:hAnsi="Times New Roman" w:cs="Times New Roman"/>
          <w:color w:val="auto"/>
          <w:lang w:val="en-US" w:eastAsia="zh-CN"/>
        </w:rPr>
      </w:pPr>
      <w:bookmarkStart w:id="691" w:name="_Toc13598"/>
      <w:bookmarkStart w:id="692" w:name="_Toc20740"/>
      <w:bookmarkStart w:id="693" w:name="_Toc10485"/>
      <w:bookmarkStart w:id="694" w:name="_Toc9894"/>
      <w:r>
        <w:rPr>
          <w:rFonts w:hint="default" w:ascii="Times New Roman" w:hAnsi="Times New Roman" w:cs="Times New Roman"/>
          <w:color w:val="auto"/>
          <w:lang w:val="en-US" w:eastAsia="zh-CN"/>
        </w:rPr>
        <w:t>风险应急预案</w:t>
      </w:r>
      <w:bookmarkEnd w:id="687"/>
      <w:bookmarkEnd w:id="688"/>
      <w:bookmarkEnd w:id="689"/>
      <w:bookmarkEnd w:id="690"/>
      <w:bookmarkEnd w:id="691"/>
      <w:bookmarkEnd w:id="692"/>
      <w:bookmarkEnd w:id="693"/>
      <w:bookmarkEnd w:id="694"/>
    </w:p>
    <w:p w14:paraId="1BBA4BA2">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bookmarkStart w:id="695" w:name="_Toc25057"/>
      <w:bookmarkStart w:id="696" w:name="_Toc14721"/>
      <w:r>
        <w:rPr>
          <w:rFonts w:hint="default" w:ascii="Times New Roman" w:hAnsi="Times New Roman" w:eastAsia="宋体" w:cs="Times New Roman"/>
          <w:color w:val="auto"/>
          <w:spacing w:val="0"/>
          <w:w w:val="100"/>
          <w:position w:val="0"/>
        </w:rPr>
        <w:t>预防是防止事故发生的根本措施，但一旦发生事故，处置是否得当，关系到事故蔓延的范围，损失大小，因此，也应有应急措施。根据</w:t>
      </w:r>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环境风险分析的结果，对于该项目可能造成环境风险的突发性事故制定应急预案纲要，供项目决策人参考。</w:t>
      </w:r>
    </w:p>
    <w:p w14:paraId="3ABDCA33">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rPr>
        <w:t>企业须按照风险应急预案的要求进行企业环境风险的管理。根据《企业事业单位突发环境事件应急预案备案管理办法（试行）》，企业结合环境应急预案实施情况，至少每三年对环境应急预案进行一次回顾性评估</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lang w:val="en-US" w:eastAsia="zh-CN"/>
        </w:rPr>
        <w:t>在本项目运行前，</w:t>
      </w:r>
      <w:r>
        <w:rPr>
          <w:rFonts w:hint="eastAsia" w:ascii="Times New Roman" w:hAnsi="Times New Roman" w:eastAsia="宋体" w:cs="Times New Roman"/>
          <w:color w:val="auto"/>
          <w:spacing w:val="0"/>
          <w:w w:val="100"/>
          <w:position w:val="0"/>
          <w:highlight w:val="none"/>
          <w:lang w:val="en-US" w:eastAsia="zh-CN"/>
        </w:rPr>
        <w:t>完成</w:t>
      </w:r>
      <w:r>
        <w:rPr>
          <w:rFonts w:hint="default" w:ascii="Times New Roman" w:hAnsi="Times New Roman" w:eastAsia="宋体" w:cs="Times New Roman"/>
          <w:color w:val="auto"/>
          <w:spacing w:val="0"/>
          <w:w w:val="100"/>
          <w:position w:val="0"/>
          <w:highlight w:val="none"/>
        </w:rPr>
        <w:t>突发环境事件应急预案</w:t>
      </w:r>
      <w:r>
        <w:rPr>
          <w:rFonts w:hint="default" w:ascii="Times New Roman" w:hAnsi="Times New Roman" w:eastAsia="宋体" w:cs="Times New Roman"/>
          <w:color w:val="auto"/>
          <w:spacing w:val="0"/>
          <w:w w:val="100"/>
          <w:position w:val="0"/>
          <w:highlight w:val="none"/>
          <w:lang w:val="en-US" w:eastAsia="zh-CN"/>
        </w:rPr>
        <w:t>编制。</w:t>
      </w:r>
    </w:p>
    <w:p w14:paraId="71565B47">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若发生突发事件必须采取如下措施：</w:t>
      </w:r>
    </w:p>
    <w:p w14:paraId="4DFD5601">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（1）必须立即报告当地政府、公安部门和公司领导（或安全部门）；</w:t>
      </w:r>
    </w:p>
    <w:p w14:paraId="0E3E8208">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（2）及时疏散事故区附近人员；</w:t>
      </w:r>
    </w:p>
    <w:p w14:paraId="673CF8EB">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（3）事先制定有效处理事故的行动方案，方案要经有关部门认同，并能与矿区、救护队、医务室、消防队充分配合，协调行动</w:t>
      </w:r>
      <w:r>
        <w:rPr>
          <w:rFonts w:hint="default" w:ascii="Times New Roman" w:hAnsi="Times New Roman" w:eastAsia="宋体" w:cs="Times New Roman"/>
          <w:color w:val="auto"/>
          <w:spacing w:val="0"/>
          <w:w w:val="100"/>
          <w:position w:val="0"/>
          <w:lang w:eastAsia="zh-CN"/>
        </w:rPr>
        <w:t>；</w:t>
      </w:r>
    </w:p>
    <w:p w14:paraId="54FC1740">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（4）应有制止事故蔓延，控制和减少影响范围的程序救护的具体行动计划，包括救护措施，保护矿工、国家财产及周围环境安全必须采取的措施和方法</w:t>
      </w:r>
      <w:r>
        <w:rPr>
          <w:rFonts w:hint="default" w:ascii="Times New Roman" w:hAnsi="Times New Roman" w:eastAsia="宋体" w:cs="Times New Roman"/>
          <w:color w:val="auto"/>
          <w:spacing w:val="0"/>
          <w:w w:val="100"/>
          <w:position w:val="0"/>
          <w:lang w:eastAsia="zh-CN"/>
        </w:rPr>
        <w:t>；</w:t>
      </w:r>
    </w:p>
    <w:p w14:paraId="5867D569">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（5）矿区安全部门工作人员和富有事故处置经验的人员，要轮流值班，监视事故现场及其处置实施直至事故结果</w:t>
      </w:r>
      <w:r>
        <w:rPr>
          <w:rFonts w:hint="default" w:ascii="Times New Roman" w:hAnsi="Times New Roman" w:eastAsia="宋体" w:cs="Times New Roman"/>
          <w:color w:val="auto"/>
          <w:spacing w:val="0"/>
          <w:w w:val="100"/>
          <w:position w:val="0"/>
          <w:lang w:eastAsia="zh-CN"/>
        </w:rPr>
        <w:t>；</w:t>
      </w:r>
    </w:p>
    <w:p w14:paraId="420A4028">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lang w:eastAsia="zh-CN"/>
        </w:rPr>
      </w:pPr>
      <w:r>
        <w:rPr>
          <w:rFonts w:hint="default" w:ascii="Times New Roman" w:hAnsi="Times New Roman" w:eastAsia="宋体" w:cs="Times New Roman"/>
          <w:color w:val="auto"/>
          <w:spacing w:val="0"/>
          <w:w w:val="100"/>
          <w:position w:val="0"/>
        </w:rPr>
        <w:t>（6）训练事故处置人员（包括事故发生时的处置和补救）</w:t>
      </w:r>
      <w:r>
        <w:rPr>
          <w:rFonts w:hint="default" w:ascii="Times New Roman" w:hAnsi="Times New Roman" w:eastAsia="宋体" w:cs="Times New Roman"/>
          <w:color w:val="auto"/>
          <w:spacing w:val="0"/>
          <w:w w:val="100"/>
          <w:position w:val="0"/>
          <w:lang w:eastAsia="zh-CN"/>
        </w:rPr>
        <w:t>。</w:t>
      </w:r>
    </w:p>
    <w:p w14:paraId="61FF4F0A">
      <w:pPr>
        <w:pStyle w:val="4"/>
        <w:bidi w:val="0"/>
        <w:rPr>
          <w:rFonts w:hint="default" w:ascii="Times New Roman" w:hAnsi="Times New Roman" w:cs="Times New Roman"/>
          <w:color w:val="auto"/>
          <w:lang w:val="en-US" w:eastAsia="zh-CN"/>
        </w:rPr>
      </w:pPr>
      <w:bookmarkStart w:id="697" w:name="_Toc11896"/>
      <w:bookmarkStart w:id="698" w:name="_Toc18339"/>
      <w:bookmarkStart w:id="699" w:name="_Toc29006"/>
      <w:bookmarkStart w:id="700" w:name="_Toc25861"/>
      <w:r>
        <w:rPr>
          <w:rFonts w:hint="default" w:ascii="Times New Roman" w:hAnsi="Times New Roman" w:cs="Times New Roman"/>
          <w:color w:val="auto"/>
          <w:lang w:val="en-US" w:eastAsia="zh-CN"/>
        </w:rPr>
        <w:t>风险评价结论</w:t>
      </w:r>
      <w:bookmarkEnd w:id="695"/>
      <w:bookmarkEnd w:id="696"/>
      <w:bookmarkEnd w:id="697"/>
      <w:bookmarkEnd w:id="698"/>
      <w:bookmarkEnd w:id="699"/>
      <w:bookmarkEnd w:id="700"/>
    </w:p>
    <w:p w14:paraId="42B7461B">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综上所述，</w:t>
      </w:r>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化学危险品的运输储存和使用过程中由于设备质量、操作等原因，</w:t>
      </w:r>
      <w:r>
        <w:rPr>
          <w:rFonts w:hint="eastAsia" w:ascii="Times New Roman" w:hAnsi="Times New Roman" w:eastAsia="宋体" w:cs="Times New Roman"/>
          <w:color w:val="auto"/>
          <w:spacing w:val="0"/>
          <w:w w:val="100"/>
          <w:position w:val="0"/>
          <w:lang w:eastAsia="zh-CN"/>
        </w:rPr>
        <w:t>存在</w:t>
      </w:r>
      <w:r>
        <w:rPr>
          <w:rFonts w:hint="default" w:ascii="Times New Roman" w:hAnsi="Times New Roman" w:eastAsia="宋体" w:cs="Times New Roman"/>
          <w:color w:val="auto"/>
          <w:spacing w:val="0"/>
          <w:w w:val="100"/>
          <w:position w:val="0"/>
        </w:rPr>
        <w:t>发生泄漏和突发性污染事故风险的可能性。对于这种风险，</w:t>
      </w:r>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制定相应的防范措施及应急预案，明确责任人员，配备一定的防治设备和应急响应能力。</w:t>
      </w:r>
    </w:p>
    <w:p w14:paraId="55CDD7E3">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由于</w:t>
      </w:r>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的环境风险主要是人为事件，完全可以通过政府各有关职能部门加强监督指导，企业内部制定严格的管理条例和岗位责任制，加强职工的安全生产教育，</w:t>
      </w:r>
      <w:r>
        <w:rPr>
          <w:rFonts w:hint="default" w:ascii="Times New Roman" w:hAnsi="Times New Roman" w:eastAsia="宋体" w:cs="Times New Roman"/>
          <w:color w:val="auto"/>
          <w:spacing w:val="0"/>
          <w:w w:val="100"/>
          <w:position w:val="0"/>
          <w:lang w:eastAsia="zh-CN"/>
        </w:rPr>
        <w:t>增强风险意识</w:t>
      </w:r>
      <w:r>
        <w:rPr>
          <w:rFonts w:hint="default" w:ascii="Times New Roman" w:hAnsi="Times New Roman" w:eastAsia="宋体" w:cs="Times New Roman"/>
          <w:color w:val="auto"/>
          <w:spacing w:val="0"/>
          <w:w w:val="100"/>
          <w:position w:val="0"/>
        </w:rPr>
        <w:t>。在项目采取相应的防范措施后，可以减少项目的环境风险，降低环境风险事故的危害程度，且在加强管理及提高职工操作水平的前提下，</w:t>
      </w:r>
      <w:r>
        <w:rPr>
          <w:rFonts w:hint="default" w:ascii="Times New Roman" w:hAnsi="Times New Roman" w:eastAsia="宋体" w:cs="Times New Roman"/>
          <w:color w:val="auto"/>
          <w:spacing w:val="0"/>
          <w:w w:val="100"/>
          <w:position w:val="0"/>
          <w:lang w:eastAsia="zh-CN"/>
        </w:rPr>
        <w:t>本项目</w:t>
      </w:r>
      <w:r>
        <w:rPr>
          <w:rFonts w:hint="default" w:ascii="Times New Roman" w:hAnsi="Times New Roman" w:eastAsia="宋体" w:cs="Times New Roman"/>
          <w:color w:val="auto"/>
          <w:spacing w:val="0"/>
          <w:w w:val="100"/>
          <w:position w:val="0"/>
        </w:rPr>
        <w:t>的环境风险是可以接受的。</w:t>
      </w:r>
    </w:p>
    <w:p w14:paraId="78F97B8A">
      <w:pPr>
        <w:pStyle w:val="60"/>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建设项目环境风险简单分析内容详见表</w:t>
      </w:r>
      <w:r>
        <w:rPr>
          <w:rFonts w:hint="default" w:ascii="Times New Roman" w:hAnsi="Times New Roman" w:eastAsia="宋体" w:cs="Times New Roman"/>
          <w:color w:val="auto"/>
          <w:spacing w:val="0"/>
          <w:w w:val="100"/>
          <w:position w:val="0"/>
          <w:lang w:eastAsia="zh-CN"/>
        </w:rPr>
        <w:t>5.9</w:t>
      </w: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lang w:val="en-US" w:eastAsia="zh-CN"/>
        </w:rPr>
        <w:t>9</w:t>
      </w:r>
      <w:r>
        <w:rPr>
          <w:rFonts w:hint="default" w:ascii="Times New Roman" w:hAnsi="Times New Roman" w:eastAsia="宋体" w:cs="Times New Roman"/>
          <w:color w:val="auto"/>
          <w:spacing w:val="0"/>
          <w:w w:val="100"/>
          <w:position w:val="0"/>
        </w:rPr>
        <w:t>。</w:t>
      </w:r>
    </w:p>
    <w:p w14:paraId="1CD94322">
      <w:pPr>
        <w:spacing w:before="78" w:line="219" w:lineRule="auto"/>
        <w:ind w:left="0" w:leftChars="0" w:firstLine="0" w:firstLineChars="0"/>
        <w:jc w:val="center"/>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eastAsia="宋体" w:cs="Times New Roman"/>
          <w:b/>
          <w:bCs/>
          <w:color w:val="auto"/>
          <w:spacing w:val="-2"/>
          <w:sz w:val="21"/>
          <w:szCs w:val="21"/>
          <w:lang w:val="en-US" w:eastAsia="zh-CN"/>
        </w:rPr>
        <w:t>表5.9-9    建设项目环境风险简单分析内容表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40"/>
        <w:gridCol w:w="2071"/>
        <w:gridCol w:w="1921"/>
        <w:gridCol w:w="1329"/>
        <w:gridCol w:w="989"/>
        <w:gridCol w:w="1063"/>
      </w:tblGrid>
      <w:tr w14:paraId="58F59C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27F49E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建设项目名称</w:t>
            </w:r>
          </w:p>
        </w:tc>
        <w:tc>
          <w:tcPr>
            <w:tcW w:w="7373" w:type="dxa"/>
            <w:gridSpan w:val="5"/>
            <w:vAlign w:val="center"/>
          </w:tcPr>
          <w:p w14:paraId="5137B8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eastAsia" w:ascii="Times New Roman" w:hAnsi="Times New Roman" w:eastAsia="宋体" w:cs="Times New Roman"/>
                <w:b/>
                <w:color w:val="auto"/>
                <w:spacing w:val="0"/>
                <w:w w:val="100"/>
                <w:position w:val="0"/>
                <w:sz w:val="21"/>
                <w:lang w:eastAsia="zh-CN"/>
              </w:rPr>
            </w:pPr>
            <w:r>
              <w:rPr>
                <w:rFonts w:hint="eastAsia" w:ascii="Times New Roman" w:hAnsi="Times New Roman" w:cs="Times New Roman"/>
                <w:b w:val="0"/>
                <w:bCs/>
                <w:color w:val="auto"/>
                <w:spacing w:val="0"/>
                <w:w w:val="100"/>
                <w:position w:val="0"/>
                <w:sz w:val="21"/>
                <w:lang w:eastAsia="zh-CN"/>
              </w:rPr>
              <w:t>哈密市金石矿业有限责任公司哈密市大红山北铜矿地下开采建设项目</w:t>
            </w:r>
          </w:p>
        </w:tc>
      </w:tr>
      <w:tr w14:paraId="73063B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7526BD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建设地点</w:t>
            </w:r>
          </w:p>
        </w:tc>
        <w:tc>
          <w:tcPr>
            <w:tcW w:w="2071" w:type="dxa"/>
            <w:vAlign w:val="center"/>
          </w:tcPr>
          <w:p w14:paraId="18D2EF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rPr>
              <w:t>新疆</w:t>
            </w:r>
            <w:r>
              <w:rPr>
                <w:rFonts w:hint="default" w:ascii="Times New Roman" w:hAnsi="Times New Roman" w:eastAsia="宋体" w:cs="Times New Roman"/>
                <w:color w:val="auto"/>
                <w:spacing w:val="0"/>
                <w:w w:val="100"/>
                <w:position w:val="0"/>
                <w:sz w:val="21"/>
                <w:lang w:val="en-US" w:eastAsia="zh-CN"/>
              </w:rPr>
              <w:t>维吾尔自治区</w:t>
            </w:r>
          </w:p>
        </w:tc>
        <w:tc>
          <w:tcPr>
            <w:tcW w:w="1921" w:type="dxa"/>
            <w:tcBorders>
              <w:right w:val="single" w:color="auto" w:sz="8" w:space="0"/>
            </w:tcBorders>
            <w:vAlign w:val="center"/>
          </w:tcPr>
          <w:p w14:paraId="39C22C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lang w:val="en-US" w:eastAsia="zh-CN"/>
              </w:rPr>
              <w:t>哈密市</w:t>
            </w:r>
          </w:p>
        </w:tc>
        <w:tc>
          <w:tcPr>
            <w:tcW w:w="1329" w:type="dxa"/>
            <w:tcBorders>
              <w:left w:val="single" w:color="auto" w:sz="8" w:space="0"/>
            </w:tcBorders>
            <w:vAlign w:val="center"/>
          </w:tcPr>
          <w:p w14:paraId="110DBE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伊州</w:t>
            </w:r>
            <w:r>
              <w:rPr>
                <w:rFonts w:hint="default" w:ascii="Times New Roman" w:hAnsi="Times New Roman" w:eastAsia="宋体" w:cs="Times New Roman"/>
                <w:color w:val="auto"/>
                <w:spacing w:val="0"/>
                <w:w w:val="100"/>
                <w:position w:val="0"/>
                <w:sz w:val="21"/>
              </w:rPr>
              <w:t>）区</w:t>
            </w:r>
          </w:p>
        </w:tc>
        <w:tc>
          <w:tcPr>
            <w:tcW w:w="989" w:type="dxa"/>
            <w:tcBorders>
              <w:left w:val="single" w:color="auto" w:sz="8" w:space="0"/>
            </w:tcBorders>
            <w:vAlign w:val="center"/>
          </w:tcPr>
          <w:p w14:paraId="7EBE48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lang w:val="en-US" w:eastAsia="zh-CN"/>
              </w:rPr>
              <w:t>/</w:t>
            </w:r>
          </w:p>
        </w:tc>
        <w:tc>
          <w:tcPr>
            <w:tcW w:w="1063" w:type="dxa"/>
            <w:tcBorders>
              <w:left w:val="single" w:color="auto" w:sz="8" w:space="0"/>
            </w:tcBorders>
            <w:vAlign w:val="center"/>
          </w:tcPr>
          <w:p w14:paraId="6370B5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w:t>
            </w:r>
            <w:r>
              <w:rPr>
                <w:rFonts w:hint="default" w:ascii="Times New Roman" w:hAnsi="Times New Roman" w:eastAsia="宋体" w:cs="Times New Roman"/>
                <w:color w:val="auto"/>
                <w:spacing w:val="0"/>
                <w:w w:val="100"/>
                <w:position w:val="0"/>
                <w:sz w:val="21"/>
              </w:rPr>
              <w:t>）园区</w:t>
            </w:r>
          </w:p>
        </w:tc>
      </w:tr>
      <w:tr w14:paraId="45810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18BD38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地理坐标</w:t>
            </w:r>
          </w:p>
        </w:tc>
        <w:tc>
          <w:tcPr>
            <w:tcW w:w="2071" w:type="dxa"/>
            <w:tcBorders>
              <w:right w:val="single" w:color="auto" w:sz="8" w:space="0"/>
            </w:tcBorders>
            <w:vAlign w:val="center"/>
          </w:tcPr>
          <w:p w14:paraId="5F1F2A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经度</w:t>
            </w:r>
          </w:p>
        </w:tc>
        <w:tc>
          <w:tcPr>
            <w:tcW w:w="1921" w:type="dxa"/>
            <w:tcBorders>
              <w:left w:val="single" w:color="auto" w:sz="8" w:space="0"/>
              <w:right w:val="single" w:color="auto" w:sz="8" w:space="0"/>
            </w:tcBorders>
            <w:vAlign w:val="center"/>
          </w:tcPr>
          <w:p w14:paraId="4522D1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9</w:t>
            </w:r>
            <w:r>
              <w:rPr>
                <w:rFonts w:hint="default" w:ascii="Times New Roman" w:hAnsi="Times New Roman" w:eastAsia="宋体" w:cs="Times New Roman"/>
                <w:color w:val="auto"/>
                <w:spacing w:val="0"/>
                <w:w w:val="100"/>
                <w:position w:val="0"/>
                <w:sz w:val="21"/>
                <w:lang w:val="en-US" w:eastAsia="zh-CN"/>
              </w:rPr>
              <w:t>5</w:t>
            </w: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18</w:t>
            </w: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05</w:t>
            </w:r>
            <w:r>
              <w:rPr>
                <w:rFonts w:hint="default" w:ascii="Times New Roman" w:hAnsi="Times New Roman" w:eastAsia="宋体" w:cs="Times New Roman"/>
                <w:color w:val="auto"/>
                <w:spacing w:val="0"/>
                <w:w w:val="100"/>
                <w:position w:val="0"/>
                <w:sz w:val="21"/>
              </w:rPr>
              <w:t>″</w:t>
            </w:r>
          </w:p>
        </w:tc>
        <w:tc>
          <w:tcPr>
            <w:tcW w:w="1329" w:type="dxa"/>
            <w:tcBorders>
              <w:right w:val="single" w:color="auto" w:sz="8" w:space="0"/>
            </w:tcBorders>
            <w:vAlign w:val="center"/>
          </w:tcPr>
          <w:p w14:paraId="05F3A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纬度</w:t>
            </w:r>
          </w:p>
        </w:tc>
        <w:tc>
          <w:tcPr>
            <w:tcW w:w="2052" w:type="dxa"/>
            <w:gridSpan w:val="2"/>
            <w:tcBorders>
              <w:left w:val="single" w:color="auto" w:sz="8" w:space="0"/>
            </w:tcBorders>
            <w:vAlign w:val="center"/>
          </w:tcPr>
          <w:p w14:paraId="361313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4</w:t>
            </w:r>
            <w:r>
              <w:rPr>
                <w:rFonts w:hint="default" w:ascii="Times New Roman" w:hAnsi="Times New Roman" w:eastAsia="宋体" w:cs="Times New Roman"/>
                <w:color w:val="auto"/>
                <w:spacing w:val="0"/>
                <w:w w:val="100"/>
                <w:position w:val="0"/>
                <w:sz w:val="21"/>
                <w:lang w:val="en-US" w:eastAsia="zh-CN"/>
              </w:rPr>
              <w:t>1</w:t>
            </w: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52</w:t>
            </w: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42</w:t>
            </w:r>
            <w:r>
              <w:rPr>
                <w:rFonts w:hint="default" w:ascii="Times New Roman" w:hAnsi="Times New Roman" w:eastAsia="宋体" w:cs="Times New Roman"/>
                <w:color w:val="auto"/>
                <w:spacing w:val="0"/>
                <w:w w:val="100"/>
                <w:position w:val="0"/>
                <w:sz w:val="21"/>
              </w:rPr>
              <w:t>″</w:t>
            </w:r>
          </w:p>
        </w:tc>
      </w:tr>
      <w:tr w14:paraId="597D0D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48B098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主要危险物质及分布</w:t>
            </w:r>
          </w:p>
        </w:tc>
        <w:tc>
          <w:tcPr>
            <w:tcW w:w="7373" w:type="dxa"/>
            <w:gridSpan w:val="5"/>
            <w:vAlign w:val="center"/>
          </w:tcPr>
          <w:p w14:paraId="780792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kern w:val="2"/>
                <w:position w:val="0"/>
                <w:sz w:val="21"/>
                <w:szCs w:val="21"/>
                <w:highlight w:val="none"/>
                <w:lang w:val="en-US" w:eastAsia="zh-CN" w:bidi="ar-SA"/>
              </w:rPr>
              <w:t>机油：储存于机修间桶装，最大储存量16t。</w:t>
            </w:r>
          </w:p>
        </w:tc>
      </w:tr>
      <w:tr w14:paraId="10F70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1B7292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环境影响途径及危害后果（大气、地表水、地下水等）</w:t>
            </w:r>
          </w:p>
        </w:tc>
        <w:tc>
          <w:tcPr>
            <w:tcW w:w="7373" w:type="dxa"/>
            <w:gridSpan w:val="5"/>
            <w:vAlign w:val="center"/>
          </w:tcPr>
          <w:p w14:paraId="0B4DEA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lang w:eastAsia="zh-CN"/>
              </w:rPr>
            </w:pPr>
            <w:r>
              <w:rPr>
                <w:rFonts w:hint="default" w:ascii="Times New Roman" w:hAnsi="Times New Roman" w:eastAsia="宋体" w:cs="Times New Roman"/>
                <w:color w:val="auto"/>
                <w:spacing w:val="0"/>
                <w:w w:val="100"/>
                <w:position w:val="0"/>
                <w:sz w:val="21"/>
                <w:lang w:eastAsia="zh-CN"/>
              </w:rPr>
              <w:t>（</w:t>
            </w:r>
            <w:r>
              <w:rPr>
                <w:rFonts w:hint="default" w:ascii="Times New Roman" w:hAnsi="Times New Roman" w:eastAsia="宋体" w:cs="Times New Roman"/>
                <w:color w:val="auto"/>
                <w:spacing w:val="0"/>
                <w:w w:val="100"/>
                <w:position w:val="0"/>
                <w:sz w:val="21"/>
                <w:lang w:val="en-US" w:eastAsia="zh-CN"/>
              </w:rPr>
              <w:t>1</w:t>
            </w:r>
            <w:r>
              <w:rPr>
                <w:rFonts w:hint="default" w:ascii="Times New Roman" w:hAnsi="Times New Roman" w:eastAsia="宋体" w:cs="Times New Roman"/>
                <w:color w:val="auto"/>
                <w:spacing w:val="0"/>
                <w:w w:val="100"/>
                <w:position w:val="0"/>
                <w:sz w:val="21"/>
                <w:lang w:eastAsia="zh-CN"/>
              </w:rPr>
              <w:t>）炸药在使用过程中由于爆破力学效应，产生地震波、冲击波和噪声；由于炸药爆炸时的化学反应，产生大量的有毒气体，</w:t>
            </w:r>
            <w:r>
              <w:rPr>
                <w:rFonts w:hint="default" w:ascii="Times New Roman" w:hAnsi="Times New Roman" w:eastAsia="宋体" w:cs="Times New Roman"/>
                <w:color w:val="auto"/>
                <w:spacing w:val="0"/>
                <w:w w:val="100"/>
                <w:position w:val="0"/>
                <w:sz w:val="21"/>
              </w:rPr>
              <w:t>对环境空气造成污染以及人员中毒</w:t>
            </w:r>
            <w:r>
              <w:rPr>
                <w:rFonts w:hint="default" w:ascii="Times New Roman" w:hAnsi="Times New Roman" w:eastAsia="宋体" w:cs="Times New Roman"/>
                <w:color w:val="auto"/>
                <w:spacing w:val="0"/>
                <w:w w:val="100"/>
                <w:position w:val="0"/>
                <w:sz w:val="21"/>
                <w:lang w:eastAsia="zh-CN"/>
              </w:rPr>
              <w:t>，造成生命财产重大损失。</w:t>
            </w:r>
          </w:p>
          <w:p w14:paraId="5A803F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2）机油</w:t>
            </w:r>
            <w:r>
              <w:rPr>
                <w:rFonts w:hint="default" w:ascii="Times New Roman" w:hAnsi="Times New Roman" w:eastAsia="宋体" w:cs="Times New Roman"/>
                <w:color w:val="auto"/>
                <w:spacing w:val="0"/>
                <w:w w:val="100"/>
                <w:position w:val="0"/>
                <w:sz w:val="21"/>
              </w:rPr>
              <w:t>发生泄漏，从而污染项目</w:t>
            </w:r>
            <w:r>
              <w:rPr>
                <w:rFonts w:hint="default" w:ascii="Times New Roman" w:hAnsi="Times New Roman" w:eastAsia="宋体" w:cs="Times New Roman"/>
                <w:color w:val="auto"/>
                <w:spacing w:val="0"/>
                <w:w w:val="100"/>
                <w:position w:val="0"/>
                <w:sz w:val="21"/>
                <w:lang w:eastAsia="zh-CN"/>
              </w:rPr>
              <w:t>矿区</w:t>
            </w:r>
            <w:r>
              <w:rPr>
                <w:rFonts w:hint="default" w:ascii="Times New Roman" w:hAnsi="Times New Roman" w:eastAsia="宋体" w:cs="Times New Roman"/>
                <w:color w:val="auto"/>
                <w:spacing w:val="0"/>
                <w:w w:val="100"/>
                <w:position w:val="0"/>
                <w:sz w:val="21"/>
              </w:rPr>
              <w:t>的土壤、包气带，最终下渗对地下水造成污染。</w:t>
            </w:r>
          </w:p>
          <w:p w14:paraId="01202E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3</w:t>
            </w:r>
            <w:r>
              <w:rPr>
                <w:rFonts w:hint="default" w:ascii="Times New Roman" w:hAnsi="Times New Roman" w:eastAsia="宋体" w:cs="Times New Roman"/>
                <w:color w:val="auto"/>
                <w:spacing w:val="0"/>
                <w:w w:val="100"/>
                <w:position w:val="0"/>
                <w:sz w:val="21"/>
              </w:rPr>
              <w:t>）</w:t>
            </w:r>
            <w:r>
              <w:rPr>
                <w:rFonts w:hint="default" w:ascii="Times New Roman" w:hAnsi="Times New Roman" w:eastAsia="宋体" w:cs="Times New Roman"/>
                <w:color w:val="auto"/>
                <w:spacing w:val="0"/>
                <w:w w:val="100"/>
                <w:position w:val="0"/>
                <w:sz w:val="21"/>
                <w:lang w:val="en-US" w:eastAsia="zh-CN"/>
              </w:rPr>
              <w:t>机油</w:t>
            </w:r>
            <w:r>
              <w:rPr>
                <w:rFonts w:hint="default" w:ascii="Times New Roman" w:hAnsi="Times New Roman" w:eastAsia="宋体" w:cs="Times New Roman"/>
                <w:color w:val="auto"/>
                <w:spacing w:val="0"/>
                <w:w w:val="100"/>
                <w:position w:val="0"/>
                <w:sz w:val="21"/>
              </w:rPr>
              <w:t>发生火灾、爆炸事故，造成</w:t>
            </w:r>
            <w:r>
              <w:rPr>
                <w:rFonts w:hint="default" w:ascii="Times New Roman" w:hAnsi="Times New Roman" w:eastAsia="宋体" w:cs="Times New Roman"/>
                <w:color w:val="auto"/>
                <w:spacing w:val="0"/>
                <w:w w:val="100"/>
                <w:position w:val="0"/>
                <w:sz w:val="21"/>
                <w:lang w:eastAsia="zh-CN"/>
              </w:rPr>
              <w:t>矿区</w:t>
            </w:r>
            <w:r>
              <w:rPr>
                <w:rFonts w:hint="default" w:ascii="Times New Roman" w:hAnsi="Times New Roman" w:eastAsia="宋体" w:cs="Times New Roman"/>
                <w:color w:val="auto"/>
                <w:spacing w:val="0"/>
                <w:w w:val="100"/>
                <w:position w:val="0"/>
                <w:sz w:val="21"/>
              </w:rPr>
              <w:t>及其周边的人员伤亡；</w:t>
            </w:r>
            <w:r>
              <w:rPr>
                <w:rFonts w:hint="default" w:ascii="Times New Roman" w:hAnsi="Times New Roman" w:eastAsia="宋体" w:cs="Times New Roman"/>
                <w:color w:val="auto"/>
                <w:spacing w:val="0"/>
                <w:w w:val="100"/>
                <w:position w:val="0"/>
                <w:sz w:val="21"/>
                <w:lang w:val="en-US" w:eastAsia="zh-CN"/>
              </w:rPr>
              <w:t>机油</w:t>
            </w:r>
            <w:r>
              <w:rPr>
                <w:rFonts w:hint="default" w:ascii="Times New Roman" w:hAnsi="Times New Roman" w:eastAsia="宋体" w:cs="Times New Roman"/>
                <w:color w:val="auto"/>
                <w:spacing w:val="0"/>
                <w:w w:val="100"/>
                <w:position w:val="0"/>
                <w:sz w:val="21"/>
              </w:rPr>
              <w:t>发生火灾、爆炸事故次生污染为不完全燃烧产生CO，对环境空气造成污染以及CO扩散造成人员中毒。</w:t>
            </w:r>
          </w:p>
          <w:p w14:paraId="3D2CBA0B">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2"/>
              </w:rPr>
            </w:pPr>
            <w:r>
              <w:rPr>
                <w:rFonts w:hint="default" w:ascii="Times New Roman" w:hAnsi="Times New Roman" w:eastAsia="宋体" w:cs="Times New Roman"/>
                <w:color w:val="auto"/>
                <w:spacing w:val="0"/>
                <w:w w:val="100"/>
                <w:position w:val="0"/>
                <w:sz w:val="21"/>
                <w:szCs w:val="22"/>
                <w:lang w:eastAsia="zh-CN"/>
              </w:rPr>
              <w:t>（</w:t>
            </w:r>
            <w:r>
              <w:rPr>
                <w:rFonts w:hint="default" w:ascii="Times New Roman" w:hAnsi="Times New Roman" w:eastAsia="宋体" w:cs="Times New Roman"/>
                <w:color w:val="auto"/>
                <w:spacing w:val="0"/>
                <w:w w:val="100"/>
                <w:position w:val="0"/>
                <w:sz w:val="21"/>
                <w:szCs w:val="22"/>
                <w:lang w:val="en-US" w:eastAsia="zh-CN"/>
              </w:rPr>
              <w:t>4</w:t>
            </w:r>
            <w:r>
              <w:rPr>
                <w:rFonts w:hint="default" w:ascii="Times New Roman" w:hAnsi="Times New Roman" w:eastAsia="宋体" w:cs="Times New Roman"/>
                <w:color w:val="auto"/>
                <w:spacing w:val="0"/>
                <w:w w:val="100"/>
                <w:position w:val="0"/>
                <w:sz w:val="21"/>
                <w:szCs w:val="22"/>
                <w:lang w:eastAsia="zh-CN"/>
              </w:rPr>
              <w:t>）</w:t>
            </w:r>
            <w:r>
              <w:rPr>
                <w:rFonts w:hint="default" w:ascii="Times New Roman" w:hAnsi="Times New Roman" w:eastAsia="宋体" w:cs="Times New Roman"/>
                <w:color w:val="auto"/>
                <w:spacing w:val="0"/>
                <w:w w:val="100"/>
                <w:position w:val="0"/>
                <w:sz w:val="21"/>
                <w:szCs w:val="22"/>
              </w:rPr>
              <w:t>井巷工程事故风险主要为地质灾害风险。</w:t>
            </w:r>
          </w:p>
          <w:p w14:paraId="7545B327">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szCs w:val="22"/>
                <w:lang w:eastAsia="zh-CN"/>
              </w:rPr>
              <w:t>（</w:t>
            </w:r>
            <w:r>
              <w:rPr>
                <w:rFonts w:hint="default" w:ascii="Times New Roman" w:hAnsi="Times New Roman" w:eastAsia="宋体" w:cs="Times New Roman"/>
                <w:color w:val="auto"/>
                <w:spacing w:val="0"/>
                <w:w w:val="100"/>
                <w:position w:val="0"/>
                <w:sz w:val="21"/>
                <w:szCs w:val="22"/>
                <w:lang w:val="en-US" w:eastAsia="zh-CN"/>
              </w:rPr>
              <w:t>5</w:t>
            </w:r>
            <w:r>
              <w:rPr>
                <w:rFonts w:hint="default" w:ascii="Times New Roman" w:hAnsi="Times New Roman" w:eastAsia="宋体" w:cs="Times New Roman"/>
                <w:color w:val="auto"/>
                <w:spacing w:val="0"/>
                <w:w w:val="100"/>
                <w:position w:val="0"/>
                <w:sz w:val="21"/>
                <w:szCs w:val="22"/>
                <w:lang w:eastAsia="zh-CN"/>
              </w:rPr>
              <w:t>）拦渣坝</w:t>
            </w:r>
            <w:r>
              <w:rPr>
                <w:rFonts w:hint="default" w:ascii="Times New Roman" w:hAnsi="Times New Roman" w:eastAsia="宋体" w:cs="Times New Roman"/>
                <w:color w:val="auto"/>
                <w:spacing w:val="0"/>
                <w:w w:val="100"/>
                <w:position w:val="0"/>
                <w:sz w:val="21"/>
                <w:szCs w:val="22"/>
              </w:rPr>
              <w:t>溃坝事故。</w:t>
            </w:r>
          </w:p>
        </w:tc>
      </w:tr>
      <w:tr w14:paraId="7B973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 w:hRule="atLeast"/>
          <w:tblHeader/>
          <w:jc w:val="center"/>
        </w:trPr>
        <w:tc>
          <w:tcPr>
            <w:tcW w:w="1140" w:type="dxa"/>
            <w:vAlign w:val="center"/>
          </w:tcPr>
          <w:p w14:paraId="416260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风险防范措施要求</w:t>
            </w:r>
          </w:p>
        </w:tc>
        <w:tc>
          <w:tcPr>
            <w:tcW w:w="7373" w:type="dxa"/>
            <w:gridSpan w:val="5"/>
            <w:vAlign w:val="center"/>
          </w:tcPr>
          <w:p w14:paraId="62BF68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大气环境防范措施：在发生事故时，应及时组织附近人群转移，以减少对人群的伤害。</w:t>
            </w:r>
          </w:p>
          <w:p w14:paraId="0225E8F0">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防渗措施：项目区内一般区域采用水泥硬化地面，罐区采取严格防渗。</w:t>
            </w:r>
          </w:p>
          <w:p w14:paraId="404D7234">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围堰设置：在罐区设置围堰，确保泄漏后化学品不会溢出到围堰外。</w:t>
            </w:r>
          </w:p>
          <w:p w14:paraId="55B844A8">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防火防爆措施：从总平面布置、工艺、自动控制、建/构筑物防火、电气防火、消防系统、设备泄压等方面采取防火、防爆控制措施。</w:t>
            </w:r>
          </w:p>
          <w:p w14:paraId="72AAC4D3">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防毒措施：尽量减少就地操作岗位，使作业人员不接触或少接触有毒物质，防止误操作造成中毒事故；安装有毒气体浓度检测报警装置，防止有毒气体在厂房内积聚，造成操作人员中毒窒息事故。</w:t>
            </w:r>
          </w:p>
          <w:p w14:paraId="7C3A6024">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运输防范措施：坚持</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预防为主，防治结合</w:t>
            </w: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的原则，首先做好预防工作，然后完善控制污染事故危害的措施。</w:t>
            </w:r>
          </w:p>
          <w:p w14:paraId="53DD67ED">
            <w:pPr>
              <w:pStyle w:val="63"/>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sz w:val="21"/>
                <w:szCs w:val="21"/>
              </w:rPr>
            </w:pPr>
            <w:r>
              <w:rPr>
                <w:rFonts w:hint="default" w:ascii="Times New Roman" w:hAnsi="Times New Roman" w:eastAsia="宋体" w:cs="Times New Roman"/>
                <w:color w:val="auto"/>
                <w:spacing w:val="0"/>
                <w:w w:val="100"/>
                <w:position w:val="0"/>
                <w:sz w:val="21"/>
                <w:szCs w:val="21"/>
              </w:rPr>
              <w:t>安全管理措施：设置安全管理机构，建立安全管理制度，加强人员培训，预防安全事故发生。</w:t>
            </w:r>
          </w:p>
        </w:tc>
      </w:tr>
    </w:tbl>
    <w:p w14:paraId="5E547C5A">
      <w:pPr>
        <w:pStyle w:val="2"/>
        <w:bidi w:val="0"/>
        <w:rPr>
          <w:rFonts w:hint="default" w:ascii="Times New Roman" w:hAnsi="Times New Roman" w:eastAsia="宋体" w:cs="Times New Roman"/>
          <w:bCs/>
          <w:color w:val="auto"/>
          <w:spacing w:val="0"/>
          <w:w w:val="100"/>
          <w:kern w:val="0"/>
          <w:position w:val="0"/>
          <w:sz w:val="44"/>
          <w:szCs w:val="44"/>
          <w:highlight w:val="none"/>
          <w:lang w:val="en-US" w:eastAsia="zh-CN"/>
        </w:rPr>
      </w:pPr>
      <w:r>
        <w:rPr>
          <w:rFonts w:hint="default" w:ascii="Times New Roman" w:hAnsi="Times New Roman" w:eastAsia="宋体" w:cs="Times New Roman"/>
          <w:color w:val="auto"/>
          <w:spacing w:val="0"/>
          <w:w w:val="100"/>
          <w:position w:val="0"/>
          <w:lang w:val="en-US" w:eastAsia="zh-CN"/>
        </w:rPr>
        <w:br w:type="page"/>
      </w:r>
      <w:bookmarkStart w:id="701" w:name="_Toc12150"/>
      <w:bookmarkStart w:id="702" w:name="_Toc27570"/>
      <w:bookmarkStart w:id="703" w:name="_Toc8529_WPSOffice_Level1"/>
      <w:bookmarkStart w:id="704" w:name="_Toc26081"/>
      <w:bookmarkStart w:id="705" w:name="_Toc6102"/>
      <w:bookmarkStart w:id="706" w:name="_Toc16703_WPSOffice_Level1"/>
      <w:bookmarkStart w:id="707" w:name="_Toc3488"/>
      <w:r>
        <w:rPr>
          <w:rFonts w:hint="default" w:ascii="Times New Roman" w:hAnsi="Times New Roman" w:eastAsia="宋体" w:cs="Times New Roman"/>
          <w:bCs/>
          <w:color w:val="auto"/>
          <w:spacing w:val="0"/>
          <w:w w:val="100"/>
          <w:kern w:val="0"/>
          <w:position w:val="0"/>
          <w:sz w:val="44"/>
          <w:szCs w:val="44"/>
          <w:highlight w:val="none"/>
          <w:lang w:val="en-US" w:eastAsia="zh-CN"/>
        </w:rPr>
        <w:t>环境保护措施及其可行性论证</w:t>
      </w:r>
      <w:bookmarkEnd w:id="701"/>
      <w:bookmarkEnd w:id="702"/>
      <w:bookmarkEnd w:id="703"/>
      <w:bookmarkEnd w:id="704"/>
      <w:bookmarkEnd w:id="705"/>
      <w:bookmarkEnd w:id="706"/>
      <w:bookmarkEnd w:id="707"/>
    </w:p>
    <w:p w14:paraId="4C002DA8">
      <w:pPr>
        <w:pStyle w:val="3"/>
        <w:bidi w:val="0"/>
        <w:rPr>
          <w:rFonts w:hint="default" w:ascii="Times New Roman" w:hAnsi="Times New Roman" w:cs="Times New Roman"/>
          <w:color w:val="auto"/>
          <w:lang w:val="en-US" w:eastAsia="zh-CN"/>
        </w:rPr>
      </w:pPr>
      <w:bookmarkStart w:id="708" w:name="_Toc8710"/>
      <w:bookmarkStart w:id="709" w:name="_Toc8265"/>
      <w:bookmarkStart w:id="710" w:name="_Toc8285"/>
      <w:bookmarkStart w:id="711" w:name="_Toc31472"/>
      <w:r>
        <w:rPr>
          <w:rFonts w:hint="default" w:ascii="Times New Roman" w:hAnsi="Times New Roman" w:cs="Times New Roman"/>
          <w:color w:val="auto"/>
          <w:lang w:val="en-US" w:eastAsia="zh-CN"/>
        </w:rPr>
        <w:t>施工期环境污染防治及可行性论证</w:t>
      </w:r>
      <w:bookmarkEnd w:id="708"/>
      <w:bookmarkEnd w:id="709"/>
    </w:p>
    <w:p w14:paraId="7250A8BD">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大气污染防治措施</w:t>
      </w:r>
    </w:p>
    <w:p w14:paraId="539AB8C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w:t>
      </w:r>
      <w:r>
        <w:rPr>
          <w:rFonts w:hint="eastAsia" w:ascii="Times New Roman" w:hAnsi="Times New Roman" w:cs="Times New Roman"/>
          <w:color w:val="auto"/>
          <w:spacing w:val="0"/>
          <w:w w:val="100"/>
          <w:kern w:val="10"/>
          <w:position w:val="0"/>
          <w:sz w:val="24"/>
          <w:szCs w:val="24"/>
          <w:highlight w:val="none"/>
          <w:lang w:val="en-US" w:eastAsia="zh-CN"/>
        </w:rPr>
        <w:t>做好</w:t>
      </w:r>
      <w:r>
        <w:rPr>
          <w:rFonts w:hint="default" w:ascii="Times New Roman" w:hAnsi="Times New Roman" w:eastAsia="宋体" w:cs="Times New Roman"/>
          <w:color w:val="auto"/>
          <w:spacing w:val="0"/>
          <w:w w:val="100"/>
          <w:kern w:val="10"/>
          <w:position w:val="0"/>
          <w:sz w:val="24"/>
          <w:szCs w:val="24"/>
          <w:highlight w:val="none"/>
          <w:lang w:val="en-US" w:eastAsia="zh-CN"/>
        </w:rPr>
        <w:t>施工组织规划工作，加强工地管理，严禁将建设施工材料乱堆乱放，尽量减少施工材料的临时</w:t>
      </w:r>
      <w:r>
        <w:rPr>
          <w:rFonts w:hint="eastAsia" w:ascii="Times New Roman" w:hAnsi="Times New Roman" w:cs="Times New Roman"/>
          <w:color w:val="auto"/>
          <w:spacing w:val="0"/>
          <w:w w:val="100"/>
          <w:kern w:val="10"/>
          <w:position w:val="0"/>
          <w:sz w:val="24"/>
          <w:szCs w:val="24"/>
          <w:highlight w:val="none"/>
          <w:lang w:val="en-US" w:eastAsia="zh-CN"/>
        </w:rPr>
        <w:t>堆放</w:t>
      </w:r>
      <w:r>
        <w:rPr>
          <w:rFonts w:hint="default" w:ascii="Times New Roman" w:hAnsi="Times New Roman" w:eastAsia="宋体" w:cs="Times New Roman"/>
          <w:color w:val="auto"/>
          <w:spacing w:val="0"/>
          <w:w w:val="100"/>
          <w:kern w:val="10"/>
          <w:position w:val="0"/>
          <w:sz w:val="24"/>
          <w:szCs w:val="24"/>
          <w:highlight w:val="none"/>
          <w:lang w:val="en-US" w:eastAsia="zh-CN"/>
        </w:rPr>
        <w:t>，以减少施工扬尘；</w:t>
      </w:r>
    </w:p>
    <w:p w14:paraId="65EC2200">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（2）加强运输调度管理，禁止车辆在非工作道路</w:t>
      </w:r>
      <w:r>
        <w:rPr>
          <w:rFonts w:hint="eastAsia" w:ascii="Times New Roman" w:hAnsi="Times New Roman" w:cs="Times New Roman"/>
          <w:color w:val="auto"/>
          <w:spacing w:val="0"/>
          <w:w w:val="100"/>
          <w:kern w:val="10"/>
          <w:position w:val="0"/>
          <w:sz w:val="24"/>
          <w:szCs w:val="24"/>
          <w:highlight w:val="none"/>
          <w:lang w:val="en-US" w:eastAsia="zh-CN"/>
        </w:rPr>
        <w:t>上</w:t>
      </w:r>
      <w:r>
        <w:rPr>
          <w:rFonts w:hint="default" w:ascii="Times New Roman" w:hAnsi="Times New Roman" w:eastAsia="宋体" w:cs="Times New Roman"/>
          <w:color w:val="auto"/>
          <w:spacing w:val="0"/>
          <w:w w:val="100"/>
          <w:kern w:val="10"/>
          <w:position w:val="0"/>
          <w:sz w:val="24"/>
          <w:szCs w:val="24"/>
          <w:highlight w:val="none"/>
          <w:lang w:val="en-US" w:eastAsia="zh-CN"/>
        </w:rPr>
        <w:t>乱跑和到处碾压，尽可能保护原始地貌地面状态。对进入场区的交通要道路面经常清扫、修整，以保证道路畅通，</w:t>
      </w:r>
      <w:r>
        <w:rPr>
          <w:rFonts w:hint="eastAsia" w:ascii="Times New Roman" w:hAnsi="Times New Roman" w:cs="Times New Roman"/>
          <w:color w:val="auto"/>
          <w:spacing w:val="0"/>
          <w:w w:val="100"/>
          <w:kern w:val="10"/>
          <w:position w:val="0"/>
          <w:sz w:val="24"/>
          <w:szCs w:val="24"/>
          <w:highlight w:val="none"/>
          <w:lang w:val="en-US" w:eastAsia="zh-CN"/>
        </w:rPr>
        <w:t>减少</w:t>
      </w:r>
      <w:r>
        <w:rPr>
          <w:rFonts w:hint="default" w:ascii="Times New Roman" w:hAnsi="Times New Roman" w:eastAsia="宋体" w:cs="Times New Roman"/>
          <w:color w:val="auto"/>
          <w:spacing w:val="0"/>
          <w:w w:val="100"/>
          <w:kern w:val="10"/>
          <w:position w:val="0"/>
          <w:sz w:val="24"/>
          <w:szCs w:val="24"/>
          <w:highlight w:val="none"/>
          <w:lang w:val="en-US" w:eastAsia="zh-CN"/>
        </w:rPr>
        <w:t>扬尘污染；</w:t>
      </w:r>
    </w:p>
    <w:p w14:paraId="1F7D4ECE">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（3）科学合理地进行施工组织设计，尽量少挖方，少填方，最大限度地保持原有地貌。施工结束后恢复施工迹地，对施工迹地和弃方进行合理平整、利用、清运，减少水土流失；</w:t>
      </w:r>
    </w:p>
    <w:p w14:paraId="02F10CE2">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（4）加强物料转运与使用过程中的管理，运输散装粉末状材料和清运建筑垃圾时使用专用车辆，进出施工场地的车辆应限速，对燃柴油的大型运输车、推土机，需安装尾气</w:t>
      </w:r>
      <w:r>
        <w:rPr>
          <w:rFonts w:hint="eastAsia" w:ascii="Times New Roman" w:hAnsi="Times New Roman" w:cs="Times New Roman"/>
          <w:color w:val="auto"/>
          <w:spacing w:val="0"/>
          <w:w w:val="100"/>
          <w:kern w:val="10"/>
          <w:position w:val="0"/>
          <w:sz w:val="24"/>
          <w:szCs w:val="24"/>
          <w:highlight w:val="none"/>
          <w:lang w:val="en-US" w:eastAsia="zh-CN"/>
        </w:rPr>
        <w:t>净化器</w:t>
      </w:r>
      <w:r>
        <w:rPr>
          <w:rFonts w:hint="default" w:ascii="Times New Roman" w:hAnsi="Times New Roman" w:eastAsia="宋体" w:cs="Times New Roman"/>
          <w:color w:val="auto"/>
          <w:spacing w:val="0"/>
          <w:w w:val="100"/>
          <w:kern w:val="10"/>
          <w:position w:val="0"/>
          <w:sz w:val="24"/>
          <w:szCs w:val="24"/>
          <w:highlight w:val="none"/>
          <w:lang w:val="en-US" w:eastAsia="zh-CN"/>
        </w:rPr>
        <w:t>，尾气应达标排放。禁止超载，不得使用劣质燃料；</w:t>
      </w:r>
    </w:p>
    <w:p w14:paraId="37F23626">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（5）在施工工作面，应制定洒水降尘制度，配套洒水设备；设置专人负责保洁工作，定期洒水，在大风日要加大洒水量和洒水次数；</w:t>
      </w:r>
    </w:p>
    <w:p w14:paraId="3BB91500">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（6）工程在建设施工时，施工场界设置围挡，辅以现场洒水防尘，能有效地减小施工扬尘的影响范围。扬尘影响主要在下风向距离200m范围内，超标范围在下风向100m范围。</w:t>
      </w:r>
    </w:p>
    <w:p w14:paraId="4E442BFF">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采取上述措施后，施工扬尘对当地空气环境影响是可接受的，随施工结束而消失。</w:t>
      </w:r>
    </w:p>
    <w:p w14:paraId="11770DB7">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水污染防治措施</w:t>
      </w:r>
    </w:p>
    <w:p w14:paraId="23CD7BD3">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（1）加强管理，注意施工废水不可任意直接排放；</w:t>
      </w:r>
    </w:p>
    <w:p w14:paraId="1DAEF3F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（2）施工现场产生的废水主要来源于设备洗涤水，水中主要含有SS。施工废水经沉淀后循环使用不外排，这样既可节约水资源，又可减轻对地表水环境的污染；</w:t>
      </w:r>
    </w:p>
    <w:p w14:paraId="2D1A07E5">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（3）在施工时，生活污水采用移动式卫生厕所对施工人员产生的粪便水进行收集，由环卫部门集中处置。</w:t>
      </w:r>
    </w:p>
    <w:p w14:paraId="2284CEB4">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噪声污染防治措施</w:t>
      </w:r>
    </w:p>
    <w:p w14:paraId="572E5AB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施工中应注意合理安排施工场地，科学</w:t>
      </w:r>
      <w:r>
        <w:rPr>
          <w:rFonts w:hint="eastAsia" w:ascii="Times New Roman" w:hAnsi="Times New Roman" w:cs="Times New Roman"/>
          <w:color w:val="auto"/>
          <w:spacing w:val="0"/>
          <w:w w:val="100"/>
          <w:kern w:val="10"/>
          <w:position w:val="0"/>
          <w:sz w:val="24"/>
          <w:szCs w:val="24"/>
          <w:highlight w:val="none"/>
          <w:lang w:val="en-US" w:eastAsia="zh-CN"/>
        </w:rPr>
        <w:t>地</w:t>
      </w:r>
      <w:r>
        <w:rPr>
          <w:rFonts w:hint="default" w:ascii="Times New Roman" w:hAnsi="Times New Roman" w:eastAsia="宋体" w:cs="Times New Roman"/>
          <w:color w:val="auto"/>
          <w:spacing w:val="0"/>
          <w:w w:val="100"/>
          <w:kern w:val="10"/>
          <w:position w:val="0"/>
          <w:sz w:val="24"/>
          <w:szCs w:val="24"/>
          <w:highlight w:val="none"/>
          <w:lang w:val="en-US" w:eastAsia="zh-CN"/>
        </w:rPr>
        <w:t>布局施工现场，合理安排施工作业时间。</w:t>
      </w:r>
    </w:p>
    <w:p w14:paraId="1276371E">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对施工机械设备噪声，施工方要采取有效的降噪措施，严格执行《建筑施工噪声排放标准》（GB12523-2025），控制施工噪声。同时，施工场地使用的机械应尽量满足表4.3-4所列的噪声达标控制距离。</w:t>
      </w:r>
    </w:p>
    <w:p w14:paraId="7B5F5A0C">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固体废物处置措施</w:t>
      </w:r>
    </w:p>
    <w:p w14:paraId="055C5C35">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根据施工产生的工程垃圾和渣土的量，分类管理，可利用的渣土尽量在场内周转，就地利用，以防污染周围水体水质和影响周围环境卫生，具体为：井巷施工产生的废石可以作为井口工业场地平整及场内道路、外部道路路基的填料。地面场地平整、基础开挖产生的挖方可用于填方，不设取土场。多余弃方可集中排入设计划定的废石场内集中堆存，严禁乱排；</w:t>
      </w:r>
    </w:p>
    <w:p w14:paraId="0A8D1603">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（2）车辆运输散体物料和废弃物时，必须密闭、包扎、覆盖，不得沿途漏撒；运载土方的车辆必须在规定时间内，按指定路段行驶；</w:t>
      </w:r>
    </w:p>
    <w:p w14:paraId="73B7A3B8">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（3）生活垃圾与建筑垃圾分开，在项目区设置生活垃圾箱进行集中收集，以免污染环境。将生活垃圾收集后，定期由公司集中收集、外运至哈密市伊州区生活垃圾填埋场处理。</w:t>
      </w:r>
    </w:p>
    <w:p w14:paraId="51229E1F">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（4）在项目竣工以后，施工单位应立即拆除各种临时施工设施，并负责将工地的剩余建筑垃圾、工程渣土处理干净。</w:t>
      </w:r>
    </w:p>
    <w:p w14:paraId="1E18C59D">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经以上各项措施处理后，本项目施工产生的固体废物可得到妥善的处置，对周围环境影响是可以接受的。</w:t>
      </w:r>
    </w:p>
    <w:p w14:paraId="01CB21B1">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生态环境影响减缓及恢复措施</w:t>
      </w:r>
    </w:p>
    <w:p w14:paraId="6D5C75F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（1）在场地施工过</w:t>
      </w:r>
      <w:r>
        <w:rPr>
          <w:rFonts w:hint="eastAsia" w:ascii="Times New Roman" w:hAnsi="Times New Roman" w:cs="Times New Roman"/>
          <w:color w:val="auto"/>
          <w:spacing w:val="0"/>
          <w:w w:val="100"/>
          <w:position w:val="0"/>
          <w:sz w:val="24"/>
          <w:szCs w:val="24"/>
          <w:lang w:eastAsia="zh-CN"/>
        </w:rPr>
        <w:t>程中</w:t>
      </w:r>
      <w:r>
        <w:rPr>
          <w:rFonts w:hint="default" w:ascii="Times New Roman" w:hAnsi="Times New Roman" w:eastAsia="宋体" w:cs="Times New Roman"/>
          <w:color w:val="auto"/>
          <w:spacing w:val="0"/>
          <w:w w:val="100"/>
          <w:position w:val="0"/>
          <w:sz w:val="24"/>
          <w:szCs w:val="24"/>
        </w:rPr>
        <w:t>必须确保建筑工地“六个百分百”，即施工工地周边100%围挡；物料堆放100%覆盖；出入车辆100%冲洗；施工现场地面100%硬化；拆迁工地100%湿法作业；渣土车辆100%密闭运输。</w:t>
      </w:r>
    </w:p>
    <w:p w14:paraId="252DAE87">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（2）严格控制各施工场地的施工范围，尽量减少临时占地，禁止随意在未征用的土地内开设运输通道或作临时占用地。禁止在保护区边界附近施工</w:t>
      </w:r>
    </w:p>
    <w:p w14:paraId="396CAFF4">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（3）</w:t>
      </w:r>
      <w:r>
        <w:rPr>
          <w:rFonts w:hint="eastAsia" w:ascii="Times New Roman" w:hAnsi="Times New Roman" w:cs="Times New Roman"/>
          <w:color w:val="auto"/>
          <w:spacing w:val="0"/>
          <w:w w:val="100"/>
          <w:position w:val="0"/>
          <w:sz w:val="24"/>
          <w:szCs w:val="24"/>
          <w:lang w:eastAsia="zh-CN"/>
        </w:rPr>
        <w:t>对</w:t>
      </w:r>
      <w:r>
        <w:rPr>
          <w:rFonts w:hint="default" w:ascii="Times New Roman" w:hAnsi="Times New Roman" w:eastAsia="宋体" w:cs="Times New Roman"/>
          <w:color w:val="auto"/>
          <w:spacing w:val="0"/>
          <w:w w:val="100"/>
          <w:position w:val="0"/>
          <w:sz w:val="24"/>
          <w:szCs w:val="24"/>
        </w:rPr>
        <w:t>施工人员和矿山工作人员加强管理，严禁人员狩猎野生动物、破坏占地范围外地表。</w:t>
      </w:r>
    </w:p>
    <w:p w14:paraId="13E2F4A8">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（4）加强对施工人员和工作人员的宣传教育，增强工作人员对环境保护工作的认识和加强环保知识培训，</w:t>
      </w:r>
      <w:r>
        <w:rPr>
          <w:rFonts w:hint="eastAsia" w:ascii="Times New Roman" w:hAnsi="Times New Roman" w:cs="Times New Roman"/>
          <w:color w:val="auto"/>
          <w:spacing w:val="0"/>
          <w:w w:val="100"/>
          <w:position w:val="0"/>
          <w:sz w:val="24"/>
          <w:szCs w:val="24"/>
          <w:lang w:eastAsia="zh-CN"/>
        </w:rPr>
        <w:t>加深</w:t>
      </w:r>
      <w:r>
        <w:rPr>
          <w:rFonts w:hint="default" w:ascii="Times New Roman" w:hAnsi="Times New Roman" w:eastAsia="宋体" w:cs="Times New Roman"/>
          <w:color w:val="auto"/>
          <w:spacing w:val="0"/>
          <w:w w:val="100"/>
          <w:position w:val="0"/>
          <w:sz w:val="24"/>
          <w:szCs w:val="24"/>
        </w:rPr>
        <w:t>工作人员对野生动物的认识和了解，树立环境保护意识。</w:t>
      </w:r>
    </w:p>
    <w:p w14:paraId="4213944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5</w:t>
      </w:r>
      <w:r>
        <w:rPr>
          <w:rFonts w:hint="default" w:ascii="Times New Roman" w:hAnsi="Times New Roman" w:eastAsia="宋体" w:cs="Times New Roman"/>
          <w:color w:val="auto"/>
          <w:spacing w:val="0"/>
          <w:w w:val="100"/>
          <w:position w:val="0"/>
          <w:sz w:val="24"/>
          <w:szCs w:val="24"/>
        </w:rPr>
        <w:t>）防沙固沙措施：项目建设过程中，要在散体物料堆场</w:t>
      </w:r>
      <w:r>
        <w:rPr>
          <w:rFonts w:hint="eastAsia" w:ascii="Times New Roman" w:hAnsi="Times New Roman" w:cs="Times New Roman"/>
          <w:color w:val="auto"/>
          <w:spacing w:val="0"/>
          <w:w w:val="100"/>
          <w:position w:val="0"/>
          <w:sz w:val="24"/>
          <w:szCs w:val="24"/>
          <w:lang w:eastAsia="zh-CN"/>
        </w:rPr>
        <w:t>表面</w:t>
      </w:r>
      <w:r>
        <w:rPr>
          <w:rFonts w:hint="default" w:ascii="Times New Roman" w:hAnsi="Times New Roman" w:eastAsia="宋体" w:cs="Times New Roman"/>
          <w:color w:val="auto"/>
          <w:spacing w:val="0"/>
          <w:w w:val="100"/>
          <w:position w:val="0"/>
          <w:sz w:val="24"/>
          <w:szCs w:val="24"/>
        </w:rPr>
        <w:t>覆盖防风固沙网，防止风沙危害铁路公路，减少公路管道工程破坏地表植被。</w:t>
      </w:r>
    </w:p>
    <w:p w14:paraId="7F4CEB06">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6</w:t>
      </w:r>
      <w:r>
        <w:rPr>
          <w:rFonts w:hint="default" w:ascii="Times New Roman" w:hAnsi="Times New Roman" w:eastAsia="宋体" w:cs="Times New Roman"/>
          <w:color w:val="auto"/>
          <w:spacing w:val="0"/>
          <w:w w:val="100"/>
          <w:position w:val="0"/>
          <w:sz w:val="24"/>
          <w:szCs w:val="24"/>
        </w:rPr>
        <w:t>）施工前，在占地范围内，对地表砾石剥离收集，剥离厚度15cm，剥离砾石存放于表土堆场未占压空地，外围使用彩钢板圈围，对表面拍实并洒水抑尘待表土堆场达到设计标高后，对到界平台顶部铺压砾石。砾石堆放区域周边布置挡板防护，表面覆盖防风固沙网。堆放过程中，堆体表面洒水抑尘。</w:t>
      </w:r>
    </w:p>
    <w:p w14:paraId="3F44EAAE">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7</w:t>
      </w:r>
      <w:r>
        <w:rPr>
          <w:rFonts w:hint="default" w:ascii="Times New Roman" w:hAnsi="Times New Roman" w:eastAsia="宋体" w:cs="Times New Roman"/>
          <w:color w:val="auto"/>
          <w:spacing w:val="0"/>
          <w:w w:val="100"/>
          <w:position w:val="0"/>
          <w:sz w:val="24"/>
          <w:szCs w:val="24"/>
        </w:rPr>
        <w:t>）施工作业结束后，因地制宜地做好施工场地的恢复工作，及时平整各类施工场地，再采取水罐车喷洒方式使地表尽快形成表面硬结皮，以保护下层的土层不受风蚀影响。</w:t>
      </w:r>
    </w:p>
    <w:p w14:paraId="07AF1EF0">
      <w:pPr>
        <w:pStyle w:val="3"/>
        <w:bidi w:val="0"/>
        <w:rPr>
          <w:rFonts w:hint="default" w:ascii="Times New Roman" w:hAnsi="Times New Roman" w:cs="Times New Roman"/>
          <w:color w:val="auto"/>
          <w:lang w:val="en-US" w:eastAsia="zh-CN"/>
        </w:rPr>
      </w:pPr>
      <w:bookmarkStart w:id="712" w:name="_Toc13684"/>
      <w:bookmarkStart w:id="713" w:name="_Toc25156"/>
      <w:r>
        <w:rPr>
          <w:rFonts w:hint="default" w:ascii="Times New Roman" w:hAnsi="Times New Roman" w:cs="Times New Roman"/>
          <w:color w:val="auto"/>
          <w:lang w:val="en-US" w:eastAsia="zh-CN"/>
        </w:rPr>
        <w:t>运营期污染防治措施分析及可行性论证</w:t>
      </w:r>
      <w:bookmarkEnd w:id="710"/>
      <w:bookmarkEnd w:id="711"/>
      <w:bookmarkEnd w:id="712"/>
      <w:bookmarkEnd w:id="713"/>
    </w:p>
    <w:p w14:paraId="39BDB88C">
      <w:pPr>
        <w:pStyle w:val="4"/>
        <w:bidi w:val="0"/>
        <w:rPr>
          <w:rFonts w:hint="default" w:ascii="Times New Roman" w:hAnsi="Times New Roman" w:cs="Times New Roman"/>
          <w:color w:val="auto"/>
          <w:lang w:val="en-US" w:eastAsia="zh-CN"/>
        </w:rPr>
      </w:pPr>
      <w:bookmarkStart w:id="714" w:name="_Toc18775"/>
      <w:bookmarkStart w:id="715" w:name="_Toc1455"/>
      <w:bookmarkStart w:id="716" w:name="_Toc2403"/>
      <w:bookmarkStart w:id="717" w:name="_Toc13797"/>
      <w:bookmarkStart w:id="718" w:name="_Toc27847"/>
      <w:bookmarkStart w:id="719" w:name="_Toc15096"/>
      <w:r>
        <w:rPr>
          <w:rFonts w:hint="default" w:ascii="Times New Roman" w:hAnsi="Times New Roman" w:cs="Times New Roman"/>
          <w:color w:val="auto"/>
          <w:lang w:val="en-US" w:eastAsia="zh-CN"/>
        </w:rPr>
        <w:t>运营期生态保护措施</w:t>
      </w:r>
    </w:p>
    <w:p w14:paraId="2AA55B81">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6.2.1.1生态环境影响减缓及恢复措施</w:t>
      </w:r>
    </w:p>
    <w:p w14:paraId="7AAE7D8F">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（1）被剥离的岩石必须排卸至废石场，禁止随意排弃废石，避免在矿区内增加新的地表扰动和水土流失；</w:t>
      </w:r>
    </w:p>
    <w:p w14:paraId="4267DA22">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（2）生活区进行绿化形成隔离带，减少扬尘、噪声、水土流失等的影响程度，岩石与矿石的装卸应严格控制在倒装场范围内，严禁占压外围土地。</w:t>
      </w:r>
    </w:p>
    <w:p w14:paraId="7191D314">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运营期生态恢复措施如下：</w:t>
      </w:r>
    </w:p>
    <w:p w14:paraId="6323CA0B">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坚持“预防为主、防治结合、过程控制”的原则，将矿山生态环境保护与恢复治理贯穿矿产资源开采的全过程。必须做到生产期间尽可能不断地恢复被破坏的土地，消除各种污染源的危害，在采矿结束后（即矿山服务期满后）对被遗弃的土地进行全面的恢复工作，恢复工作应在服务期满后两年内完成；</w:t>
      </w:r>
    </w:p>
    <w:p w14:paraId="6EE17C0A">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（2）根据采矿地质条件、发展远景及当地具体情况，制定矿山土地复垦计划。该计划要纳入本项目矿山中的开采、排弃计划，其内容包括利用土地的方式、采矿复垦方法等，且与生产建设统一规划；</w:t>
      </w:r>
    </w:p>
    <w:p w14:paraId="7152E683">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（3）项目废石场应采取相应的环保措施防止二次污染，控制废石场对周围环境的污染；</w:t>
      </w:r>
    </w:p>
    <w:p w14:paraId="474EB6C4">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4</w:t>
      </w:r>
      <w:r>
        <w:rPr>
          <w:rFonts w:hint="default" w:ascii="Times New Roman" w:hAnsi="Times New Roman" w:eastAsia="宋体" w:cs="Times New Roman"/>
          <w:color w:val="auto"/>
          <w:spacing w:val="0"/>
          <w:w w:val="100"/>
          <w:kern w:val="10"/>
          <w:position w:val="0"/>
          <w:sz w:val="24"/>
          <w:szCs w:val="24"/>
          <w:highlight w:val="none"/>
          <w:lang w:val="en-US" w:eastAsia="zh-CN"/>
        </w:rPr>
        <w:t>）建设单位应</w:t>
      </w:r>
      <w:r>
        <w:rPr>
          <w:rFonts w:hint="eastAsia" w:ascii="Times New Roman" w:hAnsi="Times New Roman" w:cs="Times New Roman"/>
          <w:color w:val="auto"/>
          <w:spacing w:val="0"/>
          <w:w w:val="100"/>
          <w:kern w:val="10"/>
          <w:position w:val="0"/>
          <w:sz w:val="24"/>
          <w:szCs w:val="24"/>
          <w:highlight w:val="none"/>
          <w:lang w:val="en-US" w:eastAsia="zh-CN"/>
        </w:rPr>
        <w:t>制定</w:t>
      </w:r>
      <w:r>
        <w:rPr>
          <w:rFonts w:hint="default" w:ascii="Times New Roman" w:hAnsi="Times New Roman" w:eastAsia="宋体" w:cs="Times New Roman"/>
          <w:color w:val="auto"/>
          <w:spacing w:val="0"/>
          <w:w w:val="100"/>
          <w:kern w:val="10"/>
          <w:position w:val="0"/>
          <w:sz w:val="24"/>
          <w:szCs w:val="24"/>
          <w:highlight w:val="none"/>
          <w:lang w:val="en-US" w:eastAsia="zh-CN"/>
        </w:rPr>
        <w:t>生态补偿方案、实施计划和进度等，并给予资金上的保证。其次是建立相应的监督管理制度，负责生态恢复计划的落实，对生态恢复的效果及时进行检查和总结；</w:t>
      </w:r>
    </w:p>
    <w:p w14:paraId="2F21D976">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5</w:t>
      </w:r>
      <w:r>
        <w:rPr>
          <w:rFonts w:hint="default" w:ascii="Times New Roman" w:hAnsi="Times New Roman" w:eastAsia="宋体" w:cs="Times New Roman"/>
          <w:color w:val="auto"/>
          <w:spacing w:val="0"/>
          <w:w w:val="100"/>
          <w:kern w:val="10"/>
          <w:position w:val="0"/>
          <w:sz w:val="24"/>
          <w:szCs w:val="24"/>
          <w:highlight w:val="none"/>
          <w:lang w:val="en-US" w:eastAsia="zh-CN"/>
        </w:rPr>
        <w:t>）《土地复垦规定》第十六条指出：基本建设过程中破坏的土地，土地复垦费用和土地损失补偿费从基本建设投资中列支；生产过程中破坏的土地，土地复垦费用从企业更新改造资金和生产发展基金中列支；</w:t>
      </w:r>
    </w:p>
    <w:p w14:paraId="13CF4455">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6</w:t>
      </w:r>
      <w:r>
        <w:rPr>
          <w:rFonts w:hint="default" w:ascii="Times New Roman" w:hAnsi="Times New Roman" w:eastAsia="宋体" w:cs="Times New Roman"/>
          <w:color w:val="auto"/>
          <w:spacing w:val="0"/>
          <w:w w:val="100"/>
          <w:kern w:val="10"/>
          <w:position w:val="0"/>
          <w:sz w:val="24"/>
          <w:szCs w:val="24"/>
          <w:highlight w:val="none"/>
          <w:lang w:val="en-US" w:eastAsia="zh-CN"/>
        </w:rPr>
        <w:t>）矿山在开采过程中尽量做到边开采边恢复，在开采作业面有恢复条件时应及时选种适宜当地生长的耐旱植被进行恢复；</w:t>
      </w:r>
    </w:p>
    <w:p w14:paraId="36215930">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7</w:t>
      </w:r>
      <w:r>
        <w:rPr>
          <w:rFonts w:hint="default" w:ascii="Times New Roman" w:hAnsi="Times New Roman" w:eastAsia="宋体" w:cs="Times New Roman"/>
          <w:color w:val="auto"/>
          <w:spacing w:val="0"/>
          <w:w w:val="100"/>
          <w:kern w:val="10"/>
          <w:position w:val="0"/>
          <w:sz w:val="24"/>
          <w:szCs w:val="24"/>
          <w:highlight w:val="none"/>
          <w:lang w:val="en-US" w:eastAsia="zh-CN"/>
        </w:rPr>
        <w:t>）按照边开采边恢复、终止采矿活动时完成恢复治理的原则，要做到预防为主，针对存在的问题，</w:t>
      </w:r>
      <w:r>
        <w:rPr>
          <w:rFonts w:hint="eastAsia" w:ascii="Times New Roman" w:hAnsi="Times New Roman" w:cs="Times New Roman"/>
          <w:color w:val="auto"/>
          <w:spacing w:val="0"/>
          <w:w w:val="100"/>
          <w:kern w:val="10"/>
          <w:position w:val="0"/>
          <w:sz w:val="24"/>
          <w:szCs w:val="24"/>
          <w:highlight w:val="none"/>
          <w:lang w:val="en-US" w:eastAsia="zh-CN"/>
        </w:rPr>
        <w:t>制定</w:t>
      </w:r>
      <w:r>
        <w:rPr>
          <w:rFonts w:hint="default" w:ascii="Times New Roman" w:hAnsi="Times New Roman" w:eastAsia="宋体" w:cs="Times New Roman"/>
          <w:color w:val="auto"/>
          <w:spacing w:val="0"/>
          <w:w w:val="100"/>
          <w:kern w:val="10"/>
          <w:position w:val="0"/>
          <w:sz w:val="24"/>
          <w:szCs w:val="24"/>
          <w:highlight w:val="none"/>
          <w:lang w:val="en-US" w:eastAsia="zh-CN"/>
        </w:rPr>
        <w:t>预防措施，对生产中出现的问题要及时采取相应的措施予以解决，达到防灾、减灾的目的；</w:t>
      </w:r>
    </w:p>
    <w:p w14:paraId="3FA3C92E">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8</w:t>
      </w:r>
      <w:r>
        <w:rPr>
          <w:rFonts w:hint="default" w:ascii="Times New Roman" w:hAnsi="Times New Roman" w:eastAsia="宋体" w:cs="Times New Roman"/>
          <w:color w:val="auto"/>
          <w:spacing w:val="0"/>
          <w:w w:val="100"/>
          <w:kern w:val="10"/>
          <w:position w:val="0"/>
          <w:sz w:val="24"/>
          <w:szCs w:val="24"/>
          <w:highlight w:val="none"/>
          <w:lang w:val="en-US" w:eastAsia="zh-CN"/>
        </w:rPr>
        <w:t>）建设用地的生态恢复</w:t>
      </w:r>
    </w:p>
    <w:p w14:paraId="78FC3B48">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建设用地的生态恢复只有在服务期满后实施，要求矿井在服务期满后及时拆除地表一切无用的建（构）筑物，清除固废，平整场地，恢复地貌，恢复原有景观及土地使用功能。按有关技术要求封闭矿井平硐口，即严格执行《矿山安全规程》中规定的矿山报废的操作规程：报废的平硐应填实，或在平硐口浇注1个大于井筒断面的坚实的钢筋混凝土盖板，并应设置栅栏和标志；封填报废的平硐时，必须做好隐蔽工程记录，并填图归档。</w:t>
      </w:r>
    </w:p>
    <w:p w14:paraId="1E1EEDA1">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废石场、低品位矿堆干砌片石护坡，其余以恢复原地貌为主。</w:t>
      </w:r>
    </w:p>
    <w:p w14:paraId="7F95F4D9">
      <w:pPr>
        <w:keepNext w:val="0"/>
        <w:keepLines w:val="0"/>
        <w:pageBreakBefore w:val="0"/>
        <w:numPr>
          <w:ilvl w:val="0"/>
          <w:numId w:val="10"/>
        </w:numPr>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在办公区空地进行绿化，对比项目区附近已有绿化树种，种植耐寒耐旱绿化树种。</w:t>
      </w:r>
    </w:p>
    <w:p w14:paraId="4012F956">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kern w:val="0"/>
          <w:sz w:val="24"/>
          <w:highlight w:val="none"/>
          <w:vertAlign w:val="baseline"/>
          <w:lang w:val="en-US" w:eastAsia="zh-CN"/>
        </w:rPr>
      </w:pPr>
      <w:r>
        <w:rPr>
          <w:rFonts w:hint="default" w:ascii="Times New Roman" w:hAnsi="Times New Roman" w:eastAsia="宋体" w:cs="Times New Roman"/>
          <w:color w:val="auto"/>
          <w:kern w:val="0"/>
          <w:sz w:val="24"/>
          <w:highlight w:val="none"/>
          <w:vertAlign w:val="baseline"/>
          <w:lang w:val="en-US" w:eastAsia="zh-CN"/>
        </w:rPr>
        <w:t>（10）防沙治沙措施</w:t>
      </w:r>
    </w:p>
    <w:p w14:paraId="1DE017DD">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项目施工期、运营期及服务期满等阶段，均应加强防沙治沙措施的实施，防止土地沙化。</w:t>
      </w:r>
    </w:p>
    <w:p w14:paraId="1329767A">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1、采取的技术规范、标准</w:t>
      </w:r>
    </w:p>
    <w:p w14:paraId="7E197C17">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①《中华人民共和国防沙治沙法》（2018年11月14日修订）；</w:t>
      </w:r>
    </w:p>
    <w:p w14:paraId="6F38C245">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0"/>
          <w:sz w:val="24"/>
          <w:szCs w:val="24"/>
          <w:highlight w:val="none"/>
          <w:vertAlign w:val="baseline"/>
          <w:lang w:val="en-US" w:eastAsia="zh-CN"/>
        </w:rPr>
        <w:t>②《关于做好沙区开发建</w:t>
      </w:r>
      <w:r>
        <w:rPr>
          <w:rFonts w:hint="default" w:ascii="Times New Roman" w:hAnsi="Times New Roman" w:eastAsia="宋体" w:cs="Times New Roman"/>
          <w:color w:val="auto"/>
          <w:kern w:val="2"/>
          <w:sz w:val="24"/>
          <w:szCs w:val="24"/>
          <w:highlight w:val="none"/>
          <w:lang w:eastAsia="zh-CN" w:bidi="ar"/>
        </w:rPr>
        <w:t>设项目环评中防沙治沙内容评价工作的意见》（林沙发〔2013〕136号）；</w:t>
      </w:r>
    </w:p>
    <w:p w14:paraId="7EC8D87A">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③《关于加强沙区建设项目环境影响评价工作的通知》（新环环评发〔2020〕138号）；</w:t>
      </w:r>
    </w:p>
    <w:p w14:paraId="70CBCF5C">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④《防沙治沙技术规范》（GB/T21141-2007）；</w:t>
      </w:r>
    </w:p>
    <w:p w14:paraId="3DA67F97">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val="en-US" w:eastAsia="zh-CN" w:bidi="ar"/>
        </w:rPr>
        <w:t>2、</w:t>
      </w:r>
      <w:r>
        <w:rPr>
          <w:rFonts w:hint="default" w:ascii="Times New Roman" w:hAnsi="Times New Roman" w:eastAsia="宋体" w:cs="Times New Roman"/>
          <w:color w:val="auto"/>
          <w:kern w:val="2"/>
          <w:sz w:val="24"/>
          <w:szCs w:val="24"/>
          <w:highlight w:val="none"/>
          <w:lang w:eastAsia="zh-CN" w:bidi="ar"/>
        </w:rPr>
        <w:t>制定方案的原则与目标</w:t>
      </w:r>
    </w:p>
    <w:p w14:paraId="073E8C3D">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制定方案的原则：①科学性、前瞻性与可行性相结合；②定性目标与定量指标相结合；③注重生态效益与关注民生、发展产业相结合；④节约用水和合理用水相结合；⑤坚持因地制宜的原则。</w:t>
      </w:r>
    </w:p>
    <w:p w14:paraId="2B410317">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制定方案的目标：通过工程建设</w:t>
      </w:r>
      <w:r>
        <w:rPr>
          <w:rFonts w:hint="default" w:ascii="Times New Roman" w:hAnsi="Times New Roman" w:eastAsia="宋体" w:cs="Times New Roman"/>
          <w:color w:val="auto"/>
          <w:kern w:val="2"/>
          <w:sz w:val="24"/>
          <w:szCs w:val="24"/>
          <w:highlight w:val="none"/>
          <w:lang w:val="en-US" w:eastAsia="zh-CN" w:bidi="ar"/>
        </w:rPr>
        <w:t>及后期运营</w:t>
      </w:r>
      <w:r>
        <w:rPr>
          <w:rFonts w:hint="default" w:ascii="Times New Roman" w:hAnsi="Times New Roman" w:eastAsia="宋体" w:cs="Times New Roman"/>
          <w:color w:val="auto"/>
          <w:kern w:val="2"/>
          <w:sz w:val="24"/>
          <w:szCs w:val="24"/>
          <w:highlight w:val="none"/>
          <w:lang w:eastAsia="zh-CN" w:bidi="ar"/>
        </w:rPr>
        <w:t>，维持现有区域植被覆盖度，沙化土地扩展趋势得到遏制，区域生态环境显著改善。</w:t>
      </w:r>
    </w:p>
    <w:p w14:paraId="2F629008">
      <w:pPr>
        <w:pStyle w:val="19"/>
        <w:keepNext w:val="0"/>
        <w:keepLines w:val="0"/>
        <w:pageBreakBefore w:val="0"/>
        <w:widowControl w:val="0"/>
        <w:numPr>
          <w:ilvl w:val="0"/>
          <w:numId w:val="11"/>
        </w:numPr>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工程措施</w:t>
      </w:r>
    </w:p>
    <w:p w14:paraId="5E1BFD68">
      <w:pPr>
        <w:pStyle w:val="19"/>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①严格依法坚持封禁保护，加强管理，严禁不合理利用土地、草地等资源行为，避免沙区植被资源遭到破坏。为了提高矿区植被的覆盖率，选择乔、灌、草相结合，且抗旱能力强的植被进行人工封沙种草。</w:t>
      </w:r>
    </w:p>
    <w:p w14:paraId="6D256C8D">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②由于冬季风力较强，加上干燥的气候条件以及地表覆盖的植被较少，风沙较大。建设单位要重视防沙固沙工作，有效利用周围的环境条件，如在风沙区域增设沙障、固定沙丘，避免沙丘随大风肆意扩散，减少沙土的扩散范围。</w:t>
      </w:r>
    </w:p>
    <w:p w14:paraId="547BE0A8">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③对现有植被加大保护力度。对现有植被资源加强保护，将其作为土壤沙漠化治理工作的重中之重，原生植被具有较强的防风固沙作用，必须加大保护力度。</w:t>
      </w:r>
    </w:p>
    <w:p w14:paraId="4C5D1581">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本工程不涉及物理、化学固沙及其他机械固沙措施。</w:t>
      </w:r>
    </w:p>
    <w:p w14:paraId="57ECE6BD">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val="en-US" w:eastAsia="zh-CN" w:bidi="ar"/>
        </w:rPr>
        <w:t>4、</w:t>
      </w:r>
      <w:r>
        <w:rPr>
          <w:rFonts w:hint="default" w:ascii="Times New Roman" w:hAnsi="Times New Roman" w:eastAsia="宋体" w:cs="Times New Roman"/>
          <w:color w:val="auto"/>
          <w:kern w:val="2"/>
          <w:sz w:val="24"/>
          <w:szCs w:val="24"/>
          <w:highlight w:val="none"/>
          <w:lang w:eastAsia="zh-CN" w:bidi="ar"/>
        </w:rPr>
        <w:t>植物措施</w:t>
      </w:r>
    </w:p>
    <w:p w14:paraId="63AE80E3">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施工过程中，对于管线工程（</w:t>
      </w:r>
      <w:r>
        <w:rPr>
          <w:rFonts w:hint="default" w:ascii="Times New Roman" w:hAnsi="Times New Roman" w:eastAsia="宋体" w:cs="Times New Roman"/>
          <w:color w:val="auto"/>
          <w:kern w:val="2"/>
          <w:sz w:val="24"/>
          <w:szCs w:val="24"/>
          <w:highlight w:val="none"/>
          <w:lang w:val="en-US" w:eastAsia="zh-CN" w:bidi="ar"/>
        </w:rPr>
        <w:t>如涉及</w:t>
      </w:r>
      <w:r>
        <w:rPr>
          <w:rFonts w:hint="default" w:ascii="Times New Roman" w:hAnsi="Times New Roman" w:eastAsia="宋体" w:cs="Times New Roman"/>
          <w:color w:val="auto"/>
          <w:kern w:val="2"/>
          <w:sz w:val="24"/>
          <w:szCs w:val="24"/>
          <w:highlight w:val="none"/>
          <w:lang w:eastAsia="zh-CN" w:bidi="ar"/>
        </w:rPr>
        <w:t>），尽可能在植被覆盖度高的地段采取人工开挖，局部降低作业带宽度，减少对植被的破坏。</w:t>
      </w:r>
    </w:p>
    <w:p w14:paraId="07744A7A">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val="en-US" w:eastAsia="zh-CN" w:bidi="ar"/>
        </w:rPr>
        <w:t>5、</w:t>
      </w:r>
      <w:r>
        <w:rPr>
          <w:rFonts w:hint="default" w:ascii="Times New Roman" w:hAnsi="Times New Roman" w:eastAsia="宋体" w:cs="Times New Roman"/>
          <w:color w:val="auto"/>
          <w:kern w:val="2"/>
          <w:sz w:val="24"/>
          <w:szCs w:val="24"/>
          <w:highlight w:val="none"/>
          <w:lang w:eastAsia="zh-CN" w:bidi="ar"/>
        </w:rPr>
        <w:t>其他措施</w:t>
      </w:r>
    </w:p>
    <w:p w14:paraId="72046342">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kern w:val="0"/>
          <w:sz w:val="24"/>
          <w:szCs w:val="24"/>
          <w:highlight w:val="none"/>
          <w:vertAlign w:val="baseline"/>
          <w:lang w:val="en-US" w:eastAsia="zh-CN"/>
        </w:rPr>
        <w:t>①</w:t>
      </w:r>
      <w:r>
        <w:rPr>
          <w:rFonts w:hint="default" w:ascii="Times New Roman" w:hAnsi="Times New Roman" w:eastAsia="宋体" w:cs="Times New Roman"/>
          <w:color w:val="auto"/>
          <w:sz w:val="24"/>
          <w:highlight w:val="none"/>
          <w:lang w:val="en-US" w:eastAsia="zh-CN"/>
        </w:rPr>
        <w:t>严格控制工业活动范围，严禁乱碾乱轧，避免对项目占地范围外的区域造成扰动。</w:t>
      </w:r>
    </w:p>
    <w:p w14:paraId="2E7BEC40">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②优化施工组织，缩短施工时间，施工作业时应分段作业，开挖的土方应分层开挖、分层堆放、分层回填，避免在风天气作业，以免造成土壤风蚀影响。</w:t>
      </w:r>
    </w:p>
    <w:p w14:paraId="51C60163">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③施工结束后对场地进行清理、平整并压实，场地实施场地硬化，避免水土流失影响。</w:t>
      </w:r>
    </w:p>
    <w:p w14:paraId="074C171E">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④严禁破坏占地范围外的植被。</w:t>
      </w:r>
    </w:p>
    <w:p w14:paraId="1BECB07A">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⑤严禁在大风天气进行土方作业。粉状材料及临时土方等在堆场应采取覆盖防尘布，逸散性材料运输采用篷布遮盖，减少施工扬尘产生量和起沙量。</w:t>
      </w:r>
    </w:p>
    <w:p w14:paraId="5142620F">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ind w:firstLine="480"/>
        <w:textAlignment w:val="auto"/>
        <w:rPr>
          <w:rFonts w:hint="default" w:ascii="Times New Roman" w:hAnsi="Times New Roman" w:eastAsia="宋体" w:cs="Times New Roman"/>
          <w:color w:val="auto"/>
          <w:kern w:val="2"/>
          <w:sz w:val="24"/>
          <w:szCs w:val="24"/>
          <w:highlight w:val="none"/>
          <w:lang w:eastAsia="zh-CN" w:bidi="ar"/>
        </w:rPr>
      </w:pPr>
      <w:r>
        <w:rPr>
          <w:rFonts w:hint="default" w:ascii="Times New Roman" w:hAnsi="Times New Roman" w:eastAsia="宋体" w:cs="Times New Roman"/>
          <w:color w:val="auto"/>
          <w:kern w:val="2"/>
          <w:sz w:val="24"/>
          <w:szCs w:val="24"/>
          <w:highlight w:val="none"/>
          <w:lang w:eastAsia="zh-CN" w:bidi="ar"/>
        </w:rPr>
        <w:t>针对施工机械及运输车辆，提出如下措施：施工期间应划定施工活动范围，严格控制和管理运输车辆及重型机械的运行线路和范围，不得离开运输道路及随意行驶，由专人负责，以防破坏土壤和植被，加剧土地荒漠化。</w:t>
      </w:r>
    </w:p>
    <w:p w14:paraId="7FE572A1">
      <w:pPr>
        <w:keepNext w:val="0"/>
        <w:keepLines w:val="0"/>
        <w:pageBreakBefore w:val="0"/>
        <w:widowControl w:val="0"/>
        <w:kinsoku/>
        <w:wordWrap/>
        <w:overflowPunct/>
        <w:topLinePunct w:val="0"/>
        <w:autoSpaceDE/>
        <w:autoSpaceDN/>
        <w:bidi w:val="0"/>
        <w:adjustRightInd/>
        <w:snapToGrid/>
        <w:spacing w:line="480" w:lineRule="exact"/>
        <w:ind w:left="0"/>
        <w:textAlignment w:val="auto"/>
        <w:outlineLvl w:val="3"/>
        <w:rPr>
          <w:rFonts w:hint="default" w:ascii="Times New Roman" w:hAnsi="Times New Roman" w:eastAsia="宋体" w:cs="Times New Roman"/>
          <w:b/>
          <w:bCs/>
          <w:color w:val="auto"/>
          <w:spacing w:val="0"/>
          <w:w w:val="100"/>
          <w:kern w:val="2"/>
          <w:position w:val="0"/>
          <w:sz w:val="24"/>
          <w:szCs w:val="28"/>
          <w:highlight w:val="none"/>
          <w:lang w:val="en-US" w:eastAsia="zh-CN" w:bidi="ar-SA"/>
        </w:rPr>
      </w:pPr>
      <w:r>
        <w:rPr>
          <w:rFonts w:hint="default" w:ascii="Times New Roman" w:hAnsi="Times New Roman" w:eastAsia="宋体" w:cs="Times New Roman"/>
          <w:b/>
          <w:bCs/>
          <w:color w:val="auto"/>
          <w:spacing w:val="0"/>
          <w:w w:val="100"/>
          <w:kern w:val="2"/>
          <w:position w:val="0"/>
          <w:sz w:val="24"/>
          <w:szCs w:val="28"/>
          <w:highlight w:val="none"/>
          <w:lang w:val="en-US" w:eastAsia="zh-CN" w:bidi="ar-SA"/>
        </w:rPr>
        <w:t>6.2.1.2矿山服务期满后采取的措施</w:t>
      </w:r>
    </w:p>
    <w:p w14:paraId="4E48230D">
      <w:pPr>
        <w:pStyle w:val="9"/>
        <w:keepNext w:val="0"/>
        <w:keepLines w:val="0"/>
        <w:pageBreakBefore w:val="0"/>
        <w:kinsoku/>
        <w:wordWrap/>
        <w:overflowPunct/>
        <w:topLinePunct w:val="0"/>
        <w:autoSpaceDE/>
        <w:autoSpaceDN/>
        <w:bidi w:val="0"/>
        <w:adjustRightInd/>
        <w:snapToGrid/>
        <w:spacing w:after="0" w:line="480" w:lineRule="exact"/>
        <w:textAlignment w:val="auto"/>
        <w:rPr>
          <w:rFonts w:hint="default" w:ascii="Times New Roman" w:hAnsi="Times New Roman" w:eastAsia="宋体" w:cs="Times New Roman"/>
          <w:color w:val="auto"/>
          <w:spacing w:val="0"/>
          <w:w w:val="100"/>
          <w:position w:val="0"/>
          <w:sz w:val="24"/>
        </w:rPr>
      </w:pPr>
      <w:r>
        <w:rPr>
          <w:rFonts w:hint="default" w:ascii="Times New Roman" w:hAnsi="Times New Roman" w:eastAsia="宋体" w:cs="Times New Roman"/>
          <w:color w:val="auto"/>
          <w:spacing w:val="0"/>
          <w:w w:val="100"/>
          <w:position w:val="0"/>
          <w:sz w:val="24"/>
          <w:szCs w:val="24"/>
        </w:rPr>
        <w:t>服务期满后，及时拆除地表一切无用建筑设施，设立多种文字警示牌。要对矿山进行复垦，复垦责任范围包括生活区、</w:t>
      </w: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工业场地、废石场、矿堆、风井工业场地、矿区运输道路、地表错动范围等，结合项目区极度干旱，土壤肥力低的特点，复垦方向宜为还原裸岩石砾地地貌。</w:t>
      </w:r>
    </w:p>
    <w:p w14:paraId="26DC8BD9">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根据《有色金属行业绿色矿山建设规范》（DZ/T0320-2018）、《矿山生态环境保护与恢复治理技术规范（试行）》（HJ651-2013）、《金属矿山土地复垦工程设计标准》（GB51411-2020）等相关要求，根据不同的开采方式进行生态恢复措施及生态修复方案。</w:t>
      </w:r>
    </w:p>
    <w:p w14:paraId="3ED49FD3">
      <w:pPr>
        <w:keepNext w:val="0"/>
        <w:keepLines w:val="0"/>
        <w:pageBreakBefore w:val="0"/>
        <w:widowControl w:val="0"/>
        <w:kinsoku/>
        <w:wordWrap/>
        <w:overflowPunct/>
        <w:topLinePunct w:val="0"/>
        <w:autoSpaceDE/>
        <w:autoSpaceDN/>
        <w:bidi w:val="0"/>
        <w:adjustRightInd/>
        <w:snapToGrid/>
        <w:spacing w:line="480" w:lineRule="exact"/>
        <w:ind w:left="0" w:firstLine="48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为保证后续生产安全，露采坑周边设置的围栏铁丝网、警示牌都应长期保留。</w:t>
      </w:r>
    </w:p>
    <w:p w14:paraId="7B8AE2BF">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大气污染防治措施</w:t>
      </w:r>
      <w:bookmarkEnd w:id="714"/>
      <w:bookmarkEnd w:id="715"/>
      <w:bookmarkEnd w:id="716"/>
      <w:bookmarkEnd w:id="717"/>
      <w:bookmarkEnd w:id="718"/>
      <w:bookmarkEnd w:id="719"/>
    </w:p>
    <w:p w14:paraId="5A934997">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2"/>
          <w:position w:val="0"/>
          <w:sz w:val="24"/>
          <w:szCs w:val="24"/>
          <w:highlight w:val="none"/>
          <w:lang w:val="en-US" w:eastAsia="zh-CN"/>
        </w:rPr>
      </w:pPr>
      <w:r>
        <w:rPr>
          <w:rFonts w:hint="default" w:ascii="Times New Roman" w:hAnsi="Times New Roman" w:eastAsia="宋体" w:cs="Times New Roman"/>
          <w:color w:val="auto"/>
          <w:spacing w:val="0"/>
          <w:w w:val="100"/>
          <w:kern w:val="2"/>
          <w:position w:val="0"/>
          <w:sz w:val="24"/>
          <w:szCs w:val="24"/>
          <w:highlight w:val="none"/>
          <w:lang w:val="en-US" w:eastAsia="zh-CN"/>
        </w:rPr>
        <w:t>本项目大气污染源及污染物主要有：地下采矿排风井废气、</w:t>
      </w:r>
      <w:r>
        <w:rPr>
          <w:rFonts w:hint="default" w:ascii="Times New Roman" w:hAnsi="Times New Roman" w:cs="Times New Roman"/>
          <w:color w:val="auto"/>
          <w:spacing w:val="0"/>
          <w:w w:val="100"/>
          <w:kern w:val="2"/>
          <w:position w:val="0"/>
          <w:sz w:val="24"/>
          <w:szCs w:val="24"/>
          <w:highlight w:val="none"/>
          <w:lang w:val="en-US" w:eastAsia="zh-CN"/>
        </w:rPr>
        <w:t>破碎</w:t>
      </w:r>
      <w:r>
        <w:rPr>
          <w:rFonts w:hint="default" w:ascii="Times New Roman" w:hAnsi="Times New Roman" w:eastAsia="宋体" w:cs="Times New Roman"/>
          <w:color w:val="auto"/>
          <w:spacing w:val="0"/>
          <w:w w:val="100"/>
          <w:kern w:val="2"/>
          <w:position w:val="0"/>
          <w:sz w:val="24"/>
          <w:szCs w:val="24"/>
          <w:highlight w:val="none"/>
          <w:lang w:val="en-US" w:eastAsia="zh-CN"/>
        </w:rPr>
        <w:t>车间有组织排放的工业废气、废石场等堆场扬尘和矿山运输道路产生的汽车扬尘。</w:t>
      </w:r>
    </w:p>
    <w:p w14:paraId="38E58732">
      <w:pPr>
        <w:pStyle w:val="5"/>
        <w:ind w:firstLine="482"/>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6.2.2.1井下作业废气处理措施</w:t>
      </w:r>
    </w:p>
    <w:p w14:paraId="755A7ECA">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井下采矿生产过程中产生含粉尘和SO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、NO</w:t>
      </w:r>
      <w:r>
        <w:rPr>
          <w:rFonts w:hint="default" w:ascii="Times New Roman" w:hAnsi="Times New Roman" w:cs="Times New Roman"/>
          <w:color w:val="auto"/>
          <w:sz w:val="24"/>
          <w:vertAlign w:val="subscript"/>
        </w:rPr>
        <w:t>X</w:t>
      </w:r>
      <w:r>
        <w:rPr>
          <w:rFonts w:hint="default" w:ascii="Times New Roman" w:hAnsi="Times New Roman" w:cs="Times New Roman"/>
          <w:color w:val="auto"/>
          <w:sz w:val="24"/>
        </w:rPr>
        <w:t>等有害污染气体，对矿工的人身安全和健康构成极大威胁，长期吸入、接触这些矿尘可引起矽肺病、皮肤病等其他疾病。为保护采矿工作面的空气质量，采用的方法就是矿井通风。矿井通风的根本任务是连续不断地向作业地点供给足够的新鲜空气，稀释和排出有害气体及粉尘，确保作业地点有良好的空气质量，保证矿工的安全和健康。</w:t>
      </w:r>
    </w:p>
    <w:p w14:paraId="291A8018">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井下爆破作业是矿井废气中烟（粉）尘、SO</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、CO、NO</w:t>
      </w:r>
      <w:r>
        <w:rPr>
          <w:rFonts w:hint="default" w:ascii="Times New Roman" w:hAnsi="Times New Roman" w:cs="Times New Roman"/>
          <w:color w:val="auto"/>
          <w:sz w:val="24"/>
          <w:vertAlign w:val="subscript"/>
        </w:rPr>
        <w:t>X</w:t>
      </w:r>
      <w:r>
        <w:rPr>
          <w:rFonts w:hint="default" w:ascii="Times New Roman" w:hAnsi="Times New Roman" w:cs="Times New Roman"/>
          <w:color w:val="auto"/>
          <w:sz w:val="24"/>
        </w:rPr>
        <w:t>的重要来源。为控制污染，除加强井下通风外，还须采取喷雾洒水、湿式作业、定期对主要入风巷道进行洗壁等降尘措施。爆破作业后一般要通风3~4h，再进行放矿等作业。严格实行班末定时爆破制度，采用先进的爆破技术，减少爆破次数和炸药使用量。</w:t>
      </w:r>
    </w:p>
    <w:p w14:paraId="46CFEAFF">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目前世界各国对矿山开采过程中废气的防治措施基本相同，主要采用密闭抽尘、净化、通风、湿式作业和提高设备的防尘防毒效率等措施。我国对井下废气的治理起步较早，并积累了丰富的经验，具体措施一是通风排尘、排气，二是抑尘。矿井通风系统一般设有</w:t>
      </w:r>
      <w:r>
        <w:rPr>
          <w:rFonts w:hint="default" w:ascii="Times New Roman" w:hAnsi="Times New Roman" w:cs="Times New Roman"/>
          <w:color w:val="auto"/>
          <w:sz w:val="24"/>
          <w:highlight w:val="none"/>
        </w:rPr>
        <w:t>中央对角式、对角式、分区通风和折返式四种类型，可以根据实际情况选用不同的通风方式，效果基本一致。</w:t>
      </w:r>
      <w:r>
        <w:rPr>
          <w:rFonts w:hint="default" w:ascii="Times New Roman" w:hAnsi="Times New Roman" w:cs="Times New Roman"/>
          <w:color w:val="auto"/>
          <w:sz w:val="24"/>
          <w:szCs w:val="24"/>
          <w:highlight w:val="none"/>
          <w:lang w:eastAsia="zh-CN"/>
        </w:rPr>
        <w:t>本工程</w:t>
      </w:r>
      <w:r>
        <w:rPr>
          <w:rFonts w:hint="default" w:ascii="Times New Roman" w:hAnsi="Times New Roman" w:cs="Times New Roman"/>
          <w:color w:val="auto"/>
          <w:sz w:val="24"/>
          <w:szCs w:val="24"/>
          <w:highlight w:val="none"/>
        </w:rPr>
        <w:t>采用中央进风两翼对角式通风系统。</w:t>
      </w:r>
      <w:r>
        <w:rPr>
          <w:rFonts w:hint="default" w:ascii="Times New Roman" w:hAnsi="Times New Roman" w:cs="Times New Roman"/>
          <w:color w:val="auto"/>
          <w:sz w:val="24"/>
          <w:highlight w:val="none"/>
        </w:rPr>
        <w:t>另外，在掘进工作面和局部硐室采用局部加强通风的措施，确保通风效果。在抑尘方面，采用湿式凿岩作业，矿岩提升、机车运输采用喷雾洒水、洗壁等措施，从产尘源头加强控制以达到抑尘的</w:t>
      </w:r>
      <w:r>
        <w:rPr>
          <w:rFonts w:hint="default" w:ascii="Times New Roman" w:hAnsi="Times New Roman" w:cs="Times New Roman"/>
          <w:color w:val="auto"/>
          <w:sz w:val="24"/>
        </w:rPr>
        <w:t>目的。</w:t>
      </w:r>
      <w:r>
        <w:rPr>
          <w:rFonts w:hint="default" w:ascii="Times New Roman" w:hAnsi="Times New Roman" w:cs="Times New Roman"/>
          <w:color w:val="auto"/>
          <w:sz w:val="24"/>
          <w:lang w:eastAsia="zh-CN"/>
        </w:rPr>
        <w:t>本工程</w:t>
      </w:r>
      <w:r>
        <w:rPr>
          <w:rFonts w:hint="default" w:ascii="Times New Roman" w:hAnsi="Times New Roman" w:cs="Times New Roman"/>
          <w:color w:val="auto"/>
          <w:sz w:val="24"/>
        </w:rPr>
        <w:t>采取的措施可使采场厂界空气含尘浓度控制在1.0mg/m</w:t>
      </w:r>
      <w:r>
        <w:rPr>
          <w:rFonts w:hint="default" w:ascii="Times New Roman" w:hAnsi="Times New Roman" w:cs="Times New Roman"/>
          <w:color w:val="auto"/>
          <w:sz w:val="24"/>
          <w:vertAlign w:val="superscript"/>
        </w:rPr>
        <w:t>3</w:t>
      </w:r>
      <w:r>
        <w:rPr>
          <w:rFonts w:hint="default" w:ascii="Times New Roman" w:hAnsi="Times New Roman" w:cs="Times New Roman"/>
          <w:color w:val="auto"/>
          <w:sz w:val="24"/>
        </w:rPr>
        <w:t>以下，确保作业点有良好的空气环境，保证矿工的健康与安全。上述措施在各矿山广泛采用，效果显著，措施切实可行。</w:t>
      </w:r>
    </w:p>
    <w:p w14:paraId="5758CA6E">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井下抽出的废气经风井排放到大气，由前面工程分析的内容可知，矿井废气中的主要污染物浓度均符合</w:t>
      </w:r>
      <w:r>
        <w:rPr>
          <w:rFonts w:hint="default" w:ascii="Times New Roman" w:hAnsi="Times New Roman" w:cs="Times New Roman"/>
          <w:color w:val="auto"/>
          <w:sz w:val="24"/>
          <w:szCs w:val="24"/>
          <w:highlight w:val="none"/>
          <w:lang w:eastAsia="zh-CN"/>
        </w:rPr>
        <w:t>《铜、镍、钴工业污染物排放标准》（GB25467-2010）中无组织排放浓度限值</w:t>
      </w:r>
      <w:r>
        <w:rPr>
          <w:rFonts w:hint="default" w:ascii="Times New Roman" w:hAnsi="Times New Roman" w:eastAsia="宋体" w:cs="Times New Roman"/>
          <w:color w:val="auto"/>
          <w:sz w:val="24"/>
          <w:lang w:val="en-US" w:eastAsia="zh-CN"/>
        </w:rPr>
        <w:t>，对环境影响不大。</w:t>
      </w:r>
    </w:p>
    <w:p w14:paraId="5591D03D">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6.2.2.2</w:t>
      </w:r>
      <w:r>
        <w:rPr>
          <w:rFonts w:hint="default" w:ascii="Times New Roman" w:hAnsi="Times New Roman" w:cs="Times New Roman"/>
          <w:color w:val="auto"/>
          <w:lang w:val="en-US" w:eastAsia="zh-CN"/>
        </w:rPr>
        <w:t>破碎</w:t>
      </w:r>
      <w:r>
        <w:rPr>
          <w:rFonts w:hint="default" w:ascii="Times New Roman" w:hAnsi="Times New Roman" w:eastAsia="宋体" w:cs="Times New Roman"/>
          <w:color w:val="auto"/>
          <w:lang w:val="en-US" w:eastAsia="zh-CN"/>
        </w:rPr>
        <w:t>有组织排放废气</w:t>
      </w:r>
    </w:p>
    <w:p w14:paraId="40C4E50C">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本项目有组织排放的工艺废气为</w:t>
      </w:r>
      <w:r>
        <w:rPr>
          <w:rFonts w:hint="default" w:ascii="Times New Roman" w:hAnsi="Times New Roman" w:cs="Times New Roman"/>
          <w:color w:val="auto"/>
          <w:spacing w:val="0"/>
          <w:w w:val="100"/>
          <w:kern w:val="10"/>
          <w:position w:val="0"/>
          <w:sz w:val="24"/>
          <w:szCs w:val="24"/>
          <w:highlight w:val="none"/>
          <w:lang w:val="en-US" w:eastAsia="zh-CN"/>
        </w:rPr>
        <w:t>破碎</w:t>
      </w:r>
      <w:r>
        <w:rPr>
          <w:rFonts w:hint="default" w:ascii="Times New Roman" w:hAnsi="Times New Roman" w:eastAsia="宋体" w:cs="Times New Roman"/>
          <w:color w:val="auto"/>
          <w:spacing w:val="0"/>
          <w:w w:val="100"/>
          <w:kern w:val="10"/>
          <w:position w:val="0"/>
          <w:sz w:val="24"/>
          <w:szCs w:val="24"/>
          <w:highlight w:val="none"/>
          <w:lang w:val="en-US" w:eastAsia="zh-CN"/>
        </w:rPr>
        <w:t>车间产生的废气，废气中主要是散失的粉状物料处于运动状态导致粉尘飞扬而污染环境。</w:t>
      </w:r>
    </w:p>
    <w:p w14:paraId="7212B5F6">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本项目合理设计皮带，减少物料的转运次数，降低转运设备的落差高度，并在主要产尘点加装了密闭罩抽风除尘。集气后通过对应的脉冲袋式除尘器，除尘效率大于</w:t>
      </w:r>
      <w:r>
        <w:rPr>
          <w:rFonts w:hint="default" w:ascii="Times New Roman" w:hAnsi="Times New Roman" w:cs="Times New Roman"/>
          <w:color w:val="auto"/>
          <w:spacing w:val="0"/>
          <w:w w:val="100"/>
          <w:kern w:val="10"/>
          <w:position w:val="0"/>
          <w:sz w:val="24"/>
          <w:szCs w:val="24"/>
          <w:highlight w:val="none"/>
          <w:lang w:val="en-US" w:eastAsia="zh-CN"/>
        </w:rPr>
        <w:t>99</w:t>
      </w:r>
      <w:r>
        <w:rPr>
          <w:rFonts w:hint="default" w:ascii="Times New Roman" w:hAnsi="Times New Roman" w:eastAsia="宋体" w:cs="Times New Roman"/>
          <w:color w:val="auto"/>
          <w:spacing w:val="0"/>
          <w:w w:val="100"/>
          <w:kern w:val="10"/>
          <w:position w:val="0"/>
          <w:sz w:val="24"/>
          <w:szCs w:val="24"/>
          <w:highlight w:val="none"/>
          <w:lang w:val="en-US" w:eastAsia="zh-CN"/>
        </w:rPr>
        <w:t>%，处理后废气经不低于15m排气筒外排；</w:t>
      </w:r>
    </w:p>
    <w:p w14:paraId="60B02551">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袋式除尘器袋式除尘技术工作原理如下：利用纤维织物的过滤作用对含尘气体进行过滤，当含尘气体进入袋式除尘器后，颗粒大、比重大的粉尘，由于重力作用沉降下来，落入灰斗，含有较细小粉尘的气体的通过滤料时，粉尘被阻留，气体得到净化。其除尘效率高，为避免潮湿粉尘造成糊袋现象，应采用由防水滤料制成的滤袋，该技术适用于选矿厂破碎筛分系统的粉尘治理，其粉尘处理效率高可达到99.99%（本项目设计以99%估算），经处理后粉尘排放浓度可满足</w:t>
      </w:r>
      <w:r>
        <w:rPr>
          <w:rFonts w:hint="default" w:ascii="Times New Roman" w:hAnsi="Times New Roman" w:cs="Times New Roman"/>
          <w:color w:val="auto"/>
          <w:spacing w:val="0"/>
          <w:w w:val="100"/>
          <w:kern w:val="10"/>
          <w:position w:val="0"/>
          <w:sz w:val="24"/>
          <w:szCs w:val="24"/>
          <w:highlight w:val="none"/>
          <w:lang w:val="en-US" w:eastAsia="zh-CN"/>
        </w:rPr>
        <w:t>《铜、镍、钴工业污染物排放标准》（GB25467-2010）及其修改单</w:t>
      </w:r>
      <w:r>
        <w:rPr>
          <w:rFonts w:hint="default" w:ascii="Times New Roman" w:hAnsi="Times New Roman" w:eastAsia="宋体" w:cs="Times New Roman"/>
          <w:color w:val="auto"/>
          <w:spacing w:val="0"/>
          <w:w w:val="100"/>
          <w:kern w:val="10"/>
          <w:position w:val="0"/>
          <w:sz w:val="24"/>
          <w:szCs w:val="24"/>
          <w:highlight w:val="none"/>
          <w:lang w:val="en-US" w:eastAsia="zh-CN"/>
        </w:rPr>
        <w:t>中排放限值要求。因而本项目采用脉冲袋式除尘器除尘对废气中的粉尘进行治理也是可行的。</w:t>
      </w:r>
    </w:p>
    <w:p w14:paraId="5AB05779">
      <w:pPr>
        <w:pStyle w:val="5"/>
        <w:ind w:firstLine="482"/>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6.2.2.3无组织扬尘防治措施</w:t>
      </w:r>
    </w:p>
    <w:p w14:paraId="1ED82D5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为防止</w:t>
      </w:r>
      <w:r>
        <w:rPr>
          <w:rFonts w:hint="default" w:ascii="Times New Roman" w:hAnsi="Times New Roman" w:cs="Times New Roman"/>
          <w:color w:val="auto"/>
          <w:sz w:val="24"/>
          <w:highlight w:val="none"/>
          <w:lang w:val="en-US" w:eastAsia="zh-CN"/>
        </w:rPr>
        <w:t>废石场</w:t>
      </w:r>
      <w:r>
        <w:rPr>
          <w:rFonts w:hint="default" w:ascii="Times New Roman" w:hAnsi="Times New Roman" w:eastAsia="宋体" w:cs="Times New Roman"/>
          <w:color w:val="auto"/>
          <w:sz w:val="24"/>
          <w:highlight w:val="none"/>
        </w:rPr>
        <w:t>、运输车辆等产生</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eastAsia="宋体" w:cs="Times New Roman"/>
          <w:color w:val="auto"/>
          <w:sz w:val="24"/>
          <w:highlight w:val="none"/>
        </w:rPr>
        <w:t>扬尘</w:t>
      </w:r>
      <w:r>
        <w:rPr>
          <w:rFonts w:hint="default" w:ascii="Times New Roman" w:hAnsi="Times New Roman" w:eastAsia="宋体" w:cs="Times New Roman"/>
          <w:color w:val="auto"/>
          <w:sz w:val="24"/>
          <w:highlight w:val="none"/>
          <w:lang w:val="en-US" w:eastAsia="zh-CN"/>
        </w:rPr>
        <w:t>以及柴油燃烧废气对区域大气环境的污染影响，企业必须制定严格的措施以防止大气污染。</w:t>
      </w:r>
    </w:p>
    <w:p w14:paraId="392AFDE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w:t>
      </w:r>
      <w:r>
        <w:rPr>
          <w:rFonts w:hint="default" w:ascii="Times New Roman" w:hAnsi="Times New Roman" w:eastAsia="宋体" w:cs="Times New Roman"/>
          <w:color w:val="auto"/>
          <w:sz w:val="24"/>
          <w:highlight w:val="none"/>
          <w:lang w:val="en-US" w:eastAsia="zh-CN"/>
        </w:rPr>
        <w:t>《有色金属行业绿色矿山建设规范》、《矿山生态环境保护与恢复治理技术规范（试行）》中相关要求，本次评价提出以下防治措施：</w:t>
      </w:r>
    </w:p>
    <w:p w14:paraId="04951C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（1）对矿山采矿场、工业广场、运输道路等无组织扬尘点定期进行洒水降尘</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加大洒水降尘频率</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pacing w:val="-4"/>
          <w:kern w:val="0"/>
          <w:sz w:val="24"/>
          <w:szCs w:val="24"/>
          <w:highlight w:val="none"/>
        </w:rPr>
        <w:t>同时还应采取</w:t>
      </w:r>
      <w:r>
        <w:rPr>
          <w:rFonts w:hint="default" w:ascii="Times New Roman" w:hAnsi="Times New Roman" w:cs="Times New Roman"/>
          <w:color w:val="auto"/>
          <w:spacing w:val="-4"/>
          <w:kern w:val="0"/>
          <w:sz w:val="24"/>
          <w:szCs w:val="24"/>
          <w:highlight w:val="none"/>
          <w:lang w:eastAsia="zh-CN"/>
        </w:rPr>
        <w:t>其他</w:t>
      </w:r>
      <w:r>
        <w:rPr>
          <w:rFonts w:hint="default" w:ascii="Times New Roman" w:hAnsi="Times New Roman" w:eastAsia="宋体" w:cs="Times New Roman"/>
          <w:color w:val="auto"/>
          <w:spacing w:val="-4"/>
          <w:kern w:val="0"/>
          <w:sz w:val="24"/>
          <w:szCs w:val="24"/>
          <w:highlight w:val="none"/>
        </w:rPr>
        <w:t>抑尘措施，例如矿石临时堆</w:t>
      </w:r>
      <w:r>
        <w:rPr>
          <w:rFonts w:hint="default" w:ascii="Times New Roman" w:hAnsi="Times New Roman" w:cs="Times New Roman"/>
          <w:color w:val="auto"/>
          <w:spacing w:val="-4"/>
          <w:kern w:val="0"/>
          <w:sz w:val="24"/>
          <w:szCs w:val="24"/>
          <w:highlight w:val="none"/>
          <w:lang w:val="en-US" w:eastAsia="zh-CN"/>
        </w:rPr>
        <w:t>存时采取篷布遮盖</w:t>
      </w:r>
      <w:r>
        <w:rPr>
          <w:rFonts w:hint="default" w:ascii="Times New Roman" w:hAnsi="Times New Roman" w:eastAsia="宋体" w:cs="Times New Roman"/>
          <w:color w:val="auto"/>
          <w:spacing w:val="-4"/>
          <w:kern w:val="0"/>
          <w:sz w:val="24"/>
          <w:szCs w:val="24"/>
          <w:highlight w:val="none"/>
          <w:lang w:eastAsia="zh-CN"/>
        </w:rPr>
        <w:t>，</w:t>
      </w:r>
      <w:r>
        <w:rPr>
          <w:rFonts w:hint="default" w:ascii="Times New Roman" w:hAnsi="Times New Roman" w:eastAsia="宋体" w:cs="Times New Roman"/>
          <w:color w:val="auto"/>
          <w:sz w:val="24"/>
          <w:highlight w:val="none"/>
        </w:rPr>
        <w:t>并在矿石堆放、装卸过程中尽量降低落差，加强调度管理，矿石及时运输，减少矿石堆放时间。</w:t>
      </w:r>
    </w:p>
    <w:p w14:paraId="163AF086">
      <w:pPr>
        <w:pStyle w:val="9"/>
        <w:keepNext w:val="0"/>
        <w:keepLines w:val="0"/>
        <w:pageBreakBefore w:val="0"/>
        <w:widowControl/>
        <w:kinsoku/>
        <w:wordWrap/>
        <w:overflowPunct/>
        <w:topLinePunct w:val="0"/>
        <w:autoSpaceDE/>
        <w:autoSpaceDN/>
        <w:bidi w:val="0"/>
        <w:adjustRightInd/>
        <w:snapToGrid/>
        <w:spacing w:after="0" w:line="480" w:lineRule="exact"/>
        <w:ind w:left="0" w:right="0" w:hanging="480"/>
        <w:jc w:val="left"/>
        <w:textAlignment w:val="auto"/>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（2）废石场粉尘治理</w:t>
      </w:r>
    </w:p>
    <w:p w14:paraId="1EFA4941">
      <w:pPr>
        <w:pStyle w:val="9"/>
        <w:keepNext w:val="0"/>
        <w:keepLines w:val="0"/>
        <w:pageBreakBefore w:val="0"/>
        <w:widowControl/>
        <w:kinsoku/>
        <w:wordWrap/>
        <w:overflowPunct/>
        <w:topLinePunct w:val="0"/>
        <w:autoSpaceDE/>
        <w:autoSpaceDN/>
        <w:bidi w:val="0"/>
        <w:adjustRightInd/>
        <w:snapToGrid/>
        <w:spacing w:after="0" w:line="480" w:lineRule="exact"/>
        <w:ind w:left="0" w:right="0" w:hanging="480"/>
        <w:jc w:val="left"/>
        <w:textAlignment w:val="auto"/>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评价要求项目在运营期堆放废石时在废石卸载区域设置移动式防风抑尘网和移动式洒水装置，废石临时堆场表面覆盖织物，周围设置挡风网，同时企业应结合废石场建设和管理要求，根据废石情况逐步实施渣坡平整、压实和坡面防护，可有效减小废石扬尘量。在采取相应的环保措施后，废石场周界外无组织颗粒物浓度可满足《铜、镍、钴工业污染物排放标准》（GB 25467-2010）浓度限值要求，对周围环境空气质量不会造成大的不利影响。</w:t>
      </w:r>
    </w:p>
    <w:p w14:paraId="40B7189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default" w:ascii="Times New Roman" w:hAnsi="Times New Roman" w:cs="Times New Roman"/>
          <w:color w:val="auto"/>
          <w:sz w:val="24"/>
          <w:lang w:val="en-US" w:eastAsia="zh-CN"/>
        </w:rPr>
        <w:t>3</w:t>
      </w:r>
      <w:r>
        <w:rPr>
          <w:rFonts w:hint="default" w:ascii="Times New Roman" w:hAnsi="Times New Roman" w:eastAsia="宋体" w:cs="Times New Roman"/>
          <w:color w:val="auto"/>
          <w:sz w:val="24"/>
        </w:rPr>
        <w:t>）运输</w:t>
      </w:r>
      <w:r>
        <w:rPr>
          <w:rFonts w:hint="default" w:ascii="Times New Roman" w:hAnsi="Times New Roman" w:eastAsia="宋体" w:cs="Times New Roman"/>
          <w:color w:val="auto"/>
          <w:sz w:val="24"/>
          <w:lang w:val="en-US" w:eastAsia="zh-CN"/>
        </w:rPr>
        <w:t>废气</w:t>
      </w:r>
      <w:r>
        <w:rPr>
          <w:rFonts w:hint="default" w:ascii="Times New Roman" w:hAnsi="Times New Roman" w:eastAsia="宋体" w:cs="Times New Roman"/>
          <w:color w:val="auto"/>
          <w:sz w:val="24"/>
        </w:rPr>
        <w:t>污染防治措施：</w:t>
      </w:r>
    </w:p>
    <w:p w14:paraId="55FCB49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1 \* GB3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①</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对运输道路路面进行硬化，进行定期及时清扫，采取洒水措施，并控制车辆行驶速度。</w:t>
      </w:r>
    </w:p>
    <w:p w14:paraId="7767AEA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2 \* GB3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②</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对运输物料覆盖及产品压实措施，控制车速，并专人负责，及时轻扫路面渣土，保持交通道路清洁。</w:t>
      </w:r>
    </w:p>
    <w:p w14:paraId="568A67C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3 \* GB3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③</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加强对道路的维护，保证其路面处于完好状态，平整完好的路面可以大大减少汽车尾气和扬尘量。</w:t>
      </w:r>
    </w:p>
    <w:p w14:paraId="4081C8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4 \* GB3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④</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选用国家有关标准的施工机械和运输工具，使用优质动力燃料，对耗油多、效率低、尾气超标严重的老、旧车辆，应及时报废和更新。</w:t>
      </w:r>
    </w:p>
    <w:p w14:paraId="569465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⑤运输车辆应当严格采取限速、限载、覆盖篷布等措施，并严格要求车辆沿规划道路行驶，严禁随意开辟便道；对出矿区运输车辆轮胎进行清洗，降低运输车辆对外部运输道路及色尔开勒德河造成扬尘污染。</w:t>
      </w:r>
    </w:p>
    <w:p w14:paraId="0480A64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w:t>
      </w:r>
      <w:r>
        <w:rPr>
          <w:rFonts w:hint="default" w:ascii="Times New Roman" w:hAnsi="Times New Roman" w:cs="Times New Roman"/>
          <w:color w:val="auto"/>
          <w:sz w:val="24"/>
          <w:lang w:val="en-US" w:eastAsia="zh-CN"/>
        </w:rPr>
        <w:t>4</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其他措施：</w:t>
      </w:r>
    </w:p>
    <w:p w14:paraId="41BB4E5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1 \* GB3 \* MERGEFORMAT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①</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装卸时间尽量要避免大风及下雨天气，同时应尽量降低落差，同时要加强管理，装卸场所应采取经常洒水及清扫。</w:t>
      </w:r>
    </w:p>
    <w:p w14:paraId="12E25A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baseline"/>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②</w:t>
      </w:r>
      <w:r>
        <w:rPr>
          <w:rFonts w:hint="default" w:ascii="Times New Roman" w:hAnsi="Times New Roman" w:eastAsia="宋体" w:cs="Times New Roman"/>
          <w:color w:val="auto"/>
          <w:sz w:val="24"/>
        </w:rPr>
        <w:t>加强个体防护，如作业人员戴防尘口罩，加强采装、运输设备操作室的密封。</w:t>
      </w:r>
    </w:p>
    <w:p w14:paraId="52A1DF7E">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lang w:val="en-US" w:eastAsia="zh-CN"/>
        </w:rPr>
        <w:t>③</w:t>
      </w:r>
      <w:r>
        <w:rPr>
          <w:rFonts w:hint="default" w:ascii="Times New Roman" w:hAnsi="Times New Roman" w:eastAsia="宋体" w:cs="Times New Roman"/>
          <w:color w:val="auto"/>
          <w:sz w:val="24"/>
          <w:highlight w:val="none"/>
          <w:lang w:val="en-US" w:eastAsia="zh-CN"/>
        </w:rPr>
        <w:t>柴油机采用增压中冷技术、燃油电喷技术等可提高柴油机功率、降低油耗，以减少柴油燃烧废气排放量。</w:t>
      </w:r>
    </w:p>
    <w:p w14:paraId="5EDC8144">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④采矿区尽量减少人为扰动，爆破应选择每天温度相对较低的时段进行。</w:t>
      </w:r>
    </w:p>
    <w:p w14:paraId="33405E47">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废水</w:t>
      </w:r>
      <w:r>
        <w:rPr>
          <w:rFonts w:hint="default" w:ascii="Times New Roman" w:hAnsi="Times New Roman" w:cs="Times New Roman"/>
          <w:color w:val="auto"/>
        </w:rPr>
        <w:t>污染防治措施</w:t>
      </w:r>
    </w:p>
    <w:p w14:paraId="69756DA0">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（1）采矿废水</w:t>
      </w:r>
    </w:p>
    <w:p w14:paraId="577CDE00">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主要包括涌水和井下生产废水：</w:t>
      </w:r>
    </w:p>
    <w:p w14:paraId="0F7C7D36">
      <w:pPr>
        <w:keepNext w:val="0"/>
        <w:keepLines w:val="0"/>
        <w:pageBreakBefore w:val="0"/>
        <w:widowControl w:val="0"/>
        <w:kinsoku/>
        <w:wordWrap/>
        <w:overflowPunct/>
        <w:topLinePunct w:val="0"/>
        <w:autoSpaceDE/>
        <w:autoSpaceDN/>
        <w:bidi w:val="0"/>
        <w:adjustRightInd/>
        <w:snapToGrid/>
        <w:spacing w:line="480" w:lineRule="exact"/>
        <w:ind w:left="0" w:right="0" w:firstLine="482"/>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其中涌水主要来自裂隙渗水，主要污染成分为SS，浓度约为340</w:t>
      </w:r>
      <w:r>
        <w:rPr>
          <w:rFonts w:hint="default" w:ascii="Times New Roman" w:hAnsi="Times New Roman"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500mg/L，且不含任何有毒物质，经沉淀澄清即可满足采矿生产用水综合利用。项目设计地下采矿时在矿体井口附近设计建设容积为</w:t>
      </w:r>
      <w:r>
        <w:rPr>
          <w:rFonts w:hint="default" w:ascii="Times New Roman" w:hAnsi="Times New Roman" w:cs="Times New Roman"/>
          <w:color w:val="auto"/>
          <w:spacing w:val="0"/>
          <w:position w:val="0"/>
          <w:sz w:val="24"/>
          <w:szCs w:val="24"/>
          <w:lang w:val="en-US" w:eastAsia="zh-CN"/>
        </w:rPr>
        <w:t>4</w:t>
      </w:r>
      <w:r>
        <w:rPr>
          <w:rFonts w:hint="default" w:ascii="Times New Roman" w:hAnsi="Times New Roman" w:eastAsia="宋体" w:cs="Times New Roman"/>
          <w:color w:val="auto"/>
          <w:spacing w:val="0"/>
          <w:position w:val="0"/>
          <w:sz w:val="24"/>
          <w:szCs w:val="24"/>
        </w:rPr>
        <w:t>00m</w:t>
      </w:r>
      <w:r>
        <w:rPr>
          <w:rFonts w:hint="default" w:ascii="Times New Roman" w:hAnsi="Times New Roman" w:eastAsia="宋体" w:cs="Times New Roman"/>
          <w:color w:val="auto"/>
          <w:spacing w:val="0"/>
          <w:position w:val="0"/>
          <w:sz w:val="24"/>
          <w:szCs w:val="24"/>
          <w:vertAlign w:val="superscript"/>
          <w:lang w:val="en-US" w:eastAsia="zh-CN"/>
        </w:rPr>
        <w:t>3</w:t>
      </w:r>
      <w:r>
        <w:rPr>
          <w:rFonts w:hint="default" w:ascii="Times New Roman" w:hAnsi="Times New Roman" w:eastAsia="宋体" w:cs="Times New Roman"/>
          <w:color w:val="auto"/>
          <w:spacing w:val="0"/>
          <w:position w:val="0"/>
          <w:sz w:val="24"/>
          <w:szCs w:val="24"/>
        </w:rPr>
        <w:t>防渗蓄水池，矿井涌水由水泵送至该水池，经水池沉淀处理后全部回用于矿井生产用水、洒水降尘综合利用。根据相关资料，矿井涌水经沉淀12小时后，悬浮物去除率可达50%，即可满足涌水水质的悬浮物含量≤300mg/L（《污水综合排放标准》（GB8978-1996）二级标准的要求），因此本项目设计矿井涌水由水泵送至地面水池沉淀10</w:t>
      </w:r>
      <w:r>
        <w:rPr>
          <w:rFonts w:hint="default" w:ascii="Times New Roman" w:hAnsi="Times New Roman"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12小时后，可达到（《污水综合排放标准》（GB8978-1996）二级标准限值要求。项目所在区域为干旱少雨，矿井涌水水质简单其主要污染物因子为SS，经沉淀处理后即可满足矿井的生产用水、洒水降尘的水质要求，因而这种矿井涌水经沉淀后就地回用的方式是可行的。</w:t>
      </w:r>
    </w:p>
    <w:p w14:paraId="6D0D1925">
      <w:pPr>
        <w:keepNext w:val="0"/>
        <w:keepLines w:val="0"/>
        <w:pageBreakBefore w:val="0"/>
        <w:widowControl w:val="0"/>
        <w:kinsoku/>
        <w:wordWrap/>
        <w:overflowPunct/>
        <w:topLinePunct w:val="0"/>
        <w:autoSpaceDE/>
        <w:autoSpaceDN/>
        <w:bidi w:val="0"/>
        <w:adjustRightInd/>
        <w:snapToGrid/>
        <w:spacing w:line="480" w:lineRule="exact"/>
        <w:ind w:left="0" w:right="0" w:firstLine="477"/>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井下生产废水通过矿井排水系统一并排出，沉淀后回用井下采矿降尘及设备冷却，不外排。</w:t>
      </w:r>
    </w:p>
    <w:p w14:paraId="1796AEE6">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w:t>
      </w:r>
      <w:r>
        <w:rPr>
          <w:rFonts w:hint="default" w:ascii="Times New Roman" w:hAnsi="Times New Roman" w:eastAsia="宋体" w:cs="Times New Roman"/>
          <w:color w:val="auto"/>
          <w:spacing w:val="0"/>
          <w:position w:val="0"/>
          <w:sz w:val="24"/>
          <w:szCs w:val="24"/>
          <w:lang w:val="en-US" w:eastAsia="zh-CN"/>
        </w:rPr>
        <w:t>2</w:t>
      </w:r>
      <w:r>
        <w:rPr>
          <w:rFonts w:hint="default" w:ascii="Times New Roman" w:hAnsi="Times New Roman" w:eastAsia="宋体" w:cs="Times New Roman"/>
          <w:color w:val="auto"/>
          <w:spacing w:val="0"/>
          <w:position w:val="0"/>
          <w:sz w:val="24"/>
          <w:szCs w:val="24"/>
        </w:rPr>
        <w:t>）生活污水</w:t>
      </w:r>
    </w:p>
    <w:p w14:paraId="3AB7377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z w:val="24"/>
          <w:szCs w:val="24"/>
          <w:highlight w:val="none"/>
          <w:lang w:eastAsia="zh-CN" w:bidi="ar"/>
        </w:rPr>
        <w:t>生活污水产生量为用水量的80%，生活污水产生量为</w:t>
      </w:r>
      <w:r>
        <w:rPr>
          <w:rFonts w:hint="default" w:ascii="Times New Roman" w:hAnsi="Times New Roman" w:cs="Times New Roman"/>
          <w:color w:val="auto"/>
          <w:sz w:val="24"/>
          <w:szCs w:val="24"/>
          <w:highlight w:val="none"/>
          <w:lang w:val="en-US" w:eastAsia="zh-CN" w:bidi="ar"/>
        </w:rPr>
        <w:t>3136</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a</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12.544</w:t>
      </w:r>
      <w:r>
        <w:rPr>
          <w:rFonts w:hint="default" w:ascii="Times New Roman" w:hAnsi="Times New Roman" w:cs="Times New Roman"/>
          <w:color w:val="auto"/>
          <w:sz w:val="24"/>
          <w:szCs w:val="24"/>
          <w:highlight w:val="none"/>
          <w:lang w:eastAsia="zh-CN" w:bidi="ar"/>
        </w:rPr>
        <w:t>m</w:t>
      </w:r>
      <w:r>
        <w:rPr>
          <w:rFonts w:hint="default" w:ascii="Times New Roman" w:hAnsi="Times New Roman" w:cs="Times New Roman"/>
          <w:color w:val="auto"/>
          <w:sz w:val="24"/>
          <w:szCs w:val="24"/>
          <w:highlight w:val="none"/>
          <w:vertAlign w:val="superscript"/>
          <w:lang w:eastAsia="zh-CN" w:bidi="ar"/>
        </w:rPr>
        <w:t>3</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d</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生活污水采用地埋式一体化污水处理设施处理</w:t>
      </w:r>
      <w:r>
        <w:rPr>
          <w:rFonts w:hint="default" w:ascii="Times New Roman" w:hAnsi="Times New Roman" w:eastAsia="宋体" w:cs="Times New Roman"/>
          <w:color w:val="auto"/>
          <w:spacing w:val="0"/>
          <w:w w:val="100"/>
          <w:position w:val="0"/>
          <w:sz w:val="24"/>
          <w:szCs w:val="24"/>
        </w:rPr>
        <w:t>，经处理满足《农村生活污水处理排放标准》（DB65 4275-2019）表2规定的A级排放限值以及《城市污水再生利用 城市杂用水水质》（GB/T18920-2020）中的城市绿化、道路清扫、消防、建筑施工限值后，用</w:t>
      </w:r>
      <w:r>
        <w:rPr>
          <w:rFonts w:hint="default" w:ascii="Times New Roman" w:hAnsi="Times New Roman" w:cs="Times New Roman"/>
          <w:color w:val="auto"/>
          <w:spacing w:val="0"/>
          <w:w w:val="100"/>
          <w:position w:val="0"/>
          <w:sz w:val="24"/>
          <w:szCs w:val="24"/>
          <w:lang w:val="en-US" w:eastAsia="zh-CN"/>
        </w:rPr>
        <w:t>于绿化及抑尘用水，不外排</w:t>
      </w:r>
      <w:r>
        <w:rPr>
          <w:rFonts w:hint="default" w:ascii="Times New Roman" w:hAnsi="Times New Roman" w:eastAsia="宋体" w:cs="Times New Roman"/>
          <w:color w:val="auto"/>
          <w:spacing w:val="0"/>
          <w:w w:val="100"/>
          <w:position w:val="0"/>
          <w:sz w:val="24"/>
          <w:szCs w:val="24"/>
        </w:rPr>
        <w:t>。</w:t>
      </w:r>
    </w:p>
    <w:p w14:paraId="115196FA">
      <w:pPr>
        <w:keepNext w:val="0"/>
        <w:keepLines w:val="0"/>
        <w:pageBreakBefore w:val="0"/>
        <w:widowControl w:val="0"/>
        <w:kinsoku/>
        <w:wordWrap/>
        <w:overflowPunct/>
        <w:topLinePunct w:val="0"/>
        <w:autoSpaceDE/>
        <w:autoSpaceDN/>
        <w:bidi w:val="0"/>
        <w:adjustRightInd/>
        <w:snapToGrid/>
        <w:spacing w:line="480" w:lineRule="exact"/>
        <w:ind w:left="0" w:right="0" w:firstLine="420"/>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“A</w:t>
      </w:r>
      <w:r>
        <w:rPr>
          <w:rFonts w:hint="default" w:ascii="Times New Roman" w:hAnsi="Times New Roman" w:eastAsia="宋体" w:cs="Times New Roman"/>
          <w:color w:val="auto"/>
          <w:spacing w:val="0"/>
          <w:position w:val="0"/>
          <w:sz w:val="24"/>
          <w:szCs w:val="24"/>
          <w:vertAlign w:val="superscript"/>
        </w:rPr>
        <w:t>2</w:t>
      </w:r>
      <w:r>
        <w:rPr>
          <w:rFonts w:hint="default" w:ascii="Times New Roman" w:hAnsi="Times New Roman" w:eastAsia="宋体" w:cs="Times New Roman"/>
          <w:color w:val="auto"/>
          <w:spacing w:val="0"/>
          <w:position w:val="0"/>
          <w:sz w:val="24"/>
          <w:szCs w:val="24"/>
        </w:rPr>
        <w:t>/O+MBR”是以“厌氧池+缺氧池+好氧池+MBR膜”为核心的高效微生物处理工艺。其核心工艺流程示意图如下：</w:t>
      </w:r>
    </w:p>
    <w:p w14:paraId="3F59DACE">
      <w:pPr>
        <w:spacing w:before="162" w:line="220" w:lineRule="auto"/>
        <w:ind w:left="0" w:leftChars="0" w:firstLine="0" w:firstLineChars="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2"/>
          <w:sz w:val="24"/>
          <w:szCs w:val="24"/>
        </w:rPr>
        <w:t>图6.1-1</w:t>
      </w:r>
      <w:r>
        <w:rPr>
          <w:rFonts w:hint="default" w:ascii="Times New Roman" w:hAnsi="Times New Roman" w:eastAsia="宋体" w:cs="Times New Roman"/>
          <w:b/>
          <w:bCs/>
          <w:color w:val="auto"/>
          <w:spacing w:val="-2"/>
          <w:sz w:val="24"/>
          <w:szCs w:val="24"/>
          <w:lang w:val="en-US" w:eastAsia="zh-CN"/>
        </w:rPr>
        <w:t xml:space="preserve">     </w:t>
      </w:r>
      <w:r>
        <w:rPr>
          <w:rFonts w:hint="default" w:ascii="Times New Roman" w:hAnsi="Times New Roman" w:eastAsia="宋体" w:cs="Times New Roman"/>
          <w:b/>
          <w:bCs/>
          <w:color w:val="auto"/>
          <w:spacing w:val="-2"/>
          <w:sz w:val="24"/>
          <w:szCs w:val="24"/>
        </w:rPr>
        <w:t>A</w:t>
      </w:r>
      <w:r>
        <w:rPr>
          <w:rFonts w:hint="default" w:ascii="Times New Roman" w:hAnsi="Times New Roman" w:eastAsia="宋体" w:cs="Times New Roman"/>
          <w:b/>
          <w:bCs/>
          <w:color w:val="auto"/>
          <w:spacing w:val="-2"/>
          <w:sz w:val="24"/>
          <w:szCs w:val="24"/>
          <w:vertAlign w:val="superscript"/>
        </w:rPr>
        <w:t>2</w:t>
      </w:r>
      <w:r>
        <w:rPr>
          <w:rFonts w:hint="default" w:ascii="Times New Roman" w:hAnsi="Times New Roman" w:eastAsia="宋体" w:cs="Times New Roman"/>
          <w:b/>
          <w:bCs/>
          <w:color w:val="auto"/>
          <w:spacing w:val="-2"/>
          <w:sz w:val="24"/>
          <w:szCs w:val="24"/>
        </w:rPr>
        <w:t>O+MBR工</w:t>
      </w:r>
      <w:r>
        <w:rPr>
          <w:rFonts w:hint="default" w:ascii="Times New Roman" w:hAnsi="Times New Roman" w:eastAsia="宋体" w:cs="Times New Roman"/>
          <w:b/>
          <w:bCs/>
          <w:color w:val="auto"/>
          <w:spacing w:val="-3"/>
          <w:sz w:val="24"/>
          <w:szCs w:val="24"/>
        </w:rPr>
        <w:t>艺流程示意图</w:t>
      </w:r>
    </w:p>
    <w:p w14:paraId="0A9FD0C8">
      <w:pPr>
        <w:keepNext w:val="0"/>
        <w:keepLines w:val="0"/>
        <w:pageBreakBefore w:val="0"/>
        <w:widowControl w:val="0"/>
        <w:kinsoku/>
        <w:wordWrap/>
        <w:overflowPunct/>
        <w:topLinePunct w:val="0"/>
        <w:autoSpaceDE/>
        <w:autoSpaceDN/>
        <w:bidi w:val="0"/>
        <w:adjustRightInd/>
        <w:snapToGrid w:val="0"/>
        <w:spacing w:line="480" w:lineRule="exact"/>
        <w:ind w:left="0" w:right="0" w:firstLine="476"/>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rPr>
        <w:t>其中A</w:t>
      </w:r>
      <w:r>
        <w:rPr>
          <w:rFonts w:hint="default" w:ascii="Times New Roman" w:hAnsi="Times New Roman" w:eastAsia="宋体" w:cs="Times New Roman"/>
          <w:color w:val="auto"/>
          <w:spacing w:val="0"/>
          <w:sz w:val="24"/>
          <w:szCs w:val="24"/>
          <w:vertAlign w:val="superscript"/>
        </w:rPr>
        <w:t>2</w:t>
      </w:r>
      <w:r>
        <w:rPr>
          <w:rFonts w:hint="default" w:ascii="Times New Roman" w:hAnsi="Times New Roman" w:eastAsia="宋体" w:cs="Times New Roman"/>
          <w:color w:val="auto"/>
          <w:spacing w:val="0"/>
          <w:sz w:val="24"/>
          <w:szCs w:val="24"/>
        </w:rPr>
        <w:t>/O工艺是通过活性生物在厌氧、缺氧及好氧环境中的不同作用，来消化污水中的有机物，对水体中的氮、磷进行转换、吸收实现脱氮、除磷，同时利用活性污泥对细菌和病毒的吸附作用来实现对污水的浄化。而MBR膜是将高浓度MLSS活性污泥与超滤膜系统相结合，总体上，是利用PVDF中空纤维膜替代传统活性污泥法的二沉池和深度处理的砂滤或微/超滤系统，该中空纤维膜膜丝的标称尺寸为0.05微米，具有优良抗氧化性能，强度高，在活性污泥比较恶劣的环境下，也能确保出水水质的稳定性工艺。故能够进一步有效截留污水中的污泥、难消解的大分子有机物、细菌及病毒。大量的实践证明A</w:t>
      </w:r>
      <w:r>
        <w:rPr>
          <w:rFonts w:hint="default" w:ascii="Times New Roman" w:hAnsi="Times New Roman" w:eastAsia="宋体" w:cs="Times New Roman"/>
          <w:color w:val="auto"/>
          <w:spacing w:val="0"/>
          <w:sz w:val="24"/>
          <w:szCs w:val="24"/>
          <w:vertAlign w:val="superscript"/>
        </w:rPr>
        <w:t>2</w:t>
      </w:r>
      <w:r>
        <w:rPr>
          <w:rFonts w:hint="default" w:ascii="Times New Roman" w:hAnsi="Times New Roman" w:eastAsia="宋体" w:cs="Times New Roman"/>
          <w:color w:val="auto"/>
          <w:spacing w:val="0"/>
          <w:sz w:val="24"/>
          <w:szCs w:val="24"/>
        </w:rPr>
        <w:t>/O+MBR工艺有着比较好的去除效果，COD、BOD</w:t>
      </w:r>
      <w:r>
        <w:rPr>
          <w:rFonts w:hint="default" w:ascii="Times New Roman" w:hAnsi="Times New Roman" w:eastAsia="宋体" w:cs="Times New Roman"/>
          <w:color w:val="auto"/>
          <w:spacing w:val="0"/>
          <w:sz w:val="15"/>
          <w:szCs w:val="15"/>
        </w:rPr>
        <w:t>5</w:t>
      </w:r>
      <w:r>
        <w:rPr>
          <w:rFonts w:hint="default" w:ascii="Times New Roman" w:hAnsi="Times New Roman" w:eastAsia="宋体" w:cs="Times New Roman"/>
          <w:color w:val="auto"/>
          <w:spacing w:val="0"/>
          <w:sz w:val="24"/>
          <w:szCs w:val="24"/>
        </w:rPr>
        <w:t>、TN、TP去除率分别在97%、96%、92%、90%以上。且此工艺有着比较强的抗温度冲击能力，可保持着比较好的水质稳定性，较传统活性污泥工艺对悬浮物的去除也往往可获得高于90%的去除效果。</w:t>
      </w:r>
      <w:r>
        <w:rPr>
          <w:rFonts w:hint="default" w:ascii="Times New Roman" w:hAnsi="Times New Roman" w:cs="Times New Roman"/>
          <w:color w:val="auto"/>
          <w:sz w:val="24"/>
          <w:szCs w:val="24"/>
          <w:lang w:val="en-US" w:eastAsia="zh-CN"/>
        </w:rPr>
        <w:t>本项目建成后日最大污水量为15.54m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/d，地埋式一体化污水处理设施规模为20m</w:t>
      </w:r>
      <w:r>
        <w:rPr>
          <w:rFonts w:hint="default" w:ascii="Times New Roman" w:hAnsi="Times New Roman" w:cs="Times New Roman"/>
          <w:color w:val="auto"/>
          <w:sz w:val="24"/>
          <w:szCs w:val="24"/>
          <w:vertAlign w:val="superscript"/>
          <w:lang w:val="en-US" w:eastAsia="zh-CN"/>
        </w:rPr>
        <w:t>3</w:t>
      </w:r>
      <w:r>
        <w:rPr>
          <w:rFonts w:hint="default" w:ascii="Times New Roman" w:hAnsi="Times New Roman" w:cs="Times New Roman"/>
          <w:color w:val="auto"/>
          <w:sz w:val="24"/>
          <w:szCs w:val="24"/>
          <w:lang w:val="en-US" w:eastAsia="zh-CN"/>
        </w:rPr>
        <w:t>/d</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处理规模可满足处理要求。</w:t>
      </w:r>
    </w:p>
    <w:p w14:paraId="1E8B02EF">
      <w:pPr>
        <w:keepNext w:val="0"/>
        <w:keepLines w:val="0"/>
        <w:pageBreakBefore w:val="0"/>
        <w:widowControl w:val="0"/>
        <w:kinsoku/>
        <w:wordWrap/>
        <w:overflowPunct/>
        <w:topLinePunct w:val="0"/>
        <w:autoSpaceDE/>
        <w:autoSpaceDN/>
        <w:bidi w:val="0"/>
        <w:adjustRightInd/>
        <w:snapToGrid w:val="0"/>
        <w:spacing w:line="480" w:lineRule="exact"/>
        <w:ind w:left="0" w:right="0" w:firstLine="523"/>
        <w:jc w:val="both"/>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目前，采用这一组合工艺的成套设备技术开发也比较成熟，因而本项目生活污水处理采用这一技术是可行的。</w:t>
      </w:r>
    </w:p>
    <w:p w14:paraId="69C221D6">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地下水</w:t>
      </w:r>
      <w:r>
        <w:rPr>
          <w:rFonts w:hint="default" w:ascii="Times New Roman" w:hAnsi="Times New Roman" w:cs="Times New Roman"/>
          <w:color w:val="auto"/>
        </w:rPr>
        <w:t>污染防治措施</w:t>
      </w:r>
    </w:p>
    <w:p w14:paraId="5CBFA8FF">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（1）采场地下水保护措施</w:t>
      </w:r>
    </w:p>
    <w:p w14:paraId="6081A61B">
      <w:pPr>
        <w:keepNext w:val="0"/>
        <w:keepLines w:val="0"/>
        <w:pageBreakBefore w:val="0"/>
        <w:widowControl w:val="0"/>
        <w:kinsoku/>
        <w:wordWrap/>
        <w:overflowPunct/>
        <w:topLinePunct w:val="0"/>
        <w:autoSpaceDE/>
        <w:autoSpaceDN/>
        <w:bidi w:val="0"/>
        <w:adjustRightInd/>
        <w:snapToGrid/>
        <w:spacing w:line="480" w:lineRule="exact"/>
        <w:ind w:left="0" w:right="0" w:firstLine="479"/>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矿区断裂带脉状含水带多不发育，但不排除矿区有较宽大导水裂隙存在的可能，在矿体的开采过程应进行超前探水，对导水裂隙进行封堵，防止发生突水事故，遇到导水断裂时可能会导致瞬时水量较大的情况，应预先采取必要的防范措施以保证矿山安全生产。</w:t>
      </w:r>
    </w:p>
    <w:p w14:paraId="7D8229F5">
      <w:pPr>
        <w:keepNext w:val="0"/>
        <w:keepLines w:val="0"/>
        <w:pageBreakBefore w:val="0"/>
        <w:widowControl w:val="0"/>
        <w:kinsoku/>
        <w:wordWrap/>
        <w:overflowPunct/>
        <w:topLinePunct w:val="0"/>
        <w:autoSpaceDE/>
        <w:autoSpaceDN/>
        <w:bidi w:val="0"/>
        <w:adjustRightInd/>
        <w:snapToGrid/>
        <w:spacing w:line="480" w:lineRule="exact"/>
        <w:ind w:left="0" w:right="0" w:firstLine="478"/>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②地质及水文地质勘察过程中施工的钻孔，有用的钻孔应妥善封盖，报废的钻孔应封闭。</w:t>
      </w:r>
    </w:p>
    <w:p w14:paraId="088ED855">
      <w:pPr>
        <w:keepNext w:val="0"/>
        <w:keepLines w:val="0"/>
        <w:pageBreakBefore w:val="0"/>
        <w:widowControl w:val="0"/>
        <w:kinsoku/>
        <w:wordWrap/>
        <w:overflowPunct/>
        <w:topLinePunct w:val="0"/>
        <w:autoSpaceDE/>
        <w:autoSpaceDN/>
        <w:bidi w:val="0"/>
        <w:adjustRightInd/>
        <w:snapToGrid/>
        <w:spacing w:line="480" w:lineRule="exact"/>
        <w:ind w:left="0" w:right="0" w:firstLine="479"/>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③定时（每天）对水泵房供电设施进行检查、维修等，并观测和统计抽水量，抽水量有增大趋势时应进行密切关注。</w:t>
      </w:r>
    </w:p>
    <w:p w14:paraId="018B540E">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④制定突水应急救援预案并进行定期演练。</w:t>
      </w:r>
    </w:p>
    <w:p w14:paraId="1674AD48">
      <w:pPr>
        <w:keepNext w:val="0"/>
        <w:keepLines w:val="0"/>
        <w:pageBreakBefore w:val="0"/>
        <w:widowControl w:val="0"/>
        <w:kinsoku/>
        <w:wordWrap/>
        <w:overflowPunct/>
        <w:topLinePunct w:val="0"/>
        <w:autoSpaceDE/>
        <w:autoSpaceDN/>
        <w:bidi w:val="0"/>
        <w:adjustRightInd/>
        <w:snapToGrid/>
        <w:spacing w:line="480" w:lineRule="exact"/>
        <w:ind w:left="0" w:right="0" w:firstLine="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2</w:t>
      </w:r>
      <w:r>
        <w:rPr>
          <w:rFonts w:hint="default" w:ascii="Times New Roman" w:hAnsi="Times New Roman" w:eastAsia="宋体" w:cs="Times New Roman"/>
          <w:color w:val="auto"/>
          <w:spacing w:val="0"/>
          <w:w w:val="100"/>
          <w:position w:val="0"/>
          <w:sz w:val="24"/>
          <w:szCs w:val="24"/>
        </w:rPr>
        <w:t>）工业场地防渗措施基本要求：</w:t>
      </w:r>
    </w:p>
    <w:p w14:paraId="37C9D337">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①室内地面采用混凝土地坪。</w:t>
      </w:r>
    </w:p>
    <w:p w14:paraId="4FAA7540">
      <w:pPr>
        <w:keepNext w:val="0"/>
        <w:keepLines w:val="0"/>
        <w:pageBreakBefore w:val="0"/>
        <w:widowControl w:val="0"/>
        <w:kinsoku/>
        <w:wordWrap/>
        <w:overflowPunct/>
        <w:topLinePunct w:val="0"/>
        <w:autoSpaceDE/>
        <w:autoSpaceDN/>
        <w:bidi w:val="0"/>
        <w:adjustRightInd/>
        <w:snapToGrid/>
        <w:spacing w:line="480" w:lineRule="exact"/>
        <w:ind w:left="0" w:right="0" w:firstLine="45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②生活污水处理设施采用钢筋混凝土结构，浓缩池、尾矿输送泵站集水池、回水池采用混凝土结构。</w:t>
      </w:r>
    </w:p>
    <w:p w14:paraId="67AAF569">
      <w:pPr>
        <w:keepNext w:val="0"/>
        <w:keepLines w:val="0"/>
        <w:pageBreakBefore w:val="0"/>
        <w:widowControl w:val="0"/>
        <w:kinsoku/>
        <w:wordWrap/>
        <w:overflowPunct/>
        <w:topLinePunct w:val="0"/>
        <w:autoSpaceDE/>
        <w:autoSpaceDN/>
        <w:bidi w:val="0"/>
        <w:adjustRightInd/>
        <w:snapToGrid/>
        <w:spacing w:line="480" w:lineRule="exact"/>
        <w:ind w:left="0" w:right="0" w:firstLine="474"/>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③堆放各种原辅材料、固体废物的堆放场地按照国家相关规范要求，采取防泄漏措施。</w:t>
      </w:r>
    </w:p>
    <w:p w14:paraId="1A1B53BC">
      <w:pPr>
        <w:keepNext w:val="0"/>
        <w:keepLines w:val="0"/>
        <w:pageBreakBefore w:val="0"/>
        <w:widowControl w:val="0"/>
        <w:kinsoku/>
        <w:wordWrap/>
        <w:overflowPunct/>
        <w:topLinePunct w:val="0"/>
        <w:autoSpaceDE/>
        <w:autoSpaceDN/>
        <w:bidi w:val="0"/>
        <w:adjustRightInd/>
        <w:snapToGrid/>
        <w:spacing w:line="480" w:lineRule="exact"/>
        <w:ind w:left="0" w:right="0" w:firstLine="479"/>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④源头控制可采用“可视化”设备原则，设置企业在线监控装置、视频监控系统及自控阀门。做到污染物“早发现、早处理”，以减少由于埋地泄漏而可能造成的地下水污染。对各种地下管道，根据输送物质不同，采用不同类型的管道，管道内外均采用防腐处理，定期对管道进行检漏。</w:t>
      </w:r>
    </w:p>
    <w:p w14:paraId="2EDB1CA5">
      <w:pPr>
        <w:keepNext w:val="0"/>
        <w:keepLines w:val="0"/>
        <w:pageBreakBefore w:val="0"/>
        <w:widowControl w:val="0"/>
        <w:kinsoku/>
        <w:wordWrap/>
        <w:overflowPunct/>
        <w:topLinePunct w:val="0"/>
        <w:autoSpaceDE/>
        <w:autoSpaceDN/>
        <w:bidi w:val="0"/>
        <w:adjustRightInd/>
        <w:snapToGrid/>
        <w:spacing w:line="480" w:lineRule="exact"/>
        <w:ind w:left="0" w:right="0"/>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采矿</w:t>
      </w:r>
      <w:r>
        <w:rPr>
          <w:rFonts w:hint="default" w:ascii="Times New Roman" w:hAnsi="Times New Roman" w:eastAsia="宋体" w:cs="Times New Roman"/>
          <w:color w:val="auto"/>
          <w:spacing w:val="0"/>
          <w:w w:val="100"/>
          <w:position w:val="0"/>
          <w:sz w:val="24"/>
          <w:szCs w:val="24"/>
        </w:rPr>
        <w:t>工业场地分区防渗具体要求按表5.3-16进行分区防渗设计施工。</w:t>
      </w:r>
    </w:p>
    <w:p w14:paraId="2979AA86">
      <w:pPr>
        <w:keepNext w:val="0"/>
        <w:keepLines w:val="0"/>
        <w:pageBreakBefore w:val="0"/>
        <w:widowControl w:val="0"/>
        <w:kinsoku/>
        <w:wordWrap/>
        <w:overflowPunct/>
        <w:topLinePunct w:val="0"/>
        <w:autoSpaceDE/>
        <w:autoSpaceDN/>
        <w:bidi w:val="0"/>
        <w:adjustRightInd/>
        <w:snapToGrid/>
        <w:spacing w:line="480" w:lineRule="exact"/>
        <w:ind w:left="0" w:right="0" w:firstLine="485"/>
        <w:jc w:val="both"/>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）按照本评价设置的地下水监测计划（详见表5.4-15），对项目区地下水水质进行跟踪监测，一旦发现地下水出现异常情况，必须按照5.4.6.4节要求启动应急预案、采取相应的应急措施。</w:t>
      </w:r>
    </w:p>
    <w:p w14:paraId="21B4FA94">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rPr>
        <w:t>噪声污染防治措施</w:t>
      </w:r>
    </w:p>
    <w:p w14:paraId="6F7954E2">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本项目主要噪声源为空压机、装载机、挖掘机和水泵等，噪声源声级在80~105dB（A）之间。在生产期拟采用的噪声污染控制措施如下：</w:t>
      </w:r>
    </w:p>
    <w:p w14:paraId="63D9E48C">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（1）挖掘机和装载机定期检修维护、水泵进行基础减震的措施来控制噪声源强；</w:t>
      </w:r>
    </w:p>
    <w:p w14:paraId="61FC989D">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（2）合理安排采矿机械在各生产点数量及类型；</w:t>
      </w:r>
    </w:p>
    <w:p w14:paraId="35B8BEF4">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（3）设备选型需考虑低噪声型号；</w:t>
      </w:r>
    </w:p>
    <w:p w14:paraId="4E4CE357">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（4）矿山爆破必须采取防治措施，矿山爆破中减少每次爆破的用药量，且在采场四周多点爆破，</w:t>
      </w:r>
      <w:r>
        <w:rPr>
          <w:rFonts w:hint="default" w:ascii="Times New Roman" w:hAnsi="Times New Roman" w:cs="Times New Roman"/>
          <w:color w:val="auto"/>
          <w:spacing w:val="0"/>
          <w:w w:val="100"/>
          <w:kern w:val="10"/>
          <w:position w:val="0"/>
          <w:sz w:val="24"/>
          <w:szCs w:val="24"/>
          <w:highlight w:val="none"/>
          <w:lang w:val="en-US" w:eastAsia="zh-CN"/>
        </w:rPr>
        <w:t>增</w:t>
      </w:r>
      <w:r>
        <w:rPr>
          <w:rFonts w:hint="default" w:ascii="Times New Roman" w:hAnsi="Times New Roman" w:eastAsia="宋体" w:cs="Times New Roman"/>
          <w:color w:val="auto"/>
          <w:spacing w:val="0"/>
          <w:w w:val="100"/>
          <w:kern w:val="10"/>
          <w:position w:val="0"/>
          <w:sz w:val="24"/>
          <w:szCs w:val="24"/>
          <w:highlight w:val="none"/>
          <w:lang w:val="en-US" w:eastAsia="zh-CN"/>
        </w:rPr>
        <w:t>长爆破移管引爆间距；</w:t>
      </w:r>
    </w:p>
    <w:p w14:paraId="6E62E7C9">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（5）进行爆破时操作工人必须</w:t>
      </w:r>
      <w:r>
        <w:rPr>
          <w:rFonts w:hint="default" w:ascii="Times New Roman" w:hAnsi="Times New Roman" w:cs="Times New Roman"/>
          <w:color w:val="auto"/>
          <w:spacing w:val="0"/>
          <w:w w:val="100"/>
          <w:kern w:val="10"/>
          <w:position w:val="0"/>
          <w:sz w:val="24"/>
          <w:szCs w:val="24"/>
          <w:highlight w:val="none"/>
          <w:lang w:val="en-US" w:eastAsia="zh-CN"/>
        </w:rPr>
        <w:t>佩戴</w:t>
      </w:r>
      <w:r>
        <w:rPr>
          <w:rFonts w:hint="default" w:ascii="Times New Roman" w:hAnsi="Times New Roman" w:eastAsia="宋体" w:cs="Times New Roman"/>
          <w:color w:val="auto"/>
          <w:spacing w:val="0"/>
          <w:w w:val="100"/>
          <w:kern w:val="10"/>
          <w:position w:val="0"/>
          <w:sz w:val="24"/>
          <w:szCs w:val="24"/>
          <w:highlight w:val="none"/>
          <w:lang w:val="en-US" w:eastAsia="zh-CN"/>
        </w:rPr>
        <w:t>耳塞、耳罩等，并且远离爆破点；</w:t>
      </w:r>
    </w:p>
    <w:p w14:paraId="4D79AF09">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（6）运输车辆选用低噪声的车辆，且在人居区时采取低速平稳行驶和减少呜笛等措施。</w:t>
      </w:r>
    </w:p>
    <w:p w14:paraId="525A4E1E">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综上，采取上述措施后，由于项目所在地地处荒漠戈壁，周围无噪声敏感点，项目噪声源主要为间歇性噪声源，产生的噪声经距离衰减后厂界噪声符合《工业企业厂界环境噪声排放标准》（GB12348-2008）中2类标准限值要求，对周围环境影响较小，噪声控制措施可行。但在生产过程中应注意各类降噪设施的日常维护工作，确保其正常运行。</w:t>
      </w:r>
    </w:p>
    <w:p w14:paraId="0850AAA3">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固体废物处置措施</w:t>
      </w:r>
    </w:p>
    <w:p w14:paraId="1F4A5A91">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6.2.6.1废石污染防治措施</w:t>
      </w:r>
    </w:p>
    <w:p w14:paraId="7716F017">
      <w:pPr>
        <w:pStyle w:val="53"/>
        <w:keepNext w:val="0"/>
        <w:keepLines w:val="0"/>
        <w:pageBreakBefore w:val="0"/>
        <w:kinsoku/>
        <w:wordWrap/>
        <w:overflowPunct/>
        <w:topLinePunct w:val="0"/>
        <w:bidi w:val="0"/>
        <w:spacing w:line="480" w:lineRule="exact"/>
        <w:ind w:left="0" w:leftChars="0" w:right="0" w:rightChars="0" w:firstLine="480" w:firstLineChars="200"/>
        <w:textAlignment w:val="auto"/>
        <w:outlineLvl w:val="9"/>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废石产生量2.37</w:t>
      </w:r>
      <w:r>
        <w:rPr>
          <w:rFonts w:hint="default" w:ascii="Times New Roman" w:hAnsi="Times New Roman" w:eastAsia="宋体" w:cs="Times New Roman"/>
          <w:color w:val="auto"/>
          <w:sz w:val="24"/>
        </w:rPr>
        <w:t>万</w:t>
      </w:r>
      <w:r>
        <w:rPr>
          <w:rFonts w:hint="default" w:ascii="Times New Roman" w:hAnsi="Times New Roman" w:eastAsia="宋体" w:cs="Times New Roman"/>
          <w:color w:val="auto"/>
          <w:sz w:val="24"/>
          <w:lang w:val="en-US" w:eastAsia="zh-CN"/>
        </w:rPr>
        <w:t>t/a，</w:t>
      </w:r>
      <w:r>
        <w:rPr>
          <w:rFonts w:hint="default" w:ascii="Times New Roman" w:hAnsi="Times New Roman" w:eastAsia="宋体" w:cs="Times New Roman"/>
          <w:color w:val="auto"/>
          <w:sz w:val="24"/>
        </w:rPr>
        <w:t>地下开采</w:t>
      </w:r>
      <w:r>
        <w:rPr>
          <w:rFonts w:hint="default" w:ascii="Times New Roman" w:hAnsi="Times New Roman" w:cs="Times New Roman"/>
          <w:color w:val="auto"/>
          <w:sz w:val="24"/>
          <w:lang w:val="en-US" w:eastAsia="zh-CN"/>
        </w:rPr>
        <w:t>服务年限内</w:t>
      </w:r>
      <w:r>
        <w:rPr>
          <w:rFonts w:hint="default" w:ascii="Times New Roman" w:hAnsi="Times New Roman" w:eastAsia="宋体" w:cs="Times New Roman"/>
          <w:color w:val="auto"/>
          <w:sz w:val="24"/>
        </w:rPr>
        <w:t>共产生废石量24.65万</w:t>
      </w:r>
      <w:r>
        <w:rPr>
          <w:rFonts w:hint="default" w:ascii="Times New Roman" w:hAnsi="Times New Roman" w:eastAsia="宋体" w:cs="Times New Roman"/>
          <w:color w:val="auto"/>
          <w:sz w:val="24"/>
          <w:lang w:val="en-US" w:eastAsia="zh-CN"/>
        </w:rPr>
        <w:t>t</w:t>
      </w:r>
      <w:r>
        <w:rPr>
          <w:rFonts w:hint="default" w:ascii="Times New Roman" w:hAnsi="Times New Roman" w:eastAsia="宋体" w:cs="Times New Roman"/>
          <w:color w:val="auto"/>
          <w:sz w:val="24"/>
        </w:rPr>
        <w:t>，废石密度为2.7</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因此</w:t>
      </w:r>
      <w:r>
        <w:rPr>
          <w:rFonts w:hint="default" w:ascii="Times New Roman" w:hAnsi="Times New Roman" w:eastAsia="宋体" w:cs="Times New Roman"/>
          <w:color w:val="auto"/>
          <w:sz w:val="24"/>
        </w:rPr>
        <w:t>产生废石量为9.13万m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（实方），考虑废石破碎后的松散系数，废石体积为14.61万m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default" w:ascii="Times New Roman" w:hAnsi="Times New Roman" w:cs="Times New Roman"/>
          <w:color w:val="auto"/>
          <w:sz w:val="24"/>
          <w:lang w:val="en-US" w:eastAsia="zh-CN"/>
        </w:rPr>
        <w:t>废石临时堆放于废石场，作为充填原料用于井下充填。</w:t>
      </w:r>
    </w:p>
    <w:p w14:paraId="1C1F5994">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废石在排土场堆放期间，为避免废石堆场崩溃诱发泥石流潜在危害，拟采取的工程措施包括：废石分层堆放，废石堆场边坡稳定坡角不得大于30°；设置导水渠、排水沟或截洪沟等，并沿边坡下部进行人工水泥堆砌加固，保证洪水沿着导流渠顺畅流走，以防雨水冲刷废石形成泥石流；同时要经常进行稳定性监测，避免事故的发生；废石集中堆存于废石堆场，临时堆置场地面应硬化处置，严禁随意堆弃；为防止废石的流失，构筑挡土墙。对废石场建立检查维护制度，定期检查维护挡土墙、导流渠等设施，发现有损坏可能或异常，应及时采取必要措施，以保障正常运行；加强监督管理，设置环境保护图形标志。</w:t>
      </w:r>
    </w:p>
    <w:p w14:paraId="2D8A5BD7">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采取上述措施后，废石堆场对所在区域环境的不利影响可减至最低程度。</w:t>
      </w:r>
    </w:p>
    <w:p w14:paraId="5F62BD82">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通过这一措施，可有效降低废石堆放中的环境风险。</w:t>
      </w:r>
    </w:p>
    <w:p w14:paraId="1D57AC30">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pacing w:val="-3"/>
          <w:szCs w:val="24"/>
          <w:lang w:val="en-US"/>
        </w:rPr>
      </w:pPr>
      <w:r>
        <w:rPr>
          <w:rFonts w:hint="default" w:ascii="Times New Roman" w:hAnsi="Times New Roman" w:eastAsia="宋体" w:cs="Times New Roman"/>
          <w:color w:val="auto"/>
          <w:lang w:val="en-US" w:eastAsia="zh-CN"/>
        </w:rPr>
        <w:fldChar w:fldCharType="begin"/>
      </w:r>
      <w:r>
        <w:rPr>
          <w:rFonts w:hint="default" w:ascii="Times New Roman" w:hAnsi="Times New Roman" w:eastAsia="宋体" w:cs="Times New Roman"/>
          <w:color w:val="auto"/>
          <w:lang w:val="en-US" w:eastAsia="zh-CN"/>
        </w:rPr>
        <w:instrText xml:space="preserve"> HYPERLINK "5.6.2.3" </w:instrText>
      </w:r>
      <w:r>
        <w:rPr>
          <w:rFonts w:hint="default" w:ascii="Times New Roman" w:hAnsi="Times New Roman" w:eastAsia="宋体" w:cs="Times New Roman"/>
          <w:color w:val="auto"/>
          <w:lang w:val="en-US" w:eastAsia="zh-CN"/>
        </w:rPr>
        <w:fldChar w:fldCharType="separate"/>
      </w:r>
      <w:r>
        <w:rPr>
          <w:rFonts w:hint="default" w:ascii="Times New Roman" w:hAnsi="Times New Roman" w:eastAsia="宋体" w:cs="Times New Roman"/>
          <w:color w:val="auto"/>
          <w:lang w:val="en-US" w:eastAsia="zh-CN"/>
        </w:rPr>
        <w:t>6.2.6.2</w:t>
      </w:r>
      <w:r>
        <w:rPr>
          <w:rFonts w:hint="default" w:ascii="Times New Roman" w:hAnsi="Times New Roman" w:eastAsia="宋体" w:cs="Times New Roman"/>
          <w:color w:val="auto"/>
          <w:lang w:val="en-US" w:eastAsia="zh-CN"/>
        </w:rPr>
        <w:fldChar w:fldCharType="end"/>
      </w:r>
      <w:r>
        <w:rPr>
          <w:rFonts w:hint="default" w:ascii="Times New Roman" w:hAnsi="Times New Roman" w:eastAsia="宋体" w:cs="Times New Roman"/>
          <w:color w:val="auto"/>
          <w:lang w:val="en-US" w:eastAsia="zh-CN"/>
        </w:rPr>
        <w:t>一般固废污染防治措施</w:t>
      </w:r>
    </w:p>
    <w:p w14:paraId="2CAA86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default" w:ascii="Times New Roman" w:hAnsi="Times New Roman" w:cs="Times New Roman"/>
          <w:color w:val="auto"/>
          <w:kern w:val="0"/>
          <w:sz w:val="24"/>
          <w:szCs w:val="24"/>
          <w:lang w:val="en-US" w:eastAsia="zh-CN"/>
        </w:rPr>
        <w:t>破碎</w:t>
      </w:r>
      <w:r>
        <w:rPr>
          <w:rFonts w:hint="default" w:ascii="Times New Roman" w:hAnsi="Times New Roman" w:eastAsia="宋体" w:cs="Times New Roman"/>
          <w:color w:val="auto"/>
          <w:kern w:val="0"/>
          <w:sz w:val="24"/>
          <w:szCs w:val="24"/>
          <w:lang w:val="en-US" w:eastAsia="zh-CN"/>
        </w:rPr>
        <w:t>车间粉尘经</w:t>
      </w:r>
      <w:r>
        <w:rPr>
          <w:rFonts w:hint="default" w:ascii="Times New Roman" w:hAnsi="Times New Roman" w:eastAsia="宋体" w:cs="Times New Roman"/>
          <w:color w:val="auto"/>
          <w:kern w:val="0"/>
          <w:sz w:val="24"/>
          <w:szCs w:val="24"/>
        </w:rPr>
        <w:t>脉冲袋式除尘器</w:t>
      </w:r>
      <w:r>
        <w:rPr>
          <w:rFonts w:hint="default" w:ascii="Times New Roman" w:hAnsi="Times New Roman" w:eastAsia="宋体" w:cs="Times New Roman"/>
          <w:color w:val="auto"/>
          <w:kern w:val="0"/>
          <w:sz w:val="24"/>
          <w:szCs w:val="24"/>
          <w:lang w:val="en-US" w:eastAsia="zh-CN"/>
        </w:rPr>
        <w:t>处理后排放，除尘灰产生量为</w:t>
      </w:r>
      <w:r>
        <w:rPr>
          <w:rFonts w:hint="default" w:ascii="Times New Roman" w:hAnsi="Times New Roman" w:cs="Times New Roman"/>
          <w:color w:val="auto"/>
          <w:kern w:val="0"/>
          <w:sz w:val="24"/>
          <w:szCs w:val="24"/>
          <w:lang w:val="en-US" w:eastAsia="zh-CN"/>
        </w:rPr>
        <w:t>5.28t</w:t>
      </w:r>
      <w:r>
        <w:rPr>
          <w:rFonts w:hint="default" w:ascii="Times New Roman" w:hAnsi="Times New Roman" w:eastAsia="宋体" w:cs="Times New Roman"/>
          <w:color w:val="auto"/>
          <w:kern w:val="0"/>
          <w:sz w:val="24"/>
          <w:szCs w:val="24"/>
          <w:lang w:val="en-US" w:eastAsia="zh-CN"/>
        </w:rPr>
        <w:t>/a。除尘灰经收集后</w:t>
      </w:r>
      <w:r>
        <w:rPr>
          <w:rFonts w:hint="default" w:ascii="Times New Roman" w:hAnsi="Times New Roman" w:cs="Times New Roman"/>
          <w:color w:val="auto"/>
          <w:kern w:val="0"/>
          <w:sz w:val="24"/>
          <w:szCs w:val="24"/>
          <w:lang w:val="en-US" w:eastAsia="zh-CN"/>
        </w:rPr>
        <w:t>作为充填原料</w:t>
      </w:r>
      <w:r>
        <w:rPr>
          <w:rFonts w:hint="default" w:ascii="Times New Roman" w:hAnsi="Times New Roman" w:eastAsia="宋体" w:cs="Times New Roman"/>
          <w:color w:val="auto"/>
          <w:kern w:val="0"/>
          <w:sz w:val="24"/>
          <w:szCs w:val="24"/>
          <w:lang w:val="en-US" w:eastAsia="zh-CN"/>
        </w:rPr>
        <w:t>。</w:t>
      </w:r>
    </w:p>
    <w:p w14:paraId="6C2623A8">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6.2.6.3危险废物污染防治措施</w:t>
      </w:r>
    </w:p>
    <w:p w14:paraId="7768B070">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项目运营过程会产生废机油，属于危险废物（HW08</w:t>
      </w:r>
      <w:r>
        <w:rPr>
          <w:rFonts w:hint="default" w:ascii="Times New Roman" w:hAnsi="Times New Roman" w:cs="Times New Roman"/>
          <w:color w:val="auto"/>
          <w:spacing w:val="0"/>
          <w:w w:val="100"/>
          <w:kern w:val="10"/>
          <w:position w:val="0"/>
          <w:sz w:val="24"/>
          <w:szCs w:val="24"/>
          <w:highlight w:val="none"/>
          <w:lang w:val="en-US" w:eastAsia="zh-CN"/>
        </w:rPr>
        <w:t xml:space="preserve"> </w:t>
      </w:r>
      <w:r>
        <w:rPr>
          <w:rFonts w:hint="default" w:ascii="Times New Roman" w:hAnsi="Times New Roman" w:eastAsia="宋体" w:cs="Times New Roman"/>
          <w:color w:val="auto"/>
          <w:spacing w:val="0"/>
          <w:w w:val="100"/>
          <w:kern w:val="10"/>
          <w:position w:val="0"/>
          <w:sz w:val="24"/>
          <w:szCs w:val="24"/>
          <w:highlight w:val="none"/>
          <w:lang w:val="en-US" w:eastAsia="zh-CN"/>
        </w:rPr>
        <w:t>900-217-08），来源于工程机械和大型设备润滑，产生量约为</w:t>
      </w:r>
      <w:r>
        <w:rPr>
          <w:rFonts w:hint="default" w:ascii="Times New Roman" w:hAnsi="Times New Roman" w:cs="Times New Roman"/>
          <w:color w:val="auto"/>
          <w:spacing w:val="0"/>
          <w:w w:val="100"/>
          <w:kern w:val="10"/>
          <w:position w:val="0"/>
          <w:sz w:val="24"/>
          <w:szCs w:val="24"/>
          <w:highlight w:val="none"/>
          <w:lang w:val="en-US" w:eastAsia="zh-CN"/>
        </w:rPr>
        <w:t>1.2</w:t>
      </w:r>
      <w:r>
        <w:rPr>
          <w:rFonts w:hint="default" w:ascii="Times New Roman" w:hAnsi="Times New Roman" w:eastAsia="宋体" w:cs="Times New Roman"/>
          <w:color w:val="auto"/>
          <w:spacing w:val="0"/>
          <w:w w:val="100"/>
          <w:kern w:val="10"/>
          <w:position w:val="0"/>
          <w:sz w:val="24"/>
          <w:szCs w:val="24"/>
          <w:highlight w:val="none"/>
          <w:lang w:val="en-US" w:eastAsia="zh-CN"/>
        </w:rPr>
        <w:t>t/a。</w:t>
      </w:r>
      <w:r>
        <w:rPr>
          <w:rFonts w:hint="default" w:ascii="Times New Roman" w:hAnsi="Times New Roman" w:eastAsia="宋体" w:cs="Times New Roman"/>
          <w:color w:val="auto"/>
          <w:sz w:val="24"/>
          <w:szCs w:val="24"/>
          <w:lang w:val="en-US" w:eastAsia="zh-CN"/>
        </w:rPr>
        <w:t>拟</w:t>
      </w:r>
      <w:r>
        <w:rPr>
          <w:rFonts w:hint="default" w:ascii="Times New Roman" w:hAnsi="Times New Roman" w:eastAsia="宋体" w:cs="Times New Roman"/>
          <w:color w:val="auto"/>
          <w:sz w:val="24"/>
          <w:szCs w:val="24"/>
        </w:rPr>
        <w:t>建</w:t>
      </w:r>
      <w:r>
        <w:rPr>
          <w:rFonts w:hint="default" w:ascii="Times New Roman" w:hAnsi="Times New Roman" w:eastAsia="宋体" w:cs="Times New Roman"/>
          <w:color w:val="auto"/>
          <w:sz w:val="24"/>
          <w:szCs w:val="24"/>
          <w:lang w:val="en-US" w:eastAsia="zh-CN"/>
        </w:rPr>
        <w:t>危废贮存库一座</w:t>
      </w:r>
      <w:r>
        <w:rPr>
          <w:rFonts w:hint="default" w:ascii="Times New Roman" w:hAnsi="Times New Roman" w:eastAsia="宋体" w:cs="Times New Roman"/>
          <w:color w:val="auto"/>
          <w:sz w:val="24"/>
          <w:szCs w:val="24"/>
          <w:highlight w:val="none"/>
        </w:rPr>
        <w:t>，占地</w:t>
      </w:r>
      <w:r>
        <w:rPr>
          <w:rFonts w:hint="default"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highlight w:val="none"/>
        </w:rPr>
        <w:t>，建筑层数为单层，结构形式为钢筋混凝土排架结构，并按照《危险废物贮存污染控制标准》（GB18597-20</w:t>
      </w:r>
      <w:r>
        <w:rPr>
          <w:rFonts w:hint="default" w:ascii="Times New Roman" w:hAnsi="Times New Roman" w:eastAsia="宋体"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rPr>
        <w:t>）等要求进行规范化建设。</w:t>
      </w:r>
      <w:r>
        <w:rPr>
          <w:rFonts w:hint="default" w:ascii="Times New Roman" w:hAnsi="Times New Roman" w:eastAsia="宋体" w:cs="Times New Roman"/>
          <w:color w:val="auto"/>
          <w:sz w:val="24"/>
          <w:highlight w:val="none"/>
        </w:rPr>
        <w:t>危险废物临时贮存场所采用高密度聚乙烯防渗处理，确保其饱和渗透系数＜1.0×10</w:t>
      </w:r>
      <w:r>
        <w:rPr>
          <w:rFonts w:hint="default" w:ascii="Times New Roman" w:hAnsi="Times New Roman" w:eastAsia="宋体" w:cs="Times New Roman"/>
          <w:color w:val="auto"/>
          <w:sz w:val="24"/>
          <w:highlight w:val="none"/>
          <w:vertAlign w:val="superscript"/>
          <w:lang w:val="en-US" w:eastAsia="zh-CN"/>
        </w:rPr>
        <w:t>-10</w:t>
      </w:r>
      <w:r>
        <w:rPr>
          <w:rFonts w:hint="default" w:ascii="Times New Roman" w:hAnsi="Times New Roman" w:eastAsia="宋体" w:cs="Times New Roman"/>
          <w:color w:val="auto"/>
          <w:sz w:val="24"/>
          <w:highlight w:val="none"/>
        </w:rPr>
        <w:t>cm/s，全密封式，避免二次污染影响环境；地面与裙角要用坚固、防渗的材料制造，建筑材料必须与危险废物兼容；设施内要有安全照明设施和观察窗口；危险废物临时存放场所分区存放，禁止将不相容的危险废物在同一容器内混装；装载液体、半固体危险废物容器内必须留有足够空间，容器顶部与液体表面保留100mm以上的空间；装载危险废物的容器上必须粘贴符合《危险废物识别标志设置技术规范》（HJ1276-2022）所示的标签；危险废物临时存放场所要做好防风、防雨、防晒工作</w:t>
      </w:r>
      <w:r>
        <w:rPr>
          <w:rFonts w:hint="default" w:ascii="Times New Roman" w:hAnsi="Times New Roman" w:eastAsia="宋体" w:cs="Times New Roman"/>
          <w:color w:val="auto"/>
          <w:spacing w:val="0"/>
          <w:w w:val="100"/>
          <w:kern w:val="10"/>
          <w:position w:val="0"/>
          <w:sz w:val="24"/>
          <w:szCs w:val="24"/>
          <w:highlight w:val="none"/>
          <w:lang w:val="en-US" w:eastAsia="zh-CN"/>
        </w:rPr>
        <w:t>。</w:t>
      </w:r>
    </w:p>
    <w:p w14:paraId="61DE2FAA">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6.2.6.4生活垃圾处理处置措施</w:t>
      </w:r>
    </w:p>
    <w:p w14:paraId="186BC179">
      <w:pPr>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本项目生活垃圾将进行集中堆放，统一处置，收集后定期清运至哈密市伊州区星星峡镇生活垃圾填埋场填埋处理。评价建议按照垃圾分类的原则设置垃圾分类收集装置，同时加强管理，将生活垃圾不得任意丢弃，影响矿区的环境。</w:t>
      </w:r>
    </w:p>
    <w:p w14:paraId="1401AFC9">
      <w:pPr>
        <w:pStyle w:val="5"/>
        <w:keepNext/>
        <w:keepLines/>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6.</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6.5</w:t>
      </w:r>
      <w:r>
        <w:rPr>
          <w:rFonts w:hint="default" w:ascii="Times New Roman" w:hAnsi="Times New Roman" w:eastAsia="宋体" w:cs="Times New Roman"/>
          <w:color w:val="auto"/>
        </w:rPr>
        <w:t>固废全程管理措施</w:t>
      </w:r>
    </w:p>
    <w:p w14:paraId="5D0AE139">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依据《危险废物管理计划和管理台账制定技术导则》（HJ1259-2022）、《危险废物识别标志设置技术规范》（HJ1276-2022）、《危险废物贮存污染控制标准》（GB 18597-2023），本次环评对产生危险废物收集、储运、处置提出全过程管理要求：</w:t>
      </w:r>
    </w:p>
    <w:p w14:paraId="5BA6D7C2">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危废贮存库严格按照《危险废物贮存污染控制标准》（GB 18597-2023）进行防渗设计，并且在危险废物暂存区按照《危险废物识别标志设置技术规范》（HJ1276-2022）设置危险废物识别标志；</w:t>
      </w:r>
    </w:p>
    <w:p w14:paraId="1308524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委托有资质单位处置的危险废物，应</w:t>
      </w:r>
      <w:r>
        <w:rPr>
          <w:rFonts w:hint="default" w:ascii="Times New Roman" w:hAnsi="Times New Roman" w:eastAsia="宋体" w:cs="Times New Roman"/>
          <w:color w:val="auto"/>
          <w:sz w:val="24"/>
          <w:highlight w:val="none"/>
        </w:rPr>
        <w:t>委托有危废运输资质的车队进行运输，危险废物运送人员在接受危险废物时，外观检查危险废物盛装容器是否符合标准，标识类型是否属于建设单位危险废物经营许可证核准经营范围，是否标识有危险废物主要危害成分，同时检查危险废物转移者是否按照《危险废物转移管理办法》要求运输。</w:t>
      </w:r>
    </w:p>
    <w:p w14:paraId="2D72211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3）严格按照《危险废物管理计划和管理台账制定技术导则》（HJ1259-2022）制定管理计划和管理台账。</w:t>
      </w:r>
    </w:p>
    <w:p w14:paraId="568D9DC0">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①危险废物管理计划</w:t>
      </w:r>
    </w:p>
    <w:p w14:paraId="4589C247">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本项目属于重点监管单位，</w:t>
      </w:r>
      <w:r>
        <w:rPr>
          <w:rFonts w:hint="default" w:ascii="Times New Roman" w:hAnsi="Times New Roman" w:eastAsia="宋体" w:cs="Times New Roman"/>
          <w:color w:val="auto"/>
          <w:sz w:val="24"/>
          <w:highlight w:val="none"/>
        </w:rPr>
        <w:t>管理计划制定内容应包括单位基本信息、设施信息、危险废物产生情况信息、危险废物贮存情况信息、危险废物自行利用/处置情况信息、危险废物减量化计划和措施、危险废物转移情况信息。</w:t>
      </w:r>
    </w:p>
    <w:p w14:paraId="65207200">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val="en-US" w:eastAsia="zh-CN"/>
        </w:rPr>
        <w:t>A.</w:t>
      </w:r>
      <w:r>
        <w:rPr>
          <w:rFonts w:hint="default" w:ascii="Times New Roman" w:hAnsi="Times New Roman" w:eastAsia="宋体" w:cs="Times New Roman"/>
          <w:color w:val="auto"/>
          <w:sz w:val="24"/>
          <w:highlight w:val="none"/>
        </w:rPr>
        <w:t>单位基本信息</w:t>
      </w:r>
      <w:r>
        <w:rPr>
          <w:rFonts w:hint="default" w:ascii="Times New Roman" w:hAnsi="Times New Roman" w:eastAsia="宋体" w:cs="Times New Roman"/>
          <w:color w:val="auto"/>
          <w:sz w:val="24"/>
          <w:highlight w:val="none"/>
          <w:lang w:eastAsia="zh-CN"/>
        </w:rPr>
        <w:t>：单位基本信息填写内容参见</w:t>
      </w:r>
      <w:r>
        <w:rPr>
          <w:rFonts w:hint="default" w:ascii="Times New Roman" w:hAnsi="Times New Roman" w:eastAsia="宋体" w:cs="Times New Roman"/>
          <w:color w:val="auto"/>
          <w:sz w:val="24"/>
          <w:highlight w:val="none"/>
          <w:lang w:val="en-US" w:eastAsia="zh-CN"/>
        </w:rPr>
        <w:t>HJ1259-2022</w:t>
      </w:r>
      <w:r>
        <w:rPr>
          <w:rFonts w:hint="default" w:ascii="Times New Roman" w:hAnsi="Times New Roman" w:eastAsia="宋体" w:cs="Times New Roman"/>
          <w:color w:val="auto"/>
          <w:sz w:val="24"/>
          <w:highlight w:val="none"/>
          <w:lang w:eastAsia="zh-CN"/>
        </w:rPr>
        <w:t>附录A.1。</w:t>
      </w:r>
    </w:p>
    <w:p w14:paraId="00FC8AF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B.设施信息：设施信息</w:t>
      </w:r>
      <w:r>
        <w:rPr>
          <w:rFonts w:hint="default" w:ascii="Times New Roman" w:hAnsi="Times New Roman" w:eastAsia="宋体" w:cs="Times New Roman"/>
          <w:color w:val="auto"/>
          <w:sz w:val="24"/>
          <w:highlight w:val="none"/>
          <w:lang w:eastAsia="zh-CN"/>
        </w:rPr>
        <w:t>填写内容参见</w:t>
      </w:r>
      <w:r>
        <w:rPr>
          <w:rFonts w:hint="default" w:ascii="Times New Roman" w:hAnsi="Times New Roman" w:eastAsia="宋体" w:cs="Times New Roman"/>
          <w:color w:val="auto"/>
          <w:sz w:val="24"/>
          <w:highlight w:val="none"/>
          <w:lang w:val="en-US" w:eastAsia="zh-CN"/>
        </w:rPr>
        <w:t>HJ1259-2022</w:t>
      </w:r>
      <w:r>
        <w:rPr>
          <w:rFonts w:hint="default" w:ascii="Times New Roman" w:hAnsi="Times New Roman" w:eastAsia="宋体" w:cs="Times New Roman"/>
          <w:color w:val="auto"/>
          <w:sz w:val="24"/>
          <w:highlight w:val="none"/>
          <w:lang w:eastAsia="zh-CN"/>
        </w:rPr>
        <w:t>附录A.</w:t>
      </w:r>
      <w:r>
        <w:rPr>
          <w:rFonts w:hint="default" w:ascii="Times New Roman" w:hAnsi="Times New Roman" w:eastAsia="宋体" w:cs="Times New Roman"/>
          <w:color w:val="auto"/>
          <w:sz w:val="24"/>
          <w:highlight w:val="none"/>
          <w:lang w:val="en-US" w:eastAsia="zh-CN"/>
        </w:rPr>
        <w:t>2。</w:t>
      </w:r>
    </w:p>
    <w:p w14:paraId="29B9153E">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C.危险废物产生情况信息：危险废物产生情况填写内容参见HJ1259-2022附录A.3。</w:t>
      </w:r>
    </w:p>
    <w:p w14:paraId="480CBA6B">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D.</w:t>
      </w:r>
      <w:r>
        <w:rPr>
          <w:rFonts w:hint="default" w:ascii="Times New Roman" w:hAnsi="Times New Roman" w:eastAsia="宋体" w:cs="Times New Roman"/>
          <w:color w:val="auto"/>
          <w:sz w:val="24"/>
          <w:highlight w:val="none"/>
        </w:rPr>
        <w:t>危险废物贮存情况信息</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危险废物贮存情况信息</w:t>
      </w:r>
      <w:r>
        <w:rPr>
          <w:rFonts w:hint="default" w:ascii="Times New Roman" w:hAnsi="Times New Roman" w:eastAsia="宋体" w:cs="Times New Roman"/>
          <w:color w:val="auto"/>
          <w:sz w:val="24"/>
          <w:highlight w:val="none"/>
          <w:lang w:val="en-US" w:eastAsia="zh-CN"/>
        </w:rPr>
        <w:t>填写内容参见HJ1259-2022附录A.4。</w:t>
      </w:r>
    </w:p>
    <w:p w14:paraId="1E813930">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E.</w:t>
      </w:r>
      <w:r>
        <w:rPr>
          <w:rFonts w:hint="default" w:ascii="Times New Roman" w:hAnsi="Times New Roman" w:eastAsia="宋体" w:cs="Times New Roman"/>
          <w:color w:val="auto"/>
          <w:sz w:val="24"/>
          <w:highlight w:val="none"/>
        </w:rPr>
        <w:t>危险废物自行利用/处置情况信息</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危险废物自行利用/处置情况信息</w:t>
      </w:r>
      <w:r>
        <w:rPr>
          <w:rFonts w:hint="default" w:ascii="Times New Roman" w:hAnsi="Times New Roman" w:eastAsia="宋体" w:cs="Times New Roman"/>
          <w:color w:val="auto"/>
          <w:sz w:val="24"/>
          <w:highlight w:val="none"/>
          <w:lang w:val="en-US" w:eastAsia="zh-CN"/>
        </w:rPr>
        <w:t>填写内容参见HJ1259-2022附录A.5。</w:t>
      </w:r>
    </w:p>
    <w:p w14:paraId="42DE049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F.</w:t>
      </w:r>
      <w:r>
        <w:rPr>
          <w:rFonts w:hint="default" w:ascii="Times New Roman" w:hAnsi="Times New Roman" w:eastAsia="宋体" w:cs="Times New Roman"/>
          <w:color w:val="auto"/>
          <w:sz w:val="24"/>
          <w:highlight w:val="none"/>
        </w:rPr>
        <w:t>危险废物减量化计划和措施</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危险废物减量化计划和措施</w:t>
      </w:r>
      <w:r>
        <w:rPr>
          <w:rFonts w:hint="default" w:ascii="Times New Roman" w:hAnsi="Times New Roman" w:eastAsia="宋体" w:cs="Times New Roman"/>
          <w:color w:val="auto"/>
          <w:sz w:val="24"/>
          <w:highlight w:val="none"/>
          <w:lang w:val="en-US" w:eastAsia="zh-CN"/>
        </w:rPr>
        <w:t>填写内容参见HJ1259-2022附录A.6。</w:t>
      </w:r>
    </w:p>
    <w:p w14:paraId="2DA379A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G.</w:t>
      </w:r>
      <w:r>
        <w:rPr>
          <w:rFonts w:hint="default" w:ascii="Times New Roman" w:hAnsi="Times New Roman" w:eastAsia="宋体" w:cs="Times New Roman"/>
          <w:color w:val="auto"/>
          <w:sz w:val="24"/>
          <w:highlight w:val="none"/>
        </w:rPr>
        <w:t>危险废物转移情况信息</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危险废物转移情况信息</w:t>
      </w:r>
      <w:r>
        <w:rPr>
          <w:rFonts w:hint="default" w:ascii="Times New Roman" w:hAnsi="Times New Roman" w:eastAsia="宋体" w:cs="Times New Roman"/>
          <w:color w:val="auto"/>
          <w:sz w:val="24"/>
          <w:highlight w:val="none"/>
          <w:lang w:val="en-US" w:eastAsia="zh-CN"/>
        </w:rPr>
        <w:t>填写内容参见HJ1259-2022附录A.7。</w:t>
      </w:r>
    </w:p>
    <w:p w14:paraId="0FC8576D">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②危险废物管理台账</w:t>
      </w:r>
    </w:p>
    <w:p w14:paraId="543EC91A">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一般原则：a.产生危险废物的单位应建立危险废物管理台账，落实危险废物管理台账记录的责任人，明确工作职责，并对危险废物管理台账的真实性、准确性和完整性负法律责任。b.产生危险废物的单位应根据危险废物产生、贮存、利用、处置等环节的动态流向，如实建立各环节的危险废物管理台账，记录内容参见附录B。c.危险废物管理台账分为电子管理台账和纸质管理台账两种形式。产生危险废物的单位可通过国家危险废物信息管理系统、企业自建信息管理系统或第三方平台等方式记录电子管理台账。</w:t>
      </w:r>
    </w:p>
    <w:p w14:paraId="3BF7767F">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B.频次要求：产生后盛放至容器和包装物的，应按每个容器和包装物进行记录；产生后采用管道等方式输送至贮存场所的，按日记录；其他特殊情形的，根据危险废物产生规律确定记录频次。</w:t>
      </w:r>
    </w:p>
    <w:p w14:paraId="13C3F655">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C.记录内容：a.危险废物产生环节，应记录产生批次编码、产生时间、危险废物名称、危险废物类别、危险废物代码、产生量、计量单位、容器/包装编码、容器/包装类型、容器/包装数量、产生危险废物设施编码、产生部门经办人、去向等；b.危险废物入库环节，应记录入库批次编码、入库时间、容器/包装编码、容器/包装类型、容器/包装数量、危险废物名称、危险废物类别、危险废物代码、入库量、计量单位、贮存设施编码、贮存设施类型、运送部门经办人、贮存部门经办人、产生批次编码等。c.危险废物出库环节，应记录出库批次编码、出库时间、容器/包装编码、容器/包装类型、容器/包装数量、危险废物名称、危险废物类别、危险废物代码、出库量、计量单位、贮存设施编码、贮存设施类型、出库部门经办人、运送部门经办人、入库批次编码、去向等。d.危险废物自行利用/处置环节，应记录自行利用/处置批次编码、自行利用/处置时间、容器/包装编码、容器/包装类型、容器/包装数量、危险废物名称、危险废物类别、危险废物代码、自行利用/处置量、计量单位、自行利用/处置设施编码、自行利用/处置方式、自行利用/处置完毕时间、自行利用/处置部门经办人、产生批次编码/出库批次编码等。e.危险废物委外利用/处置环节，应记录委外利用/处置批次编码、出厂时间、容器/包装编码、容器/包装类型、容器/包装数量、危险废物名称、危险废物类别、危险废物代码、委外利用/处置量、计量单位、利用/处置方式、接收单位类型、利用/处置单位名称、许可证编码/出口核准通知单编号、产生批次编码/出库批次编码等。</w:t>
      </w:r>
    </w:p>
    <w:p w14:paraId="28EFBAAE">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D.记录保存：保存时间原则上应存档5年以上。</w:t>
      </w:r>
    </w:p>
    <w:p w14:paraId="079D4BB3">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③危险废物申报要求</w:t>
      </w:r>
    </w:p>
    <w:p w14:paraId="664006E8">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A.一般原则</w:t>
      </w:r>
    </w:p>
    <w:p w14:paraId="725D35BA">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a.产生危险废物的单位应定期通过国家危险废物信息管理系统向所在地生态环境主管部门申报危险废物的种类、产生量、流向、贮存、利用、处置等有关资料。</w:t>
      </w:r>
    </w:p>
    <w:p w14:paraId="187AD4D9">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b.产生危险废物的单位应根据危险废物管理台账记录归纳总结申报期内危险废物有关情况，保证申报内容的真实性、准确性和完整性，按时在线提交至所在地生态环境主管部门，台账记录留存备查。</w:t>
      </w:r>
    </w:p>
    <w:p w14:paraId="70913FCF">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c.产生危险废物的单位可以自行申报，也可以委托危险废物经营许可证持有单位或者经所在地生态环境主管部门同意的第三方单位代为申报。</w:t>
      </w:r>
    </w:p>
    <w:p w14:paraId="7C75F9D1">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B.申报周期</w:t>
      </w:r>
    </w:p>
    <w:p w14:paraId="6017F35A">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a.危险废物环境重点监管单位应当按月度和年度申报危险废物有关资料，且于每月15日前和每年3月31日前分别完成上一月度和上一年度的申报。</w:t>
      </w:r>
    </w:p>
    <w:p w14:paraId="349FA703">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b.危险废物简化管理单位应当按季度和年度申报危险废物有关资料，且于每季度首月15日前和每年3月31日前分别完成上一季度和上一年度的申报。</w:t>
      </w:r>
    </w:p>
    <w:p w14:paraId="5A45C68C">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c.危险废物登记管理单位应当按年度申报危险废物有关资料，且于每年3月31日前完成上一年度的申报。</w:t>
      </w:r>
    </w:p>
    <w:p w14:paraId="50C55C19">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C.申报内容</w:t>
      </w:r>
    </w:p>
    <w:p w14:paraId="643F453E">
      <w:pPr>
        <w:pStyle w:val="64"/>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a.申报内容包括危险废物产生情况、危险废物自行利用/处置情况、危险废物委托外单位利用/处置情况、贮存情况，申报报告格式参见附录C。</w:t>
      </w:r>
    </w:p>
    <w:p w14:paraId="0635A160">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z w:val="24"/>
          <w:highlight w:val="none"/>
          <w:lang w:val="en-US" w:eastAsia="zh-CN"/>
        </w:rPr>
        <w:t>b.通过国家危险废物信息管理系统建立危险废物电子管理台账的单位，国家危险废物信息管理系统自动生成危险废物申报报告，经其确认并在线提交后，完成申报。</w:t>
      </w:r>
    </w:p>
    <w:p w14:paraId="1E870308">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综上，严格按照上述要求落实固废处置措施后，本项目固废对环境影响很小，固废处置措施可行。</w:t>
      </w:r>
    </w:p>
    <w:p w14:paraId="576C6017">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土壤污染防治措施</w:t>
      </w:r>
    </w:p>
    <w:p w14:paraId="33BE305D">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本项目运营期产生的废水全部回用</w:t>
      </w:r>
      <w:r>
        <w:rPr>
          <w:rFonts w:hint="default" w:ascii="Times New Roman" w:hAnsi="Times New Roman" w:cs="Times New Roman"/>
          <w:color w:val="auto"/>
          <w:spacing w:val="0"/>
          <w:w w:val="100"/>
          <w:kern w:val="10"/>
          <w:position w:val="0"/>
          <w:sz w:val="24"/>
          <w:szCs w:val="24"/>
          <w:highlight w:val="none"/>
          <w:lang w:val="en-US" w:eastAsia="zh-CN"/>
        </w:rPr>
        <w:t>，不外排</w:t>
      </w:r>
      <w:r>
        <w:rPr>
          <w:rFonts w:hint="default" w:ascii="Times New Roman" w:hAnsi="Times New Roman" w:eastAsia="宋体" w:cs="Times New Roman"/>
          <w:color w:val="auto"/>
          <w:spacing w:val="0"/>
          <w:w w:val="100"/>
          <w:kern w:val="10"/>
          <w:position w:val="0"/>
          <w:sz w:val="24"/>
          <w:szCs w:val="24"/>
          <w:highlight w:val="none"/>
          <w:lang w:val="en-US" w:eastAsia="zh-CN"/>
        </w:rPr>
        <w:t>；在破碎工段采取集气罩及布袋除尘器等措施，减少了工程有组织粉尘的排放量；工业场地内采取绿化措施，种植具有较强吸附能力的植物为主；矿石运输采用汽车运输，汽车运输时要求加盖篷布，并对运输道路洒水降尘，减少汽车运输时物料的洒落；按设计对厂区进行分区防渗，同时布设监控井，定期对地下水进行监测，降低了防渗工程损坏事故排放的风险，减小了事故排放对土壤的影响。</w:t>
      </w:r>
    </w:p>
    <w:p w14:paraId="1DF45053">
      <w:pPr>
        <w:pStyle w:val="4"/>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环境风险防治措施</w:t>
      </w:r>
    </w:p>
    <w:p w14:paraId="4B033E80">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w:t>
      </w:r>
      <w:r>
        <w:rPr>
          <w:rFonts w:hint="default" w:ascii="Times New Roman" w:hAnsi="Times New Roman" w:cs="Times New Roman"/>
          <w:color w:val="auto"/>
          <w:spacing w:val="0"/>
          <w:w w:val="100"/>
          <w:kern w:val="10"/>
          <w:position w:val="0"/>
          <w:sz w:val="24"/>
          <w:szCs w:val="24"/>
          <w:highlight w:val="none"/>
          <w:lang w:val="en-US" w:eastAsia="zh-CN"/>
        </w:rPr>
        <w:t>1</w:t>
      </w:r>
      <w:r>
        <w:rPr>
          <w:rFonts w:hint="default" w:ascii="Times New Roman" w:hAnsi="Times New Roman" w:eastAsia="宋体" w:cs="Times New Roman"/>
          <w:color w:val="auto"/>
          <w:spacing w:val="0"/>
          <w:w w:val="100"/>
          <w:kern w:val="10"/>
          <w:position w:val="0"/>
          <w:sz w:val="24"/>
          <w:szCs w:val="24"/>
          <w:highlight w:val="none"/>
          <w:lang w:val="en-US" w:eastAsia="zh-CN"/>
        </w:rPr>
        <w:t>）废石场风险防范对策</w:t>
      </w:r>
    </w:p>
    <w:p w14:paraId="010A672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①废石场周围没有工业场地、居民点，下游2.0km之内没有居民集中区。</w:t>
      </w:r>
    </w:p>
    <w:p w14:paraId="799ACFB4">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②废石场周围设置截洪沟和排水渠，废石场平面形成与推进方向相反的坡面，拦截废石场的汇水，避免暴雨引发边坡滑坡、塌方、泥石流及滚石灾害发生。</w:t>
      </w:r>
    </w:p>
    <w:p w14:paraId="41268D47">
      <w:pPr>
        <w:pStyle w:val="3"/>
        <w:bidi w:val="0"/>
        <w:rPr>
          <w:rFonts w:hint="default" w:ascii="Times New Roman" w:hAnsi="Times New Roman" w:cs="Times New Roman"/>
          <w:color w:val="auto"/>
          <w:lang w:val="en-US" w:eastAsia="zh-CN"/>
        </w:rPr>
      </w:pPr>
      <w:bookmarkStart w:id="720" w:name="_Toc8893"/>
      <w:bookmarkStart w:id="721" w:name="_Toc16846"/>
      <w:r>
        <w:rPr>
          <w:rFonts w:hint="default" w:ascii="Times New Roman" w:hAnsi="Times New Roman" w:cs="Times New Roman"/>
          <w:color w:val="auto"/>
          <w:lang w:val="en-US" w:eastAsia="zh-CN"/>
        </w:rPr>
        <w:t>闭矿期污染防治措施</w:t>
      </w:r>
      <w:bookmarkEnd w:id="720"/>
      <w:bookmarkEnd w:id="721"/>
    </w:p>
    <w:p w14:paraId="6E9DC52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为减轻矿山开采对区域生态环境的影响，要求按照边开采边恢复、终止采矿活动时必须恢复治理的原则，要做到预防为主，针对存在的问题，制定出预防措施，对生产中出现的问题要及时采取相应的措施予以解决，达到防灾、减灾的目的。</w:t>
      </w:r>
    </w:p>
    <w:p w14:paraId="4FA686BA">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（1）预留矿山恢复资金，用于矿山开采期满后的生态工程建设工作，使矿山开发对区域生态的影响控制在一定的范围内，保持区域生态环境的平衡。具体额度由设计部门</w:t>
      </w:r>
      <w:r>
        <w:rPr>
          <w:rFonts w:hint="eastAsia" w:ascii="Times New Roman" w:hAnsi="Times New Roman" w:cs="Times New Roman"/>
          <w:color w:val="auto"/>
          <w:spacing w:val="0"/>
          <w:w w:val="100"/>
          <w:kern w:val="10"/>
          <w:position w:val="0"/>
          <w:sz w:val="24"/>
          <w:szCs w:val="24"/>
          <w:highlight w:val="none"/>
          <w:lang w:val="en-US" w:eastAsia="zh-CN"/>
        </w:rPr>
        <w:t>审核</w:t>
      </w:r>
      <w:r>
        <w:rPr>
          <w:rFonts w:hint="default" w:ascii="Times New Roman" w:hAnsi="Times New Roman" w:eastAsia="宋体" w:cs="Times New Roman"/>
          <w:color w:val="auto"/>
          <w:spacing w:val="0"/>
          <w:w w:val="100"/>
          <w:kern w:val="10"/>
          <w:position w:val="0"/>
          <w:sz w:val="24"/>
          <w:szCs w:val="24"/>
          <w:highlight w:val="none"/>
          <w:lang w:val="en-US" w:eastAsia="zh-CN"/>
        </w:rPr>
        <w:t>。预留资金应设立专用账户，由相关部门监督使用；</w:t>
      </w:r>
    </w:p>
    <w:p w14:paraId="0E24E669">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（2）开采结束即闭矿后的主要影响为采空区和废石场，区域地形地貌发生较大变化，同时也存在采空区地表塌陷、废石场泥石流等隐患，为减缓矿区闭矿后的影响，提出如下措施：</w:t>
      </w:r>
    </w:p>
    <w:p w14:paraId="61B18CC3">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①项目闭场后，要求对废石场进行压实，对危险的边坡进行堆砌加固，表层用保存的表层剥离物覆盖等，加固废石场稳定性，防止滑塌伤人、畜或野生动物；</w:t>
      </w:r>
    </w:p>
    <w:p w14:paraId="041CA65C">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②在采空区和废石场等可能诱发的坍塌、塌陷、滑坡、泥石流的区域外围设立多文字的警示标志和防护网，禁止靠近；</w:t>
      </w:r>
    </w:p>
    <w:p w14:paraId="606FDDA8">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③在矿区范围入口处设置标识，提示进入矿区的危险性；</w:t>
      </w:r>
    </w:p>
    <w:p w14:paraId="018D3A2D">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（3）建筑物、构筑物拆除</w:t>
      </w:r>
    </w:p>
    <w:p w14:paraId="71E28741">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①拆除后期不需要的建筑物、构筑物；</w:t>
      </w:r>
    </w:p>
    <w:p w14:paraId="26262E08">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②保留集水池等设施，以便生态</w:t>
      </w:r>
      <w:r>
        <w:rPr>
          <w:rFonts w:hint="eastAsia" w:ascii="Times New Roman" w:hAnsi="Times New Roman" w:cs="Times New Roman"/>
          <w:color w:val="auto"/>
          <w:spacing w:val="0"/>
          <w:w w:val="100"/>
          <w:kern w:val="10"/>
          <w:position w:val="0"/>
          <w:sz w:val="24"/>
          <w:szCs w:val="24"/>
          <w:highlight w:val="none"/>
          <w:lang w:val="en-US" w:eastAsia="zh-CN"/>
        </w:rPr>
        <w:t>管理人员</w:t>
      </w:r>
      <w:r>
        <w:rPr>
          <w:rFonts w:hint="default" w:ascii="Times New Roman" w:hAnsi="Times New Roman" w:eastAsia="宋体" w:cs="Times New Roman"/>
          <w:color w:val="auto"/>
          <w:spacing w:val="0"/>
          <w:w w:val="100"/>
          <w:kern w:val="10"/>
          <w:position w:val="0"/>
          <w:sz w:val="24"/>
          <w:szCs w:val="24"/>
          <w:highlight w:val="none"/>
          <w:lang w:val="en-US" w:eastAsia="zh-CN"/>
        </w:rPr>
        <w:t>加以利用；</w:t>
      </w:r>
    </w:p>
    <w:p w14:paraId="4B60DE78">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③拆除矿山所有生产、辅助设施，全场整理。</w:t>
      </w:r>
    </w:p>
    <w:p w14:paraId="10EAE847">
      <w:pPr>
        <w:ind w:firstLine="480"/>
        <w:rPr>
          <w:rFonts w:hint="default" w:ascii="Times New Roman" w:hAnsi="Times New Roman" w:eastAsia="宋体" w:cs="Times New Roman"/>
          <w:b/>
          <w:bCs/>
          <w:color w:val="auto"/>
          <w:spacing w:val="0"/>
          <w:w w:val="100"/>
          <w:kern w:val="10"/>
          <w:position w:val="0"/>
          <w:sz w:val="24"/>
          <w:szCs w:val="24"/>
          <w:highlight w:val="none"/>
          <w:lang w:val="en-US" w:eastAsia="zh-CN"/>
        </w:rPr>
      </w:pPr>
      <w:r>
        <w:rPr>
          <w:rFonts w:hint="default" w:ascii="Times New Roman" w:hAnsi="Times New Roman" w:eastAsia="宋体" w:cs="Times New Roman"/>
          <w:b/>
          <w:bCs/>
          <w:color w:val="auto"/>
          <w:spacing w:val="0"/>
          <w:w w:val="100"/>
          <w:kern w:val="10"/>
          <w:position w:val="0"/>
          <w:sz w:val="24"/>
          <w:szCs w:val="24"/>
          <w:highlight w:val="none"/>
          <w:lang w:val="en-US" w:eastAsia="zh-CN"/>
        </w:rPr>
        <w:t>闭矿期生态恢复：</w:t>
      </w:r>
    </w:p>
    <w:p w14:paraId="0BC2A249">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（1）闭矿后必须按照矿山安全、水土保持、地质恢复、环境保护工作的有关规定拆除无用的地面建筑物，将破坏的地表推平，对受破坏的地表恢复原貌等工作。</w:t>
      </w:r>
    </w:p>
    <w:p w14:paraId="76DE55D5">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2）闭矿期废石场的废石堆积高度应低于4.5m时，每一台阶宽度应在2m以上，台阶边坡坡度小于35º，形成有利于原地貌恢复的地表条件。按要求对废石场进行分层、压实，覆土，对危险的边坡进行堆砌加固，防止滑塌伤人、畜或野生动物。</w:t>
      </w:r>
    </w:p>
    <w:p w14:paraId="1C4E9E87">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（3）在可能诱发崩塌、塌陷、滑坡、泥石流的区域外围设立多文字的警示标志和防护网，禁止靠近。在矿区范围入口处设置标识，提示进入矿区的危险性。</w:t>
      </w:r>
    </w:p>
    <w:p w14:paraId="7295D28F">
      <w:pPr>
        <w:ind w:firstLine="480"/>
        <w:rPr>
          <w:rFonts w:hint="default" w:ascii="Times New Roman" w:hAnsi="Times New Roman" w:eastAsia="宋体" w:cs="Times New Roman"/>
          <w:color w:val="auto"/>
          <w:spacing w:val="0"/>
          <w:w w:val="100"/>
          <w:kern w:val="10"/>
          <w:position w:val="0"/>
          <w:sz w:val="24"/>
          <w:szCs w:val="24"/>
          <w:highlight w:val="none"/>
          <w:lang w:val="en-US" w:eastAsia="zh-CN"/>
        </w:rPr>
      </w:pPr>
      <w:r>
        <w:rPr>
          <w:rFonts w:hint="default" w:ascii="Times New Roman" w:hAnsi="Times New Roman" w:eastAsia="宋体" w:cs="Times New Roman"/>
          <w:color w:val="auto"/>
          <w:spacing w:val="0"/>
          <w:w w:val="100"/>
          <w:kern w:val="10"/>
          <w:position w:val="0"/>
          <w:sz w:val="24"/>
          <w:szCs w:val="24"/>
          <w:highlight w:val="none"/>
          <w:lang w:val="en-US" w:eastAsia="zh-CN"/>
        </w:rPr>
        <w:t>（4）闭坑后及时进行环境恢复治理和土地复垦，应尽可能恢复矿区原有环境和土地使用功能，保持矿山环境与周边生态环境相协调。</w:t>
      </w:r>
    </w:p>
    <w:p w14:paraId="2116A61A">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ind w:left="0" w:leftChars="0" w:firstLine="480" w:firstLineChars="200"/>
        <w:jc w:val="both"/>
        <w:textAlignment w:val="auto"/>
        <w:rPr>
          <w:rFonts w:hint="default" w:ascii="Times New Roman" w:hAnsi="Times New Roman" w:eastAsia="宋体" w:cs="Times New Roman"/>
          <w:color w:val="auto"/>
          <w:spacing w:val="0"/>
          <w:w w:val="100"/>
          <w:kern w:val="2"/>
          <w:position w:val="0"/>
          <w:sz w:val="24"/>
          <w:szCs w:val="24"/>
          <w:highlight w:val="none"/>
          <w:lang w:eastAsia="zh-CN" w:bidi="ar"/>
        </w:rPr>
      </w:pPr>
    </w:p>
    <w:p w14:paraId="675A15D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lang w:val="en-US" w:eastAsia="zh-CN"/>
        </w:rPr>
        <w:sectPr>
          <w:headerReference r:id="rId52" w:type="default"/>
          <w:footerReference r:id="rId53" w:type="default"/>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pPr>
    </w:p>
    <w:p w14:paraId="16BC5DDC">
      <w:pPr>
        <w:pStyle w:val="2"/>
        <w:numPr>
          <w:ilvl w:val="0"/>
          <w:numId w:val="0"/>
        </w:numPr>
        <w:rPr>
          <w:rFonts w:hint="default" w:ascii="Times New Roman" w:hAnsi="Times New Roman" w:eastAsia="宋体" w:cs="Times New Roman"/>
          <w:b/>
          <w:bCs/>
          <w:color w:val="auto"/>
          <w:spacing w:val="0"/>
          <w:w w:val="100"/>
          <w:position w:val="0"/>
          <w:highlight w:val="none"/>
          <w:lang w:val="en-US" w:eastAsia="zh-CN"/>
        </w:rPr>
      </w:pPr>
      <w:bookmarkStart w:id="722" w:name="_Toc22519"/>
      <w:bookmarkStart w:id="723" w:name="_Toc19230"/>
      <w:bookmarkStart w:id="724" w:name="_Toc15930"/>
      <w:bookmarkStart w:id="725" w:name="_Toc13668"/>
      <w:r>
        <w:rPr>
          <w:rFonts w:hint="default" w:ascii="Times New Roman" w:hAnsi="Times New Roman" w:eastAsia="宋体" w:cs="Times New Roman"/>
          <w:b/>
          <w:bCs/>
          <w:color w:val="auto"/>
          <w:spacing w:val="0"/>
          <w:w w:val="100"/>
          <w:position w:val="0"/>
          <w:highlight w:val="none"/>
          <w:lang w:val="en-US" w:eastAsia="zh-CN"/>
        </w:rPr>
        <w:t>7环境影响经济损益分析</w:t>
      </w:r>
      <w:bookmarkEnd w:id="722"/>
      <w:bookmarkEnd w:id="723"/>
      <w:bookmarkEnd w:id="724"/>
      <w:bookmarkEnd w:id="725"/>
    </w:p>
    <w:p w14:paraId="26295E9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环境影响经济损益分析是针对建设项目的性质和当地的具体情况，确定环境影响因子，从而对项目环境影响范围内的环境影响总体做出经济评价。</w:t>
      </w:r>
    </w:p>
    <w:p w14:paraId="1BBF6EC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szCs w:val="24"/>
        </w:rPr>
        <w:t>根据理论发展多年的实践经验，任何项目工程都不可能对全部环境影响因子做出经济评价，因此，环境影响经济损益分析的重点，主要是对工程的主要影响因子做出投资和经济损益的评价，即项目的环境保护措施投资估算和经济效益、环境效益和社会效益以及项目环境影响费用</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效益总体分析评价。</w:t>
      </w:r>
    </w:p>
    <w:p w14:paraId="76F47BF1">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26" w:name="_Toc26848"/>
      <w:bookmarkStart w:id="727" w:name="_Toc18124"/>
      <w:bookmarkStart w:id="728" w:name="_Toc4586"/>
      <w:bookmarkStart w:id="729" w:name="_Toc426642706"/>
      <w:bookmarkStart w:id="730" w:name="_Toc9179"/>
      <w:bookmarkStart w:id="731" w:name="_Toc19954"/>
      <w:bookmarkStart w:id="732" w:name="_Toc3074"/>
      <w:bookmarkStart w:id="733" w:name="_Toc6908839"/>
      <w:bookmarkStart w:id="734" w:name="_Toc6801"/>
      <w:bookmarkStart w:id="735" w:name="_Toc336"/>
      <w:bookmarkStart w:id="736" w:name="_Toc446160746"/>
      <w:bookmarkStart w:id="737" w:name="_Toc447541234"/>
      <w:bookmarkStart w:id="738" w:name="_Toc18319"/>
      <w:bookmarkStart w:id="739" w:name="_Toc11847"/>
      <w:r>
        <w:rPr>
          <w:rFonts w:hint="default" w:ascii="Times New Roman" w:hAnsi="Times New Roman" w:eastAsia="宋体" w:cs="Times New Roman"/>
          <w:b/>
          <w:bCs/>
          <w:color w:val="auto"/>
          <w:spacing w:val="0"/>
          <w:w w:val="100"/>
          <w:position w:val="0"/>
          <w:lang w:val="en-US" w:eastAsia="zh-CN"/>
        </w:rPr>
        <w:t>7.1分析方法</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14:paraId="64F166B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费用</w:t>
      </w:r>
      <w:r>
        <w:rPr>
          <w:rFonts w:hint="default" w:ascii="Times New Roman" w:hAnsi="Times New Roman" w:eastAsia="宋体" w:cs="Times New Roman"/>
          <w:color w:val="auto"/>
          <w:spacing w:val="0"/>
          <w:w w:val="100"/>
          <w:position w:val="0"/>
          <w:sz w:val="24"/>
          <w:szCs w:val="24"/>
          <w:lang w:eastAsia="zh-CN"/>
        </w:rPr>
        <w:t>—</w:t>
      </w:r>
      <w:r>
        <w:rPr>
          <w:rFonts w:hint="default" w:ascii="Times New Roman" w:hAnsi="Times New Roman" w:eastAsia="宋体" w:cs="Times New Roman"/>
          <w:color w:val="auto"/>
          <w:spacing w:val="0"/>
          <w:w w:val="100"/>
          <w:position w:val="0"/>
          <w:sz w:val="24"/>
          <w:szCs w:val="24"/>
        </w:rPr>
        <w:t>效益分析是最常用的建设项目环境经济损益分析方法和政策方法。利用该方法对建设项目进行分析将有利于正确分析项目的可行性。费用是总投资的一部分，而效益包括经济效益、社会效益和环境效益，即：</w:t>
      </w:r>
    </w:p>
    <w:p w14:paraId="4ADA7C2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rPr>
        <w:t>费用=生产成本+社会代价+环境损害；</w:t>
      </w:r>
    </w:p>
    <w:p w14:paraId="67D1D8FC">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效益=经济效益+社会效益+环境效益</w:t>
      </w:r>
      <w:r>
        <w:rPr>
          <w:rFonts w:hint="default" w:ascii="Times New Roman" w:hAnsi="Times New Roman" w:eastAsia="宋体" w:cs="Times New Roman"/>
          <w:color w:val="auto"/>
          <w:spacing w:val="0"/>
          <w:w w:val="100"/>
          <w:position w:val="0"/>
          <w:sz w:val="24"/>
          <w:szCs w:val="24"/>
          <w:lang w:eastAsia="zh-CN"/>
        </w:rPr>
        <w:t>。</w:t>
      </w:r>
    </w:p>
    <w:p w14:paraId="38E23DB0">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40" w:name="_Toc12641"/>
      <w:bookmarkStart w:id="741" w:name="_Toc18247"/>
      <w:bookmarkStart w:id="742" w:name="_Toc16176"/>
      <w:bookmarkStart w:id="743" w:name="_Toc23411"/>
      <w:bookmarkStart w:id="744" w:name="_Toc447541238"/>
      <w:bookmarkStart w:id="745" w:name="_Toc18719"/>
      <w:bookmarkStart w:id="746" w:name="_Toc446160750"/>
      <w:bookmarkStart w:id="747" w:name="_Toc426642710"/>
      <w:bookmarkStart w:id="748" w:name="_Toc31253"/>
      <w:bookmarkStart w:id="749" w:name="_Toc390077139"/>
      <w:bookmarkStart w:id="750" w:name="_Toc8477"/>
      <w:bookmarkStart w:id="751" w:name="_Toc10480"/>
      <w:bookmarkStart w:id="752" w:name="_Toc323979910"/>
      <w:bookmarkStart w:id="753" w:name="_Toc6908843"/>
      <w:bookmarkStart w:id="754" w:name="_Toc10529"/>
      <w:bookmarkStart w:id="755" w:name="_Toc308705920"/>
      <w:bookmarkStart w:id="756" w:name="_Toc19823"/>
      <w:r>
        <w:rPr>
          <w:rFonts w:hint="default" w:ascii="Times New Roman" w:hAnsi="Times New Roman" w:eastAsia="宋体" w:cs="Times New Roman"/>
          <w:b/>
          <w:bCs/>
          <w:color w:val="auto"/>
          <w:spacing w:val="0"/>
          <w:w w:val="100"/>
          <w:position w:val="0"/>
          <w:lang w:val="en-US" w:eastAsia="zh-CN"/>
        </w:rPr>
        <w:t>7.2经济效益分析</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14:paraId="1075B5B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项目性质为新建工程，生产规模30万t/a，生产服务年限为10.4年。本项目总投资9186.04万元，其中建设投资8817.70万元，铺底流动资金368.34万元。建设投资包含建筑工程费4498.79万元、安装工程费118.58万元、设备及工器具购置费2399.91万元、工程建设其他费用855.67万元、基本预备费944.75万元。</w:t>
      </w:r>
    </w:p>
    <w:p w14:paraId="3524AAA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项目建设完成后具备稳定生产能力，项目运营期可实现矿石开采、外销，获取营业收入；同时生产运营将缴纳增值税、资源税、附加税费及企业所得税等，为地方创造财税收入。</w:t>
      </w:r>
    </w:p>
    <w:p w14:paraId="63A6579B">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bCs/>
          <w:color w:val="auto"/>
          <w:spacing w:val="0"/>
          <w:w w:val="100"/>
          <w:position w:val="0"/>
          <w:sz w:val="24"/>
          <w:lang w:val="en-US" w:eastAsia="zh-CN"/>
        </w:rPr>
      </w:pPr>
      <w:r>
        <w:rPr>
          <w:rFonts w:hint="default" w:ascii="Times New Roman" w:hAnsi="Times New Roman" w:eastAsia="宋体" w:cs="Times New Roman"/>
          <w:b/>
          <w:bCs/>
          <w:color w:val="auto"/>
          <w:spacing w:val="0"/>
          <w:w w:val="100"/>
          <w:position w:val="0"/>
          <w:sz w:val="24"/>
          <w:lang w:val="zh-CN" w:eastAsia="zh-CN"/>
        </w:rPr>
        <w:t>表</w:t>
      </w:r>
      <w:r>
        <w:rPr>
          <w:rFonts w:hint="default" w:ascii="Times New Roman" w:hAnsi="Times New Roman" w:eastAsia="宋体" w:cs="Times New Roman"/>
          <w:b/>
          <w:bCs/>
          <w:color w:val="auto"/>
          <w:spacing w:val="0"/>
          <w:w w:val="100"/>
          <w:position w:val="0"/>
          <w:sz w:val="24"/>
          <w:lang w:val="en-US" w:eastAsia="zh-CN"/>
        </w:rPr>
        <w:t>7.2-1</w:t>
      </w:r>
      <w:r>
        <w:rPr>
          <w:rFonts w:hint="default" w:ascii="Times New Roman" w:hAnsi="Times New Roman" w:eastAsia="宋体" w:cs="Times New Roman"/>
          <w:b/>
          <w:bCs/>
          <w:color w:val="auto"/>
          <w:spacing w:val="0"/>
          <w:w w:val="100"/>
          <w:position w:val="0"/>
          <w:sz w:val="24"/>
          <w:lang w:val="zh-CN" w:eastAsia="zh-CN"/>
        </w:rPr>
        <w:t xml:space="preserve">    </w:t>
      </w:r>
      <w:r>
        <w:rPr>
          <w:rFonts w:hint="default" w:ascii="Times New Roman" w:hAnsi="Times New Roman" w:eastAsia="宋体" w:cs="Times New Roman"/>
          <w:b/>
          <w:bCs/>
          <w:color w:val="auto"/>
          <w:spacing w:val="0"/>
          <w:w w:val="100"/>
          <w:position w:val="0"/>
          <w:sz w:val="24"/>
          <w:lang w:val="en-US" w:eastAsia="zh-CN"/>
        </w:rPr>
        <w:t>投资概算表</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3"/>
        <w:gridCol w:w="3099"/>
        <w:gridCol w:w="2168"/>
        <w:gridCol w:w="2323"/>
      </w:tblGrid>
      <w:tr w14:paraId="6105D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 w:hRule="atLeast"/>
        </w:trPr>
        <w:tc>
          <w:tcPr>
            <w:tcW w:w="542" w:type="pct"/>
            <w:tcBorders>
              <w:top w:val="single" w:color="000000" w:sz="12" w:space="0"/>
              <w:left w:val="single" w:color="000000" w:sz="12" w:space="0"/>
              <w:bottom w:val="single" w:color="000000" w:sz="4" w:space="0"/>
              <w:right w:val="single" w:color="000000" w:sz="4" w:space="0"/>
            </w:tcBorders>
            <w:noWrap w:val="0"/>
            <w:vAlign w:val="center"/>
          </w:tcPr>
          <w:p w14:paraId="0E32528B">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820" w:type="pct"/>
            <w:tcBorders>
              <w:top w:val="single" w:color="000000" w:sz="12" w:space="0"/>
              <w:left w:val="single" w:color="000000" w:sz="4" w:space="0"/>
              <w:bottom w:val="single" w:color="000000" w:sz="4" w:space="0"/>
              <w:right w:val="single" w:color="000000" w:sz="4" w:space="0"/>
            </w:tcBorders>
            <w:noWrap w:val="0"/>
            <w:vAlign w:val="center"/>
          </w:tcPr>
          <w:p w14:paraId="3E596B79">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费用名称</w:t>
            </w:r>
          </w:p>
        </w:tc>
        <w:tc>
          <w:tcPr>
            <w:tcW w:w="1273" w:type="pct"/>
            <w:tcBorders>
              <w:top w:val="single" w:color="000000" w:sz="12" w:space="0"/>
              <w:left w:val="single" w:color="000000" w:sz="4" w:space="0"/>
              <w:bottom w:val="single" w:color="000000" w:sz="4" w:space="0"/>
              <w:right w:val="single" w:color="000000" w:sz="4" w:space="0"/>
            </w:tcBorders>
            <w:noWrap w:val="0"/>
            <w:vAlign w:val="center"/>
          </w:tcPr>
          <w:p w14:paraId="2DE865C9">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投资（万元）</w:t>
            </w:r>
          </w:p>
        </w:tc>
        <w:tc>
          <w:tcPr>
            <w:tcW w:w="1364" w:type="pct"/>
            <w:tcBorders>
              <w:top w:val="single" w:color="000000" w:sz="12" w:space="0"/>
              <w:left w:val="single" w:color="000000" w:sz="4" w:space="0"/>
              <w:bottom w:val="single" w:color="000000" w:sz="4" w:space="0"/>
              <w:right w:val="single" w:color="000000" w:sz="12" w:space="0"/>
            </w:tcBorders>
            <w:noWrap w:val="0"/>
            <w:vAlign w:val="center"/>
          </w:tcPr>
          <w:p w14:paraId="4ADA71F6">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占总投资（%）</w:t>
            </w:r>
          </w:p>
        </w:tc>
      </w:tr>
      <w:tr w14:paraId="643A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21BDBFBD">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19907DDA">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建设投资</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058B1A9E">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8817.7</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1051414C">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95.99</w:t>
            </w:r>
          </w:p>
        </w:tc>
      </w:tr>
      <w:tr w14:paraId="720CE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23361D05">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7195AA48">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建筑工程费</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270B3303">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4498.79</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7389E0D7">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48.97</w:t>
            </w:r>
          </w:p>
        </w:tc>
      </w:tr>
      <w:tr w14:paraId="00A6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38128521">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61E53471">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安装工程费</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18A45691">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118.58</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5D3B2EAE">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1.29</w:t>
            </w:r>
          </w:p>
        </w:tc>
      </w:tr>
      <w:tr w14:paraId="05BB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3B61A2A8">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75396D46">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设备及工器具购置费</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4527E1C1">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2399.91</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208341FC">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26.13</w:t>
            </w:r>
          </w:p>
        </w:tc>
      </w:tr>
      <w:tr w14:paraId="62791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3FDD8396">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01EE90B3">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工程建设其他费用</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7FC0ADFC">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855.67</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252BA32F">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9.31</w:t>
            </w:r>
          </w:p>
        </w:tc>
      </w:tr>
      <w:tr w14:paraId="1B74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6BE2A2F6">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0EACD1F4">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基本预备费</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2C51321B">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944.75</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2B8354BB">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10.28</w:t>
            </w:r>
          </w:p>
        </w:tc>
      </w:tr>
      <w:tr w14:paraId="68572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4" w:space="0"/>
              <w:right w:val="single" w:color="000000" w:sz="4" w:space="0"/>
            </w:tcBorders>
            <w:noWrap w:val="0"/>
            <w:vAlign w:val="center"/>
          </w:tcPr>
          <w:p w14:paraId="67BAC752">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bookmarkStart w:id="757" w:name="_Ref22688"/>
            <w:r>
              <w:rPr>
                <w:rFonts w:hint="default" w:ascii="Times New Roman" w:hAnsi="Times New Roman" w:eastAsia="宋体" w:cs="Times New Roman"/>
                <w:i w:val="0"/>
                <w:iCs w:val="0"/>
                <w:color w:val="auto"/>
                <w:kern w:val="0"/>
                <w:sz w:val="21"/>
                <w:szCs w:val="21"/>
                <w:u w:val="none"/>
                <w:lang w:val="en-US" w:eastAsia="zh-CN" w:bidi="ar"/>
              </w:rPr>
              <w:t>6</w:t>
            </w:r>
          </w:p>
        </w:tc>
        <w:tc>
          <w:tcPr>
            <w:tcW w:w="1820" w:type="pct"/>
            <w:tcBorders>
              <w:top w:val="single" w:color="000000" w:sz="4" w:space="0"/>
              <w:left w:val="single" w:color="000000" w:sz="4" w:space="0"/>
              <w:bottom w:val="single" w:color="000000" w:sz="4" w:space="0"/>
              <w:right w:val="single" w:color="000000" w:sz="4" w:space="0"/>
            </w:tcBorders>
            <w:noWrap w:val="0"/>
            <w:vAlign w:val="center"/>
          </w:tcPr>
          <w:p w14:paraId="10F0A68C">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铺底流动资金</w:t>
            </w:r>
          </w:p>
        </w:tc>
        <w:tc>
          <w:tcPr>
            <w:tcW w:w="1273" w:type="pct"/>
            <w:tcBorders>
              <w:top w:val="single" w:color="000000" w:sz="4" w:space="0"/>
              <w:left w:val="single" w:color="000000" w:sz="4" w:space="0"/>
              <w:bottom w:val="single" w:color="000000" w:sz="4" w:space="0"/>
              <w:right w:val="single" w:color="000000" w:sz="4" w:space="0"/>
            </w:tcBorders>
            <w:noWrap w:val="0"/>
            <w:vAlign w:val="center"/>
          </w:tcPr>
          <w:p w14:paraId="7E155D23">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368.34</w:t>
            </w:r>
          </w:p>
        </w:tc>
        <w:tc>
          <w:tcPr>
            <w:tcW w:w="1364" w:type="pct"/>
            <w:tcBorders>
              <w:top w:val="single" w:color="000000" w:sz="4" w:space="0"/>
              <w:left w:val="single" w:color="000000" w:sz="4" w:space="0"/>
              <w:bottom w:val="single" w:color="000000" w:sz="4" w:space="0"/>
              <w:right w:val="single" w:color="000000" w:sz="12" w:space="0"/>
            </w:tcBorders>
            <w:noWrap w:val="0"/>
            <w:vAlign w:val="center"/>
          </w:tcPr>
          <w:p w14:paraId="1280EF6B">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4.01</w:t>
            </w:r>
          </w:p>
        </w:tc>
      </w:tr>
      <w:tr w14:paraId="5E52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542" w:type="pct"/>
            <w:tcBorders>
              <w:top w:val="single" w:color="000000" w:sz="4" w:space="0"/>
              <w:left w:val="single" w:color="000000" w:sz="12" w:space="0"/>
              <w:bottom w:val="single" w:color="000000" w:sz="12" w:space="0"/>
              <w:right w:val="single" w:color="000000" w:sz="4" w:space="0"/>
            </w:tcBorders>
            <w:noWrap w:val="0"/>
            <w:vAlign w:val="center"/>
          </w:tcPr>
          <w:p w14:paraId="1AFD7AB2">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1820" w:type="pct"/>
            <w:tcBorders>
              <w:top w:val="single" w:color="000000" w:sz="4" w:space="0"/>
              <w:left w:val="single" w:color="000000" w:sz="4" w:space="0"/>
              <w:bottom w:val="single" w:color="000000" w:sz="12" w:space="0"/>
              <w:right w:val="single" w:color="000000" w:sz="4" w:space="0"/>
            </w:tcBorders>
            <w:noWrap w:val="0"/>
            <w:vAlign w:val="center"/>
          </w:tcPr>
          <w:p w14:paraId="7FE856CF">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总值</w:t>
            </w:r>
          </w:p>
        </w:tc>
        <w:tc>
          <w:tcPr>
            <w:tcW w:w="1273" w:type="pct"/>
            <w:tcBorders>
              <w:top w:val="single" w:color="000000" w:sz="4" w:space="0"/>
              <w:left w:val="single" w:color="000000" w:sz="4" w:space="0"/>
              <w:bottom w:val="single" w:color="000000" w:sz="12" w:space="0"/>
              <w:right w:val="single" w:color="000000" w:sz="4" w:space="0"/>
            </w:tcBorders>
            <w:noWrap w:val="0"/>
            <w:vAlign w:val="center"/>
          </w:tcPr>
          <w:p w14:paraId="46A4A0AB">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9186.04</w:t>
            </w:r>
          </w:p>
        </w:tc>
        <w:tc>
          <w:tcPr>
            <w:tcW w:w="1364" w:type="pct"/>
            <w:tcBorders>
              <w:top w:val="single" w:color="000000" w:sz="4" w:space="0"/>
              <w:left w:val="single" w:color="000000" w:sz="4" w:space="0"/>
              <w:bottom w:val="single" w:color="000000" w:sz="12" w:space="0"/>
              <w:right w:val="single" w:color="000000" w:sz="12" w:space="0"/>
            </w:tcBorders>
            <w:noWrap w:val="0"/>
            <w:vAlign w:val="center"/>
          </w:tcPr>
          <w:p w14:paraId="5684DAFA">
            <w:pPr>
              <w:keepNext w:val="0"/>
              <w:keepLines w:val="0"/>
              <w:pageBreakBefore w:val="0"/>
              <w:widowControl/>
              <w:suppressLineNumbers w:val="0"/>
              <w:shd w:val="clear" w:color="auto" w:fill="auto"/>
              <w:kinsoku/>
              <w:wordWrap/>
              <w:overflowPunct/>
              <w:topLinePunct w:val="0"/>
              <w:autoSpaceDE/>
              <w:autoSpaceDN/>
              <w:bidi w:val="0"/>
              <w:adjustRightInd w:val="0"/>
              <w:snapToGrid w:val="0"/>
              <w:spacing w:line="360" w:lineRule="exact"/>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r>
      <w:bookmarkEnd w:id="757"/>
    </w:tbl>
    <w:p w14:paraId="2D479D49">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58" w:name="_Toc446160747"/>
      <w:bookmarkStart w:id="759" w:name="_Toc12953"/>
      <w:bookmarkStart w:id="760" w:name="_Toc6945"/>
      <w:bookmarkStart w:id="761" w:name="_Toc25187"/>
      <w:bookmarkStart w:id="762" w:name="_Toc426642707"/>
      <w:bookmarkStart w:id="763" w:name="_Toc23259"/>
      <w:bookmarkStart w:id="764" w:name="_Toc15786"/>
      <w:bookmarkStart w:id="765" w:name="_Toc447541235"/>
      <w:bookmarkStart w:id="766" w:name="_Toc6908840"/>
      <w:bookmarkStart w:id="767" w:name="_Toc365647381"/>
      <w:bookmarkStart w:id="768" w:name="_Toc16759"/>
      <w:bookmarkStart w:id="769" w:name="_Toc4460"/>
      <w:bookmarkStart w:id="770" w:name="_Toc29130"/>
      <w:bookmarkStart w:id="771" w:name="_Toc19356"/>
      <w:bookmarkStart w:id="772" w:name="_Toc17328"/>
      <w:bookmarkStart w:id="773" w:name="_Toc355784248"/>
      <w:bookmarkStart w:id="774" w:name="_Toc22218"/>
      <w:bookmarkStart w:id="775" w:name="_Toc10298"/>
      <w:bookmarkStart w:id="776" w:name="_Toc18275"/>
      <w:r>
        <w:rPr>
          <w:rFonts w:hint="default" w:ascii="Times New Roman" w:hAnsi="Times New Roman" w:eastAsia="宋体" w:cs="Times New Roman"/>
          <w:b/>
          <w:bCs/>
          <w:color w:val="auto"/>
          <w:spacing w:val="0"/>
          <w:w w:val="100"/>
          <w:position w:val="0"/>
          <w:lang w:val="en-US" w:eastAsia="zh-CN"/>
        </w:rPr>
        <w:t>7.3</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Fonts w:hint="default" w:ascii="Times New Roman" w:hAnsi="Times New Roman" w:eastAsia="宋体" w:cs="Times New Roman"/>
          <w:b/>
          <w:bCs/>
          <w:color w:val="auto"/>
          <w:spacing w:val="0"/>
          <w:w w:val="100"/>
          <w:position w:val="0"/>
          <w:lang w:val="en-US" w:eastAsia="zh-CN"/>
        </w:rPr>
        <w:t>环保投资估算</w:t>
      </w:r>
      <w:bookmarkEnd w:id="774"/>
      <w:bookmarkEnd w:id="775"/>
      <w:bookmarkEnd w:id="776"/>
    </w:p>
    <w:p w14:paraId="4504789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根据本项目提出的环境保护措施、环境污染防治对策措施、环境管理计划、施工期环境监理计划及环境监测计划等，估算本工程在基建期和生产期预防、治理生态破坏、污染有关的生态恢复工程、环保设施等，具体估算结果见表7.3-1。</w:t>
      </w:r>
    </w:p>
    <w:p w14:paraId="5113392C">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lang w:val="en-US" w:eastAsia="zh-CN"/>
        </w:rPr>
        <w:t>本项目总投资9186.04万元，其中环保投资471万元，占项目总投资的5.12%。</w:t>
      </w:r>
    </w:p>
    <w:p w14:paraId="53B767A2">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宋体" w:cs="Times New Roman"/>
          <w:b/>
          <w:bCs/>
          <w:color w:val="auto"/>
          <w:spacing w:val="0"/>
          <w:w w:val="100"/>
          <w:position w:val="0"/>
          <w:sz w:val="24"/>
          <w:highlight w:val="none"/>
          <w:lang w:val="en-US" w:eastAsia="zh-CN"/>
        </w:rPr>
      </w:pPr>
      <w:r>
        <w:rPr>
          <w:rFonts w:hint="default" w:ascii="Times New Roman" w:hAnsi="Times New Roman" w:eastAsia="宋体" w:cs="Times New Roman"/>
          <w:b/>
          <w:bCs/>
          <w:color w:val="auto"/>
          <w:spacing w:val="0"/>
          <w:w w:val="100"/>
          <w:position w:val="0"/>
          <w:sz w:val="24"/>
          <w:highlight w:val="none"/>
          <w:lang w:val="en-US" w:eastAsia="zh-CN"/>
        </w:rPr>
        <w:t>表7.3-1    本项目环保投资估算表</w:t>
      </w:r>
    </w:p>
    <w:tbl>
      <w:tblPr>
        <w:tblStyle w:val="21"/>
        <w:tblW w:w="85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532"/>
        <w:gridCol w:w="4865"/>
        <w:gridCol w:w="1262"/>
      </w:tblGrid>
      <w:tr w14:paraId="5C929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386" w:type="dxa"/>
            <w:gridSpan w:val="2"/>
            <w:tcBorders>
              <w:tl2br w:val="nil"/>
              <w:tr2bl w:val="nil"/>
            </w:tcBorders>
            <w:vAlign w:val="center"/>
          </w:tcPr>
          <w:p w14:paraId="1DCC478F">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bookmarkStart w:id="777" w:name="_Toc143"/>
            <w:bookmarkStart w:id="778" w:name="_Toc4619"/>
            <w:bookmarkStart w:id="779" w:name="_Toc19197"/>
            <w:r>
              <w:rPr>
                <w:rFonts w:hint="default" w:ascii="Times New Roman" w:hAnsi="Times New Roman" w:eastAsia="宋体" w:cs="Times New Roman"/>
                <w:b w:val="0"/>
                <w:bCs w:val="0"/>
                <w:color w:val="auto"/>
                <w:spacing w:val="0"/>
                <w:w w:val="100"/>
                <w:position w:val="0"/>
                <w:sz w:val="21"/>
                <w:szCs w:val="21"/>
                <w:highlight w:val="none"/>
              </w:rPr>
              <w:t>项目</w:t>
            </w:r>
          </w:p>
        </w:tc>
        <w:tc>
          <w:tcPr>
            <w:tcW w:w="4865" w:type="dxa"/>
            <w:tcBorders>
              <w:tl2br w:val="nil"/>
              <w:tr2bl w:val="nil"/>
            </w:tcBorders>
            <w:vAlign w:val="center"/>
          </w:tcPr>
          <w:p w14:paraId="358F0BFC">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环保措施概要</w:t>
            </w:r>
          </w:p>
        </w:tc>
        <w:tc>
          <w:tcPr>
            <w:tcW w:w="1262" w:type="dxa"/>
            <w:tcBorders>
              <w:tl2br w:val="nil"/>
              <w:tr2bl w:val="nil"/>
            </w:tcBorders>
            <w:vAlign w:val="center"/>
          </w:tcPr>
          <w:p w14:paraId="4F5CB6BA">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投资（万元）</w:t>
            </w:r>
          </w:p>
        </w:tc>
      </w:tr>
      <w:tr w14:paraId="290260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restart"/>
            <w:tcBorders>
              <w:tl2br w:val="nil"/>
              <w:tr2bl w:val="nil"/>
            </w:tcBorders>
            <w:vAlign w:val="center"/>
          </w:tcPr>
          <w:p w14:paraId="350738C3">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运营期</w:t>
            </w:r>
          </w:p>
        </w:tc>
        <w:tc>
          <w:tcPr>
            <w:tcW w:w="1532" w:type="dxa"/>
            <w:vMerge w:val="restart"/>
            <w:tcBorders>
              <w:tl2br w:val="nil"/>
              <w:tr2bl w:val="nil"/>
            </w:tcBorders>
            <w:vAlign w:val="center"/>
          </w:tcPr>
          <w:p w14:paraId="5967A107">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废气</w:t>
            </w:r>
          </w:p>
        </w:tc>
        <w:tc>
          <w:tcPr>
            <w:tcW w:w="4865" w:type="dxa"/>
            <w:tcBorders>
              <w:tl2br w:val="nil"/>
              <w:tr2bl w:val="nil"/>
            </w:tcBorders>
            <w:vAlign w:val="center"/>
          </w:tcPr>
          <w:p w14:paraId="47138CE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highlight w:val="none"/>
                <w:lang w:val="en-US" w:eastAsia="zh-CN"/>
              </w:rPr>
            </w:pPr>
            <w:r>
              <w:rPr>
                <w:rFonts w:hint="default" w:ascii="Times New Roman" w:hAnsi="Times New Roman" w:eastAsia="宋体" w:cs="Times New Roman"/>
                <w:color w:val="auto"/>
                <w:spacing w:val="0"/>
                <w:w w:val="100"/>
                <w:position w:val="0"/>
                <w:sz w:val="21"/>
                <w:highlight w:val="none"/>
                <w:lang w:eastAsia="zh-CN"/>
              </w:rPr>
              <w:t>井下</w:t>
            </w:r>
            <w:r>
              <w:rPr>
                <w:rFonts w:hint="default" w:ascii="Times New Roman" w:hAnsi="Times New Roman" w:eastAsia="宋体" w:cs="Times New Roman"/>
                <w:color w:val="auto"/>
                <w:spacing w:val="0"/>
                <w:w w:val="100"/>
                <w:position w:val="0"/>
                <w:sz w:val="21"/>
                <w:highlight w:val="none"/>
              </w:rPr>
              <w:t>湿式凿岩</w:t>
            </w:r>
            <w:r>
              <w:rPr>
                <w:rFonts w:hint="default" w:ascii="Times New Roman" w:hAnsi="Times New Roman" w:eastAsia="宋体" w:cs="Times New Roman"/>
                <w:color w:val="auto"/>
                <w:spacing w:val="0"/>
                <w:w w:val="100"/>
                <w:position w:val="0"/>
                <w:sz w:val="21"/>
                <w:highlight w:val="none"/>
                <w:lang w:eastAsia="zh-CN"/>
              </w:rPr>
              <w:t>、机械通风、</w:t>
            </w:r>
            <w:r>
              <w:rPr>
                <w:rFonts w:hint="default" w:ascii="Times New Roman" w:hAnsi="Times New Roman" w:eastAsia="宋体" w:cs="Times New Roman"/>
                <w:color w:val="auto"/>
                <w:spacing w:val="0"/>
                <w:w w:val="100"/>
                <w:position w:val="0"/>
                <w:sz w:val="21"/>
                <w:highlight w:val="none"/>
              </w:rPr>
              <w:t>作业面洒水</w:t>
            </w:r>
          </w:p>
        </w:tc>
        <w:tc>
          <w:tcPr>
            <w:tcW w:w="1262" w:type="dxa"/>
            <w:vMerge w:val="restart"/>
            <w:tcBorders>
              <w:tl2br w:val="nil"/>
              <w:tr2bl w:val="nil"/>
            </w:tcBorders>
            <w:vAlign w:val="center"/>
          </w:tcPr>
          <w:p w14:paraId="7B264FF0">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80</w:t>
            </w:r>
          </w:p>
        </w:tc>
      </w:tr>
      <w:tr w14:paraId="66664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219CB52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vMerge w:val="continue"/>
            <w:tcBorders>
              <w:tl2br w:val="nil"/>
              <w:tr2bl w:val="nil"/>
            </w:tcBorders>
            <w:vAlign w:val="center"/>
          </w:tcPr>
          <w:p w14:paraId="40CB9E84">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4865" w:type="dxa"/>
            <w:tcBorders>
              <w:tl2br w:val="nil"/>
              <w:tr2bl w:val="nil"/>
            </w:tcBorders>
            <w:vAlign w:val="center"/>
          </w:tcPr>
          <w:p w14:paraId="7A19326C">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highlight w:val="none"/>
                <w:lang w:eastAsia="zh-CN"/>
              </w:rPr>
            </w:pPr>
            <w:r>
              <w:rPr>
                <w:rFonts w:hint="default" w:ascii="Times New Roman" w:hAnsi="Times New Roman" w:eastAsia="宋体" w:cs="Times New Roman"/>
                <w:color w:val="auto"/>
                <w:spacing w:val="0"/>
                <w:w w:val="100"/>
                <w:position w:val="0"/>
                <w:sz w:val="21"/>
                <w:highlight w:val="none"/>
                <w:lang w:val="en-US" w:eastAsia="zh-CN"/>
              </w:rPr>
              <w:t>废石堆场及道路洒水</w:t>
            </w:r>
            <w:r>
              <w:rPr>
                <w:rFonts w:hint="default" w:ascii="Times New Roman" w:hAnsi="Times New Roman" w:eastAsia="宋体" w:cs="Times New Roman"/>
                <w:color w:val="auto"/>
                <w:spacing w:val="0"/>
                <w:w w:val="100"/>
                <w:position w:val="0"/>
                <w:sz w:val="21"/>
                <w:highlight w:val="none"/>
                <w:lang w:eastAsia="zh-CN"/>
              </w:rPr>
              <w:t>；</w:t>
            </w:r>
            <w:r>
              <w:rPr>
                <w:rFonts w:hint="default" w:ascii="Times New Roman" w:hAnsi="Times New Roman" w:eastAsia="宋体" w:cs="Times New Roman"/>
                <w:color w:val="auto"/>
                <w:spacing w:val="0"/>
                <w:w w:val="100"/>
                <w:position w:val="0"/>
                <w:sz w:val="21"/>
                <w:highlight w:val="none"/>
                <w:lang w:val="en-US" w:eastAsia="zh-CN"/>
              </w:rPr>
              <w:t>废石堆场</w:t>
            </w:r>
            <w:r>
              <w:rPr>
                <w:rFonts w:hint="default" w:ascii="Times New Roman" w:hAnsi="Times New Roman" w:eastAsia="宋体" w:cs="Times New Roman"/>
                <w:color w:val="auto"/>
                <w:spacing w:val="0"/>
                <w:w w:val="100"/>
                <w:position w:val="0"/>
                <w:sz w:val="21"/>
                <w:highlight w:val="none"/>
              </w:rPr>
              <w:t>的围挡</w:t>
            </w:r>
            <w:r>
              <w:rPr>
                <w:rFonts w:hint="default" w:ascii="Times New Roman" w:hAnsi="Times New Roman" w:eastAsia="宋体" w:cs="Times New Roman"/>
                <w:color w:val="auto"/>
                <w:spacing w:val="0"/>
                <w:w w:val="100"/>
                <w:position w:val="0"/>
                <w:sz w:val="21"/>
                <w:highlight w:val="none"/>
                <w:lang w:eastAsia="zh-CN"/>
              </w:rPr>
              <w:t>、</w:t>
            </w:r>
            <w:r>
              <w:rPr>
                <w:rFonts w:hint="default" w:ascii="Times New Roman" w:hAnsi="Times New Roman" w:eastAsia="宋体" w:cs="Times New Roman"/>
                <w:color w:val="auto"/>
                <w:spacing w:val="0"/>
                <w:w w:val="100"/>
                <w:position w:val="0"/>
                <w:sz w:val="21"/>
                <w:highlight w:val="none"/>
                <w:lang w:val="en-US" w:eastAsia="zh-CN"/>
              </w:rPr>
              <w:t>抑尘网等</w:t>
            </w:r>
            <w:r>
              <w:rPr>
                <w:rFonts w:hint="default" w:ascii="Times New Roman" w:hAnsi="Times New Roman" w:eastAsia="宋体" w:cs="Times New Roman"/>
                <w:color w:val="auto"/>
                <w:spacing w:val="0"/>
                <w:w w:val="100"/>
                <w:position w:val="0"/>
                <w:sz w:val="21"/>
                <w:highlight w:val="none"/>
              </w:rPr>
              <w:t>措施</w:t>
            </w:r>
          </w:p>
        </w:tc>
        <w:tc>
          <w:tcPr>
            <w:tcW w:w="1262" w:type="dxa"/>
            <w:vMerge w:val="continue"/>
            <w:tcBorders>
              <w:tl2br w:val="nil"/>
              <w:tr2bl w:val="nil"/>
            </w:tcBorders>
            <w:vAlign w:val="center"/>
          </w:tcPr>
          <w:p w14:paraId="2DFAE6A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r>
      <w:tr w14:paraId="43FA7E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4E161718">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vMerge w:val="continue"/>
            <w:tcBorders>
              <w:tl2br w:val="nil"/>
              <w:tr2bl w:val="nil"/>
            </w:tcBorders>
            <w:vAlign w:val="center"/>
          </w:tcPr>
          <w:p w14:paraId="7CF5CB35">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4865" w:type="dxa"/>
            <w:tcBorders>
              <w:tl2br w:val="nil"/>
              <w:tr2bl w:val="nil"/>
            </w:tcBorders>
            <w:vAlign w:val="center"/>
          </w:tcPr>
          <w:p w14:paraId="3A9D3009">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w w:val="100"/>
                <w:position w:val="0"/>
                <w:sz w:val="21"/>
                <w:highlight w:val="none"/>
                <w:lang w:val="en-US" w:eastAsia="zh-CN"/>
              </w:rPr>
            </w:pPr>
            <w:r>
              <w:rPr>
                <w:rFonts w:hint="eastAsia" w:ascii="Times New Roman" w:hAnsi="Times New Roman" w:cs="Times New Roman"/>
                <w:color w:val="auto"/>
                <w:spacing w:val="0"/>
                <w:w w:val="100"/>
                <w:position w:val="0"/>
                <w:sz w:val="21"/>
                <w:highlight w:val="none"/>
                <w:lang w:val="en-US" w:eastAsia="zh-CN"/>
              </w:rPr>
              <w:t>封闭式破碎车间，布袋除尘器</w:t>
            </w:r>
          </w:p>
        </w:tc>
        <w:tc>
          <w:tcPr>
            <w:tcW w:w="1262" w:type="dxa"/>
            <w:vMerge w:val="continue"/>
            <w:tcBorders>
              <w:tl2br w:val="nil"/>
              <w:tr2bl w:val="nil"/>
            </w:tcBorders>
            <w:vAlign w:val="center"/>
          </w:tcPr>
          <w:p w14:paraId="7A51AED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p>
        </w:tc>
      </w:tr>
      <w:tr w14:paraId="4CC77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3DF619B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vMerge w:val="restart"/>
            <w:tcBorders>
              <w:tl2br w:val="nil"/>
              <w:tr2bl w:val="nil"/>
            </w:tcBorders>
            <w:vAlign w:val="center"/>
          </w:tcPr>
          <w:p w14:paraId="6F9CAD68">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废水</w:t>
            </w:r>
          </w:p>
        </w:tc>
        <w:tc>
          <w:tcPr>
            <w:tcW w:w="4865" w:type="dxa"/>
            <w:tcBorders>
              <w:tl2br w:val="nil"/>
              <w:tr2bl w:val="nil"/>
            </w:tcBorders>
            <w:vAlign w:val="center"/>
          </w:tcPr>
          <w:p w14:paraId="24A0B3D2">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t>沉淀池、储水池、渗滤液收集池</w:t>
            </w:r>
          </w:p>
        </w:tc>
        <w:tc>
          <w:tcPr>
            <w:tcW w:w="1262" w:type="dxa"/>
            <w:tcBorders>
              <w:tl2br w:val="nil"/>
              <w:tr2bl w:val="nil"/>
            </w:tcBorders>
            <w:vAlign w:val="center"/>
          </w:tcPr>
          <w:p w14:paraId="11E4FB4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pPr>
            <w:r>
              <w:rPr>
                <w:rFonts w:hint="default" w:ascii="Times New Roman" w:hAnsi="Times New Roman" w:cs="Times New Roman"/>
                <w:b w:val="0"/>
                <w:bCs w:val="0"/>
                <w:color w:val="auto"/>
                <w:spacing w:val="0"/>
                <w:w w:val="100"/>
                <w:kern w:val="0"/>
                <w:position w:val="0"/>
                <w:sz w:val="21"/>
                <w:szCs w:val="21"/>
                <w:highlight w:val="none"/>
                <w:lang w:val="en-US" w:eastAsia="zh-CN" w:bidi="ar-SA"/>
              </w:rPr>
              <w:t>200</w:t>
            </w:r>
          </w:p>
        </w:tc>
      </w:tr>
      <w:tr w14:paraId="1B937B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1484709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vMerge w:val="continue"/>
            <w:tcBorders>
              <w:tl2br w:val="nil"/>
              <w:tr2bl w:val="nil"/>
            </w:tcBorders>
            <w:vAlign w:val="center"/>
          </w:tcPr>
          <w:p w14:paraId="0CE25EA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4865" w:type="dxa"/>
            <w:tcBorders>
              <w:tl2br w:val="nil"/>
              <w:tr2bl w:val="nil"/>
            </w:tcBorders>
            <w:vAlign w:val="center"/>
          </w:tcPr>
          <w:p w14:paraId="0A2E3B68">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t>生活污水经地埋式一体化污水处理设施处理</w:t>
            </w:r>
          </w:p>
        </w:tc>
        <w:tc>
          <w:tcPr>
            <w:tcW w:w="1262" w:type="dxa"/>
            <w:tcBorders>
              <w:tl2br w:val="nil"/>
              <w:tr2bl w:val="nil"/>
            </w:tcBorders>
            <w:vAlign w:val="center"/>
          </w:tcPr>
          <w:p w14:paraId="6ACC0F3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pPr>
            <w:r>
              <w:rPr>
                <w:rFonts w:hint="default" w:ascii="Times New Roman" w:hAnsi="Times New Roman" w:eastAsia="宋体" w:cs="Times New Roman"/>
                <w:b w:val="0"/>
                <w:bCs w:val="0"/>
                <w:color w:val="auto"/>
                <w:spacing w:val="0"/>
                <w:w w:val="100"/>
                <w:kern w:val="0"/>
                <w:position w:val="0"/>
                <w:sz w:val="21"/>
                <w:szCs w:val="21"/>
                <w:highlight w:val="none"/>
                <w:lang w:val="en-US" w:eastAsia="zh-CN" w:bidi="ar-SA"/>
              </w:rPr>
              <w:t>15</w:t>
            </w:r>
          </w:p>
        </w:tc>
      </w:tr>
      <w:tr w14:paraId="1D3B94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5054502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tcBorders>
              <w:tl2br w:val="nil"/>
              <w:tr2bl w:val="nil"/>
            </w:tcBorders>
            <w:vAlign w:val="center"/>
          </w:tcPr>
          <w:p w14:paraId="1A2F6A78">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声环境</w:t>
            </w:r>
          </w:p>
        </w:tc>
        <w:tc>
          <w:tcPr>
            <w:tcW w:w="4865" w:type="dxa"/>
            <w:tcBorders>
              <w:tl2br w:val="nil"/>
              <w:tr2bl w:val="nil"/>
            </w:tcBorders>
            <w:vAlign w:val="center"/>
          </w:tcPr>
          <w:p w14:paraId="602FCBF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高噪声设备进行基础减振，设备养护等</w:t>
            </w:r>
          </w:p>
        </w:tc>
        <w:tc>
          <w:tcPr>
            <w:tcW w:w="1262" w:type="dxa"/>
            <w:tcBorders>
              <w:tl2br w:val="nil"/>
              <w:tr2bl w:val="nil"/>
            </w:tcBorders>
            <w:vAlign w:val="center"/>
          </w:tcPr>
          <w:p w14:paraId="1FFF982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5</w:t>
            </w:r>
          </w:p>
        </w:tc>
      </w:tr>
      <w:tr w14:paraId="328A5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854" w:type="dxa"/>
            <w:vMerge w:val="continue"/>
            <w:tcBorders>
              <w:tl2br w:val="nil"/>
              <w:tr2bl w:val="nil"/>
            </w:tcBorders>
            <w:vAlign w:val="center"/>
          </w:tcPr>
          <w:p w14:paraId="5C8058E2">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tcBorders>
              <w:tl2br w:val="nil"/>
              <w:tr2bl w:val="nil"/>
            </w:tcBorders>
            <w:vAlign w:val="center"/>
          </w:tcPr>
          <w:p w14:paraId="0A915AC3">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固废</w:t>
            </w:r>
          </w:p>
        </w:tc>
        <w:tc>
          <w:tcPr>
            <w:tcW w:w="4865" w:type="dxa"/>
            <w:tcBorders>
              <w:tl2br w:val="nil"/>
              <w:tr2bl w:val="nil"/>
            </w:tcBorders>
            <w:vAlign w:val="center"/>
          </w:tcPr>
          <w:p w14:paraId="32870A73">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lang w:eastAsia="zh-CN"/>
              </w:rPr>
              <w:t>废石堆场</w:t>
            </w:r>
            <w:r>
              <w:rPr>
                <w:rFonts w:hint="default" w:ascii="Times New Roman" w:hAnsi="Times New Roman" w:eastAsia="宋体" w:cs="Times New Roman"/>
                <w:b w:val="0"/>
                <w:bCs w:val="0"/>
                <w:color w:val="auto"/>
                <w:spacing w:val="0"/>
                <w:w w:val="100"/>
                <w:position w:val="0"/>
                <w:sz w:val="21"/>
                <w:szCs w:val="21"/>
                <w:highlight w:val="none"/>
              </w:rPr>
              <w:t>建设，</w:t>
            </w:r>
            <w:r>
              <w:rPr>
                <w:rFonts w:hint="eastAsia" w:ascii="Times New Roman" w:hAnsi="Times New Roman" w:cs="Times New Roman"/>
                <w:b w:val="0"/>
                <w:bCs w:val="0"/>
                <w:color w:val="auto"/>
                <w:spacing w:val="0"/>
                <w:w w:val="100"/>
                <w:position w:val="0"/>
                <w:sz w:val="21"/>
                <w:szCs w:val="21"/>
                <w:highlight w:val="none"/>
                <w:lang w:val="en-US" w:eastAsia="zh-CN"/>
              </w:rPr>
              <w:t>危废贮存库，</w:t>
            </w:r>
            <w:r>
              <w:rPr>
                <w:rFonts w:hint="default" w:ascii="Times New Roman" w:hAnsi="Times New Roman" w:eastAsia="宋体" w:cs="Times New Roman"/>
                <w:b w:val="0"/>
                <w:bCs w:val="0"/>
                <w:color w:val="auto"/>
                <w:spacing w:val="0"/>
                <w:w w:val="100"/>
                <w:position w:val="0"/>
                <w:sz w:val="21"/>
                <w:szCs w:val="21"/>
                <w:highlight w:val="none"/>
              </w:rPr>
              <w:t>生活垃圾设置垃圾箱</w:t>
            </w:r>
          </w:p>
        </w:tc>
        <w:tc>
          <w:tcPr>
            <w:tcW w:w="1262" w:type="dxa"/>
            <w:tcBorders>
              <w:tl2br w:val="nil"/>
              <w:tr2bl w:val="nil"/>
            </w:tcBorders>
            <w:vAlign w:val="center"/>
          </w:tcPr>
          <w:p w14:paraId="658B32E6">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1</w:t>
            </w:r>
            <w:r>
              <w:rPr>
                <w:rFonts w:hint="default" w:ascii="Times New Roman" w:hAnsi="Times New Roman" w:cs="Times New Roman"/>
                <w:b w:val="0"/>
                <w:bCs w:val="0"/>
                <w:color w:val="auto"/>
                <w:spacing w:val="0"/>
                <w:w w:val="100"/>
                <w:position w:val="0"/>
                <w:sz w:val="21"/>
                <w:szCs w:val="21"/>
                <w:highlight w:val="none"/>
                <w:lang w:val="en-US" w:eastAsia="zh-CN"/>
              </w:rPr>
              <w:t>6</w:t>
            </w:r>
          </w:p>
        </w:tc>
      </w:tr>
      <w:tr w14:paraId="5D6D1D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54" w:type="dxa"/>
            <w:vMerge w:val="continue"/>
            <w:tcBorders>
              <w:tl2br w:val="nil"/>
              <w:tr2bl w:val="nil"/>
            </w:tcBorders>
            <w:vAlign w:val="center"/>
          </w:tcPr>
          <w:p w14:paraId="7FA1B813">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tcBorders>
              <w:tl2br w:val="nil"/>
              <w:tr2bl w:val="nil"/>
            </w:tcBorders>
            <w:vAlign w:val="center"/>
          </w:tcPr>
          <w:p w14:paraId="40397BD4">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水土保持</w:t>
            </w:r>
          </w:p>
        </w:tc>
        <w:tc>
          <w:tcPr>
            <w:tcW w:w="4865" w:type="dxa"/>
            <w:tcBorders>
              <w:tl2br w:val="nil"/>
              <w:tr2bl w:val="nil"/>
            </w:tcBorders>
            <w:vAlign w:val="center"/>
          </w:tcPr>
          <w:p w14:paraId="46EE96DA">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rPr>
              <w:t>工业场地、道路、</w:t>
            </w:r>
            <w:r>
              <w:rPr>
                <w:rFonts w:hint="default" w:ascii="Times New Roman" w:hAnsi="Times New Roman" w:eastAsia="宋体" w:cs="Times New Roman"/>
                <w:b w:val="0"/>
                <w:bCs w:val="0"/>
                <w:color w:val="auto"/>
                <w:spacing w:val="0"/>
                <w:w w:val="100"/>
                <w:position w:val="0"/>
                <w:sz w:val="21"/>
                <w:szCs w:val="21"/>
                <w:highlight w:val="none"/>
                <w:lang w:val="en-US" w:eastAsia="zh-CN"/>
              </w:rPr>
              <w:t>废石堆场</w:t>
            </w:r>
            <w:r>
              <w:rPr>
                <w:rFonts w:hint="default" w:ascii="Times New Roman" w:hAnsi="Times New Roman" w:eastAsia="宋体" w:cs="Times New Roman"/>
                <w:b w:val="0"/>
                <w:bCs w:val="0"/>
                <w:color w:val="auto"/>
                <w:spacing w:val="0"/>
                <w:w w:val="100"/>
                <w:position w:val="0"/>
                <w:sz w:val="21"/>
                <w:szCs w:val="21"/>
                <w:highlight w:val="none"/>
              </w:rPr>
              <w:t>建设截水沟</w:t>
            </w:r>
            <w:r>
              <w:rPr>
                <w:rFonts w:hint="default" w:ascii="Times New Roman" w:hAnsi="Times New Roman" w:eastAsia="宋体" w:cs="Times New Roman"/>
                <w:b w:val="0"/>
                <w:bCs w:val="0"/>
                <w:color w:val="auto"/>
                <w:spacing w:val="0"/>
                <w:w w:val="100"/>
                <w:position w:val="0"/>
                <w:sz w:val="21"/>
                <w:szCs w:val="21"/>
                <w:highlight w:val="none"/>
                <w:lang w:eastAsia="zh-CN"/>
              </w:rPr>
              <w:t>、拦渣坝</w:t>
            </w:r>
            <w:r>
              <w:rPr>
                <w:rFonts w:hint="default" w:ascii="Times New Roman" w:hAnsi="Times New Roman" w:eastAsia="宋体" w:cs="Times New Roman"/>
                <w:b w:val="0"/>
                <w:bCs w:val="0"/>
                <w:color w:val="auto"/>
                <w:spacing w:val="0"/>
                <w:w w:val="100"/>
                <w:position w:val="0"/>
                <w:sz w:val="21"/>
                <w:szCs w:val="21"/>
                <w:highlight w:val="none"/>
              </w:rPr>
              <w:t>等工程措施</w:t>
            </w:r>
          </w:p>
        </w:tc>
        <w:tc>
          <w:tcPr>
            <w:tcW w:w="1262" w:type="dxa"/>
            <w:tcBorders>
              <w:tl2br w:val="nil"/>
              <w:tr2bl w:val="nil"/>
            </w:tcBorders>
            <w:vAlign w:val="center"/>
          </w:tcPr>
          <w:p w14:paraId="01D7D7C1">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20</w:t>
            </w:r>
          </w:p>
        </w:tc>
      </w:tr>
      <w:tr w14:paraId="262B0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restart"/>
            <w:tcBorders>
              <w:tl2br w:val="nil"/>
              <w:tr2bl w:val="nil"/>
            </w:tcBorders>
            <w:vAlign w:val="center"/>
          </w:tcPr>
          <w:p w14:paraId="606A7AE6">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闭矿期</w:t>
            </w:r>
          </w:p>
        </w:tc>
        <w:tc>
          <w:tcPr>
            <w:tcW w:w="1532" w:type="dxa"/>
            <w:tcBorders>
              <w:tl2br w:val="nil"/>
              <w:tr2bl w:val="nil"/>
            </w:tcBorders>
            <w:vAlign w:val="center"/>
          </w:tcPr>
          <w:p w14:paraId="3C6B122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kern w:val="0"/>
                <w:position w:val="0"/>
                <w:sz w:val="21"/>
                <w:szCs w:val="21"/>
                <w:highlight w:val="none"/>
              </w:rPr>
              <w:t>地面隐患区</w:t>
            </w:r>
          </w:p>
        </w:tc>
        <w:tc>
          <w:tcPr>
            <w:tcW w:w="4865" w:type="dxa"/>
            <w:tcBorders>
              <w:tl2br w:val="nil"/>
              <w:tr2bl w:val="nil"/>
            </w:tcBorders>
            <w:vAlign w:val="center"/>
          </w:tcPr>
          <w:p w14:paraId="007117B5">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kern w:val="0"/>
                <w:position w:val="0"/>
                <w:sz w:val="21"/>
                <w:szCs w:val="21"/>
                <w:highlight w:val="none"/>
              </w:rPr>
              <w:t>外围铁丝网围栏、外围设置警示牌</w:t>
            </w:r>
          </w:p>
        </w:tc>
        <w:tc>
          <w:tcPr>
            <w:tcW w:w="1262" w:type="dxa"/>
            <w:tcBorders>
              <w:tl2br w:val="nil"/>
              <w:tr2bl w:val="nil"/>
            </w:tcBorders>
            <w:vAlign w:val="center"/>
          </w:tcPr>
          <w:p w14:paraId="69DF286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5</w:t>
            </w:r>
          </w:p>
        </w:tc>
      </w:tr>
      <w:tr w14:paraId="341D5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1557A34B">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tcBorders>
              <w:tl2br w:val="nil"/>
              <w:tr2bl w:val="nil"/>
            </w:tcBorders>
            <w:vAlign w:val="center"/>
          </w:tcPr>
          <w:p w14:paraId="16BC960F">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rPr>
            </w:pPr>
            <w:r>
              <w:rPr>
                <w:rFonts w:hint="default" w:ascii="Times New Roman" w:hAnsi="Times New Roman" w:eastAsia="宋体" w:cs="Times New Roman"/>
                <w:b w:val="0"/>
                <w:bCs w:val="0"/>
                <w:color w:val="auto"/>
                <w:spacing w:val="0"/>
                <w:w w:val="100"/>
                <w:kern w:val="0"/>
                <w:position w:val="0"/>
                <w:sz w:val="21"/>
                <w:szCs w:val="21"/>
                <w:highlight w:val="none"/>
              </w:rPr>
              <w:t>生态恢复措施</w:t>
            </w:r>
          </w:p>
        </w:tc>
        <w:tc>
          <w:tcPr>
            <w:tcW w:w="4865" w:type="dxa"/>
            <w:tcBorders>
              <w:tl2br w:val="nil"/>
              <w:tr2bl w:val="nil"/>
            </w:tcBorders>
            <w:vAlign w:val="center"/>
          </w:tcPr>
          <w:p w14:paraId="3AA8828D">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rPr>
            </w:pPr>
            <w:r>
              <w:rPr>
                <w:rFonts w:hint="default" w:ascii="Times New Roman" w:hAnsi="Times New Roman" w:eastAsia="宋体" w:cs="Times New Roman"/>
                <w:b w:val="0"/>
                <w:bCs w:val="0"/>
                <w:color w:val="auto"/>
                <w:spacing w:val="0"/>
                <w:w w:val="100"/>
                <w:kern w:val="0"/>
                <w:position w:val="0"/>
                <w:sz w:val="21"/>
                <w:szCs w:val="21"/>
                <w:highlight w:val="none"/>
                <w:lang w:val="en-US" w:eastAsia="zh-CN"/>
              </w:rPr>
              <w:t>废石堆场</w:t>
            </w:r>
            <w:r>
              <w:rPr>
                <w:rFonts w:hint="default" w:ascii="Times New Roman" w:hAnsi="Times New Roman" w:eastAsia="宋体" w:cs="Times New Roman"/>
                <w:b w:val="0"/>
                <w:bCs w:val="0"/>
                <w:color w:val="auto"/>
                <w:spacing w:val="0"/>
                <w:w w:val="100"/>
                <w:kern w:val="0"/>
                <w:position w:val="0"/>
                <w:sz w:val="21"/>
                <w:szCs w:val="21"/>
                <w:highlight w:val="none"/>
              </w:rPr>
              <w:t>、工业场地等土地复垦</w:t>
            </w:r>
          </w:p>
        </w:tc>
        <w:tc>
          <w:tcPr>
            <w:tcW w:w="1262" w:type="dxa"/>
            <w:tcBorders>
              <w:tl2br w:val="nil"/>
              <w:tr2bl w:val="nil"/>
            </w:tcBorders>
            <w:vAlign w:val="center"/>
          </w:tcPr>
          <w:p w14:paraId="1F54DDE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100</w:t>
            </w:r>
          </w:p>
        </w:tc>
      </w:tr>
      <w:tr w14:paraId="2E1EB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 w:type="dxa"/>
            <w:vMerge w:val="continue"/>
            <w:tcBorders>
              <w:tl2br w:val="nil"/>
              <w:tr2bl w:val="nil"/>
            </w:tcBorders>
            <w:vAlign w:val="center"/>
          </w:tcPr>
          <w:p w14:paraId="4221A456">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p>
        </w:tc>
        <w:tc>
          <w:tcPr>
            <w:tcW w:w="1532" w:type="dxa"/>
            <w:tcBorders>
              <w:tl2br w:val="nil"/>
              <w:tr2bl w:val="nil"/>
            </w:tcBorders>
            <w:vAlign w:val="center"/>
          </w:tcPr>
          <w:p w14:paraId="3C0E59C7">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kern w:val="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矿山闭矿后地面治理</w:t>
            </w:r>
          </w:p>
        </w:tc>
        <w:tc>
          <w:tcPr>
            <w:tcW w:w="4865" w:type="dxa"/>
            <w:tcBorders>
              <w:tl2br w:val="nil"/>
              <w:tr2bl w:val="nil"/>
            </w:tcBorders>
            <w:vAlign w:val="center"/>
          </w:tcPr>
          <w:p w14:paraId="33780D4F">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生活区及工业广场建筑设施拆除、清理；</w:t>
            </w:r>
            <w:r>
              <w:rPr>
                <w:rFonts w:hint="default" w:ascii="Times New Roman" w:hAnsi="Times New Roman" w:eastAsia="宋体" w:cs="Times New Roman"/>
                <w:b w:val="0"/>
                <w:bCs w:val="0"/>
                <w:color w:val="auto"/>
                <w:spacing w:val="0"/>
                <w:w w:val="100"/>
                <w:position w:val="0"/>
                <w:sz w:val="21"/>
                <w:szCs w:val="21"/>
                <w:highlight w:val="none"/>
                <w:lang w:val="en-US" w:eastAsia="zh-CN"/>
              </w:rPr>
              <w:t>井口封堵完整，采取遮挡和防护措施，并设置警示牌；错动区使用废石充填，设置围栏、警示牌及修筑相应截排洪工程</w:t>
            </w:r>
            <w:r>
              <w:rPr>
                <w:rFonts w:hint="default" w:ascii="Times New Roman" w:hAnsi="Times New Roman" w:cs="Times New Roman"/>
                <w:b w:val="0"/>
                <w:bCs w:val="0"/>
                <w:color w:val="auto"/>
                <w:spacing w:val="0"/>
                <w:w w:val="100"/>
                <w:position w:val="0"/>
                <w:sz w:val="21"/>
                <w:szCs w:val="21"/>
                <w:highlight w:val="none"/>
                <w:lang w:val="en-US" w:eastAsia="zh-CN"/>
              </w:rPr>
              <w:t>；</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矿坑周围设置障碍物和永久性阻挡设施</w:t>
            </w:r>
          </w:p>
        </w:tc>
        <w:tc>
          <w:tcPr>
            <w:tcW w:w="1262" w:type="dxa"/>
            <w:tcBorders>
              <w:tl2br w:val="nil"/>
              <w:tr2bl w:val="nil"/>
            </w:tcBorders>
            <w:vAlign w:val="center"/>
          </w:tcPr>
          <w:p w14:paraId="613AA89E">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30</w:t>
            </w:r>
          </w:p>
        </w:tc>
      </w:tr>
      <w:tr w14:paraId="33DE3A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86" w:type="dxa"/>
            <w:gridSpan w:val="2"/>
            <w:tcBorders>
              <w:tl2br w:val="nil"/>
              <w:tr2bl w:val="nil"/>
            </w:tcBorders>
            <w:vAlign w:val="center"/>
          </w:tcPr>
          <w:p w14:paraId="75AE1452">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rPr>
            </w:pPr>
            <w:r>
              <w:rPr>
                <w:rFonts w:hint="default" w:ascii="Times New Roman" w:hAnsi="Times New Roman" w:eastAsia="宋体" w:cs="Times New Roman"/>
                <w:b w:val="0"/>
                <w:bCs w:val="0"/>
                <w:color w:val="auto"/>
                <w:spacing w:val="0"/>
                <w:w w:val="100"/>
                <w:position w:val="0"/>
                <w:sz w:val="21"/>
                <w:szCs w:val="21"/>
                <w:highlight w:val="none"/>
              </w:rPr>
              <w:t>合计</w:t>
            </w:r>
          </w:p>
        </w:tc>
        <w:tc>
          <w:tcPr>
            <w:tcW w:w="4865" w:type="dxa"/>
            <w:tcBorders>
              <w:tl2br w:val="nil"/>
              <w:tr2bl w:val="nil"/>
            </w:tcBorders>
            <w:vAlign w:val="center"/>
          </w:tcPr>
          <w:p w14:paraId="088A75D5">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w:t>
            </w:r>
          </w:p>
        </w:tc>
        <w:tc>
          <w:tcPr>
            <w:tcW w:w="1262" w:type="dxa"/>
            <w:tcBorders>
              <w:tl2br w:val="nil"/>
              <w:tr2bl w:val="nil"/>
            </w:tcBorders>
            <w:vAlign w:val="center"/>
          </w:tcPr>
          <w:p w14:paraId="757570E8">
            <w:pPr>
              <w:pStyle w:val="43"/>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color w:val="auto"/>
                <w:spacing w:val="0"/>
                <w:w w:val="100"/>
                <w:position w:val="0"/>
                <w:sz w:val="21"/>
                <w:szCs w:val="21"/>
                <w:highlight w:val="none"/>
                <w:lang w:val="en-US" w:eastAsia="zh-CN"/>
              </w:rPr>
            </w:pPr>
            <w:r>
              <w:rPr>
                <w:rFonts w:hint="default" w:ascii="Times New Roman" w:hAnsi="Times New Roman" w:eastAsia="宋体" w:cs="Times New Roman"/>
                <w:b w:val="0"/>
                <w:bCs w:val="0"/>
                <w:color w:val="auto"/>
                <w:spacing w:val="0"/>
                <w:w w:val="100"/>
                <w:position w:val="0"/>
                <w:sz w:val="21"/>
                <w:szCs w:val="21"/>
                <w:highlight w:val="none"/>
                <w:lang w:val="en-US" w:eastAsia="zh-CN"/>
              </w:rPr>
              <w:t>471</w:t>
            </w:r>
          </w:p>
        </w:tc>
      </w:tr>
    </w:tbl>
    <w:p w14:paraId="44B88C6F">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80" w:name="_Toc2427"/>
      <w:bookmarkStart w:id="781" w:name="_Toc22499"/>
      <w:r>
        <w:rPr>
          <w:rFonts w:hint="default" w:ascii="Times New Roman" w:hAnsi="Times New Roman" w:eastAsia="宋体" w:cs="Times New Roman"/>
          <w:b/>
          <w:bCs/>
          <w:color w:val="auto"/>
          <w:spacing w:val="0"/>
          <w:w w:val="100"/>
          <w:position w:val="0"/>
          <w:lang w:val="en-US" w:eastAsia="zh-CN"/>
        </w:rPr>
        <w:t>7.4社会效益分析</w:t>
      </w:r>
      <w:bookmarkEnd w:id="777"/>
      <w:bookmarkEnd w:id="778"/>
      <w:bookmarkEnd w:id="779"/>
      <w:bookmarkEnd w:id="780"/>
      <w:bookmarkEnd w:id="781"/>
    </w:p>
    <w:p w14:paraId="72A13F6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eastAsia="zh-CN"/>
        </w:rPr>
        <w:t>本项目建成后，产生的</w:t>
      </w:r>
      <w:r>
        <w:rPr>
          <w:rFonts w:hint="default" w:ascii="Times New Roman" w:hAnsi="Times New Roman" w:eastAsia="宋体" w:cs="Times New Roman"/>
          <w:color w:val="auto"/>
          <w:spacing w:val="0"/>
          <w:w w:val="100"/>
          <w:position w:val="0"/>
          <w:sz w:val="24"/>
          <w:szCs w:val="24"/>
        </w:rPr>
        <w:t>社会效益主要体现在以下几个方面：</w:t>
      </w:r>
    </w:p>
    <w:p w14:paraId="0C30E5C9">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szCs w:val="24"/>
        </w:rPr>
        <w:t>（1）</w:t>
      </w:r>
      <w:r>
        <w:rPr>
          <w:rFonts w:hint="default" w:ascii="Times New Roman" w:hAnsi="Times New Roman" w:eastAsia="宋体" w:cs="Times New Roman"/>
          <w:color w:val="auto"/>
          <w:spacing w:val="0"/>
          <w:w w:val="100"/>
          <w:position w:val="0"/>
          <w:sz w:val="24"/>
          <w:szCs w:val="24"/>
          <w:lang w:val="en-US" w:eastAsia="zh-CN"/>
        </w:rPr>
        <w:t>项目建成后，可充分利用当地矿物资源，</w:t>
      </w:r>
      <w:r>
        <w:rPr>
          <w:rFonts w:hint="default" w:ascii="Times New Roman" w:hAnsi="Times New Roman" w:eastAsia="宋体" w:cs="Times New Roman"/>
          <w:color w:val="auto"/>
          <w:spacing w:val="0"/>
          <w:w w:val="100"/>
          <w:position w:val="0"/>
          <w:sz w:val="24"/>
          <w:szCs w:val="24"/>
        </w:rPr>
        <w:t>有利于促进当地</w:t>
      </w:r>
      <w:r>
        <w:rPr>
          <w:rFonts w:hint="default" w:ascii="Times New Roman" w:hAnsi="Times New Roman" w:eastAsia="宋体" w:cs="Times New Roman"/>
          <w:color w:val="auto"/>
          <w:spacing w:val="0"/>
          <w:w w:val="100"/>
          <w:position w:val="0"/>
          <w:sz w:val="24"/>
          <w:szCs w:val="24"/>
          <w:lang w:val="en-US" w:eastAsia="zh-CN"/>
        </w:rPr>
        <w:t>铜</w:t>
      </w:r>
      <w:r>
        <w:rPr>
          <w:rFonts w:hint="default" w:ascii="Times New Roman" w:hAnsi="Times New Roman" w:eastAsia="宋体" w:cs="Times New Roman"/>
          <w:color w:val="auto"/>
          <w:spacing w:val="0"/>
          <w:w w:val="100"/>
          <w:position w:val="0"/>
          <w:sz w:val="24"/>
          <w:szCs w:val="24"/>
        </w:rPr>
        <w:t>矿采掘行业的快速发展，满足当地</w:t>
      </w:r>
      <w:r>
        <w:rPr>
          <w:rFonts w:hint="default" w:ascii="Times New Roman" w:hAnsi="Times New Roman" w:eastAsia="宋体" w:cs="Times New Roman"/>
          <w:color w:val="auto"/>
          <w:spacing w:val="0"/>
          <w:w w:val="100"/>
          <w:position w:val="0"/>
          <w:sz w:val="24"/>
          <w:szCs w:val="24"/>
          <w:lang w:val="en-US" w:eastAsia="zh-CN"/>
        </w:rPr>
        <w:t>金属铜</w:t>
      </w:r>
      <w:r>
        <w:rPr>
          <w:rFonts w:hint="default" w:ascii="Times New Roman" w:hAnsi="Times New Roman" w:eastAsia="宋体" w:cs="Times New Roman"/>
          <w:color w:val="auto"/>
          <w:spacing w:val="0"/>
          <w:w w:val="100"/>
          <w:position w:val="0"/>
          <w:sz w:val="24"/>
          <w:szCs w:val="24"/>
        </w:rPr>
        <w:t>及相关市场需求，可有效缓解当地市场压力，有利于市场竞争，并可带动当地相关产业发展，为当地下游行业提供发展机遇，可扩大当地相关产品消费市场，创造较大经济效益同时在一定程度上增加区域经济竞争力，促进当地社会可持续发展。</w:t>
      </w:r>
    </w:p>
    <w:p w14:paraId="4856F54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lang w:val="en-US" w:eastAsia="zh-CN"/>
        </w:rPr>
      </w:pPr>
      <w:r>
        <w:rPr>
          <w:rFonts w:hint="default" w:ascii="Times New Roman" w:hAnsi="Times New Roman" w:eastAsia="宋体" w:cs="Times New Roman"/>
          <w:color w:val="auto"/>
          <w:spacing w:val="0"/>
          <w:w w:val="100"/>
          <w:position w:val="0"/>
          <w:sz w:val="24"/>
          <w:szCs w:val="24"/>
        </w:rPr>
        <w:t>（2）</w:t>
      </w:r>
      <w:r>
        <w:rPr>
          <w:rFonts w:hint="default" w:ascii="Times New Roman" w:hAnsi="Times New Roman" w:eastAsia="宋体" w:cs="Times New Roman"/>
          <w:color w:val="auto"/>
          <w:spacing w:val="0"/>
          <w:w w:val="100"/>
          <w:position w:val="0"/>
          <w:sz w:val="24"/>
          <w:szCs w:val="24"/>
          <w:lang w:val="en-US" w:eastAsia="zh-CN"/>
        </w:rPr>
        <w:t>项目投产后，对临时性劳动力的需求增加，可解决当地部分人员就业，提高居民收入，有利于改善人民生活质量，维护社会稳定，也为当地发展交通运输和第三产业提供了商机。</w:t>
      </w:r>
    </w:p>
    <w:p w14:paraId="4FEAA52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zCs w:val="24"/>
        </w:rPr>
      </w:pPr>
      <w:r>
        <w:rPr>
          <w:rFonts w:hint="default" w:ascii="Times New Roman" w:hAnsi="Times New Roman" w:eastAsia="宋体" w:cs="Times New Roman"/>
          <w:color w:val="auto"/>
          <w:spacing w:val="0"/>
          <w:w w:val="100"/>
          <w:position w:val="0"/>
          <w:sz w:val="24"/>
          <w:szCs w:val="24"/>
          <w:lang w:val="en-US" w:eastAsia="zh-CN"/>
        </w:rPr>
        <w:t>总之，从长远的角度来看，本项目将资源优势转化为经济优势，具有较好的社会效益。</w:t>
      </w:r>
    </w:p>
    <w:p w14:paraId="152821FF">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82" w:name="_Toc390077138"/>
      <w:bookmarkStart w:id="783" w:name="_Toc426642709"/>
      <w:bookmarkStart w:id="784" w:name="_Toc7852"/>
      <w:bookmarkStart w:id="785" w:name="_Toc32096"/>
      <w:bookmarkStart w:id="786" w:name="_Toc447541237"/>
      <w:bookmarkStart w:id="787" w:name="_Toc30731"/>
      <w:bookmarkStart w:id="788" w:name="_Toc402"/>
      <w:bookmarkStart w:id="789" w:name="_Toc10207"/>
      <w:bookmarkStart w:id="790" w:name="_Toc4703"/>
      <w:bookmarkStart w:id="791" w:name="_Toc6908842"/>
      <w:bookmarkStart w:id="792" w:name="_Toc246847776"/>
      <w:bookmarkStart w:id="793" w:name="_Toc11474"/>
      <w:bookmarkStart w:id="794" w:name="_Toc446160749"/>
      <w:bookmarkStart w:id="795" w:name="_Toc25579"/>
      <w:bookmarkStart w:id="796" w:name="_Toc10315"/>
      <w:bookmarkStart w:id="797" w:name="_Toc29380"/>
      <w:r>
        <w:rPr>
          <w:rFonts w:hint="default" w:ascii="Times New Roman" w:hAnsi="Times New Roman" w:eastAsia="宋体" w:cs="Times New Roman"/>
          <w:b/>
          <w:bCs/>
          <w:color w:val="auto"/>
          <w:spacing w:val="0"/>
          <w:w w:val="100"/>
          <w:position w:val="0"/>
          <w:lang w:val="en-US" w:eastAsia="zh-CN"/>
        </w:rPr>
        <w:t>7.5环境效益分析</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7217DF0B">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环境效益集中体现在对生产中污染物的排放控制、资源的集中合理利用以及废物再利用，不仅可以减少企业在能源方面的投入，更重要的是使原本分散、未经任何处理的污染物得到了综合利用，并且实现达标排放；新增的绿地可以美化环境，防风固沙，减少扬尘，改善当地小环境。</w:t>
      </w:r>
    </w:p>
    <w:p w14:paraId="0523FA64">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outlineLvl w:val="9"/>
        <w:rPr>
          <w:rFonts w:hint="default" w:ascii="Times New Roman" w:hAnsi="Times New Roman" w:eastAsia="宋体" w:cs="Times New Roman"/>
          <w:color w:val="auto"/>
          <w:spacing w:val="0"/>
          <w:w w:val="100"/>
          <w:position w:val="0"/>
          <w:sz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本项目在采用设计和环评提出的污染治理措施后，虽仍对区域环境产生一定的负面影响，但只要确保达标排放，其环境影响则可控制在允许范围之内。</w:t>
      </w:r>
    </w:p>
    <w:p w14:paraId="537DA19E">
      <w:pPr>
        <w:pStyle w:val="3"/>
        <w:numPr>
          <w:ilvl w:val="1"/>
          <w:numId w:val="0"/>
        </w:numPr>
        <w:bidi w:val="0"/>
        <w:ind w:leftChars="0"/>
        <w:rPr>
          <w:rFonts w:hint="default" w:ascii="Times New Roman" w:hAnsi="Times New Roman" w:eastAsia="宋体" w:cs="Times New Roman"/>
          <w:b/>
          <w:bCs/>
          <w:color w:val="auto"/>
          <w:spacing w:val="0"/>
          <w:w w:val="100"/>
          <w:position w:val="0"/>
          <w:lang w:val="en-US" w:eastAsia="zh-CN"/>
        </w:rPr>
      </w:pPr>
      <w:bookmarkStart w:id="798" w:name="_Toc28700"/>
      <w:bookmarkStart w:id="799" w:name="_Toc12559"/>
      <w:bookmarkStart w:id="800" w:name="_Toc23085"/>
      <w:bookmarkStart w:id="801" w:name="_Toc16207"/>
      <w:r>
        <w:rPr>
          <w:rFonts w:hint="default" w:ascii="Times New Roman" w:hAnsi="Times New Roman" w:eastAsia="宋体" w:cs="Times New Roman"/>
          <w:b/>
          <w:bCs/>
          <w:color w:val="auto"/>
          <w:spacing w:val="0"/>
          <w:w w:val="100"/>
          <w:position w:val="0"/>
          <w:lang w:val="en-US" w:eastAsia="zh-CN"/>
        </w:rPr>
        <w:t>7.6小结</w:t>
      </w:r>
      <w:bookmarkEnd w:id="798"/>
      <w:bookmarkEnd w:id="799"/>
      <w:bookmarkEnd w:id="800"/>
      <w:bookmarkEnd w:id="801"/>
    </w:p>
    <w:p w14:paraId="4E963F10">
      <w:pPr>
        <w:pStyle w:val="9"/>
        <w:rPr>
          <w:rFonts w:hint="default" w:ascii="Times New Roman" w:hAnsi="Times New Roman" w:eastAsia="宋体" w:cs="Times New Roman"/>
          <w:color w:val="auto"/>
          <w:spacing w:val="0"/>
          <w:w w:val="100"/>
          <w:position w:val="0"/>
          <w:sz w:val="24"/>
          <w:highlight w:val="none"/>
          <w:lang w:val="en-US" w:eastAsia="zh-CN"/>
        </w:rPr>
        <w:sectPr>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pPr>
      <w:r>
        <w:rPr>
          <w:rFonts w:hint="default" w:ascii="Times New Roman" w:hAnsi="Times New Roman" w:eastAsia="宋体" w:cs="Times New Roman"/>
          <w:color w:val="auto"/>
          <w:spacing w:val="0"/>
          <w:w w:val="100"/>
          <w:position w:val="0"/>
          <w:sz w:val="24"/>
          <w:highlight w:val="none"/>
          <w:lang w:val="en-US" w:eastAsia="zh-CN"/>
        </w:rPr>
        <w:t>本次项目投产后，如能落实环评报告建议的环保设施，环境效益可观。由此可知，本项目的建设可实现社会效益、经济效益和环境效益的统一。</w:t>
      </w:r>
    </w:p>
    <w:p w14:paraId="311E88AC">
      <w:pPr>
        <w:pStyle w:val="2"/>
        <w:numPr>
          <w:ilvl w:val="0"/>
          <w:numId w:val="0"/>
        </w:numPr>
        <w:rPr>
          <w:rFonts w:hint="default" w:ascii="Times New Roman" w:hAnsi="Times New Roman" w:eastAsia="宋体" w:cs="Times New Roman"/>
          <w:color w:val="auto"/>
          <w:spacing w:val="0"/>
          <w:w w:val="100"/>
          <w:position w:val="0"/>
          <w:highlight w:val="none"/>
        </w:rPr>
      </w:pPr>
      <w:bookmarkStart w:id="802" w:name="_Toc4199"/>
      <w:bookmarkStart w:id="803" w:name="_Toc17178"/>
      <w:bookmarkStart w:id="804" w:name="_Toc24270"/>
      <w:bookmarkStart w:id="805" w:name="_Toc23590"/>
      <w:bookmarkStart w:id="806" w:name="_Toc19734"/>
      <w:bookmarkStart w:id="807" w:name="_Toc16184"/>
      <w:bookmarkStart w:id="808" w:name="_Toc27913"/>
      <w:bookmarkStart w:id="809" w:name="_Toc15335"/>
      <w:bookmarkStart w:id="810" w:name="_Toc483589667"/>
      <w:bookmarkStart w:id="811" w:name="_Toc4280"/>
      <w:r>
        <w:rPr>
          <w:rFonts w:hint="default" w:ascii="Times New Roman" w:hAnsi="Times New Roman" w:eastAsia="宋体" w:cs="Times New Roman"/>
          <w:color w:val="auto"/>
          <w:spacing w:val="0"/>
          <w:w w:val="100"/>
          <w:position w:val="0"/>
          <w:highlight w:val="none"/>
        </w:rPr>
        <w:t>8.环境管理与监测计划</w:t>
      </w:r>
      <w:bookmarkEnd w:id="802"/>
      <w:bookmarkEnd w:id="803"/>
      <w:bookmarkEnd w:id="804"/>
      <w:bookmarkEnd w:id="805"/>
      <w:bookmarkEnd w:id="806"/>
    </w:p>
    <w:p w14:paraId="7DBBED95">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812" w:name="_Toc25986"/>
      <w:bookmarkStart w:id="813" w:name="_Toc10553"/>
      <w:bookmarkStart w:id="814" w:name="_Toc21101"/>
      <w:r>
        <w:rPr>
          <w:rFonts w:hint="default" w:ascii="Times New Roman" w:hAnsi="Times New Roman" w:eastAsia="宋体" w:cs="Times New Roman"/>
          <w:color w:val="auto"/>
          <w:spacing w:val="0"/>
          <w:w w:val="100"/>
          <w:position w:val="0"/>
          <w:lang w:val="en-US" w:eastAsia="zh-CN"/>
        </w:rPr>
        <w:t>8.1建设项目环境管理</w:t>
      </w:r>
      <w:bookmarkEnd w:id="807"/>
      <w:bookmarkEnd w:id="808"/>
      <w:bookmarkEnd w:id="809"/>
      <w:bookmarkEnd w:id="810"/>
      <w:bookmarkEnd w:id="811"/>
      <w:bookmarkEnd w:id="812"/>
      <w:bookmarkEnd w:id="813"/>
      <w:bookmarkEnd w:id="814"/>
    </w:p>
    <w:p w14:paraId="47A70AF8">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ind w:firstLine="480"/>
        <w:textAlignment w:val="auto"/>
        <w:rPr>
          <w:rFonts w:hint="default" w:ascii="Times New Roman" w:hAnsi="Times New Roman" w:eastAsia="宋体" w:cs="Times New Roman"/>
          <w:color w:val="auto"/>
          <w:spacing w:val="0"/>
          <w:w w:val="100"/>
          <w:kern w:val="2"/>
          <w:position w:val="0"/>
          <w:szCs w:val="24"/>
          <w:highlight w:val="none"/>
          <w:lang w:bidi="ar"/>
        </w:rPr>
      </w:pPr>
      <w:r>
        <w:rPr>
          <w:rFonts w:hint="default" w:ascii="Times New Roman" w:hAnsi="Times New Roman" w:eastAsia="宋体" w:cs="Times New Roman"/>
          <w:color w:val="auto"/>
          <w:spacing w:val="0"/>
          <w:w w:val="100"/>
          <w:kern w:val="2"/>
          <w:position w:val="0"/>
          <w:szCs w:val="24"/>
          <w:highlight w:val="none"/>
          <w:lang w:bidi="ar"/>
        </w:rPr>
        <w:t>环境管理是现代企业管理制度的重要内容之一。通过实行全面、系统的环境管理使企业的各环境因素得到有效控制，更重要的是通过落实环境计划和环境政策对企业的环境状况进行调控，以达到改善环境绩效的目的。</w:t>
      </w:r>
    </w:p>
    <w:p w14:paraId="6F0F5308">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80" w:lineRule="exact"/>
        <w:ind w:firstLine="480"/>
        <w:textAlignment w:val="auto"/>
        <w:rPr>
          <w:rFonts w:hint="default" w:ascii="Times New Roman" w:hAnsi="Times New Roman" w:eastAsia="宋体" w:cs="Times New Roman"/>
          <w:color w:val="auto"/>
          <w:spacing w:val="0"/>
          <w:w w:val="100"/>
          <w:kern w:val="2"/>
          <w:position w:val="0"/>
          <w:szCs w:val="24"/>
          <w:highlight w:val="none"/>
          <w:lang w:bidi="ar"/>
        </w:rPr>
      </w:pPr>
      <w:r>
        <w:rPr>
          <w:rFonts w:hint="default" w:ascii="Times New Roman" w:hAnsi="Times New Roman" w:eastAsia="宋体" w:cs="Times New Roman"/>
          <w:color w:val="auto"/>
          <w:spacing w:val="0"/>
          <w:w w:val="100"/>
          <w:kern w:val="2"/>
          <w:position w:val="0"/>
          <w:szCs w:val="24"/>
          <w:highlight w:val="none"/>
          <w:lang w:bidi="ar"/>
        </w:rPr>
        <w:t>企业环境管理涉及的范围包括：企业发展规划的制定、基础设施建设、环境目标制定等各项环境管理、环境监督活动等。目前企业的环境管理比较薄弱，人员配置和管理制度还不完善，针对企业存在的主要环境问题，环境管理包括以下具体内容：</w:t>
      </w:r>
    </w:p>
    <w:p w14:paraId="6B5A3D86">
      <w:pPr>
        <w:pStyle w:val="4"/>
        <w:numPr>
          <w:ilvl w:val="0"/>
          <w:numId w:val="0"/>
        </w:numPr>
        <w:rPr>
          <w:rFonts w:hint="default" w:ascii="Times New Roman" w:hAnsi="Times New Roman" w:eastAsia="宋体" w:cs="Times New Roman"/>
          <w:color w:val="auto"/>
          <w:spacing w:val="0"/>
          <w:w w:val="100"/>
          <w:position w:val="0"/>
          <w:highlight w:val="none"/>
        </w:rPr>
      </w:pPr>
      <w:bookmarkStart w:id="815" w:name="_Toc21444"/>
      <w:bookmarkStart w:id="816" w:name="_Toc23333"/>
      <w:bookmarkStart w:id="817" w:name="_Toc8130"/>
      <w:bookmarkStart w:id="818" w:name="_Toc28996"/>
      <w:r>
        <w:rPr>
          <w:rFonts w:hint="default" w:ascii="Times New Roman" w:hAnsi="Times New Roman" w:eastAsia="宋体" w:cs="Times New Roman"/>
          <w:color w:val="auto"/>
          <w:spacing w:val="0"/>
          <w:w w:val="100"/>
          <w:position w:val="0"/>
          <w:highlight w:val="none"/>
        </w:rPr>
        <w:t>8.1.1环境管理依据</w:t>
      </w:r>
      <w:bookmarkEnd w:id="815"/>
      <w:bookmarkEnd w:id="816"/>
      <w:bookmarkEnd w:id="817"/>
      <w:bookmarkEnd w:id="818"/>
    </w:p>
    <w:p w14:paraId="45D3E731">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环境管理是运用计划、组织、协调、控制、监督等手段，为达到预期</w:t>
      </w:r>
      <w:r>
        <w:rPr>
          <w:rFonts w:hint="default" w:ascii="Times New Roman" w:hAnsi="Times New Roman" w:eastAsia="宋体" w:cs="Times New Roman"/>
          <w:color w:val="auto"/>
          <w:spacing w:val="0"/>
          <w:w w:val="100"/>
          <w:position w:val="0"/>
          <w:highlight w:val="none"/>
        </w:rPr>
        <w:fldChar w:fldCharType="begin"/>
      </w:r>
      <w:r>
        <w:rPr>
          <w:rFonts w:hint="default" w:ascii="Times New Roman" w:hAnsi="Times New Roman" w:eastAsia="宋体" w:cs="Times New Roman"/>
          <w:color w:val="auto"/>
          <w:spacing w:val="0"/>
          <w:w w:val="100"/>
          <w:position w:val="0"/>
          <w:highlight w:val="none"/>
        </w:rPr>
        <w:instrText xml:space="preserve"> HYPERLINK "http://baike.baidu.com/view/630548.htm" </w:instrText>
      </w:r>
      <w:r>
        <w:rPr>
          <w:rFonts w:hint="default" w:ascii="Times New Roman" w:hAnsi="Times New Roman" w:eastAsia="宋体" w:cs="Times New Roman"/>
          <w:color w:val="auto"/>
          <w:spacing w:val="0"/>
          <w:w w:val="100"/>
          <w:position w:val="0"/>
          <w:highlight w:val="none"/>
        </w:rPr>
        <w:fldChar w:fldCharType="separate"/>
      </w:r>
      <w:r>
        <w:rPr>
          <w:rFonts w:hint="default" w:ascii="Times New Roman" w:hAnsi="Times New Roman" w:eastAsia="宋体" w:cs="Times New Roman"/>
          <w:color w:val="auto"/>
          <w:spacing w:val="0"/>
          <w:w w:val="100"/>
          <w:position w:val="0"/>
          <w:sz w:val="24"/>
          <w:highlight w:val="none"/>
        </w:rPr>
        <w:t>环境目标</w:t>
      </w:r>
      <w:r>
        <w:rPr>
          <w:rFonts w:hint="default" w:ascii="Times New Roman" w:hAnsi="Times New Roman" w:eastAsia="宋体" w:cs="Times New Roman"/>
          <w:color w:val="auto"/>
          <w:spacing w:val="0"/>
          <w:w w:val="100"/>
          <w:position w:val="0"/>
          <w:sz w:val="24"/>
          <w:highlight w:val="none"/>
        </w:rPr>
        <w:fldChar w:fldCharType="end"/>
      </w:r>
      <w:r>
        <w:rPr>
          <w:rFonts w:hint="default" w:ascii="Times New Roman" w:hAnsi="Times New Roman" w:eastAsia="宋体" w:cs="Times New Roman"/>
          <w:color w:val="auto"/>
          <w:spacing w:val="0"/>
          <w:w w:val="100"/>
          <w:position w:val="0"/>
          <w:sz w:val="24"/>
          <w:highlight w:val="none"/>
        </w:rPr>
        <w:t>而进行的一项综合性活动。根据《中华人民共和国</w:t>
      </w:r>
      <w:r>
        <w:rPr>
          <w:rFonts w:hint="eastAsia" w:ascii="Times New Roman" w:hAnsi="Times New Roman" w:cs="Times New Roman"/>
          <w:color w:val="auto"/>
          <w:spacing w:val="0"/>
          <w:w w:val="100"/>
          <w:position w:val="0"/>
          <w:sz w:val="24"/>
          <w:highlight w:val="none"/>
          <w:lang w:val="en-US" w:eastAsia="zh-CN"/>
        </w:rPr>
        <w:t>生态环境法典</w:t>
      </w:r>
      <w:r>
        <w:rPr>
          <w:rFonts w:hint="default" w:ascii="Times New Roman" w:hAnsi="Times New Roman" w:eastAsia="宋体" w:cs="Times New Roman"/>
          <w:color w:val="auto"/>
          <w:spacing w:val="0"/>
          <w:w w:val="100"/>
          <w:position w:val="0"/>
          <w:sz w:val="24"/>
          <w:highlight w:val="none"/>
        </w:rPr>
        <w:t>》规定，</w:t>
      </w:r>
      <w:r>
        <w:rPr>
          <w:rFonts w:hint="default" w:ascii="Times New Roman" w:hAnsi="Times New Roman" w:eastAsia="宋体" w:cs="Times New Roman"/>
          <w:color w:val="auto"/>
          <w:spacing w:val="0"/>
          <w:w w:val="100"/>
          <w:position w:val="0"/>
          <w:highlight w:val="none"/>
        </w:rPr>
        <w:fldChar w:fldCharType="begin"/>
      </w:r>
      <w:r>
        <w:rPr>
          <w:rFonts w:hint="default" w:ascii="Times New Roman" w:hAnsi="Times New Roman" w:eastAsia="宋体" w:cs="Times New Roman"/>
          <w:color w:val="auto"/>
          <w:spacing w:val="0"/>
          <w:w w:val="100"/>
          <w:position w:val="0"/>
          <w:highlight w:val="none"/>
        </w:rPr>
        <w:instrText xml:space="preserve"> HYPERLINK "http://baike.baidu.com/view/17491.htm" </w:instrText>
      </w:r>
      <w:r>
        <w:rPr>
          <w:rFonts w:hint="default" w:ascii="Times New Roman" w:hAnsi="Times New Roman" w:eastAsia="宋体" w:cs="Times New Roman"/>
          <w:color w:val="auto"/>
          <w:spacing w:val="0"/>
          <w:w w:val="100"/>
          <w:position w:val="0"/>
          <w:highlight w:val="none"/>
        </w:rPr>
        <w:fldChar w:fldCharType="separate"/>
      </w:r>
      <w:r>
        <w:rPr>
          <w:rFonts w:hint="default" w:ascii="Times New Roman" w:hAnsi="Times New Roman" w:eastAsia="宋体" w:cs="Times New Roman"/>
          <w:color w:val="auto"/>
          <w:spacing w:val="0"/>
          <w:w w:val="100"/>
          <w:position w:val="0"/>
          <w:sz w:val="24"/>
          <w:highlight w:val="none"/>
        </w:rPr>
        <w:t>国务院</w:t>
      </w:r>
      <w:r>
        <w:rPr>
          <w:rFonts w:hint="default" w:ascii="Times New Roman" w:hAnsi="Times New Roman" w:eastAsia="宋体" w:cs="Times New Roman"/>
          <w:color w:val="auto"/>
          <w:spacing w:val="0"/>
          <w:w w:val="100"/>
          <w:position w:val="0"/>
          <w:sz w:val="24"/>
          <w:highlight w:val="none"/>
        </w:rPr>
        <w:fldChar w:fldCharType="end"/>
      </w:r>
      <w:r>
        <w:rPr>
          <w:rFonts w:hint="default" w:ascii="Times New Roman" w:hAnsi="Times New Roman" w:eastAsia="宋体" w:cs="Times New Roman"/>
          <w:color w:val="auto"/>
          <w:spacing w:val="0"/>
          <w:w w:val="100"/>
          <w:position w:val="0"/>
          <w:sz w:val="24"/>
          <w:highlight w:val="none"/>
          <w:lang w:eastAsia="zh-CN"/>
        </w:rPr>
        <w:t>生态</w:t>
      </w:r>
      <w:r>
        <w:rPr>
          <w:rFonts w:hint="default" w:ascii="Times New Roman" w:hAnsi="Times New Roman" w:eastAsia="宋体" w:cs="Times New Roman"/>
          <w:color w:val="auto"/>
          <w:spacing w:val="0"/>
          <w:w w:val="100"/>
          <w:position w:val="0"/>
          <w:sz w:val="24"/>
          <w:highlight w:val="none"/>
        </w:rPr>
        <w:t>环境保护行政主管部门对全国环境保护工作实施统一监督管理。</w:t>
      </w:r>
    </w:p>
    <w:p w14:paraId="6FD04507">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《中华人民共和国</w:t>
      </w:r>
      <w:r>
        <w:rPr>
          <w:rFonts w:hint="eastAsia" w:ascii="Times New Roman" w:hAnsi="Times New Roman" w:cs="Times New Roman"/>
          <w:color w:val="auto"/>
          <w:spacing w:val="0"/>
          <w:w w:val="100"/>
          <w:position w:val="0"/>
          <w:sz w:val="24"/>
          <w:highlight w:val="none"/>
          <w:lang w:val="en-US" w:eastAsia="zh-CN"/>
        </w:rPr>
        <w:t>生态环境法典</w:t>
      </w:r>
      <w:r>
        <w:rPr>
          <w:rFonts w:hint="default" w:ascii="Times New Roman" w:hAnsi="Times New Roman" w:eastAsia="宋体" w:cs="Times New Roman"/>
          <w:color w:val="auto"/>
          <w:spacing w:val="0"/>
          <w:w w:val="100"/>
          <w:position w:val="0"/>
          <w:sz w:val="24"/>
          <w:highlight w:val="none"/>
        </w:rPr>
        <w:t>》第四章对我国长期以来实行的行之有效的环境</w:t>
      </w:r>
      <w:r>
        <w:rPr>
          <w:rFonts w:hint="default" w:ascii="Times New Roman" w:hAnsi="Times New Roman" w:eastAsia="宋体" w:cs="Times New Roman"/>
          <w:color w:val="auto"/>
          <w:spacing w:val="0"/>
          <w:w w:val="100"/>
          <w:position w:val="0"/>
          <w:highlight w:val="none"/>
        </w:rPr>
        <w:fldChar w:fldCharType="begin"/>
      </w:r>
      <w:r>
        <w:rPr>
          <w:rFonts w:hint="default" w:ascii="Times New Roman" w:hAnsi="Times New Roman" w:eastAsia="宋体" w:cs="Times New Roman"/>
          <w:color w:val="auto"/>
          <w:spacing w:val="0"/>
          <w:w w:val="100"/>
          <w:position w:val="0"/>
          <w:highlight w:val="none"/>
        </w:rPr>
        <w:instrText xml:space="preserve"> HYPERLINK "http://baike.baidu.com/view/673434.htm" </w:instrText>
      </w:r>
      <w:r>
        <w:rPr>
          <w:rFonts w:hint="default" w:ascii="Times New Roman" w:hAnsi="Times New Roman" w:eastAsia="宋体" w:cs="Times New Roman"/>
          <w:color w:val="auto"/>
          <w:spacing w:val="0"/>
          <w:w w:val="100"/>
          <w:position w:val="0"/>
          <w:highlight w:val="none"/>
        </w:rPr>
        <w:fldChar w:fldCharType="separate"/>
      </w:r>
      <w:r>
        <w:rPr>
          <w:rFonts w:hint="default" w:ascii="Times New Roman" w:hAnsi="Times New Roman" w:eastAsia="宋体" w:cs="Times New Roman"/>
          <w:color w:val="auto"/>
          <w:spacing w:val="0"/>
          <w:w w:val="100"/>
          <w:position w:val="0"/>
          <w:sz w:val="24"/>
          <w:highlight w:val="none"/>
        </w:rPr>
        <w:t>管理制度</w:t>
      </w:r>
      <w:r>
        <w:rPr>
          <w:rFonts w:hint="default" w:ascii="Times New Roman" w:hAnsi="Times New Roman" w:eastAsia="宋体" w:cs="Times New Roman"/>
          <w:color w:val="auto"/>
          <w:spacing w:val="0"/>
          <w:w w:val="100"/>
          <w:position w:val="0"/>
          <w:sz w:val="24"/>
          <w:highlight w:val="none"/>
        </w:rPr>
        <w:fldChar w:fldCharType="end"/>
      </w:r>
      <w:r>
        <w:rPr>
          <w:rFonts w:hint="default" w:ascii="Times New Roman" w:hAnsi="Times New Roman" w:eastAsia="宋体" w:cs="Times New Roman"/>
          <w:color w:val="auto"/>
          <w:spacing w:val="0"/>
          <w:w w:val="100"/>
          <w:position w:val="0"/>
          <w:sz w:val="24"/>
          <w:highlight w:val="none"/>
        </w:rPr>
        <w:t>进行了总结，并作出了11条规定。本次环境管理内容及制度均依据《中华人民共和国</w:t>
      </w:r>
      <w:r>
        <w:rPr>
          <w:rFonts w:hint="eastAsia" w:ascii="Times New Roman" w:hAnsi="Times New Roman" w:cs="Times New Roman"/>
          <w:color w:val="auto"/>
          <w:spacing w:val="0"/>
          <w:w w:val="100"/>
          <w:position w:val="0"/>
          <w:sz w:val="24"/>
          <w:highlight w:val="none"/>
          <w:lang w:val="en-US" w:eastAsia="zh-CN"/>
        </w:rPr>
        <w:t>生态环境法典</w:t>
      </w:r>
      <w:r>
        <w:rPr>
          <w:rFonts w:hint="default" w:ascii="Times New Roman" w:hAnsi="Times New Roman" w:eastAsia="宋体" w:cs="Times New Roman"/>
          <w:color w:val="auto"/>
          <w:spacing w:val="0"/>
          <w:w w:val="100"/>
          <w:position w:val="0"/>
          <w:sz w:val="24"/>
          <w:highlight w:val="none"/>
        </w:rPr>
        <w:t>》的规定严格</w:t>
      </w:r>
      <w:r>
        <w:rPr>
          <w:rFonts w:hint="eastAsia" w:ascii="Times New Roman" w:hAnsi="Times New Roman" w:cs="Times New Roman"/>
          <w:color w:val="auto"/>
          <w:spacing w:val="0"/>
          <w:w w:val="100"/>
          <w:position w:val="0"/>
          <w:sz w:val="24"/>
          <w:highlight w:val="none"/>
          <w:lang w:eastAsia="zh-CN"/>
        </w:rPr>
        <w:t>制定</w:t>
      </w:r>
      <w:r>
        <w:rPr>
          <w:rFonts w:hint="default" w:ascii="Times New Roman" w:hAnsi="Times New Roman" w:eastAsia="宋体" w:cs="Times New Roman"/>
          <w:color w:val="auto"/>
          <w:spacing w:val="0"/>
          <w:w w:val="100"/>
          <w:position w:val="0"/>
          <w:sz w:val="24"/>
          <w:highlight w:val="none"/>
        </w:rPr>
        <w:t>和执行。</w:t>
      </w:r>
    </w:p>
    <w:p w14:paraId="2CAECB3E">
      <w:pPr>
        <w:pStyle w:val="4"/>
        <w:numPr>
          <w:ilvl w:val="0"/>
          <w:numId w:val="0"/>
        </w:numPr>
        <w:rPr>
          <w:rFonts w:hint="default" w:ascii="Times New Roman" w:hAnsi="Times New Roman" w:eastAsia="宋体" w:cs="Times New Roman"/>
          <w:color w:val="auto"/>
          <w:spacing w:val="0"/>
          <w:w w:val="100"/>
          <w:position w:val="0"/>
          <w:highlight w:val="none"/>
        </w:rPr>
      </w:pPr>
      <w:bookmarkStart w:id="819" w:name="_Toc32352"/>
      <w:bookmarkStart w:id="820" w:name="_Toc25378"/>
      <w:bookmarkStart w:id="821" w:name="_Toc8628"/>
      <w:bookmarkStart w:id="822" w:name="_Toc18567"/>
      <w:r>
        <w:rPr>
          <w:rFonts w:hint="default" w:ascii="Times New Roman" w:hAnsi="Times New Roman" w:eastAsia="宋体" w:cs="Times New Roman"/>
          <w:color w:val="auto"/>
          <w:spacing w:val="0"/>
          <w:w w:val="100"/>
          <w:position w:val="0"/>
          <w:highlight w:val="none"/>
        </w:rPr>
        <w:t>8.1.2环境管理的目的及任务</w:t>
      </w:r>
      <w:bookmarkEnd w:id="819"/>
      <w:bookmarkEnd w:id="820"/>
      <w:bookmarkEnd w:id="821"/>
      <w:bookmarkEnd w:id="822"/>
    </w:p>
    <w:p w14:paraId="1494D493">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bookmarkStart w:id="823" w:name="_Toc99950977"/>
      <w:bookmarkStart w:id="824" w:name="_Toc99975509"/>
      <w:bookmarkStart w:id="825" w:name="_Toc172698697"/>
      <w:bookmarkStart w:id="826" w:name="_Toc180891809"/>
      <w:bookmarkStart w:id="827" w:name="_Toc170970694"/>
      <w:bookmarkStart w:id="828" w:name="_Toc164774412"/>
      <w:bookmarkStart w:id="829" w:name="_Toc149680597"/>
      <w:bookmarkStart w:id="830" w:name="_Toc149680834"/>
      <w:bookmarkStart w:id="831" w:name="_Toc179653310"/>
      <w:bookmarkStart w:id="832" w:name="_Toc153689586"/>
      <w:bookmarkStart w:id="833" w:name="_Toc179522850"/>
      <w:bookmarkStart w:id="834" w:name="_Toc168317239"/>
      <w:bookmarkStart w:id="835" w:name="_Toc170869098"/>
      <w:bookmarkStart w:id="836" w:name="_Toc245882805"/>
      <w:bookmarkStart w:id="837" w:name="_Toc187800072"/>
      <w:r>
        <w:rPr>
          <w:rFonts w:hint="default" w:ascii="Times New Roman" w:hAnsi="Times New Roman" w:eastAsia="宋体" w:cs="Times New Roman"/>
          <w:color w:val="auto"/>
          <w:spacing w:val="0"/>
          <w:w w:val="100"/>
          <w:position w:val="0"/>
          <w:sz w:val="24"/>
          <w:highlight w:val="none"/>
        </w:rPr>
        <w:t>1、环境管理的目的</w:t>
      </w:r>
    </w:p>
    <w:p w14:paraId="59CB59F6">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环境管理是环境保护工作的重要内容之一，是现代企业管理的重要组成部分，与企业内部生产管理、劳动管理、财务管理、安全管理同等重要。</w:t>
      </w:r>
      <w:bookmarkEnd w:id="823"/>
      <w:bookmarkEnd w:id="824"/>
    </w:p>
    <w:p w14:paraId="0B9BC102">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随着国家环境管理力度的加强，环保</w:t>
      </w:r>
      <w:r>
        <w:rPr>
          <w:rFonts w:hint="default" w:ascii="Times New Roman" w:hAnsi="Times New Roman" w:eastAsia="宋体" w:cs="Times New Roman"/>
          <w:color w:val="auto"/>
          <w:spacing w:val="0"/>
          <w:w w:val="100"/>
          <w:position w:val="0"/>
          <w:sz w:val="24"/>
          <w:highlight w:val="none"/>
          <w:lang w:eastAsia="zh-CN"/>
        </w:rPr>
        <w:t>法律法规</w:t>
      </w:r>
      <w:r>
        <w:rPr>
          <w:rFonts w:hint="default" w:ascii="Times New Roman" w:hAnsi="Times New Roman" w:eastAsia="宋体" w:cs="Times New Roman"/>
          <w:color w:val="auto"/>
          <w:spacing w:val="0"/>
          <w:w w:val="100"/>
          <w:position w:val="0"/>
          <w:sz w:val="24"/>
          <w:highlight w:val="none"/>
        </w:rPr>
        <w:t>的完善及全民环境意识的增强，对企业环境保护工作要求也不断提高，这就</w:t>
      </w:r>
      <w:r>
        <w:rPr>
          <w:rFonts w:hint="eastAsia" w:ascii="Times New Roman" w:hAnsi="Times New Roman" w:eastAsia="宋体" w:cs="Times New Roman"/>
          <w:color w:val="auto"/>
          <w:spacing w:val="0"/>
          <w:w w:val="100"/>
          <w:position w:val="0"/>
          <w:sz w:val="24"/>
          <w:highlight w:val="none"/>
          <w:lang w:eastAsia="zh-CN"/>
        </w:rPr>
        <w:t>要求</w:t>
      </w:r>
      <w:r>
        <w:rPr>
          <w:rFonts w:hint="default" w:ascii="Times New Roman" w:hAnsi="Times New Roman" w:eastAsia="宋体" w:cs="Times New Roman"/>
          <w:color w:val="auto"/>
          <w:spacing w:val="0"/>
          <w:w w:val="100"/>
          <w:position w:val="0"/>
          <w:sz w:val="24"/>
          <w:highlight w:val="none"/>
        </w:rPr>
        <w:t>企业要加强自身环境管理机构建设，健全环境管理制度，制定环境管理职责，并将其列入企业议事日程，对企业内部生产、经营过程中发生或可能发生的环境问题进行深入细致的研究，制定合理污染防治方案以达到既发展生产，增加经济效益，又保护环境的目的。</w:t>
      </w:r>
      <w:bookmarkStart w:id="838" w:name="_Toc21951"/>
      <w:bookmarkStart w:id="839" w:name="_Toc12054"/>
    </w:p>
    <w:p w14:paraId="01B88634">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2、环境管理的任务</w:t>
      </w:r>
    </w:p>
    <w:p w14:paraId="2998C225">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对于项目来说，环境管理的基本任务是：控制污染物排放量，避免污染物对环境质量的损害。</w:t>
      </w:r>
    </w:p>
    <w:p w14:paraId="5A1FA4D3">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为了控制污染物的排放，就需要加强计划、生产、技术、质量、设备、劳动、财务等方面的管理，把环境管理渗透到整个企业管理中，将环境管理融合在一起，以减少从生产过程中各环节排出的污染物。</w:t>
      </w:r>
    </w:p>
    <w:p w14:paraId="3194213A">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项目</w:t>
      </w:r>
      <w:r>
        <w:rPr>
          <w:rFonts w:hint="default" w:ascii="Times New Roman" w:hAnsi="Times New Roman" w:eastAsia="宋体" w:cs="Times New Roman"/>
          <w:color w:val="auto"/>
          <w:spacing w:val="0"/>
          <w:w w:val="100"/>
          <w:position w:val="0"/>
          <w:sz w:val="24"/>
          <w:highlight w:val="none"/>
          <w:lang w:val="en-US" w:eastAsia="zh-CN"/>
        </w:rPr>
        <w:t>需把</w:t>
      </w:r>
      <w:r>
        <w:rPr>
          <w:rFonts w:hint="default" w:ascii="Times New Roman" w:hAnsi="Times New Roman" w:eastAsia="宋体" w:cs="Times New Roman"/>
          <w:color w:val="auto"/>
          <w:spacing w:val="0"/>
          <w:w w:val="100"/>
          <w:position w:val="0"/>
          <w:sz w:val="24"/>
          <w:highlight w:val="none"/>
        </w:rPr>
        <w:t>环境管理作为工业企业管理的重要组成部分，建立环境污染管理系统、制度、环境规划、协调发展生</w:t>
      </w:r>
      <w:r>
        <w:rPr>
          <w:rFonts w:hint="eastAsia" w:ascii="Times New Roman" w:hAnsi="Times New Roman" w:eastAsia="宋体" w:cs="Times New Roman"/>
          <w:color w:val="auto"/>
          <w:spacing w:val="0"/>
          <w:w w:val="100"/>
          <w:position w:val="0"/>
          <w:sz w:val="24"/>
          <w:highlight w:val="none"/>
          <w:lang w:eastAsia="zh-CN"/>
        </w:rPr>
        <w:t>产和</w:t>
      </w:r>
      <w:r>
        <w:rPr>
          <w:rFonts w:hint="default" w:ascii="Times New Roman" w:hAnsi="Times New Roman" w:eastAsia="宋体" w:cs="Times New Roman"/>
          <w:color w:val="auto"/>
          <w:spacing w:val="0"/>
          <w:w w:val="100"/>
          <w:position w:val="0"/>
          <w:sz w:val="24"/>
          <w:highlight w:val="none"/>
        </w:rPr>
        <w:t>保护环境的关系，使生产管理系统、制度、环境污染规划协调生产与保护环境的关系，使生产目标与环境目标统一起来，经济效益与环境效益统一起来。</w:t>
      </w:r>
    </w:p>
    <w:p w14:paraId="0C831500">
      <w:pPr>
        <w:pStyle w:val="4"/>
        <w:numPr>
          <w:ilvl w:val="0"/>
          <w:numId w:val="0"/>
        </w:numPr>
        <w:rPr>
          <w:rFonts w:hint="default" w:ascii="Times New Roman" w:hAnsi="Times New Roman" w:eastAsia="宋体" w:cs="Times New Roman"/>
          <w:color w:val="auto"/>
          <w:spacing w:val="0"/>
          <w:w w:val="100"/>
          <w:position w:val="0"/>
          <w:highlight w:val="none"/>
        </w:rPr>
      </w:pPr>
      <w:bookmarkStart w:id="840" w:name="_Toc19251"/>
      <w:bookmarkStart w:id="841" w:name="_Toc7864"/>
      <w:bookmarkStart w:id="842" w:name="_Toc29602"/>
      <w:bookmarkStart w:id="843" w:name="_Toc25678"/>
      <w:r>
        <w:rPr>
          <w:rFonts w:hint="default" w:ascii="Times New Roman" w:hAnsi="Times New Roman" w:eastAsia="宋体" w:cs="Times New Roman"/>
          <w:color w:val="auto"/>
          <w:spacing w:val="0"/>
          <w:w w:val="100"/>
          <w:position w:val="0"/>
          <w:highlight w:val="none"/>
        </w:rPr>
        <w:t>8.1.3环境管理机构</w:t>
      </w:r>
      <w:bookmarkEnd w:id="838"/>
      <w:bookmarkEnd w:id="839"/>
      <w:bookmarkEnd w:id="840"/>
      <w:bookmarkEnd w:id="841"/>
      <w:bookmarkEnd w:id="842"/>
      <w:bookmarkEnd w:id="843"/>
    </w:p>
    <w:p w14:paraId="5CF53D15">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项目</w:t>
      </w:r>
      <w:r>
        <w:rPr>
          <w:rFonts w:hint="default" w:ascii="Times New Roman" w:hAnsi="Times New Roman" w:eastAsia="宋体" w:cs="Times New Roman"/>
          <w:color w:val="auto"/>
          <w:spacing w:val="0"/>
          <w:w w:val="100"/>
          <w:position w:val="0"/>
          <w:sz w:val="24"/>
          <w:highlight w:val="none"/>
          <w:lang w:val="en-US" w:eastAsia="zh-CN"/>
        </w:rPr>
        <w:t>后期</w:t>
      </w:r>
      <w:r>
        <w:rPr>
          <w:rFonts w:hint="default" w:ascii="Times New Roman" w:hAnsi="Times New Roman" w:eastAsia="宋体" w:cs="Times New Roman"/>
          <w:color w:val="auto"/>
          <w:spacing w:val="0"/>
          <w:w w:val="100"/>
          <w:position w:val="0"/>
          <w:sz w:val="24"/>
          <w:highlight w:val="none"/>
        </w:rPr>
        <w:t>成立</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事故防范和应急处理指挥小组</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和</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环保工作领导小组</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val="en-US" w:eastAsia="zh-CN"/>
        </w:rPr>
        <w:t>小组</w:t>
      </w:r>
      <w:r>
        <w:rPr>
          <w:rFonts w:hint="default" w:ascii="Times New Roman" w:hAnsi="Times New Roman" w:eastAsia="宋体" w:cs="Times New Roman"/>
          <w:color w:val="auto"/>
          <w:spacing w:val="0"/>
          <w:w w:val="100"/>
          <w:position w:val="0"/>
          <w:sz w:val="24"/>
          <w:highlight w:val="none"/>
        </w:rPr>
        <w:t>由2</w:t>
      </w:r>
      <w:r>
        <w:rPr>
          <w:rFonts w:hint="default" w:ascii="Times New Roman" w:hAnsi="Times New Roman" w:eastAsia="宋体" w:cs="Times New Roman"/>
          <w:color w:val="auto"/>
          <w:spacing w:val="0"/>
          <w:w w:val="100"/>
          <w:position w:val="0"/>
          <w:sz w:val="24"/>
          <w:highlight w:val="none"/>
          <w:lang w:val="en-US" w:eastAsia="zh-CN"/>
        </w:rPr>
        <w:t>~</w:t>
      </w:r>
      <w:r>
        <w:rPr>
          <w:rFonts w:hint="default" w:ascii="Times New Roman" w:hAnsi="Times New Roman" w:eastAsia="宋体" w:cs="Times New Roman"/>
          <w:color w:val="auto"/>
          <w:spacing w:val="0"/>
          <w:w w:val="100"/>
          <w:position w:val="0"/>
          <w:sz w:val="24"/>
          <w:highlight w:val="none"/>
        </w:rPr>
        <w:t>3名专职管理人员组成，负责项目环保管理工作和处理环保日常事务。公司生产组织采用董事会领导下的总经理负责制，在总经理的领导下实行三级管理：一级为公司主管领导；二级为安全</w:t>
      </w:r>
      <w:r>
        <w:rPr>
          <w:rFonts w:hint="default" w:ascii="Times New Roman" w:hAnsi="Times New Roman" w:eastAsia="宋体" w:cs="Times New Roman"/>
          <w:color w:val="auto"/>
          <w:spacing w:val="0"/>
          <w:w w:val="100"/>
          <w:position w:val="0"/>
          <w:sz w:val="24"/>
          <w:highlight w:val="none"/>
          <w:lang w:val="en-US" w:eastAsia="zh-CN"/>
        </w:rPr>
        <w:t>环保部</w:t>
      </w:r>
      <w:r>
        <w:rPr>
          <w:rFonts w:hint="default" w:ascii="Times New Roman" w:hAnsi="Times New Roman" w:eastAsia="宋体" w:cs="Times New Roman"/>
          <w:color w:val="auto"/>
          <w:spacing w:val="0"/>
          <w:w w:val="100"/>
          <w:position w:val="0"/>
          <w:sz w:val="24"/>
          <w:highlight w:val="none"/>
        </w:rPr>
        <w:t>、</w:t>
      </w:r>
      <w:r>
        <w:rPr>
          <w:rFonts w:hint="default" w:ascii="Times New Roman" w:hAnsi="Times New Roman" w:eastAsia="宋体" w:cs="Times New Roman"/>
          <w:color w:val="auto"/>
          <w:spacing w:val="0"/>
          <w:w w:val="100"/>
          <w:position w:val="0"/>
          <w:sz w:val="24"/>
          <w:highlight w:val="none"/>
          <w:lang w:val="en-US" w:eastAsia="zh-CN"/>
        </w:rPr>
        <w:t>生产技术部</w:t>
      </w:r>
      <w:r>
        <w:rPr>
          <w:rFonts w:hint="default" w:ascii="Times New Roman" w:hAnsi="Times New Roman" w:eastAsia="宋体" w:cs="Times New Roman"/>
          <w:color w:val="auto"/>
          <w:spacing w:val="0"/>
          <w:w w:val="100"/>
          <w:position w:val="0"/>
          <w:sz w:val="24"/>
          <w:highlight w:val="none"/>
        </w:rPr>
        <w:t>和环卫办；三级为各生产环节专、兼职环保人员。</w:t>
      </w:r>
    </w:p>
    <w:p w14:paraId="2CDB8888">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环境管理机构的职责：</w:t>
      </w:r>
    </w:p>
    <w:p w14:paraId="60D17447">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（1）贯彻执行环境污染保护法和标准；</w:t>
      </w:r>
    </w:p>
    <w:p w14:paraId="4C02D53B">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（2）组织制定和修改企业的环境污染保护管理体</w:t>
      </w:r>
      <w:r>
        <w:rPr>
          <w:rFonts w:hint="eastAsia" w:ascii="Times New Roman" w:hAnsi="Times New Roman" w:eastAsia="宋体" w:cs="Times New Roman"/>
          <w:color w:val="auto"/>
          <w:spacing w:val="0"/>
          <w:w w:val="100"/>
          <w:position w:val="0"/>
          <w:sz w:val="24"/>
          <w:highlight w:val="none"/>
          <w:lang w:eastAsia="zh-CN"/>
        </w:rPr>
        <w:t>制和</w:t>
      </w:r>
      <w:r>
        <w:rPr>
          <w:rFonts w:hint="default" w:ascii="Times New Roman" w:hAnsi="Times New Roman" w:eastAsia="宋体" w:cs="Times New Roman"/>
          <w:color w:val="auto"/>
          <w:spacing w:val="0"/>
          <w:w w:val="100"/>
          <w:position w:val="0"/>
          <w:sz w:val="24"/>
          <w:highlight w:val="none"/>
        </w:rPr>
        <w:t>规章制度，并监督执行；</w:t>
      </w:r>
    </w:p>
    <w:p w14:paraId="5234822F">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（3）制定并组织实施环境保护规划和标准；</w:t>
      </w:r>
    </w:p>
    <w:p w14:paraId="6FA331DF">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（4）检查企业环境保护规划和计划；</w:t>
      </w:r>
    </w:p>
    <w:p w14:paraId="19D0486E">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（5）建立资料库，管理污染源监测数据及资料的收集与存档；</w:t>
      </w:r>
    </w:p>
    <w:p w14:paraId="2F5DF1ED">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（6）加强安全生产教育，制定定期维修机器设备制度；</w:t>
      </w:r>
    </w:p>
    <w:p w14:paraId="1BFCD1C6">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（7）监督</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三同时</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的执行情况，尤其重视污染处理措施的运行效果。</w:t>
      </w:r>
    </w:p>
    <w:p w14:paraId="26F2EB58">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（8）监督检查环保处理设施和环保设备的运行情况；</w:t>
      </w:r>
    </w:p>
    <w:p w14:paraId="676E85B9">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（9）负责企业生产过程中发生的各种环境污染事故的调查及应急处理；</w:t>
      </w:r>
    </w:p>
    <w:p w14:paraId="5ECDF119">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（10）负责企业其他日常环境管理工作。</w:t>
      </w:r>
    </w:p>
    <w:p w14:paraId="546ED409">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（11）积极配合当地</w:t>
      </w:r>
      <w:r>
        <w:rPr>
          <w:rFonts w:hint="default" w:ascii="Times New Roman" w:hAnsi="Times New Roman" w:eastAsia="宋体" w:cs="Times New Roman"/>
          <w:color w:val="auto"/>
          <w:spacing w:val="0"/>
          <w:w w:val="100"/>
          <w:position w:val="0"/>
          <w:sz w:val="24"/>
          <w:highlight w:val="none"/>
          <w:lang w:eastAsia="zh-CN"/>
        </w:rPr>
        <w:t>生态环境主管部门</w:t>
      </w:r>
      <w:r>
        <w:rPr>
          <w:rFonts w:hint="default" w:ascii="Times New Roman" w:hAnsi="Times New Roman" w:eastAsia="宋体" w:cs="Times New Roman"/>
          <w:color w:val="auto"/>
          <w:spacing w:val="0"/>
          <w:w w:val="100"/>
          <w:position w:val="0"/>
          <w:sz w:val="24"/>
          <w:highlight w:val="none"/>
        </w:rPr>
        <w:t>的环境管理和环境监测工作。</w:t>
      </w:r>
    </w:p>
    <w:p w14:paraId="6A0C84AB">
      <w:pPr>
        <w:pStyle w:val="4"/>
        <w:numPr>
          <w:ilvl w:val="0"/>
          <w:numId w:val="0"/>
        </w:numPr>
        <w:rPr>
          <w:rFonts w:hint="default" w:ascii="Times New Roman" w:hAnsi="Times New Roman" w:eastAsia="宋体" w:cs="Times New Roman"/>
          <w:color w:val="auto"/>
          <w:spacing w:val="0"/>
          <w:w w:val="100"/>
          <w:position w:val="0"/>
          <w:highlight w:val="none"/>
        </w:rPr>
      </w:pPr>
      <w:bookmarkStart w:id="844" w:name="_Toc7683"/>
      <w:bookmarkStart w:id="845" w:name="_Toc11215"/>
      <w:bookmarkStart w:id="846" w:name="_Toc22883"/>
      <w:bookmarkStart w:id="847" w:name="_Toc32358"/>
      <w:r>
        <w:rPr>
          <w:rFonts w:hint="default" w:ascii="Times New Roman" w:hAnsi="Times New Roman" w:eastAsia="宋体" w:cs="Times New Roman"/>
          <w:color w:val="auto"/>
          <w:spacing w:val="0"/>
          <w:w w:val="100"/>
          <w:position w:val="0"/>
          <w:highlight w:val="none"/>
        </w:rPr>
        <w:t>8.1.4环境管理内容</w:t>
      </w:r>
      <w:bookmarkEnd w:id="844"/>
      <w:bookmarkEnd w:id="845"/>
      <w:bookmarkEnd w:id="846"/>
      <w:bookmarkEnd w:id="847"/>
    </w:p>
    <w:p w14:paraId="70AC914C">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sz w:val="24"/>
          <w:highlight w:val="none"/>
        </w:rPr>
        <w:t>1、施工期环境管理内容</w:t>
      </w:r>
    </w:p>
    <w:p w14:paraId="4B21F9A6">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（1）哈密市金石矿业有限责任公司应与</w:t>
      </w:r>
      <w:r>
        <w:rPr>
          <w:rFonts w:hint="default" w:ascii="Times New Roman" w:hAnsi="Times New Roman" w:eastAsia="宋体" w:cs="Times New Roman"/>
          <w:color w:val="auto"/>
          <w:spacing w:val="0"/>
          <w:w w:val="100"/>
          <w:position w:val="0"/>
          <w:highlight w:val="none"/>
          <w:lang w:val="en-US" w:eastAsia="zh-CN"/>
        </w:rPr>
        <w:t>本次环评</w:t>
      </w:r>
      <w:r>
        <w:rPr>
          <w:rFonts w:hint="default" w:ascii="Times New Roman" w:hAnsi="Times New Roman" w:eastAsia="宋体" w:cs="Times New Roman"/>
          <w:color w:val="auto"/>
          <w:spacing w:val="0"/>
          <w:w w:val="100"/>
          <w:position w:val="0"/>
          <w:highlight w:val="none"/>
        </w:rPr>
        <w:t>项目的施工单位协商，将施工期环境保护责任纳入双方合同文本，要求施工单位认真落实施工的环境保护措施。</w:t>
      </w:r>
    </w:p>
    <w:p w14:paraId="3671CDCC">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（2）施工单位</w:t>
      </w:r>
      <w:r>
        <w:rPr>
          <w:rFonts w:hint="default" w:ascii="Times New Roman" w:hAnsi="Times New Roman" w:eastAsia="宋体" w:cs="Times New Roman"/>
          <w:color w:val="auto"/>
          <w:spacing w:val="0"/>
          <w:w w:val="100"/>
          <w:position w:val="0"/>
          <w:highlight w:val="none"/>
          <w:lang w:val="en-US" w:eastAsia="zh-CN"/>
        </w:rPr>
        <w:t>须</w:t>
      </w:r>
      <w:r>
        <w:rPr>
          <w:rFonts w:hint="default" w:ascii="Times New Roman" w:hAnsi="Times New Roman" w:eastAsia="宋体" w:cs="Times New Roman"/>
          <w:color w:val="auto"/>
          <w:spacing w:val="0"/>
          <w:w w:val="100"/>
          <w:position w:val="0"/>
          <w:highlight w:val="none"/>
        </w:rPr>
        <w:t>严格按照环评报告书及批复要求</w:t>
      </w:r>
      <w:r>
        <w:rPr>
          <w:rFonts w:hint="default" w:ascii="Times New Roman" w:hAnsi="Times New Roman" w:eastAsia="宋体" w:cs="Times New Roman"/>
          <w:color w:val="auto"/>
          <w:spacing w:val="0"/>
          <w:w w:val="100"/>
          <w:position w:val="0"/>
          <w:highlight w:val="none"/>
          <w:lang w:val="en-US" w:eastAsia="zh-CN"/>
        </w:rPr>
        <w:t>进行合理施工</w:t>
      </w:r>
      <w:r>
        <w:rPr>
          <w:rFonts w:hint="default" w:ascii="Times New Roman" w:hAnsi="Times New Roman" w:eastAsia="宋体" w:cs="Times New Roman"/>
          <w:color w:val="auto"/>
          <w:spacing w:val="0"/>
          <w:w w:val="100"/>
          <w:position w:val="0"/>
          <w:highlight w:val="none"/>
        </w:rPr>
        <w:t>，尽最大可能地减少地表扰动面积。</w:t>
      </w:r>
    </w:p>
    <w:p w14:paraId="0F6A7E79">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（3）施工单位应配备专职环境管理人员，负责各类污染源的现场监控和管理，尤其是应严格控制高噪声、高振动施工设备的施工时间；严格限制粉状物料的露天堆放；严格控制进出施工场地车辆物料遗撒。</w:t>
      </w:r>
    </w:p>
    <w:p w14:paraId="5565781D">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（4）专职环境管理人员应做好文明施工的宣传工作，借助黑板报、宣传栏等工具对施工工人进行环境保护教育。</w:t>
      </w:r>
    </w:p>
    <w:p w14:paraId="1C2047A3">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（5）工程施工单位应自觉接受</w:t>
      </w:r>
      <w:r>
        <w:rPr>
          <w:rFonts w:hint="default" w:ascii="Times New Roman" w:hAnsi="Times New Roman" w:eastAsia="宋体" w:cs="Times New Roman"/>
          <w:color w:val="auto"/>
          <w:spacing w:val="0"/>
          <w:w w:val="100"/>
          <w:position w:val="0"/>
          <w:highlight w:val="none"/>
          <w:lang w:eastAsia="zh-CN"/>
        </w:rPr>
        <w:t>生态环境管理部门</w:t>
      </w:r>
      <w:r>
        <w:rPr>
          <w:rFonts w:hint="default" w:ascii="Times New Roman" w:hAnsi="Times New Roman" w:eastAsia="宋体" w:cs="Times New Roman"/>
          <w:color w:val="auto"/>
          <w:spacing w:val="0"/>
          <w:w w:val="100"/>
          <w:position w:val="0"/>
          <w:highlight w:val="none"/>
        </w:rPr>
        <w:t>的监督指导，主动配合</w:t>
      </w:r>
      <w:r>
        <w:rPr>
          <w:rFonts w:hint="default" w:ascii="Times New Roman" w:hAnsi="Times New Roman" w:eastAsia="宋体" w:cs="Times New Roman"/>
          <w:color w:val="auto"/>
          <w:spacing w:val="0"/>
          <w:w w:val="100"/>
          <w:position w:val="0"/>
          <w:highlight w:val="none"/>
          <w:lang w:eastAsia="zh-CN"/>
        </w:rPr>
        <w:t>生态</w:t>
      </w:r>
      <w:r>
        <w:rPr>
          <w:rFonts w:hint="default" w:ascii="Times New Roman" w:hAnsi="Times New Roman" w:eastAsia="宋体" w:cs="Times New Roman"/>
          <w:color w:val="auto"/>
          <w:spacing w:val="0"/>
          <w:w w:val="100"/>
          <w:position w:val="0"/>
          <w:highlight w:val="none"/>
        </w:rPr>
        <w:t>环境主管部门搞好项目施工期的环境保护工作。</w:t>
      </w:r>
    </w:p>
    <w:p w14:paraId="44D25697">
      <w:pPr>
        <w:pStyle w:val="65"/>
        <w:keepNext w:val="0"/>
        <w:keepLines w:val="0"/>
        <w:pageBreakBefore w:val="0"/>
        <w:widowControl w:val="0"/>
        <w:kinsoku/>
        <w:wordWrap/>
        <w:overflowPunct/>
        <w:topLinePunct w:val="0"/>
        <w:autoSpaceDE/>
        <w:autoSpaceDN/>
        <w:bidi w:val="0"/>
        <w:adjustRightInd/>
        <w:snapToGrid/>
        <w:spacing w:line="480" w:lineRule="exact"/>
        <w:ind w:firstLine="482"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（6）</w:t>
      </w:r>
      <w:r>
        <w:rPr>
          <w:rFonts w:hint="default" w:ascii="Times New Roman" w:hAnsi="Times New Roman" w:eastAsia="宋体" w:cs="Times New Roman"/>
          <w:color w:val="auto"/>
          <w:spacing w:val="0"/>
          <w:w w:val="100"/>
          <w:position w:val="0"/>
          <w:highlight w:val="none"/>
          <w:lang w:val="en-US" w:eastAsia="zh-CN"/>
        </w:rPr>
        <w:t>建议</w:t>
      </w:r>
      <w:r>
        <w:rPr>
          <w:rFonts w:hint="default" w:ascii="Times New Roman" w:hAnsi="Times New Roman" w:eastAsia="宋体" w:cs="Times New Roman"/>
          <w:color w:val="auto"/>
          <w:spacing w:val="0"/>
          <w:w w:val="100"/>
          <w:position w:val="0"/>
          <w:highlight w:val="none"/>
        </w:rPr>
        <w:t>建设单位按有关施工招标程序设置环境监理，并在当地</w:t>
      </w:r>
      <w:r>
        <w:rPr>
          <w:rFonts w:hint="default" w:ascii="Times New Roman" w:hAnsi="Times New Roman" w:eastAsia="宋体" w:cs="Times New Roman"/>
          <w:color w:val="auto"/>
          <w:spacing w:val="0"/>
          <w:w w:val="100"/>
          <w:position w:val="0"/>
          <w:highlight w:val="none"/>
          <w:lang w:val="en-US" w:eastAsia="zh-CN"/>
        </w:rPr>
        <w:t>生态环境</w:t>
      </w:r>
      <w:r>
        <w:rPr>
          <w:rFonts w:hint="default" w:ascii="Times New Roman" w:hAnsi="Times New Roman" w:eastAsia="宋体" w:cs="Times New Roman"/>
          <w:color w:val="auto"/>
          <w:spacing w:val="0"/>
          <w:w w:val="100"/>
          <w:position w:val="0"/>
          <w:highlight w:val="none"/>
        </w:rPr>
        <w:t>部门的监督指导下，全面、规范地进行施工期的环境监理，以确保将施工期的生态环境影响降到最低。</w:t>
      </w:r>
    </w:p>
    <w:p w14:paraId="49F25FE1">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2、运营期环境管理内容</w:t>
      </w:r>
    </w:p>
    <w:p w14:paraId="0B264A04">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（1）公司领导管理内容</w:t>
      </w:r>
    </w:p>
    <w:p w14:paraId="2F6E010D">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①负责贯彻国家环境保护法、环境保护方针和政策。</w:t>
      </w:r>
    </w:p>
    <w:p w14:paraId="0CF592FB">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②负责建立完整的环保机构，保证人员的落实。</w:t>
      </w:r>
    </w:p>
    <w:p w14:paraId="78582C1C">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（2）</w:t>
      </w:r>
      <w:r>
        <w:rPr>
          <w:rFonts w:hint="default" w:ascii="Times New Roman" w:hAnsi="Times New Roman" w:eastAsia="宋体" w:cs="Times New Roman"/>
          <w:color w:val="auto"/>
          <w:spacing w:val="0"/>
          <w:w w:val="100"/>
          <w:kern w:val="24"/>
          <w:position w:val="0"/>
          <w:highlight w:val="none"/>
          <w:lang w:eastAsia="zh-CN"/>
        </w:rPr>
        <w:t>安全环保部</w:t>
      </w:r>
      <w:r>
        <w:rPr>
          <w:rFonts w:hint="default" w:ascii="Times New Roman" w:hAnsi="Times New Roman" w:eastAsia="宋体" w:cs="Times New Roman"/>
          <w:color w:val="auto"/>
          <w:spacing w:val="0"/>
          <w:w w:val="100"/>
          <w:kern w:val="24"/>
          <w:position w:val="0"/>
          <w:highlight w:val="none"/>
        </w:rPr>
        <w:t>管理内容</w:t>
      </w:r>
    </w:p>
    <w:p w14:paraId="3774A2A5">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①贯彻公司或上级</w:t>
      </w:r>
      <w:r>
        <w:rPr>
          <w:rFonts w:hint="default" w:ascii="Times New Roman" w:hAnsi="Times New Roman" w:eastAsia="宋体" w:cs="Times New Roman"/>
          <w:color w:val="auto"/>
          <w:spacing w:val="0"/>
          <w:w w:val="100"/>
          <w:kern w:val="24"/>
          <w:position w:val="0"/>
          <w:highlight w:val="none"/>
          <w:lang w:eastAsia="zh-CN"/>
        </w:rPr>
        <w:t>生态环境</w:t>
      </w:r>
      <w:r>
        <w:rPr>
          <w:rFonts w:hint="default" w:ascii="Times New Roman" w:hAnsi="Times New Roman" w:eastAsia="宋体" w:cs="Times New Roman"/>
          <w:color w:val="auto"/>
          <w:spacing w:val="0"/>
          <w:w w:val="100"/>
          <w:kern w:val="24"/>
          <w:position w:val="0"/>
          <w:highlight w:val="none"/>
        </w:rPr>
        <w:t>有关的环保制度和规定。在公司领导下，做好生产区、办公区及其所属道路的绿化、美化工作。组织安排职工参加植树、种草等绿化及生态恢复工作。</w:t>
      </w:r>
    </w:p>
    <w:p w14:paraId="649ED562">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②汇总、编报环保年度计划及规划，并监督、检查执行情况。</w:t>
      </w:r>
    </w:p>
    <w:p w14:paraId="2CA3AC25">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lang w:val="en-US" w:eastAsia="zh-CN"/>
        </w:rPr>
        <w:t>③</w:t>
      </w:r>
      <w:r>
        <w:rPr>
          <w:rFonts w:hint="default" w:ascii="Times New Roman" w:hAnsi="Times New Roman" w:eastAsia="宋体" w:cs="Times New Roman"/>
          <w:color w:val="auto"/>
          <w:spacing w:val="0"/>
          <w:w w:val="100"/>
          <w:kern w:val="24"/>
          <w:position w:val="0"/>
          <w:highlight w:val="none"/>
        </w:rPr>
        <w:t>检查、督促各处室做好卫生、绿化工作。组织做好垃圾的定点堆放和清运工作。保证清洁人员按指定地段每日将道路清扫干净，控制路面扬尘、减少无组织排放。</w:t>
      </w:r>
    </w:p>
    <w:p w14:paraId="0D6E9CA1">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④制定环境质量控制指标，提出环保考核项目和经济承包有关奖罚规定。</w:t>
      </w:r>
    </w:p>
    <w:p w14:paraId="442761E5">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⑤参与污染事故调查，并向上级主管部门提出书面报告。</w:t>
      </w:r>
    </w:p>
    <w:p w14:paraId="70E1563E">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lang w:val="en-US" w:eastAsia="zh-CN"/>
        </w:rPr>
        <w:t>⑥</w:t>
      </w:r>
      <w:r>
        <w:rPr>
          <w:rFonts w:hint="default" w:ascii="Times New Roman" w:hAnsi="Times New Roman" w:eastAsia="宋体" w:cs="Times New Roman"/>
          <w:color w:val="auto"/>
          <w:spacing w:val="0"/>
          <w:w w:val="100"/>
          <w:kern w:val="24"/>
          <w:position w:val="0"/>
          <w:highlight w:val="none"/>
        </w:rPr>
        <w:t>对污染源进行监督管理，贯彻预防为主的方针，发现问题，及时向上级主管部门汇报，下达环保整改通知书，强化管理。</w:t>
      </w:r>
    </w:p>
    <w:p w14:paraId="79A5C28A">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lang w:val="en-US" w:eastAsia="zh-CN"/>
        </w:rPr>
        <w:t>⑦</w:t>
      </w:r>
      <w:r>
        <w:rPr>
          <w:rFonts w:hint="default" w:ascii="Times New Roman" w:hAnsi="Times New Roman" w:eastAsia="宋体" w:cs="Times New Roman"/>
          <w:color w:val="auto"/>
          <w:spacing w:val="0"/>
          <w:w w:val="100"/>
          <w:kern w:val="24"/>
          <w:position w:val="0"/>
          <w:highlight w:val="none"/>
        </w:rPr>
        <w:t>对环境保护的先进经验、先进技术进行推广和应用。</w:t>
      </w:r>
    </w:p>
    <w:p w14:paraId="30414723">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lang w:val="en-US" w:eastAsia="zh-CN"/>
        </w:rPr>
        <w:t>⑧</w:t>
      </w:r>
      <w:r>
        <w:rPr>
          <w:rFonts w:hint="default" w:ascii="Times New Roman" w:hAnsi="Times New Roman" w:eastAsia="宋体" w:cs="Times New Roman"/>
          <w:color w:val="auto"/>
          <w:spacing w:val="0"/>
          <w:w w:val="100"/>
          <w:kern w:val="24"/>
          <w:position w:val="0"/>
          <w:highlight w:val="none"/>
        </w:rPr>
        <w:t>对环境监测技术资料进行整理、统计、上报和存档。</w:t>
      </w:r>
    </w:p>
    <w:p w14:paraId="2C6D2EBE">
      <w:pPr>
        <w:pStyle w:val="65"/>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lang w:val="en-US" w:eastAsia="zh-CN"/>
        </w:rPr>
        <w:t>⑨</w:t>
      </w:r>
      <w:r>
        <w:rPr>
          <w:rFonts w:hint="default" w:ascii="Times New Roman" w:hAnsi="Times New Roman" w:eastAsia="宋体" w:cs="Times New Roman"/>
          <w:color w:val="auto"/>
          <w:spacing w:val="0"/>
          <w:w w:val="100"/>
          <w:kern w:val="24"/>
          <w:position w:val="0"/>
          <w:highlight w:val="none"/>
        </w:rPr>
        <w:t>监督公司内环保设备的日常运行情况，包括收尘设备、污水处理设备、噪声控制设备等，每月考核一次设备的运行情况，并负责对环保设备大、中修的质量验收。</w:t>
      </w:r>
    </w:p>
    <w:p w14:paraId="5A024133">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sz w:val="24"/>
          <w:highlight w:val="none"/>
        </w:rPr>
      </w:pPr>
      <w:bookmarkStart w:id="848" w:name="_Toc321501717"/>
      <w:bookmarkStart w:id="849" w:name="_Toc8987"/>
      <w:bookmarkStart w:id="850" w:name="_Toc19637"/>
      <w:r>
        <w:rPr>
          <w:rFonts w:hint="default" w:ascii="Times New Roman" w:hAnsi="Times New Roman" w:eastAsia="宋体" w:cs="Times New Roman"/>
          <w:color w:val="auto"/>
          <w:spacing w:val="0"/>
          <w:w w:val="100"/>
          <w:position w:val="0"/>
          <w:sz w:val="24"/>
          <w:highlight w:val="none"/>
        </w:rPr>
        <w:t>3、</w:t>
      </w:r>
      <w:r>
        <w:rPr>
          <w:rFonts w:hint="default" w:ascii="Times New Roman" w:hAnsi="Times New Roman" w:eastAsia="宋体" w:cs="Times New Roman"/>
          <w:color w:val="auto"/>
          <w:spacing w:val="0"/>
          <w:w w:val="100"/>
          <w:position w:val="0"/>
          <w:sz w:val="24"/>
          <w:highlight w:val="none"/>
          <w:lang w:val="en-US" w:eastAsia="zh-CN"/>
        </w:rPr>
        <w:t>退役期</w:t>
      </w:r>
      <w:r>
        <w:rPr>
          <w:rFonts w:hint="default" w:ascii="Times New Roman" w:hAnsi="Times New Roman" w:eastAsia="宋体" w:cs="Times New Roman"/>
          <w:color w:val="auto"/>
          <w:spacing w:val="0"/>
          <w:w w:val="100"/>
          <w:position w:val="0"/>
          <w:sz w:val="24"/>
          <w:highlight w:val="none"/>
        </w:rPr>
        <w:t>环境管理内容</w:t>
      </w:r>
    </w:p>
    <w:p w14:paraId="00C1F666">
      <w:pPr>
        <w:keepNext w:val="0"/>
        <w:keepLines w:val="0"/>
        <w:pageBreakBefore w:val="0"/>
        <w:widowControl w:val="0"/>
        <w:kinsoku/>
        <w:wordWrap/>
        <w:overflowPunct/>
        <w:topLinePunct w:val="0"/>
        <w:autoSpaceDE/>
        <w:autoSpaceDN/>
        <w:bidi w:val="0"/>
        <w:adjustRightInd/>
        <w:snapToGrid/>
        <w:spacing w:line="480" w:lineRule="exact"/>
        <w:ind w:firstLine="480"/>
        <w:jc w:val="left"/>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val="en-US" w:eastAsia="zh-CN"/>
        </w:rPr>
        <w:t>退役期</w:t>
      </w:r>
      <w:r>
        <w:rPr>
          <w:rFonts w:hint="default" w:ascii="Times New Roman" w:hAnsi="Times New Roman" w:eastAsia="宋体" w:cs="Times New Roman"/>
          <w:color w:val="auto"/>
          <w:spacing w:val="0"/>
          <w:w w:val="100"/>
          <w:position w:val="0"/>
          <w:sz w:val="24"/>
          <w:highlight w:val="none"/>
        </w:rPr>
        <w:t>各管理机构主要的管理内容是监督生态恢复工作的落实，矿山开采闭坑后必须按照矿山安全、地质恢复、环境保护工作的有关规定拆除无用的地面建筑物，将破坏的地表推平，对受破坏的地表恢复原貌等工作。</w:t>
      </w:r>
    </w:p>
    <w:p w14:paraId="638A5DB2">
      <w:pPr>
        <w:pStyle w:val="4"/>
        <w:numPr>
          <w:ilvl w:val="0"/>
          <w:numId w:val="0"/>
        </w:numPr>
        <w:rPr>
          <w:rFonts w:hint="default" w:ascii="Times New Roman" w:hAnsi="Times New Roman" w:eastAsia="宋体" w:cs="Times New Roman"/>
          <w:color w:val="auto"/>
          <w:spacing w:val="0"/>
          <w:w w:val="100"/>
          <w:position w:val="0"/>
          <w:highlight w:val="none"/>
        </w:rPr>
      </w:pPr>
      <w:bookmarkStart w:id="851" w:name="_Toc23561"/>
      <w:bookmarkStart w:id="852" w:name="_Toc5597"/>
      <w:bookmarkStart w:id="853" w:name="_Toc25629"/>
      <w:bookmarkStart w:id="854" w:name="_Toc8219"/>
      <w:r>
        <w:rPr>
          <w:rFonts w:hint="default" w:ascii="Times New Roman" w:hAnsi="Times New Roman" w:eastAsia="宋体" w:cs="Times New Roman"/>
          <w:color w:val="auto"/>
          <w:spacing w:val="0"/>
          <w:w w:val="100"/>
          <w:position w:val="0"/>
          <w:highlight w:val="none"/>
        </w:rPr>
        <w:t>8.1.5环境管理</w:t>
      </w:r>
      <w:bookmarkEnd w:id="825"/>
      <w:bookmarkEnd w:id="826"/>
      <w:bookmarkEnd w:id="827"/>
      <w:bookmarkEnd w:id="828"/>
      <w:bookmarkEnd w:id="829"/>
      <w:bookmarkEnd w:id="830"/>
      <w:bookmarkEnd w:id="831"/>
      <w:bookmarkEnd w:id="832"/>
      <w:bookmarkEnd w:id="833"/>
      <w:bookmarkEnd w:id="834"/>
      <w:bookmarkEnd w:id="835"/>
      <w:r>
        <w:rPr>
          <w:rFonts w:hint="default" w:ascii="Times New Roman" w:hAnsi="Times New Roman" w:eastAsia="宋体" w:cs="Times New Roman"/>
          <w:color w:val="auto"/>
          <w:spacing w:val="0"/>
          <w:w w:val="100"/>
          <w:position w:val="0"/>
          <w:highlight w:val="none"/>
        </w:rPr>
        <w:t>制度</w:t>
      </w:r>
      <w:bookmarkEnd w:id="836"/>
      <w:bookmarkEnd w:id="837"/>
      <w:bookmarkEnd w:id="848"/>
      <w:bookmarkEnd w:id="849"/>
      <w:bookmarkEnd w:id="850"/>
      <w:bookmarkEnd w:id="851"/>
      <w:bookmarkEnd w:id="852"/>
      <w:bookmarkEnd w:id="853"/>
      <w:bookmarkEnd w:id="854"/>
    </w:p>
    <w:p w14:paraId="7BB660E1">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bookmarkStart w:id="855" w:name="_Toc149680598"/>
      <w:bookmarkStart w:id="856" w:name="_Toc168317240"/>
      <w:bookmarkStart w:id="857" w:name="_Toc153689587"/>
      <w:bookmarkStart w:id="858" w:name="_Toc149680835"/>
      <w:bookmarkStart w:id="859" w:name="_Toc164774413"/>
      <w:bookmarkStart w:id="860" w:name="_Toc170869099"/>
      <w:bookmarkStart w:id="861" w:name="_Toc170970695"/>
      <w:bookmarkStart w:id="862" w:name="_Toc179653311"/>
      <w:bookmarkStart w:id="863" w:name="_Toc179522851"/>
      <w:bookmarkStart w:id="864" w:name="_Toc180891810"/>
      <w:bookmarkStart w:id="865" w:name="_Toc172698698"/>
      <w:r>
        <w:rPr>
          <w:rFonts w:hint="default" w:ascii="Times New Roman" w:hAnsi="Times New Roman" w:eastAsia="宋体" w:cs="Times New Roman"/>
          <w:color w:val="auto"/>
          <w:spacing w:val="0"/>
          <w:w w:val="100"/>
          <w:position w:val="0"/>
          <w:sz w:val="24"/>
          <w:highlight w:val="none"/>
        </w:rPr>
        <w:t>建立健全必要的环境管理规章制度，并把它作为企业领导和全体职工必须严格遵守的一种规范和准则，</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有规可循，执规必严</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是环境管理计划得以顺利实施的重要保证。各项规章制度要体现环境管理的任务、内容和准则，使环境管理的特点和要求渗透到企业的各项管理工作之中。</w:t>
      </w:r>
    </w:p>
    <w:p w14:paraId="04A9ACB5">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最基本的环境管理制度有如下几个方面：</w:t>
      </w:r>
    </w:p>
    <w:p w14:paraId="0D29F63F">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（1）环境保护管理</w:t>
      </w:r>
      <w:r>
        <w:rPr>
          <w:rFonts w:hint="default" w:ascii="Times New Roman" w:hAnsi="Times New Roman" w:eastAsia="宋体" w:cs="Times New Roman"/>
          <w:color w:val="auto"/>
          <w:spacing w:val="0"/>
          <w:w w:val="100"/>
          <w:position w:val="0"/>
          <w:sz w:val="24"/>
          <w:highlight w:val="none"/>
          <w:lang w:eastAsia="zh-CN"/>
        </w:rPr>
        <w:t>条例</w:t>
      </w:r>
      <w:r>
        <w:rPr>
          <w:rFonts w:hint="default" w:ascii="Times New Roman" w:hAnsi="Times New Roman" w:eastAsia="宋体" w:cs="Times New Roman"/>
          <w:color w:val="auto"/>
          <w:spacing w:val="0"/>
          <w:w w:val="100"/>
          <w:position w:val="0"/>
          <w:sz w:val="24"/>
          <w:highlight w:val="none"/>
        </w:rPr>
        <w:t>；</w:t>
      </w:r>
    </w:p>
    <w:p w14:paraId="3C775AFB">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（2）环境质量管理规程；</w:t>
      </w:r>
    </w:p>
    <w:p w14:paraId="6326D29C">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（3）环境管理的经济责任制；</w:t>
      </w:r>
    </w:p>
    <w:p w14:paraId="4EFDF1D2">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（4）环境保护业务管理制度；</w:t>
      </w:r>
    </w:p>
    <w:p w14:paraId="63056365">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（5）环境管理岗位责任制；</w:t>
      </w:r>
    </w:p>
    <w:p w14:paraId="2BD5A566">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（6）环境技术管理规程；</w:t>
      </w:r>
    </w:p>
    <w:p w14:paraId="07DC7F4A">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（7）环境保护考核制度；</w:t>
      </w:r>
    </w:p>
    <w:p w14:paraId="4D129D23">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（8）污染物防治、控制措施及达标排放实施办法；</w:t>
      </w:r>
    </w:p>
    <w:p w14:paraId="4BD6AE04">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（9）环境污染事故管理规定；</w:t>
      </w:r>
    </w:p>
    <w:p w14:paraId="74C892EE">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（10）清洁生产审计制度。</w:t>
      </w:r>
    </w:p>
    <w:p w14:paraId="1CE5B21E">
      <w:pPr>
        <w:pStyle w:val="4"/>
        <w:numPr>
          <w:ilvl w:val="0"/>
          <w:numId w:val="0"/>
        </w:numPr>
        <w:rPr>
          <w:rFonts w:hint="default" w:ascii="Times New Roman" w:hAnsi="Times New Roman" w:eastAsia="宋体" w:cs="Times New Roman"/>
          <w:color w:val="auto"/>
          <w:spacing w:val="0"/>
          <w:w w:val="100"/>
          <w:position w:val="0"/>
          <w:highlight w:val="none"/>
        </w:rPr>
      </w:pPr>
      <w:bookmarkStart w:id="866" w:name="_Toc26711"/>
      <w:bookmarkStart w:id="867" w:name="_Toc16443"/>
      <w:bookmarkStart w:id="868" w:name="_Toc581"/>
      <w:bookmarkStart w:id="869" w:name="_Toc20646"/>
      <w:r>
        <w:rPr>
          <w:rFonts w:hint="default" w:ascii="Times New Roman" w:hAnsi="Times New Roman" w:eastAsia="宋体" w:cs="Times New Roman"/>
          <w:color w:val="auto"/>
          <w:spacing w:val="0"/>
          <w:w w:val="100"/>
          <w:position w:val="0"/>
          <w:highlight w:val="none"/>
        </w:rPr>
        <w:t>8.1.6排污口规范化</w:t>
      </w:r>
      <w:bookmarkEnd w:id="866"/>
      <w:bookmarkEnd w:id="867"/>
      <w:bookmarkEnd w:id="868"/>
      <w:bookmarkEnd w:id="869"/>
    </w:p>
    <w:p w14:paraId="1398628C">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排污口是企业污染物进入环境、污染环境的通道，强化排污口的管理是实施污染物总量控制的基础工作之一，也是区域环境管理逐步实现污染物排放科学化、定量化的重要手段。具体管理原则如下：</w:t>
      </w:r>
    </w:p>
    <w:p w14:paraId="116EC336">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（1）向环境排放的污染物的排放口必须规范化；</w:t>
      </w:r>
    </w:p>
    <w:p w14:paraId="1F042286">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（2）排污口应便于采样与计量监测，便于日常现场监督检查；</w:t>
      </w:r>
    </w:p>
    <w:p w14:paraId="0C58C4F6">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（3）如实</w:t>
      </w:r>
      <w:r>
        <w:rPr>
          <w:rFonts w:hint="default" w:ascii="Times New Roman" w:hAnsi="Times New Roman" w:eastAsia="宋体" w:cs="Times New Roman"/>
          <w:color w:val="auto"/>
          <w:spacing w:val="0"/>
          <w:w w:val="100"/>
          <w:kern w:val="24"/>
          <w:position w:val="0"/>
          <w:highlight w:val="none"/>
          <w:lang w:eastAsia="zh-CN"/>
        </w:rPr>
        <w:t>向生态环境</w:t>
      </w:r>
      <w:r>
        <w:rPr>
          <w:rFonts w:hint="default" w:ascii="Times New Roman" w:hAnsi="Times New Roman" w:eastAsia="宋体" w:cs="Times New Roman"/>
          <w:color w:val="auto"/>
          <w:spacing w:val="0"/>
          <w:w w:val="100"/>
          <w:kern w:val="24"/>
          <w:position w:val="0"/>
          <w:highlight w:val="none"/>
          <w:lang w:val="en-US" w:eastAsia="zh-CN"/>
        </w:rPr>
        <w:t>主管</w:t>
      </w:r>
      <w:r>
        <w:rPr>
          <w:rFonts w:hint="default" w:ascii="Times New Roman" w:hAnsi="Times New Roman" w:eastAsia="宋体" w:cs="Times New Roman"/>
          <w:color w:val="auto"/>
          <w:spacing w:val="0"/>
          <w:w w:val="100"/>
          <w:kern w:val="24"/>
          <w:position w:val="0"/>
          <w:highlight w:val="none"/>
          <w:lang w:eastAsia="zh-CN"/>
        </w:rPr>
        <w:t>部门</w:t>
      </w:r>
      <w:r>
        <w:rPr>
          <w:rFonts w:hint="default" w:ascii="Times New Roman" w:hAnsi="Times New Roman" w:eastAsia="宋体" w:cs="Times New Roman"/>
          <w:color w:val="auto"/>
          <w:spacing w:val="0"/>
          <w:w w:val="100"/>
          <w:kern w:val="24"/>
          <w:position w:val="0"/>
          <w:highlight w:val="none"/>
        </w:rPr>
        <w:t>申报排污口数量、位置及所排放的主要污染物种类、数量、浓度、排放去向等情况；</w:t>
      </w:r>
    </w:p>
    <w:p w14:paraId="04A3E7E4">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w:t>
      </w:r>
      <w:r>
        <w:rPr>
          <w:rFonts w:hint="default" w:ascii="Times New Roman" w:hAnsi="Times New Roman" w:eastAsia="宋体" w:cs="Times New Roman"/>
          <w:color w:val="auto"/>
          <w:spacing w:val="0"/>
          <w:w w:val="100"/>
          <w:kern w:val="24"/>
          <w:position w:val="0"/>
          <w:highlight w:val="none"/>
          <w:lang w:val="en-US" w:eastAsia="zh-CN"/>
        </w:rPr>
        <w:t>4</w:t>
      </w:r>
      <w:r>
        <w:rPr>
          <w:rFonts w:hint="default" w:ascii="Times New Roman" w:hAnsi="Times New Roman" w:eastAsia="宋体" w:cs="Times New Roman"/>
          <w:color w:val="auto"/>
          <w:spacing w:val="0"/>
          <w:w w:val="100"/>
          <w:kern w:val="24"/>
          <w:position w:val="0"/>
          <w:highlight w:val="none"/>
        </w:rPr>
        <w:t>）固体废物堆存场地要有防扬散、防流失措施。</w:t>
      </w:r>
    </w:p>
    <w:p w14:paraId="76EA334C">
      <w:pPr>
        <w:pStyle w:val="65"/>
        <w:keepNext w:val="0"/>
        <w:keepLines w:val="0"/>
        <w:pageBreakBefore w:val="0"/>
        <w:widowControl w:val="0"/>
        <w:kinsoku/>
        <w:wordWrap/>
        <w:overflowPunct/>
        <w:topLinePunct w:val="0"/>
        <w:autoSpaceDE/>
        <w:autoSpaceDN/>
        <w:bidi w:val="0"/>
        <w:snapToGrid/>
        <w:spacing w:line="480" w:lineRule="exact"/>
        <w:rPr>
          <w:rFonts w:hint="default" w:ascii="Times New Roman" w:hAnsi="Times New Roman" w:eastAsia="宋体" w:cs="Times New Roman"/>
          <w:color w:val="auto"/>
          <w:spacing w:val="0"/>
          <w:w w:val="100"/>
          <w:kern w:val="24"/>
          <w:position w:val="0"/>
          <w:highlight w:val="none"/>
        </w:rPr>
      </w:pPr>
      <w:r>
        <w:rPr>
          <w:rFonts w:hint="default" w:ascii="Times New Roman" w:hAnsi="Times New Roman" w:eastAsia="宋体" w:cs="Times New Roman"/>
          <w:color w:val="auto"/>
          <w:spacing w:val="0"/>
          <w:w w:val="100"/>
          <w:kern w:val="24"/>
          <w:position w:val="0"/>
          <w:highlight w:val="none"/>
        </w:rPr>
        <w:t>环境保护图形标志具体设置图形见表8.1-1。</w:t>
      </w:r>
    </w:p>
    <w:p w14:paraId="69390AF9">
      <w:pPr>
        <w:pStyle w:val="66"/>
        <w:keepNext w:val="0"/>
        <w:keepLines w:val="0"/>
        <w:pageBreakBefore w:val="0"/>
        <w:widowControl w:val="0"/>
        <w:kinsoku/>
        <w:wordWrap/>
        <w:overflowPunct/>
        <w:topLinePunct w:val="0"/>
        <w:autoSpaceDE/>
        <w:autoSpaceDN/>
        <w:bidi w:val="0"/>
        <w:adjustRightInd w:val="0"/>
        <w:snapToGrid/>
        <w:spacing w:before="0" w:after="0" w:line="480" w:lineRule="exact"/>
        <w:ind w:firstLine="482"/>
        <w:textAlignment w:val="baseline"/>
        <w:rPr>
          <w:rFonts w:hint="default" w:ascii="Times New Roman" w:hAnsi="Times New Roman" w:eastAsia="宋体" w:cs="Times New Roman"/>
          <w:b/>
          <w:color w:val="auto"/>
          <w:spacing w:val="0"/>
          <w:w w:val="100"/>
          <w:kern w:val="2"/>
          <w:position w:val="0"/>
          <w:szCs w:val="24"/>
          <w:highlight w:val="none"/>
        </w:rPr>
      </w:pPr>
      <w:r>
        <w:rPr>
          <w:rFonts w:hint="default" w:ascii="Times New Roman" w:hAnsi="Times New Roman" w:eastAsia="宋体" w:cs="Times New Roman"/>
          <w:b/>
          <w:color w:val="auto"/>
          <w:spacing w:val="0"/>
          <w:w w:val="100"/>
          <w:kern w:val="2"/>
          <w:position w:val="0"/>
          <w:szCs w:val="24"/>
          <w:highlight w:val="none"/>
        </w:rPr>
        <w:t>表8.1-1    环境保护图形标志设置图形表</w:t>
      </w:r>
    </w:p>
    <w:p w14:paraId="7EEEE95F">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1223" w:name="_GoBack"/>
      <w:bookmarkEnd w:id="1223"/>
      <w:bookmarkStart w:id="870" w:name="_Toc483589668"/>
      <w:bookmarkStart w:id="871" w:name="_Toc351735261"/>
      <w:bookmarkStart w:id="872" w:name="_Toc25442"/>
      <w:bookmarkStart w:id="873" w:name="_Toc5897"/>
      <w:bookmarkStart w:id="874" w:name="_Toc11678"/>
      <w:bookmarkStart w:id="875" w:name="_Toc394997398"/>
      <w:bookmarkStart w:id="876" w:name="_Toc6368"/>
      <w:bookmarkStart w:id="877" w:name="_Toc23126"/>
      <w:bookmarkStart w:id="878" w:name="_Toc10756"/>
      <w:bookmarkStart w:id="879" w:name="_Toc9565"/>
      <w:bookmarkStart w:id="880" w:name="_Toc23644"/>
      <w:bookmarkStart w:id="881" w:name="_Toc22210"/>
      <w:bookmarkStart w:id="882" w:name="_Toc321501718"/>
      <w:bookmarkStart w:id="883" w:name="_Toc245882806"/>
      <w:bookmarkStart w:id="884" w:name="_Toc187800073"/>
      <w:bookmarkStart w:id="885" w:name="_Toc28920"/>
      <w:r>
        <w:rPr>
          <w:rFonts w:hint="default" w:ascii="Times New Roman" w:hAnsi="Times New Roman" w:eastAsia="宋体" w:cs="Times New Roman"/>
          <w:color w:val="auto"/>
          <w:spacing w:val="0"/>
          <w:w w:val="100"/>
          <w:position w:val="0"/>
          <w:lang w:val="en-US" w:eastAsia="zh-CN"/>
        </w:rPr>
        <w:t>8.2施工期环境管理</w:t>
      </w:r>
      <w:bookmarkEnd w:id="870"/>
      <w:bookmarkEnd w:id="871"/>
      <w:bookmarkEnd w:id="872"/>
      <w:bookmarkEnd w:id="873"/>
      <w:bookmarkEnd w:id="874"/>
      <w:bookmarkEnd w:id="875"/>
      <w:bookmarkEnd w:id="876"/>
      <w:bookmarkEnd w:id="877"/>
      <w:bookmarkEnd w:id="878"/>
      <w:bookmarkEnd w:id="879"/>
      <w:bookmarkEnd w:id="880"/>
    </w:p>
    <w:p w14:paraId="2DDC8867">
      <w:pPr>
        <w:pStyle w:val="4"/>
        <w:numPr>
          <w:ilvl w:val="0"/>
          <w:numId w:val="0"/>
        </w:numPr>
        <w:rPr>
          <w:rFonts w:hint="default" w:ascii="Times New Roman" w:hAnsi="Times New Roman" w:eastAsia="宋体" w:cs="Times New Roman"/>
          <w:color w:val="auto"/>
          <w:spacing w:val="0"/>
          <w:w w:val="100"/>
          <w:position w:val="0"/>
          <w:highlight w:val="none"/>
        </w:rPr>
      </w:pPr>
      <w:bookmarkStart w:id="886" w:name="_Toc4186"/>
      <w:bookmarkStart w:id="887" w:name="_Toc6433"/>
      <w:bookmarkStart w:id="888" w:name="_Toc6168"/>
      <w:bookmarkStart w:id="889" w:name="_Toc4048"/>
      <w:bookmarkStart w:id="890" w:name="_Toc394997399"/>
      <w:r>
        <w:rPr>
          <w:rFonts w:hint="default" w:ascii="Times New Roman" w:hAnsi="Times New Roman" w:eastAsia="宋体" w:cs="Times New Roman"/>
          <w:color w:val="auto"/>
          <w:spacing w:val="0"/>
          <w:w w:val="100"/>
          <w:position w:val="0"/>
          <w:highlight w:val="none"/>
        </w:rPr>
        <w:t>8.2.1环境管理</w:t>
      </w:r>
      <w:bookmarkEnd w:id="886"/>
      <w:bookmarkEnd w:id="887"/>
      <w:bookmarkEnd w:id="888"/>
      <w:bookmarkEnd w:id="889"/>
      <w:bookmarkEnd w:id="890"/>
    </w:p>
    <w:p w14:paraId="026188D6">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项目业主或者施工承包方进行工程施工前，应将施工期的环境污染控制列入施工工程内容，并在工程开工前和施工过程中制定相应的环保防治措施和工程计划。设专人负责管理，培训工作人员，以正确的工作方法，控制施工中产生的不利环境影响；必要时，还需在监测和检查工程施工的环境影响和实施缓解措施方面进行培训，以确保项目施工各项环保控制措施的落实。工程建设单位有责任配合当地</w:t>
      </w:r>
      <w:r>
        <w:rPr>
          <w:rFonts w:hint="default" w:ascii="Times New Roman" w:hAnsi="Times New Roman" w:eastAsia="宋体" w:cs="Times New Roman"/>
          <w:color w:val="auto"/>
          <w:spacing w:val="0"/>
          <w:w w:val="100"/>
          <w:position w:val="0"/>
          <w:sz w:val="24"/>
          <w:highlight w:val="none"/>
          <w:lang w:eastAsia="zh-CN"/>
        </w:rPr>
        <w:t>生态环境</w:t>
      </w:r>
      <w:r>
        <w:rPr>
          <w:rFonts w:hint="default" w:ascii="Times New Roman" w:hAnsi="Times New Roman" w:eastAsia="宋体" w:cs="Times New Roman"/>
          <w:color w:val="auto"/>
          <w:spacing w:val="0"/>
          <w:w w:val="100"/>
          <w:position w:val="0"/>
          <w:sz w:val="24"/>
          <w:highlight w:val="none"/>
        </w:rPr>
        <w:t>主管</w:t>
      </w:r>
      <w:r>
        <w:rPr>
          <w:rFonts w:hint="default" w:ascii="Times New Roman" w:hAnsi="Times New Roman" w:eastAsia="宋体" w:cs="Times New Roman"/>
          <w:color w:val="auto"/>
          <w:spacing w:val="0"/>
          <w:w w:val="100"/>
          <w:position w:val="0"/>
          <w:sz w:val="24"/>
          <w:highlight w:val="none"/>
          <w:lang w:val="en-US" w:eastAsia="zh-CN"/>
        </w:rPr>
        <w:t>部门</w:t>
      </w:r>
      <w:r>
        <w:rPr>
          <w:rFonts w:hint="default" w:ascii="Times New Roman" w:hAnsi="Times New Roman" w:eastAsia="宋体" w:cs="Times New Roman"/>
          <w:color w:val="auto"/>
          <w:spacing w:val="0"/>
          <w:w w:val="100"/>
          <w:position w:val="0"/>
          <w:sz w:val="24"/>
          <w:highlight w:val="none"/>
        </w:rPr>
        <w:t>，对施工过程的环境影响进行环境监测，以保证施工期的环保措施得以完善和持续执行，使项目建设施工范围的环境质量得到充分有效保证。</w:t>
      </w:r>
    </w:p>
    <w:p w14:paraId="491DACF9">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并应采取以下措施：</w:t>
      </w:r>
    </w:p>
    <w:p w14:paraId="3F2AFA81">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（1）在</w:t>
      </w:r>
      <w:r>
        <w:rPr>
          <w:rFonts w:hint="default" w:ascii="Times New Roman" w:hAnsi="Times New Roman" w:eastAsia="宋体" w:cs="Times New Roman"/>
          <w:color w:val="auto"/>
          <w:spacing w:val="0"/>
          <w:w w:val="100"/>
          <w:position w:val="0"/>
          <w:sz w:val="24"/>
          <w:highlight w:val="none"/>
          <w:lang w:val="en-US" w:eastAsia="zh-CN"/>
        </w:rPr>
        <w:t>本</w:t>
      </w:r>
      <w:r>
        <w:rPr>
          <w:rFonts w:hint="default" w:ascii="Times New Roman" w:hAnsi="Times New Roman" w:eastAsia="宋体" w:cs="Times New Roman"/>
          <w:color w:val="auto"/>
          <w:spacing w:val="0"/>
          <w:w w:val="100"/>
          <w:position w:val="0"/>
          <w:sz w:val="24"/>
          <w:highlight w:val="none"/>
        </w:rPr>
        <w:t>工程实施前，要制定详尽的环保措施方案。施工过程中要设置环保人员，加强现场监督、管理与考核，以便及时发现问题及时解决。</w:t>
      </w:r>
    </w:p>
    <w:p w14:paraId="0F3637A0">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（2）施工期间应统一堆放产生的掘进废石，及时清运施工中产生生活垃圾，送到指定点进行处置，施工期间产生的生活污水严禁随意排放。</w:t>
      </w:r>
    </w:p>
    <w:p w14:paraId="505C42B0">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（3）加强施工人员及施工机械的管理，增强环保意识，注意保护自然环境。</w:t>
      </w:r>
    </w:p>
    <w:p w14:paraId="0EBB54A7">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（4）工程建设中，要做好施工区域及其周围的绿化工作。</w:t>
      </w:r>
    </w:p>
    <w:p w14:paraId="7CD1C25E">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lang w:val="en-US" w:eastAsia="zh-CN"/>
        </w:rPr>
        <w:t>5</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lang w:val="en-US" w:eastAsia="zh-CN"/>
        </w:rPr>
        <w:t>工程建设前，应做好施工人员的环保教育工作，禁止破坏周边植被及猎杀野生动物，禁止任何废污水和生活垃圾排入水体中。</w:t>
      </w:r>
    </w:p>
    <w:p w14:paraId="37812067">
      <w:pPr>
        <w:pStyle w:val="4"/>
        <w:numPr>
          <w:ilvl w:val="0"/>
          <w:numId w:val="0"/>
        </w:numPr>
        <w:rPr>
          <w:rFonts w:hint="default" w:ascii="Times New Roman" w:hAnsi="Times New Roman" w:eastAsia="宋体" w:cs="Times New Roman"/>
          <w:color w:val="auto"/>
          <w:spacing w:val="0"/>
          <w:w w:val="100"/>
          <w:position w:val="0"/>
          <w:highlight w:val="none"/>
        </w:rPr>
      </w:pPr>
      <w:bookmarkStart w:id="891" w:name="_Toc32697"/>
      <w:bookmarkStart w:id="892" w:name="_Toc394997400"/>
      <w:bookmarkStart w:id="893" w:name="_Toc12892"/>
      <w:bookmarkStart w:id="894" w:name="_Toc20055"/>
      <w:bookmarkStart w:id="895" w:name="_Toc2685"/>
      <w:r>
        <w:rPr>
          <w:rFonts w:hint="default" w:ascii="Times New Roman" w:hAnsi="Times New Roman" w:eastAsia="宋体" w:cs="Times New Roman"/>
          <w:color w:val="auto"/>
          <w:spacing w:val="0"/>
          <w:w w:val="100"/>
          <w:position w:val="0"/>
          <w:highlight w:val="none"/>
        </w:rPr>
        <w:t>8.2.2环境监理</w:t>
      </w:r>
      <w:bookmarkEnd w:id="891"/>
      <w:bookmarkEnd w:id="892"/>
      <w:bookmarkEnd w:id="893"/>
      <w:bookmarkEnd w:id="894"/>
      <w:bookmarkEnd w:id="895"/>
    </w:p>
    <w:p w14:paraId="1F8A1C47">
      <w:pPr>
        <w:keepNext w:val="0"/>
        <w:keepLines w:val="0"/>
        <w:pageBreakBefore w:val="0"/>
        <w:widowControl w:val="0"/>
        <w:kinsoku/>
        <w:wordWrap/>
        <w:overflowPunct/>
        <w:topLinePunct w:val="0"/>
        <w:autoSpaceDE/>
        <w:autoSpaceDN/>
        <w:bidi w:val="0"/>
        <w:snapToGrid/>
        <w:spacing w:line="480" w:lineRule="exact"/>
        <w:ind w:firstLine="480"/>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项目施工期环境监理内容详见表8.2-1。</w:t>
      </w:r>
    </w:p>
    <w:p w14:paraId="06E5A766">
      <w:pPr>
        <w:pStyle w:val="66"/>
        <w:keepNext w:val="0"/>
        <w:keepLines w:val="0"/>
        <w:pageBreakBefore w:val="0"/>
        <w:widowControl w:val="0"/>
        <w:kinsoku/>
        <w:wordWrap/>
        <w:overflowPunct/>
        <w:topLinePunct w:val="0"/>
        <w:autoSpaceDE/>
        <w:autoSpaceDN/>
        <w:bidi w:val="0"/>
        <w:adjustRightInd w:val="0"/>
        <w:snapToGrid/>
        <w:spacing w:before="0" w:after="0" w:line="480" w:lineRule="exact"/>
        <w:ind w:firstLine="482"/>
        <w:textAlignment w:val="baseline"/>
        <w:rPr>
          <w:rFonts w:hint="default" w:ascii="Times New Roman" w:hAnsi="Times New Roman" w:eastAsia="宋体" w:cs="Times New Roman"/>
          <w:b/>
          <w:color w:val="auto"/>
          <w:spacing w:val="0"/>
          <w:w w:val="100"/>
          <w:kern w:val="2"/>
          <w:position w:val="0"/>
          <w:szCs w:val="24"/>
          <w:highlight w:val="none"/>
        </w:rPr>
      </w:pPr>
      <w:r>
        <w:rPr>
          <w:rFonts w:hint="default" w:ascii="Times New Roman" w:hAnsi="Times New Roman" w:eastAsia="宋体" w:cs="Times New Roman"/>
          <w:b/>
          <w:color w:val="auto"/>
          <w:spacing w:val="0"/>
          <w:w w:val="100"/>
          <w:kern w:val="2"/>
          <w:position w:val="0"/>
          <w:szCs w:val="24"/>
          <w:highlight w:val="none"/>
        </w:rPr>
        <w:t>表8.2-1    施工期环境监理一览表</w:t>
      </w:r>
    </w:p>
    <w:tbl>
      <w:tblPr>
        <w:tblStyle w:val="21"/>
        <w:tblW w:w="851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9"/>
        <w:gridCol w:w="1196"/>
        <w:gridCol w:w="3848"/>
        <w:gridCol w:w="2993"/>
      </w:tblGrid>
      <w:tr w14:paraId="345EF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79" w:type="dxa"/>
            <w:vAlign w:val="center"/>
          </w:tcPr>
          <w:p w14:paraId="0546AF4D">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bookmarkStart w:id="896" w:name="_Toc15185"/>
            <w:bookmarkStart w:id="897" w:name="_Toc2036"/>
            <w:bookmarkStart w:id="898" w:name="_Toc24758"/>
            <w:bookmarkStart w:id="899" w:name="_Toc25839"/>
            <w:bookmarkStart w:id="900" w:name="_Toc483589669"/>
            <w:bookmarkStart w:id="901" w:name="_Toc15161"/>
            <w:bookmarkStart w:id="902" w:name="_Toc12951"/>
            <w:r>
              <w:rPr>
                <w:rFonts w:hint="default" w:ascii="Times New Roman" w:hAnsi="Times New Roman" w:eastAsia="宋体" w:cs="Times New Roman"/>
                <w:b w:val="0"/>
                <w:bCs w:val="0"/>
                <w:color w:val="auto"/>
                <w:spacing w:val="0"/>
                <w:w w:val="100"/>
                <w:position w:val="0"/>
                <w:highlight w:val="none"/>
              </w:rPr>
              <w:t>序号</w:t>
            </w:r>
          </w:p>
        </w:tc>
        <w:tc>
          <w:tcPr>
            <w:tcW w:w="1196" w:type="dxa"/>
            <w:vAlign w:val="center"/>
          </w:tcPr>
          <w:p w14:paraId="2D81B73D">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环境要素</w:t>
            </w:r>
          </w:p>
        </w:tc>
        <w:tc>
          <w:tcPr>
            <w:tcW w:w="3848" w:type="dxa"/>
            <w:vAlign w:val="center"/>
          </w:tcPr>
          <w:p w14:paraId="585B13F0">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监理内容</w:t>
            </w:r>
          </w:p>
        </w:tc>
        <w:tc>
          <w:tcPr>
            <w:tcW w:w="2993" w:type="dxa"/>
            <w:vAlign w:val="center"/>
          </w:tcPr>
          <w:p w14:paraId="775E9EBB">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监理要求</w:t>
            </w:r>
          </w:p>
        </w:tc>
      </w:tr>
      <w:tr w14:paraId="187DC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479" w:type="dxa"/>
            <w:vAlign w:val="center"/>
          </w:tcPr>
          <w:p w14:paraId="4D70DE57">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1</w:t>
            </w:r>
          </w:p>
        </w:tc>
        <w:tc>
          <w:tcPr>
            <w:tcW w:w="1196" w:type="dxa"/>
            <w:vAlign w:val="center"/>
          </w:tcPr>
          <w:p w14:paraId="5BB38657">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大气环境</w:t>
            </w:r>
          </w:p>
        </w:tc>
        <w:tc>
          <w:tcPr>
            <w:tcW w:w="3848" w:type="dxa"/>
            <w:vAlign w:val="center"/>
          </w:tcPr>
          <w:p w14:paraId="039CB028">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①对工地及进出口定期洒水抑尘，并清扫，保持工地整齐干净；</w:t>
            </w:r>
          </w:p>
          <w:p w14:paraId="3D56D067">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②运输车辆在运输砂石等粉料时应使用篷布遮盖；</w:t>
            </w:r>
          </w:p>
          <w:p w14:paraId="62B9E3B9">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③禁止在大风天气施工作业。</w:t>
            </w:r>
          </w:p>
        </w:tc>
        <w:tc>
          <w:tcPr>
            <w:tcW w:w="2993" w:type="dxa"/>
            <w:vMerge w:val="restart"/>
            <w:vAlign w:val="center"/>
          </w:tcPr>
          <w:p w14:paraId="413AA0E5">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1、建议在施工招标文件、施工合同、环境监理招标文件和监理合同中明确施工单位、环境监理单位的环境保护责任和目标任务；</w:t>
            </w:r>
          </w:p>
          <w:p w14:paraId="7E418B8D">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2、建议委托有资质单位开展建设期的环境监理工作，加强施工过程的环境监理和环保设施建设的环境监理，定期向自治区、</w:t>
            </w:r>
            <w:r>
              <w:rPr>
                <w:rFonts w:hint="eastAsia" w:ascii="Times New Roman" w:hAnsi="Times New Roman" w:cs="Times New Roman"/>
                <w:color w:val="auto"/>
                <w:spacing w:val="0"/>
                <w:w w:val="100"/>
                <w:position w:val="0"/>
                <w:highlight w:val="none"/>
                <w:lang w:val="en-US" w:eastAsia="zh-CN"/>
              </w:rPr>
              <w:t>市</w:t>
            </w:r>
            <w:r>
              <w:rPr>
                <w:rFonts w:hint="default" w:ascii="Times New Roman" w:hAnsi="Times New Roman" w:eastAsia="宋体" w:cs="Times New Roman"/>
                <w:color w:val="auto"/>
                <w:spacing w:val="0"/>
                <w:w w:val="100"/>
                <w:position w:val="0"/>
                <w:highlight w:val="none"/>
                <w:lang w:val="en-US" w:eastAsia="zh-CN"/>
              </w:rPr>
              <w:t>和县生态环境主管部门备案；</w:t>
            </w:r>
          </w:p>
          <w:p w14:paraId="164AD928">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3、结合环境监理报告，自查环评报告、批复文件及设计中规定的环保设施和生态保护措施建设及进展情况；严格落实环保投资和执行建设项目环境保护“三同时”制度；</w:t>
            </w:r>
          </w:p>
          <w:p w14:paraId="0D312899">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4、自觉接受当地生态环境主管部门在建设期的环境监督与管理；</w:t>
            </w:r>
          </w:p>
          <w:p w14:paraId="73225E84">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5、设立矿山环保机构，建立健全环境管理、环保资料档案等制度。</w:t>
            </w:r>
          </w:p>
        </w:tc>
      </w:tr>
      <w:tr w14:paraId="6876F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479" w:type="dxa"/>
            <w:vAlign w:val="center"/>
          </w:tcPr>
          <w:p w14:paraId="29890906">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2</w:t>
            </w:r>
          </w:p>
        </w:tc>
        <w:tc>
          <w:tcPr>
            <w:tcW w:w="1196" w:type="dxa"/>
            <w:vAlign w:val="center"/>
          </w:tcPr>
          <w:p w14:paraId="158CD6AB">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水环境</w:t>
            </w:r>
          </w:p>
        </w:tc>
        <w:tc>
          <w:tcPr>
            <w:tcW w:w="3848" w:type="dxa"/>
            <w:vAlign w:val="center"/>
          </w:tcPr>
          <w:p w14:paraId="4FC9F875">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①施工产生的生活污水经污水处理设施处理后回用于施工降尘用水；</w:t>
            </w:r>
          </w:p>
          <w:p w14:paraId="359BC144">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②避免在雨季进行基础开挖施工。</w:t>
            </w:r>
          </w:p>
        </w:tc>
        <w:tc>
          <w:tcPr>
            <w:tcW w:w="2993" w:type="dxa"/>
            <w:vMerge w:val="continue"/>
            <w:vAlign w:val="center"/>
          </w:tcPr>
          <w:p w14:paraId="15802366">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p>
        </w:tc>
      </w:tr>
      <w:tr w14:paraId="1E5A52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479" w:type="dxa"/>
            <w:vAlign w:val="center"/>
          </w:tcPr>
          <w:p w14:paraId="7391CECC">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3</w:t>
            </w:r>
          </w:p>
        </w:tc>
        <w:tc>
          <w:tcPr>
            <w:tcW w:w="1196" w:type="dxa"/>
            <w:vAlign w:val="center"/>
          </w:tcPr>
          <w:p w14:paraId="155830CF">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声环境</w:t>
            </w:r>
          </w:p>
        </w:tc>
        <w:tc>
          <w:tcPr>
            <w:tcW w:w="3848" w:type="dxa"/>
            <w:vAlign w:val="center"/>
          </w:tcPr>
          <w:p w14:paraId="6E69432E">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①合理布局施工设备，避免局部声级过高，对敏感点是否设置临时声屏障；</w:t>
            </w:r>
          </w:p>
          <w:p w14:paraId="4B91C494">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②开工15日前向生态环境主管部门申报《建设施工环保审批表》。</w:t>
            </w:r>
          </w:p>
        </w:tc>
        <w:tc>
          <w:tcPr>
            <w:tcW w:w="2993" w:type="dxa"/>
            <w:vMerge w:val="continue"/>
            <w:vAlign w:val="center"/>
          </w:tcPr>
          <w:p w14:paraId="493F5773">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p>
        </w:tc>
      </w:tr>
      <w:tr w14:paraId="51C4B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79" w:type="dxa"/>
            <w:vAlign w:val="center"/>
          </w:tcPr>
          <w:p w14:paraId="73007F6B">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4</w:t>
            </w:r>
          </w:p>
        </w:tc>
        <w:tc>
          <w:tcPr>
            <w:tcW w:w="1196" w:type="dxa"/>
            <w:vAlign w:val="center"/>
          </w:tcPr>
          <w:p w14:paraId="1816BF4F">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固体废物</w:t>
            </w:r>
          </w:p>
        </w:tc>
        <w:tc>
          <w:tcPr>
            <w:tcW w:w="3848" w:type="dxa"/>
            <w:vAlign w:val="center"/>
          </w:tcPr>
          <w:p w14:paraId="22FDBFFB">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①施工期产生的掘进废石应综合利用；</w:t>
            </w:r>
          </w:p>
          <w:p w14:paraId="394297CE">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②施工期生活垃圾集中收集，定期清运。</w:t>
            </w:r>
          </w:p>
        </w:tc>
        <w:tc>
          <w:tcPr>
            <w:tcW w:w="2993" w:type="dxa"/>
            <w:vMerge w:val="continue"/>
            <w:vAlign w:val="center"/>
          </w:tcPr>
          <w:p w14:paraId="77E60960">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p>
        </w:tc>
      </w:tr>
      <w:tr w14:paraId="64F023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79" w:type="dxa"/>
            <w:vAlign w:val="center"/>
          </w:tcPr>
          <w:p w14:paraId="719F4EA6">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5</w:t>
            </w:r>
          </w:p>
        </w:tc>
        <w:tc>
          <w:tcPr>
            <w:tcW w:w="1196" w:type="dxa"/>
            <w:vAlign w:val="center"/>
          </w:tcPr>
          <w:p w14:paraId="0FAA5686">
            <w:pPr>
              <w:keepNext w:val="0"/>
              <w:keepLines w:val="0"/>
              <w:suppressLineNumbers w:val="0"/>
              <w:spacing w:before="0" w:beforeAutospacing="0" w:after="0" w:afterAutospacing="0" w:line="360" w:lineRule="exact"/>
              <w:ind w:left="0" w:right="0" w:firstLine="0" w:firstLineChars="0"/>
              <w:jc w:val="center"/>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生态影响</w:t>
            </w:r>
          </w:p>
        </w:tc>
        <w:tc>
          <w:tcPr>
            <w:tcW w:w="3848" w:type="dxa"/>
            <w:vAlign w:val="center"/>
          </w:tcPr>
          <w:p w14:paraId="2423FD8E">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①施工期间水土流失问题、矿石堆场及主体工程开挖、弃渣及弃渣堆放应符合环境管理规范要求。</w:t>
            </w:r>
          </w:p>
          <w:p w14:paraId="095FD188">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②绿化面积达到规划要求。</w:t>
            </w:r>
          </w:p>
          <w:p w14:paraId="56C5EA2B">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③禁止猎杀动物及破坏植物。</w:t>
            </w:r>
          </w:p>
        </w:tc>
        <w:tc>
          <w:tcPr>
            <w:tcW w:w="2993" w:type="dxa"/>
            <w:vMerge w:val="continue"/>
            <w:vAlign w:val="center"/>
          </w:tcPr>
          <w:p w14:paraId="7C50BA73">
            <w:pPr>
              <w:keepNext w:val="0"/>
              <w:keepLines w:val="0"/>
              <w:suppressLineNumbers w:val="0"/>
              <w:spacing w:before="0" w:beforeAutospacing="0" w:after="0" w:afterAutospacing="0" w:line="360" w:lineRule="exact"/>
              <w:ind w:left="0" w:right="0" w:firstLine="0" w:firstLineChars="0"/>
              <w:rPr>
                <w:rFonts w:hint="default" w:ascii="Times New Roman" w:hAnsi="Times New Roman" w:eastAsia="宋体" w:cs="Times New Roman"/>
                <w:color w:val="auto"/>
                <w:spacing w:val="0"/>
                <w:w w:val="100"/>
                <w:position w:val="0"/>
                <w:highlight w:val="none"/>
                <w:lang w:val="en-US" w:eastAsia="zh-CN"/>
              </w:rPr>
            </w:pPr>
          </w:p>
        </w:tc>
      </w:tr>
    </w:tbl>
    <w:p w14:paraId="59823568">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903" w:name="_Toc26463"/>
      <w:bookmarkStart w:id="904" w:name="_Toc23483"/>
      <w:r>
        <w:rPr>
          <w:rFonts w:hint="default" w:ascii="Times New Roman" w:hAnsi="Times New Roman" w:eastAsia="宋体" w:cs="Times New Roman"/>
          <w:color w:val="auto"/>
          <w:spacing w:val="0"/>
          <w:w w:val="100"/>
          <w:position w:val="0"/>
          <w:lang w:val="en-US" w:eastAsia="zh-CN"/>
        </w:rPr>
        <w:t>8.3环境</w:t>
      </w:r>
      <w:bookmarkEnd w:id="855"/>
      <w:bookmarkEnd w:id="856"/>
      <w:bookmarkEnd w:id="857"/>
      <w:bookmarkEnd w:id="858"/>
      <w:bookmarkEnd w:id="859"/>
      <w:r>
        <w:rPr>
          <w:rFonts w:hint="default" w:ascii="Times New Roman" w:hAnsi="Times New Roman" w:eastAsia="宋体" w:cs="Times New Roman"/>
          <w:color w:val="auto"/>
          <w:spacing w:val="0"/>
          <w:w w:val="100"/>
          <w:position w:val="0"/>
          <w:lang w:val="en-US" w:eastAsia="zh-CN"/>
        </w:rPr>
        <w:t>监测计划</w:t>
      </w:r>
      <w:bookmarkEnd w:id="860"/>
      <w:bookmarkEnd w:id="861"/>
      <w:bookmarkEnd w:id="862"/>
      <w:bookmarkEnd w:id="863"/>
      <w:bookmarkEnd w:id="864"/>
      <w:bookmarkEnd w:id="865"/>
      <w:bookmarkEnd w:id="881"/>
      <w:bookmarkEnd w:id="882"/>
      <w:bookmarkEnd w:id="883"/>
      <w:bookmarkEnd w:id="884"/>
      <w:bookmarkEnd w:id="885"/>
      <w:bookmarkEnd w:id="896"/>
      <w:bookmarkEnd w:id="897"/>
      <w:bookmarkEnd w:id="898"/>
      <w:bookmarkEnd w:id="899"/>
      <w:bookmarkEnd w:id="900"/>
      <w:bookmarkEnd w:id="901"/>
      <w:bookmarkEnd w:id="902"/>
      <w:bookmarkEnd w:id="903"/>
      <w:bookmarkEnd w:id="904"/>
    </w:p>
    <w:p w14:paraId="6377AAD0">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环境监测制度是为环境管理服务的一项重要制度，通过环境监测，及时了解企业的环境状况，不断完善、改进防治措施，清洁生产，不断适应环境保护的发展要求，是实现企业环境管理定量化、规范化的重要技术支持。建立一套完善而行之有效的环境监测制度是企业环境保护工作的重要组成部分。</w:t>
      </w:r>
    </w:p>
    <w:p w14:paraId="73A00C15">
      <w:pPr>
        <w:pStyle w:val="4"/>
        <w:numPr>
          <w:ilvl w:val="0"/>
          <w:numId w:val="0"/>
        </w:numPr>
        <w:rPr>
          <w:rFonts w:hint="default" w:ascii="Times New Roman" w:hAnsi="Times New Roman" w:eastAsia="宋体" w:cs="Times New Roman"/>
          <w:color w:val="auto"/>
          <w:spacing w:val="0"/>
          <w:w w:val="100"/>
          <w:position w:val="0"/>
          <w:highlight w:val="none"/>
        </w:rPr>
      </w:pPr>
      <w:bookmarkStart w:id="905" w:name="_Toc18899"/>
      <w:bookmarkStart w:id="906" w:name="_Toc15111"/>
      <w:bookmarkStart w:id="907" w:name="_Toc29266"/>
      <w:bookmarkStart w:id="908" w:name="_Toc5506"/>
      <w:bookmarkStart w:id="909" w:name="_Toc31999"/>
      <w:bookmarkStart w:id="910" w:name="_Toc18597"/>
      <w:r>
        <w:rPr>
          <w:rFonts w:hint="default" w:ascii="Times New Roman" w:hAnsi="Times New Roman" w:eastAsia="宋体" w:cs="Times New Roman"/>
          <w:color w:val="auto"/>
          <w:spacing w:val="0"/>
          <w:w w:val="100"/>
          <w:position w:val="0"/>
          <w:highlight w:val="none"/>
        </w:rPr>
        <w:t>8.3.1监测机构</w:t>
      </w:r>
      <w:bookmarkEnd w:id="905"/>
      <w:bookmarkEnd w:id="906"/>
      <w:bookmarkEnd w:id="907"/>
      <w:bookmarkEnd w:id="908"/>
      <w:bookmarkEnd w:id="909"/>
      <w:bookmarkEnd w:id="910"/>
    </w:p>
    <w:p w14:paraId="3C307C71">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考虑到矿区的实际条件矿区可不设监测机构，有关的环境监测工作可委托</w:t>
      </w:r>
      <w:r>
        <w:rPr>
          <w:rFonts w:hint="default" w:ascii="Times New Roman" w:hAnsi="Times New Roman" w:eastAsia="宋体" w:cs="Times New Roman"/>
          <w:color w:val="auto"/>
          <w:spacing w:val="0"/>
          <w:w w:val="100"/>
          <w:position w:val="0"/>
          <w:sz w:val="24"/>
          <w:highlight w:val="none"/>
          <w:lang w:val="en-US" w:eastAsia="zh-CN"/>
        </w:rPr>
        <w:t>具有资质的第三方监测机构</w:t>
      </w:r>
      <w:r>
        <w:rPr>
          <w:rFonts w:hint="default" w:ascii="Times New Roman" w:hAnsi="Times New Roman" w:eastAsia="宋体" w:cs="Times New Roman"/>
          <w:color w:val="auto"/>
          <w:spacing w:val="0"/>
          <w:w w:val="100"/>
          <w:position w:val="0"/>
          <w:sz w:val="24"/>
          <w:highlight w:val="none"/>
        </w:rPr>
        <w:t>承担，确保监测计划的顺利实施。</w:t>
      </w:r>
    </w:p>
    <w:p w14:paraId="319E5495">
      <w:pPr>
        <w:pStyle w:val="4"/>
        <w:numPr>
          <w:ilvl w:val="0"/>
          <w:numId w:val="0"/>
        </w:numPr>
        <w:rPr>
          <w:rFonts w:hint="default" w:ascii="Times New Roman" w:hAnsi="Times New Roman" w:eastAsia="宋体" w:cs="Times New Roman"/>
          <w:color w:val="auto"/>
          <w:spacing w:val="0"/>
          <w:w w:val="100"/>
          <w:position w:val="0"/>
          <w:highlight w:val="none"/>
        </w:rPr>
      </w:pPr>
      <w:bookmarkStart w:id="911" w:name="_Toc23053"/>
      <w:bookmarkStart w:id="912" w:name="_Toc9548"/>
      <w:bookmarkStart w:id="913" w:name="_Toc10726"/>
      <w:bookmarkStart w:id="914" w:name="_Toc3635"/>
      <w:bookmarkStart w:id="915" w:name="_Toc15947"/>
      <w:bookmarkStart w:id="916" w:name="_Toc16277"/>
      <w:bookmarkStart w:id="917" w:name="_Toc164774416"/>
      <w:bookmarkStart w:id="918" w:name="_Toc245882807"/>
      <w:bookmarkStart w:id="919" w:name="_Toc170869100"/>
      <w:bookmarkStart w:id="920" w:name="_Toc1748"/>
      <w:bookmarkStart w:id="921" w:name="_Toc321501719"/>
      <w:bookmarkStart w:id="922" w:name="_Toc179653312"/>
      <w:bookmarkStart w:id="923" w:name="_Toc24443"/>
      <w:bookmarkStart w:id="924" w:name="_Toc172698699"/>
      <w:bookmarkStart w:id="925" w:name="_Toc483589670"/>
      <w:bookmarkStart w:id="926" w:name="_Toc170970696"/>
      <w:bookmarkStart w:id="927" w:name="_Toc179522852"/>
      <w:bookmarkStart w:id="928" w:name="_Toc6727"/>
      <w:bookmarkStart w:id="929" w:name="_Toc7230"/>
      <w:bookmarkStart w:id="930" w:name="_Toc9310"/>
      <w:bookmarkStart w:id="931" w:name="_Toc664"/>
      <w:bookmarkStart w:id="932" w:name="_Toc187800074"/>
      <w:bookmarkStart w:id="933" w:name="_Toc168317243"/>
      <w:bookmarkStart w:id="934" w:name="_Toc153689590"/>
      <w:bookmarkStart w:id="935" w:name="_Toc180891811"/>
      <w:bookmarkStart w:id="936" w:name="_Toc26437"/>
      <w:bookmarkStart w:id="937" w:name="_Toc149680838"/>
      <w:bookmarkStart w:id="938" w:name="_Toc149680601"/>
      <w:bookmarkStart w:id="939" w:name="_Toc19987"/>
      <w:r>
        <w:rPr>
          <w:rFonts w:hint="default" w:ascii="Times New Roman" w:hAnsi="Times New Roman" w:eastAsia="宋体" w:cs="Times New Roman"/>
          <w:color w:val="auto"/>
          <w:spacing w:val="0"/>
          <w:w w:val="100"/>
          <w:position w:val="0"/>
          <w:highlight w:val="none"/>
        </w:rPr>
        <w:t>8.3.2监测内容</w:t>
      </w:r>
      <w:bookmarkEnd w:id="911"/>
      <w:bookmarkEnd w:id="912"/>
      <w:bookmarkEnd w:id="913"/>
      <w:bookmarkEnd w:id="914"/>
      <w:bookmarkEnd w:id="915"/>
      <w:bookmarkEnd w:id="916"/>
    </w:p>
    <w:p w14:paraId="484E4351">
      <w:pPr>
        <w:pStyle w:val="5"/>
        <w:bidi w:val="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8.3.2.1</w:t>
      </w:r>
      <w:r>
        <w:rPr>
          <w:rFonts w:hint="default" w:ascii="Times New Roman" w:hAnsi="Times New Roman" w:eastAsia="宋体" w:cs="Times New Roman"/>
          <w:color w:val="auto"/>
        </w:rPr>
        <w:t>施工期监测内容</w:t>
      </w:r>
    </w:p>
    <w:p w14:paraId="78ACC7E5">
      <w:pPr>
        <w:pStyle w:val="65"/>
        <w:keepNext w:val="0"/>
        <w:keepLines w:val="0"/>
        <w:pageBreakBefore w:val="0"/>
        <w:kinsoku/>
        <w:wordWrap/>
        <w:overflowPunct/>
        <w:topLinePunct w:val="0"/>
        <w:autoSpaceDE/>
        <w:autoSpaceDN/>
        <w:bidi w:val="0"/>
        <w:snapToGrid/>
        <w:spacing w:line="480" w:lineRule="exact"/>
        <w:ind w:firstLine="482" w:firstLineChars="0"/>
        <w:rPr>
          <w:rFonts w:hint="default" w:ascii="Times New Roman" w:hAnsi="Times New Roman" w:eastAsia="宋体" w:cs="Times New Roman"/>
          <w:b/>
          <w:snapToGrid/>
          <w:color w:val="auto"/>
          <w:spacing w:val="0"/>
          <w:w w:val="100"/>
          <w:position w:val="0"/>
          <w:sz w:val="21"/>
          <w:highlight w:val="none"/>
        </w:rPr>
      </w:pPr>
      <w:r>
        <w:rPr>
          <w:rFonts w:hint="default" w:ascii="Times New Roman" w:hAnsi="Times New Roman" w:eastAsia="宋体" w:cs="Times New Roman"/>
          <w:snapToGrid/>
          <w:color w:val="auto"/>
          <w:spacing w:val="0"/>
          <w:w w:val="100"/>
          <w:position w:val="0"/>
          <w:highlight w:val="none"/>
        </w:rPr>
        <w:t>为了及时了解和掌握拟建项目施工期主要污染物的排放情况，建设单位应委托有资质的环境监测部门对其污染源和施工场界周边的环境质量进行监测，监测要求见表8.3-1。</w:t>
      </w:r>
    </w:p>
    <w:p w14:paraId="2490AAE0">
      <w:pPr>
        <w:pStyle w:val="66"/>
        <w:keepNext w:val="0"/>
        <w:keepLines w:val="0"/>
        <w:pageBreakBefore w:val="0"/>
        <w:widowControl w:val="0"/>
        <w:kinsoku/>
        <w:wordWrap/>
        <w:overflowPunct/>
        <w:topLinePunct w:val="0"/>
        <w:autoSpaceDE/>
        <w:autoSpaceDN/>
        <w:bidi w:val="0"/>
        <w:adjustRightInd w:val="0"/>
        <w:snapToGrid/>
        <w:spacing w:before="0" w:after="0" w:line="480" w:lineRule="exact"/>
        <w:ind w:firstLine="0" w:firstLineChars="0"/>
        <w:textAlignment w:val="baseline"/>
        <w:rPr>
          <w:rFonts w:hint="default" w:ascii="Times New Roman" w:hAnsi="Times New Roman" w:eastAsia="宋体" w:cs="Times New Roman"/>
          <w:b/>
          <w:color w:val="auto"/>
          <w:spacing w:val="0"/>
          <w:w w:val="100"/>
          <w:kern w:val="2"/>
          <w:position w:val="0"/>
          <w:szCs w:val="24"/>
          <w:highlight w:val="none"/>
        </w:rPr>
      </w:pPr>
      <w:r>
        <w:rPr>
          <w:rFonts w:hint="default" w:ascii="Times New Roman" w:hAnsi="Times New Roman" w:eastAsia="宋体" w:cs="Times New Roman"/>
          <w:b/>
          <w:color w:val="auto"/>
          <w:spacing w:val="0"/>
          <w:w w:val="100"/>
          <w:kern w:val="2"/>
          <w:position w:val="0"/>
          <w:szCs w:val="24"/>
          <w:highlight w:val="none"/>
        </w:rPr>
        <w:t>表8.3-1    施工期环境监测要求</w:t>
      </w:r>
    </w:p>
    <w:tbl>
      <w:tblPr>
        <w:tblStyle w:val="21"/>
        <w:tblW w:w="851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0"/>
        <w:gridCol w:w="1179"/>
        <w:gridCol w:w="1368"/>
        <w:gridCol w:w="590"/>
        <w:gridCol w:w="913"/>
        <w:gridCol w:w="3796"/>
      </w:tblGrid>
      <w:tr w14:paraId="368F8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670" w:type="dxa"/>
            <w:vAlign w:val="center"/>
          </w:tcPr>
          <w:p w14:paraId="0EA4E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监测类别</w:t>
            </w:r>
          </w:p>
        </w:tc>
        <w:tc>
          <w:tcPr>
            <w:tcW w:w="1179" w:type="dxa"/>
            <w:vAlign w:val="center"/>
          </w:tcPr>
          <w:p w14:paraId="41EB0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监测项目</w:t>
            </w:r>
          </w:p>
        </w:tc>
        <w:tc>
          <w:tcPr>
            <w:tcW w:w="1368" w:type="dxa"/>
            <w:vAlign w:val="center"/>
          </w:tcPr>
          <w:p w14:paraId="089C32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监测点位置</w:t>
            </w:r>
          </w:p>
        </w:tc>
        <w:tc>
          <w:tcPr>
            <w:tcW w:w="590" w:type="dxa"/>
            <w:vAlign w:val="center"/>
          </w:tcPr>
          <w:p w14:paraId="0B4FC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测点数</w:t>
            </w:r>
          </w:p>
        </w:tc>
        <w:tc>
          <w:tcPr>
            <w:tcW w:w="913" w:type="dxa"/>
            <w:vAlign w:val="center"/>
          </w:tcPr>
          <w:p w14:paraId="1D0DEB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监测频次</w:t>
            </w:r>
          </w:p>
        </w:tc>
        <w:tc>
          <w:tcPr>
            <w:tcW w:w="3796" w:type="dxa"/>
            <w:vAlign w:val="center"/>
          </w:tcPr>
          <w:p w14:paraId="495C28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lang w:val="en-US" w:eastAsia="zh-CN"/>
              </w:rPr>
            </w:pPr>
            <w:r>
              <w:rPr>
                <w:rFonts w:hint="default" w:ascii="Times New Roman" w:hAnsi="Times New Roman" w:eastAsia="宋体" w:cs="Times New Roman"/>
                <w:b w:val="0"/>
                <w:bCs w:val="0"/>
                <w:color w:val="auto"/>
                <w:spacing w:val="0"/>
                <w:w w:val="100"/>
                <w:position w:val="0"/>
                <w:highlight w:val="none"/>
                <w:lang w:val="en-US" w:eastAsia="zh-CN"/>
              </w:rPr>
              <w:t>技术要求</w:t>
            </w:r>
          </w:p>
        </w:tc>
      </w:tr>
      <w:tr w14:paraId="02A697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0" w:type="dxa"/>
            <w:vAlign w:val="center"/>
          </w:tcPr>
          <w:p w14:paraId="12885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场界噪声</w:t>
            </w:r>
          </w:p>
        </w:tc>
        <w:tc>
          <w:tcPr>
            <w:tcW w:w="1179" w:type="dxa"/>
            <w:vAlign w:val="center"/>
          </w:tcPr>
          <w:p w14:paraId="06E66B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pacing w:val="0"/>
                <w:w w:val="100"/>
                <w:position w:val="0"/>
                <w:highlight w:val="none"/>
              </w:rPr>
              <w:t>施工场界Leq</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rPr>
              <w:t>A</w:t>
            </w:r>
            <w:r>
              <w:rPr>
                <w:rFonts w:hint="default" w:ascii="Times New Roman" w:hAnsi="Times New Roman" w:eastAsia="宋体" w:cs="Times New Roman"/>
                <w:color w:val="auto"/>
                <w:spacing w:val="0"/>
                <w:w w:val="100"/>
                <w:position w:val="0"/>
                <w:highlight w:val="none"/>
                <w:lang w:eastAsia="zh-CN"/>
              </w:rPr>
              <w:t>）</w:t>
            </w:r>
          </w:p>
        </w:tc>
        <w:tc>
          <w:tcPr>
            <w:tcW w:w="1368" w:type="dxa"/>
            <w:vAlign w:val="center"/>
          </w:tcPr>
          <w:p w14:paraId="58776E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rPr>
              <w:t>施工场界四周</w:t>
            </w:r>
          </w:p>
        </w:tc>
        <w:tc>
          <w:tcPr>
            <w:tcW w:w="590" w:type="dxa"/>
            <w:vAlign w:val="center"/>
          </w:tcPr>
          <w:p w14:paraId="5D34C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4</w:t>
            </w:r>
          </w:p>
        </w:tc>
        <w:tc>
          <w:tcPr>
            <w:tcW w:w="913" w:type="dxa"/>
            <w:vAlign w:val="center"/>
          </w:tcPr>
          <w:p w14:paraId="1DF1BA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施工期</w:t>
            </w:r>
            <w:r>
              <w:rPr>
                <w:rFonts w:hint="default" w:ascii="Times New Roman" w:hAnsi="Times New Roman" w:eastAsia="宋体" w:cs="Times New Roman"/>
                <w:color w:val="auto"/>
                <w:spacing w:val="0"/>
                <w:w w:val="100"/>
                <w:position w:val="0"/>
                <w:highlight w:val="none"/>
              </w:rPr>
              <w:t>一次</w:t>
            </w:r>
            <w:r>
              <w:rPr>
                <w:rFonts w:hint="default" w:ascii="Times New Roman" w:hAnsi="Times New Roman" w:eastAsia="宋体" w:cs="Times New Roman"/>
                <w:color w:val="auto"/>
                <w:spacing w:val="0"/>
                <w:w w:val="100"/>
                <w:position w:val="0"/>
                <w:highlight w:val="none"/>
                <w:lang w:val="en-US" w:eastAsia="zh-CN"/>
              </w:rPr>
              <w:t>/季</w:t>
            </w:r>
          </w:p>
        </w:tc>
        <w:tc>
          <w:tcPr>
            <w:tcW w:w="3796" w:type="dxa"/>
            <w:vAlign w:val="center"/>
          </w:tcPr>
          <w:p w14:paraId="25650A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满足《建筑施工噪声排放标准》（GB12523-2025）</w:t>
            </w:r>
          </w:p>
        </w:tc>
      </w:tr>
      <w:tr w14:paraId="49AA82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0" w:type="dxa"/>
            <w:vAlign w:val="center"/>
          </w:tcPr>
          <w:p w14:paraId="0BA311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环境空气</w:t>
            </w:r>
          </w:p>
        </w:tc>
        <w:tc>
          <w:tcPr>
            <w:tcW w:w="1179" w:type="dxa"/>
            <w:vAlign w:val="center"/>
          </w:tcPr>
          <w:p w14:paraId="2F24E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TSP</w:t>
            </w:r>
          </w:p>
        </w:tc>
        <w:tc>
          <w:tcPr>
            <w:tcW w:w="1368" w:type="dxa"/>
            <w:vAlign w:val="center"/>
          </w:tcPr>
          <w:p w14:paraId="3A7DB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rPr>
              <w:t>施工场地上、下风向</w:t>
            </w:r>
          </w:p>
        </w:tc>
        <w:tc>
          <w:tcPr>
            <w:tcW w:w="590" w:type="dxa"/>
            <w:vAlign w:val="center"/>
          </w:tcPr>
          <w:p w14:paraId="1AEB4F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2</w:t>
            </w:r>
          </w:p>
        </w:tc>
        <w:tc>
          <w:tcPr>
            <w:tcW w:w="913" w:type="dxa"/>
            <w:vAlign w:val="center"/>
          </w:tcPr>
          <w:p w14:paraId="581F8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lang w:val="en-US" w:eastAsia="zh-CN"/>
              </w:rPr>
              <w:t>施工期</w:t>
            </w:r>
            <w:r>
              <w:rPr>
                <w:rFonts w:hint="default" w:ascii="Times New Roman" w:hAnsi="Times New Roman" w:eastAsia="宋体" w:cs="Times New Roman"/>
                <w:color w:val="auto"/>
                <w:spacing w:val="0"/>
                <w:w w:val="100"/>
                <w:position w:val="0"/>
                <w:highlight w:val="none"/>
              </w:rPr>
              <w:t>一次</w:t>
            </w:r>
            <w:r>
              <w:rPr>
                <w:rFonts w:hint="default" w:ascii="Times New Roman" w:hAnsi="Times New Roman" w:eastAsia="宋体" w:cs="Times New Roman"/>
                <w:color w:val="auto"/>
                <w:spacing w:val="0"/>
                <w:w w:val="100"/>
                <w:position w:val="0"/>
                <w:highlight w:val="none"/>
                <w:lang w:val="en-US" w:eastAsia="zh-CN"/>
              </w:rPr>
              <w:t>/季</w:t>
            </w:r>
          </w:p>
        </w:tc>
        <w:tc>
          <w:tcPr>
            <w:tcW w:w="3796" w:type="dxa"/>
            <w:vAlign w:val="center"/>
          </w:tcPr>
          <w:p w14:paraId="606CC5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满足《大气污染物综合排放标准》（16297-1996）</w:t>
            </w:r>
          </w:p>
        </w:tc>
      </w:tr>
      <w:tr w14:paraId="756F2C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70" w:type="dxa"/>
            <w:vMerge w:val="restart"/>
            <w:vAlign w:val="center"/>
          </w:tcPr>
          <w:p w14:paraId="5D069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生态环境</w:t>
            </w:r>
          </w:p>
        </w:tc>
        <w:tc>
          <w:tcPr>
            <w:tcW w:w="1179" w:type="dxa"/>
            <w:vAlign w:val="center"/>
          </w:tcPr>
          <w:p w14:paraId="2656EE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sz w:val="21"/>
              </w:rPr>
              <w:t>施工现场清理</w:t>
            </w:r>
          </w:p>
        </w:tc>
        <w:tc>
          <w:tcPr>
            <w:tcW w:w="1368" w:type="dxa"/>
            <w:vAlign w:val="center"/>
          </w:tcPr>
          <w:p w14:paraId="31B55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施工场地</w:t>
            </w:r>
          </w:p>
        </w:tc>
        <w:tc>
          <w:tcPr>
            <w:tcW w:w="590" w:type="dxa"/>
            <w:vAlign w:val="center"/>
          </w:tcPr>
          <w:p w14:paraId="16DB41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pacing w:val="0"/>
                <w:w w:val="100"/>
                <w:position w:val="0"/>
                <w:highlight w:val="none"/>
                <w:lang w:val="en-US" w:eastAsia="zh-CN"/>
              </w:rPr>
              <w:t>/</w:t>
            </w:r>
          </w:p>
        </w:tc>
        <w:tc>
          <w:tcPr>
            <w:tcW w:w="913" w:type="dxa"/>
            <w:vAlign w:val="center"/>
          </w:tcPr>
          <w:p w14:paraId="5F48BC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sz w:val="21"/>
              </w:rPr>
              <w:t>施工结束后一次</w:t>
            </w:r>
          </w:p>
        </w:tc>
        <w:tc>
          <w:tcPr>
            <w:tcW w:w="3796" w:type="dxa"/>
            <w:vAlign w:val="center"/>
          </w:tcPr>
          <w:p w14:paraId="6026A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施工清理后，施工现场的弃土石方等废弃物的处置和生态环境恢复情况</w:t>
            </w:r>
          </w:p>
        </w:tc>
      </w:tr>
      <w:tr w14:paraId="61644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26" w:hRule="atLeast"/>
          <w:jc w:val="center"/>
        </w:trPr>
        <w:tc>
          <w:tcPr>
            <w:tcW w:w="670" w:type="dxa"/>
            <w:vMerge w:val="continue"/>
            <w:vAlign w:val="center"/>
          </w:tcPr>
          <w:p w14:paraId="61766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p>
        </w:tc>
        <w:tc>
          <w:tcPr>
            <w:tcW w:w="1179" w:type="dxa"/>
            <w:vAlign w:val="center"/>
          </w:tcPr>
          <w:p w14:paraId="7AB7D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lang w:val="en-US" w:eastAsia="zh-CN"/>
              </w:rPr>
              <w:t>临时占地恢复</w:t>
            </w:r>
          </w:p>
        </w:tc>
        <w:tc>
          <w:tcPr>
            <w:tcW w:w="1368" w:type="dxa"/>
            <w:vAlign w:val="center"/>
          </w:tcPr>
          <w:p w14:paraId="11B0F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sz w:val="21"/>
              </w:rPr>
              <w:t>施工临时占地区施工营地</w:t>
            </w:r>
          </w:p>
        </w:tc>
        <w:tc>
          <w:tcPr>
            <w:tcW w:w="590" w:type="dxa"/>
            <w:vAlign w:val="center"/>
          </w:tcPr>
          <w:p w14:paraId="123DB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w:t>
            </w:r>
          </w:p>
        </w:tc>
        <w:tc>
          <w:tcPr>
            <w:tcW w:w="913" w:type="dxa"/>
            <w:vAlign w:val="center"/>
          </w:tcPr>
          <w:p w14:paraId="55FEA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rPr>
            </w:pPr>
            <w:r>
              <w:rPr>
                <w:rFonts w:hint="default" w:ascii="Times New Roman" w:hAnsi="Times New Roman" w:eastAsia="宋体" w:cs="Times New Roman"/>
                <w:color w:val="auto"/>
                <w:spacing w:val="0"/>
                <w:w w:val="100"/>
                <w:position w:val="0"/>
                <w:sz w:val="21"/>
              </w:rPr>
              <w:t>施工结束后一次</w:t>
            </w:r>
          </w:p>
        </w:tc>
        <w:tc>
          <w:tcPr>
            <w:tcW w:w="3796" w:type="dxa"/>
            <w:vAlign w:val="center"/>
          </w:tcPr>
          <w:p w14:paraId="60507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sz w:val="21"/>
                <w:lang w:val="en-US" w:eastAsia="zh-CN"/>
              </w:rPr>
            </w:pPr>
            <w:r>
              <w:rPr>
                <w:rFonts w:hint="default" w:ascii="Times New Roman" w:hAnsi="Times New Roman" w:eastAsia="宋体" w:cs="Times New Roman"/>
                <w:color w:val="auto"/>
                <w:spacing w:val="0"/>
                <w:w w:val="100"/>
                <w:position w:val="0"/>
                <w:sz w:val="21"/>
              </w:rPr>
              <w:t>临时占地地表恢复</w:t>
            </w:r>
            <w:r>
              <w:rPr>
                <w:rFonts w:hint="default" w:ascii="Times New Roman" w:hAnsi="Times New Roman" w:eastAsia="宋体" w:cs="Times New Roman"/>
                <w:color w:val="auto"/>
                <w:spacing w:val="0"/>
                <w:w w:val="100"/>
                <w:position w:val="0"/>
                <w:sz w:val="21"/>
                <w:lang w:val="en-US" w:eastAsia="zh-CN"/>
              </w:rPr>
              <w:t>情况</w:t>
            </w:r>
          </w:p>
        </w:tc>
      </w:tr>
    </w:tbl>
    <w:p w14:paraId="733041BA">
      <w:pPr>
        <w:pStyle w:val="5"/>
        <w:bidi w:val="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8.3.2.2</w:t>
      </w:r>
      <w:r>
        <w:rPr>
          <w:rFonts w:hint="default" w:ascii="Times New Roman" w:hAnsi="Times New Roman" w:eastAsia="宋体" w:cs="Times New Roman"/>
          <w:color w:val="auto"/>
        </w:rPr>
        <w:t>运营期监测内容</w:t>
      </w:r>
    </w:p>
    <w:p w14:paraId="5BD9C644">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lang w:eastAsia="zh-CN"/>
        </w:rPr>
      </w:pP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1</w:t>
      </w:r>
      <w:r>
        <w:rPr>
          <w:rFonts w:hint="default" w:ascii="Times New Roman" w:hAnsi="Times New Roman" w:eastAsia="宋体" w:cs="Times New Roman"/>
          <w:color w:val="auto"/>
          <w:spacing w:val="0"/>
          <w:w w:val="100"/>
          <w:position w:val="0"/>
          <w:sz w:val="24"/>
          <w:szCs w:val="24"/>
          <w:highlight w:val="none"/>
          <w:lang w:eastAsia="zh-CN"/>
        </w:rPr>
        <w:t>）污染源监测计划</w:t>
      </w:r>
    </w:p>
    <w:p w14:paraId="6A664FF5">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color w:val="auto"/>
          <w:spacing w:val="0"/>
          <w:w w:val="100"/>
          <w:kern w:val="2"/>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结合《排污单位自行监测技术指南 总则》要求，运营期</w:t>
      </w:r>
      <w:r>
        <w:rPr>
          <w:rFonts w:hint="default" w:ascii="Times New Roman" w:hAnsi="Times New Roman" w:eastAsia="宋体" w:cs="Times New Roman"/>
          <w:color w:val="auto"/>
          <w:spacing w:val="0"/>
          <w:w w:val="100"/>
          <w:position w:val="0"/>
          <w:sz w:val="24"/>
          <w:szCs w:val="24"/>
          <w:highlight w:val="none"/>
          <w:lang w:val="en-US" w:eastAsia="zh-CN"/>
        </w:rPr>
        <w:t>污染源</w:t>
      </w:r>
      <w:r>
        <w:rPr>
          <w:rFonts w:hint="default" w:ascii="Times New Roman" w:hAnsi="Times New Roman" w:eastAsia="宋体" w:cs="Times New Roman"/>
          <w:color w:val="auto"/>
          <w:spacing w:val="0"/>
          <w:w w:val="100"/>
          <w:position w:val="0"/>
          <w:sz w:val="24"/>
          <w:szCs w:val="24"/>
          <w:highlight w:val="none"/>
        </w:rPr>
        <w:t>监测内容见表8.3-2。</w:t>
      </w:r>
    </w:p>
    <w:p w14:paraId="1B429738">
      <w:pPr>
        <w:pStyle w:val="66"/>
        <w:keepNext w:val="0"/>
        <w:keepLines w:val="0"/>
        <w:pageBreakBefore w:val="0"/>
        <w:widowControl w:val="0"/>
        <w:kinsoku/>
        <w:wordWrap/>
        <w:overflowPunct/>
        <w:topLinePunct w:val="0"/>
        <w:autoSpaceDE/>
        <w:autoSpaceDN/>
        <w:bidi w:val="0"/>
        <w:adjustRightInd w:val="0"/>
        <w:snapToGrid/>
        <w:spacing w:before="0" w:after="0" w:line="480" w:lineRule="exact"/>
        <w:ind w:firstLine="482"/>
        <w:textAlignment w:val="baseline"/>
        <w:rPr>
          <w:rFonts w:hint="default" w:ascii="Times New Roman" w:hAnsi="Times New Roman" w:eastAsia="宋体" w:cs="Times New Roman"/>
          <w:b/>
          <w:color w:val="auto"/>
          <w:spacing w:val="0"/>
          <w:w w:val="100"/>
          <w:kern w:val="2"/>
          <w:position w:val="0"/>
          <w:szCs w:val="24"/>
          <w:highlight w:val="none"/>
        </w:rPr>
      </w:pPr>
      <w:r>
        <w:rPr>
          <w:rFonts w:hint="default" w:ascii="Times New Roman" w:hAnsi="Times New Roman" w:eastAsia="宋体" w:cs="Times New Roman"/>
          <w:b/>
          <w:color w:val="auto"/>
          <w:spacing w:val="0"/>
          <w:w w:val="100"/>
          <w:kern w:val="2"/>
          <w:position w:val="0"/>
          <w:szCs w:val="24"/>
          <w:highlight w:val="none"/>
        </w:rPr>
        <w:t>表8.3-2    运营期</w:t>
      </w:r>
      <w:r>
        <w:rPr>
          <w:rFonts w:hint="default" w:ascii="Times New Roman" w:hAnsi="Times New Roman" w:eastAsia="宋体" w:cs="Times New Roman"/>
          <w:b/>
          <w:color w:val="auto"/>
          <w:spacing w:val="0"/>
          <w:w w:val="100"/>
          <w:kern w:val="2"/>
          <w:position w:val="0"/>
          <w:szCs w:val="24"/>
          <w:highlight w:val="none"/>
          <w:lang w:val="en-US" w:eastAsia="zh-CN"/>
        </w:rPr>
        <w:t>污染源</w:t>
      </w:r>
      <w:r>
        <w:rPr>
          <w:rFonts w:hint="default" w:ascii="Times New Roman" w:hAnsi="Times New Roman" w:eastAsia="宋体" w:cs="Times New Roman"/>
          <w:b/>
          <w:color w:val="auto"/>
          <w:spacing w:val="0"/>
          <w:w w:val="100"/>
          <w:kern w:val="2"/>
          <w:position w:val="0"/>
          <w:szCs w:val="24"/>
          <w:highlight w:val="none"/>
        </w:rPr>
        <w:t>环境监测计划表</w:t>
      </w:r>
    </w:p>
    <w:tbl>
      <w:tblPr>
        <w:tblStyle w:val="31"/>
        <w:tblW w:w="5031"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67"/>
        <w:gridCol w:w="624"/>
        <w:gridCol w:w="968"/>
        <w:gridCol w:w="1425"/>
        <w:gridCol w:w="1315"/>
        <w:gridCol w:w="2385"/>
        <w:gridCol w:w="1298"/>
      </w:tblGrid>
      <w:tr w14:paraId="0805F1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219" w:type="pct"/>
            <w:tcBorders>
              <w:tl2br w:val="nil"/>
              <w:tr2bl w:val="nil"/>
            </w:tcBorders>
            <w:vAlign w:val="center"/>
          </w:tcPr>
          <w:p w14:paraId="0B87E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序号</w:t>
            </w:r>
          </w:p>
        </w:tc>
        <w:tc>
          <w:tcPr>
            <w:tcW w:w="372" w:type="pct"/>
            <w:tcBorders>
              <w:tl2br w:val="nil"/>
              <w:tr2bl w:val="nil"/>
            </w:tcBorders>
            <w:vAlign w:val="center"/>
          </w:tcPr>
          <w:p w14:paraId="0B8AA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监测内容</w:t>
            </w:r>
          </w:p>
        </w:tc>
        <w:tc>
          <w:tcPr>
            <w:tcW w:w="577" w:type="pct"/>
            <w:tcBorders>
              <w:tl2br w:val="nil"/>
              <w:tr2bl w:val="nil"/>
            </w:tcBorders>
            <w:vAlign w:val="center"/>
          </w:tcPr>
          <w:p w14:paraId="797689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监测点位</w:t>
            </w:r>
          </w:p>
        </w:tc>
        <w:tc>
          <w:tcPr>
            <w:tcW w:w="850" w:type="pct"/>
            <w:tcBorders>
              <w:tl2br w:val="nil"/>
              <w:tr2bl w:val="nil"/>
            </w:tcBorders>
            <w:vAlign w:val="center"/>
          </w:tcPr>
          <w:p w14:paraId="76E14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监测频次</w:t>
            </w:r>
          </w:p>
        </w:tc>
        <w:tc>
          <w:tcPr>
            <w:tcW w:w="784" w:type="pct"/>
            <w:tcBorders>
              <w:tl2br w:val="nil"/>
              <w:tr2bl w:val="nil"/>
            </w:tcBorders>
            <w:vAlign w:val="center"/>
          </w:tcPr>
          <w:p w14:paraId="62DEB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监测项目</w:t>
            </w:r>
          </w:p>
        </w:tc>
        <w:tc>
          <w:tcPr>
            <w:tcW w:w="1422" w:type="pct"/>
            <w:tcBorders>
              <w:tl2br w:val="nil"/>
              <w:tr2bl w:val="nil"/>
            </w:tcBorders>
            <w:vAlign w:val="center"/>
          </w:tcPr>
          <w:p w14:paraId="456C1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执行标准</w:t>
            </w:r>
          </w:p>
        </w:tc>
        <w:tc>
          <w:tcPr>
            <w:tcW w:w="774" w:type="pct"/>
            <w:tcBorders>
              <w:tl2br w:val="nil"/>
              <w:tr2bl w:val="nil"/>
            </w:tcBorders>
            <w:vAlign w:val="center"/>
          </w:tcPr>
          <w:p w14:paraId="7B860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Cs w:val="21"/>
                <w:highlight w:val="none"/>
                <w:lang w:val="en-US" w:eastAsia="zh-CN"/>
              </w:rPr>
              <w:t>备注</w:t>
            </w:r>
          </w:p>
        </w:tc>
      </w:tr>
      <w:tr w14:paraId="7107C3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vMerge w:val="restart"/>
            <w:tcBorders>
              <w:tl2br w:val="nil"/>
              <w:tr2bl w:val="nil"/>
            </w:tcBorders>
            <w:vAlign w:val="center"/>
          </w:tcPr>
          <w:p w14:paraId="4189D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1</w:t>
            </w:r>
          </w:p>
        </w:tc>
        <w:tc>
          <w:tcPr>
            <w:tcW w:w="372" w:type="pct"/>
            <w:vMerge w:val="restart"/>
            <w:tcBorders>
              <w:tl2br w:val="nil"/>
              <w:tr2bl w:val="nil"/>
            </w:tcBorders>
            <w:vAlign w:val="center"/>
          </w:tcPr>
          <w:p w14:paraId="3E2D1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废气监测</w:t>
            </w:r>
          </w:p>
        </w:tc>
        <w:tc>
          <w:tcPr>
            <w:tcW w:w="577" w:type="pct"/>
            <w:tcBorders>
              <w:tl2br w:val="nil"/>
              <w:tr2bl w:val="nil"/>
            </w:tcBorders>
            <w:vAlign w:val="center"/>
          </w:tcPr>
          <w:p w14:paraId="41AEE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cs="Times New Roman"/>
                <w:snapToGrid/>
                <w:color w:val="auto"/>
                <w:spacing w:val="0"/>
                <w:w w:val="100"/>
                <w:kern w:val="2"/>
                <w:position w:val="0"/>
                <w:szCs w:val="21"/>
                <w:highlight w:val="none"/>
                <w:lang w:val="en-US" w:eastAsia="zh-CN"/>
              </w:rPr>
              <w:t>破碎</w:t>
            </w:r>
            <w:r>
              <w:rPr>
                <w:rFonts w:hint="default" w:ascii="Times New Roman" w:hAnsi="Times New Roman" w:eastAsia="宋体" w:cs="Times New Roman"/>
                <w:snapToGrid/>
                <w:color w:val="auto"/>
                <w:spacing w:val="0"/>
                <w:w w:val="100"/>
                <w:kern w:val="2"/>
                <w:position w:val="0"/>
                <w:szCs w:val="21"/>
                <w:highlight w:val="none"/>
                <w:lang w:val="en-US" w:eastAsia="zh-CN"/>
              </w:rPr>
              <w:t>车间</w:t>
            </w:r>
          </w:p>
        </w:tc>
        <w:tc>
          <w:tcPr>
            <w:tcW w:w="850" w:type="pct"/>
            <w:tcBorders>
              <w:tl2br w:val="nil"/>
              <w:tr2bl w:val="nil"/>
            </w:tcBorders>
            <w:vAlign w:val="center"/>
          </w:tcPr>
          <w:p w14:paraId="3134E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1次/半年</w:t>
            </w:r>
          </w:p>
        </w:tc>
        <w:tc>
          <w:tcPr>
            <w:tcW w:w="784" w:type="pct"/>
            <w:tcBorders>
              <w:tl2br w:val="nil"/>
              <w:tr2bl w:val="nil"/>
            </w:tcBorders>
            <w:vAlign w:val="center"/>
          </w:tcPr>
          <w:p w14:paraId="6CE4F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风量、颗粒物浓度</w:t>
            </w:r>
          </w:p>
        </w:tc>
        <w:tc>
          <w:tcPr>
            <w:tcW w:w="1422" w:type="pct"/>
            <w:tcBorders>
              <w:tl2br w:val="nil"/>
              <w:tr2bl w:val="nil"/>
            </w:tcBorders>
            <w:vAlign w:val="center"/>
          </w:tcPr>
          <w:p w14:paraId="3AD95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cs="Times New Roman"/>
                <w:snapToGrid/>
                <w:color w:val="auto"/>
                <w:spacing w:val="0"/>
                <w:w w:val="100"/>
                <w:kern w:val="2"/>
                <w:position w:val="0"/>
                <w:szCs w:val="21"/>
                <w:highlight w:val="none"/>
                <w:lang w:val="en-US" w:eastAsia="zh-CN"/>
              </w:rPr>
              <w:t>《铜、镍、钴工业污染物排放标准》（GB25467-2010）及其修改单</w:t>
            </w:r>
            <w:r>
              <w:rPr>
                <w:rFonts w:hint="default" w:ascii="Times New Roman" w:hAnsi="Times New Roman" w:eastAsia="宋体" w:cs="Times New Roman"/>
                <w:snapToGrid/>
                <w:color w:val="auto"/>
                <w:spacing w:val="0"/>
                <w:w w:val="100"/>
                <w:kern w:val="2"/>
                <w:position w:val="0"/>
                <w:szCs w:val="21"/>
                <w:highlight w:val="none"/>
                <w:lang w:val="en-US" w:eastAsia="zh-CN"/>
              </w:rPr>
              <w:t>表5，颗粒物：80mg/m</w:t>
            </w:r>
            <w:r>
              <w:rPr>
                <w:rFonts w:hint="default" w:ascii="Times New Roman" w:hAnsi="Times New Roman" w:eastAsia="宋体" w:cs="Times New Roman"/>
                <w:snapToGrid/>
                <w:color w:val="auto"/>
                <w:spacing w:val="0"/>
                <w:w w:val="100"/>
                <w:kern w:val="2"/>
                <w:position w:val="0"/>
                <w:szCs w:val="21"/>
                <w:highlight w:val="none"/>
                <w:vertAlign w:val="superscript"/>
                <w:lang w:val="en-US" w:eastAsia="zh-CN"/>
              </w:rPr>
              <w:t>3</w:t>
            </w:r>
          </w:p>
        </w:tc>
        <w:tc>
          <w:tcPr>
            <w:tcW w:w="774" w:type="pct"/>
            <w:tcBorders>
              <w:tl2br w:val="nil"/>
              <w:tr2bl w:val="nil"/>
            </w:tcBorders>
            <w:vAlign w:val="center"/>
          </w:tcPr>
          <w:p w14:paraId="28858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处理设施进口、出口</w:t>
            </w:r>
          </w:p>
        </w:tc>
      </w:tr>
      <w:tr w14:paraId="3E778B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vMerge w:val="continue"/>
            <w:tcBorders>
              <w:tl2br w:val="nil"/>
              <w:tr2bl w:val="nil"/>
            </w:tcBorders>
            <w:vAlign w:val="center"/>
          </w:tcPr>
          <w:p w14:paraId="39566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372" w:type="pct"/>
            <w:vMerge w:val="continue"/>
            <w:tcBorders>
              <w:tl2br w:val="nil"/>
              <w:tr2bl w:val="nil"/>
            </w:tcBorders>
            <w:vAlign w:val="center"/>
          </w:tcPr>
          <w:p w14:paraId="167BA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577" w:type="pct"/>
            <w:tcBorders>
              <w:tl2br w:val="nil"/>
              <w:tr2bl w:val="nil"/>
            </w:tcBorders>
            <w:vAlign w:val="center"/>
          </w:tcPr>
          <w:p w14:paraId="2FBFDD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工业场地</w:t>
            </w:r>
          </w:p>
        </w:tc>
        <w:tc>
          <w:tcPr>
            <w:tcW w:w="850" w:type="pct"/>
            <w:vMerge w:val="restart"/>
            <w:tcBorders>
              <w:tl2br w:val="nil"/>
              <w:tr2bl w:val="nil"/>
            </w:tcBorders>
            <w:vAlign w:val="center"/>
          </w:tcPr>
          <w:p w14:paraId="20B15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1次/半年</w:t>
            </w:r>
          </w:p>
        </w:tc>
        <w:tc>
          <w:tcPr>
            <w:tcW w:w="784" w:type="pct"/>
            <w:vMerge w:val="restart"/>
            <w:tcBorders>
              <w:tl2br w:val="nil"/>
              <w:tr2bl w:val="nil"/>
            </w:tcBorders>
            <w:vAlign w:val="center"/>
          </w:tcPr>
          <w:p w14:paraId="535AC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颗粒物浓度</w:t>
            </w:r>
          </w:p>
        </w:tc>
        <w:tc>
          <w:tcPr>
            <w:tcW w:w="1422" w:type="pct"/>
            <w:vMerge w:val="restart"/>
            <w:tcBorders>
              <w:tl2br w:val="nil"/>
              <w:tr2bl w:val="nil"/>
            </w:tcBorders>
            <w:vAlign w:val="center"/>
          </w:tcPr>
          <w:p w14:paraId="44083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cs="Times New Roman"/>
                <w:snapToGrid/>
                <w:color w:val="auto"/>
                <w:spacing w:val="0"/>
                <w:w w:val="100"/>
                <w:kern w:val="2"/>
                <w:position w:val="0"/>
                <w:szCs w:val="21"/>
                <w:highlight w:val="none"/>
                <w:lang w:val="en-US" w:eastAsia="zh-CN"/>
              </w:rPr>
              <w:t>《铜、镍、钴工业污染物排放标准》（GB25467-2010）及其修改单</w:t>
            </w:r>
            <w:r>
              <w:rPr>
                <w:rFonts w:hint="default" w:ascii="Times New Roman" w:hAnsi="Times New Roman" w:eastAsia="宋体" w:cs="Times New Roman"/>
                <w:snapToGrid/>
                <w:color w:val="auto"/>
                <w:spacing w:val="0"/>
                <w:w w:val="100"/>
                <w:kern w:val="2"/>
                <w:position w:val="0"/>
                <w:szCs w:val="21"/>
                <w:highlight w:val="none"/>
                <w:lang w:val="en-US" w:eastAsia="zh-CN"/>
              </w:rPr>
              <w:t>表6，边界总悬浮颗粒</w:t>
            </w:r>
          </w:p>
          <w:p w14:paraId="3CA624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物：1mg/m</w:t>
            </w:r>
            <w:r>
              <w:rPr>
                <w:rFonts w:hint="default" w:ascii="Times New Roman" w:hAnsi="Times New Roman" w:eastAsia="宋体" w:cs="Times New Roman"/>
                <w:snapToGrid/>
                <w:color w:val="auto"/>
                <w:spacing w:val="0"/>
                <w:w w:val="100"/>
                <w:kern w:val="2"/>
                <w:position w:val="0"/>
                <w:szCs w:val="21"/>
                <w:highlight w:val="none"/>
                <w:vertAlign w:val="superscript"/>
                <w:lang w:val="en-US" w:eastAsia="zh-CN"/>
              </w:rPr>
              <w:t>3</w:t>
            </w:r>
          </w:p>
        </w:tc>
        <w:tc>
          <w:tcPr>
            <w:tcW w:w="774" w:type="pct"/>
            <w:vMerge w:val="restart"/>
            <w:tcBorders>
              <w:tl2br w:val="nil"/>
              <w:tr2bl w:val="nil"/>
            </w:tcBorders>
            <w:vAlign w:val="center"/>
          </w:tcPr>
          <w:p w14:paraId="1DE43A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无组织废气</w:t>
            </w:r>
          </w:p>
        </w:tc>
      </w:tr>
      <w:tr w14:paraId="438F4F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vMerge w:val="continue"/>
            <w:tcBorders>
              <w:tl2br w:val="nil"/>
              <w:tr2bl w:val="nil"/>
            </w:tcBorders>
            <w:vAlign w:val="center"/>
          </w:tcPr>
          <w:p w14:paraId="70818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372" w:type="pct"/>
            <w:vMerge w:val="continue"/>
            <w:tcBorders>
              <w:tl2br w:val="nil"/>
              <w:tr2bl w:val="nil"/>
            </w:tcBorders>
            <w:vAlign w:val="center"/>
          </w:tcPr>
          <w:p w14:paraId="27D7E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577" w:type="pct"/>
            <w:tcBorders>
              <w:tl2br w:val="nil"/>
              <w:tr2bl w:val="nil"/>
            </w:tcBorders>
            <w:vAlign w:val="center"/>
          </w:tcPr>
          <w:p w14:paraId="432E3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废石场场界最大点</w:t>
            </w:r>
          </w:p>
        </w:tc>
        <w:tc>
          <w:tcPr>
            <w:tcW w:w="850" w:type="pct"/>
            <w:vMerge w:val="continue"/>
            <w:tcBorders>
              <w:tl2br w:val="nil"/>
              <w:tr2bl w:val="nil"/>
            </w:tcBorders>
            <w:vAlign w:val="center"/>
          </w:tcPr>
          <w:p w14:paraId="28986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784" w:type="pct"/>
            <w:vMerge w:val="continue"/>
            <w:tcBorders>
              <w:tl2br w:val="nil"/>
              <w:tr2bl w:val="nil"/>
            </w:tcBorders>
            <w:vAlign w:val="center"/>
          </w:tcPr>
          <w:p w14:paraId="54E4B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1422" w:type="pct"/>
            <w:vMerge w:val="continue"/>
            <w:tcBorders>
              <w:tl2br w:val="nil"/>
              <w:tr2bl w:val="nil"/>
            </w:tcBorders>
            <w:vAlign w:val="center"/>
          </w:tcPr>
          <w:p w14:paraId="5227D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774" w:type="pct"/>
            <w:vMerge w:val="continue"/>
            <w:tcBorders>
              <w:tl2br w:val="nil"/>
              <w:tr2bl w:val="nil"/>
            </w:tcBorders>
            <w:vAlign w:val="center"/>
          </w:tcPr>
          <w:p w14:paraId="57435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r>
      <w:tr w14:paraId="4A37D4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tcBorders>
              <w:tl2br w:val="nil"/>
              <w:tr2bl w:val="nil"/>
            </w:tcBorders>
            <w:vAlign w:val="center"/>
          </w:tcPr>
          <w:p w14:paraId="451EA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2</w:t>
            </w:r>
          </w:p>
        </w:tc>
        <w:tc>
          <w:tcPr>
            <w:tcW w:w="372" w:type="pct"/>
            <w:tcBorders>
              <w:tl2br w:val="nil"/>
              <w:tr2bl w:val="nil"/>
            </w:tcBorders>
            <w:vAlign w:val="center"/>
          </w:tcPr>
          <w:p w14:paraId="19AD23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废水监测</w:t>
            </w:r>
          </w:p>
        </w:tc>
        <w:tc>
          <w:tcPr>
            <w:tcW w:w="577" w:type="pct"/>
            <w:tcBorders>
              <w:tl2br w:val="nil"/>
              <w:tr2bl w:val="nil"/>
            </w:tcBorders>
            <w:vAlign w:val="center"/>
          </w:tcPr>
          <w:p w14:paraId="5AF98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生活污水处理站</w:t>
            </w:r>
          </w:p>
        </w:tc>
        <w:tc>
          <w:tcPr>
            <w:tcW w:w="850" w:type="pct"/>
            <w:tcBorders>
              <w:tl2br w:val="nil"/>
              <w:tr2bl w:val="nil"/>
            </w:tcBorders>
            <w:vAlign w:val="center"/>
          </w:tcPr>
          <w:p w14:paraId="5ED335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1次/年</w:t>
            </w:r>
          </w:p>
        </w:tc>
        <w:tc>
          <w:tcPr>
            <w:tcW w:w="784" w:type="pct"/>
            <w:tcBorders>
              <w:tl2br w:val="nil"/>
              <w:tr2bl w:val="nil"/>
            </w:tcBorders>
            <w:vAlign w:val="center"/>
          </w:tcPr>
          <w:p w14:paraId="6B364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COD、BOD</w:t>
            </w:r>
            <w:r>
              <w:rPr>
                <w:rFonts w:hint="default" w:ascii="Times New Roman" w:hAnsi="Times New Roman" w:eastAsia="宋体" w:cs="Times New Roman"/>
                <w:snapToGrid/>
                <w:color w:val="auto"/>
                <w:spacing w:val="0"/>
                <w:w w:val="100"/>
                <w:kern w:val="2"/>
                <w:position w:val="0"/>
                <w:szCs w:val="21"/>
                <w:highlight w:val="none"/>
                <w:vertAlign w:val="subscript"/>
                <w:lang w:val="en-US" w:eastAsia="zh-CN"/>
              </w:rPr>
              <w:t>5</w:t>
            </w:r>
            <w:r>
              <w:rPr>
                <w:rFonts w:hint="default" w:ascii="Times New Roman" w:hAnsi="Times New Roman" w:eastAsia="宋体" w:cs="Times New Roman"/>
                <w:snapToGrid/>
                <w:color w:val="auto"/>
                <w:spacing w:val="0"/>
                <w:w w:val="100"/>
                <w:kern w:val="2"/>
                <w:position w:val="0"/>
                <w:szCs w:val="21"/>
                <w:highlight w:val="none"/>
                <w:lang w:val="en-US" w:eastAsia="zh-CN"/>
              </w:rPr>
              <w:t>、NH</w:t>
            </w:r>
            <w:r>
              <w:rPr>
                <w:rFonts w:hint="default" w:ascii="Times New Roman" w:hAnsi="Times New Roman" w:eastAsia="宋体" w:cs="Times New Roman"/>
                <w:snapToGrid/>
                <w:color w:val="auto"/>
                <w:spacing w:val="0"/>
                <w:w w:val="100"/>
                <w:kern w:val="2"/>
                <w:position w:val="0"/>
                <w:szCs w:val="21"/>
                <w:highlight w:val="none"/>
                <w:vertAlign w:val="subscript"/>
                <w:lang w:val="en-US" w:eastAsia="zh-CN"/>
              </w:rPr>
              <w:t>3</w:t>
            </w:r>
            <w:r>
              <w:rPr>
                <w:rFonts w:hint="default" w:ascii="Times New Roman" w:hAnsi="Times New Roman" w:eastAsia="宋体" w:cs="Times New Roman"/>
                <w:snapToGrid/>
                <w:color w:val="auto"/>
                <w:spacing w:val="0"/>
                <w:w w:val="100"/>
                <w:kern w:val="2"/>
                <w:position w:val="0"/>
                <w:szCs w:val="21"/>
                <w:highlight w:val="none"/>
                <w:lang w:val="en-US" w:eastAsia="zh-CN"/>
              </w:rPr>
              <w:t>-N</w:t>
            </w:r>
          </w:p>
        </w:tc>
        <w:tc>
          <w:tcPr>
            <w:tcW w:w="1422" w:type="pct"/>
            <w:tcBorders>
              <w:tl2br w:val="nil"/>
              <w:tr2bl w:val="nil"/>
            </w:tcBorders>
            <w:vAlign w:val="center"/>
          </w:tcPr>
          <w:p w14:paraId="337FA3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《城市污水再生利用工业用水水质》的“工艺与产品用水”水质</w:t>
            </w:r>
          </w:p>
        </w:tc>
        <w:tc>
          <w:tcPr>
            <w:tcW w:w="774" w:type="pct"/>
            <w:tcBorders>
              <w:tl2br w:val="nil"/>
              <w:tr2bl w:val="nil"/>
            </w:tcBorders>
            <w:vAlign w:val="center"/>
          </w:tcPr>
          <w:p w14:paraId="53A025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生活污水处理设施出口</w:t>
            </w:r>
          </w:p>
        </w:tc>
      </w:tr>
      <w:tr w14:paraId="6542FC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tcBorders>
              <w:tl2br w:val="nil"/>
              <w:tr2bl w:val="nil"/>
            </w:tcBorders>
            <w:vAlign w:val="center"/>
          </w:tcPr>
          <w:p w14:paraId="6E9614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3</w:t>
            </w:r>
          </w:p>
        </w:tc>
        <w:tc>
          <w:tcPr>
            <w:tcW w:w="372" w:type="pct"/>
            <w:tcBorders>
              <w:tl2br w:val="nil"/>
              <w:tr2bl w:val="nil"/>
            </w:tcBorders>
            <w:vAlign w:val="center"/>
          </w:tcPr>
          <w:p w14:paraId="30ED3D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噪声监测</w:t>
            </w:r>
          </w:p>
        </w:tc>
        <w:tc>
          <w:tcPr>
            <w:tcW w:w="577" w:type="pct"/>
            <w:tcBorders>
              <w:tl2br w:val="nil"/>
              <w:tr2bl w:val="nil"/>
            </w:tcBorders>
            <w:vAlign w:val="center"/>
          </w:tcPr>
          <w:p w14:paraId="69A9C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厂界四周</w:t>
            </w:r>
          </w:p>
        </w:tc>
        <w:tc>
          <w:tcPr>
            <w:tcW w:w="850" w:type="pct"/>
            <w:tcBorders>
              <w:tl2br w:val="nil"/>
              <w:tr2bl w:val="nil"/>
            </w:tcBorders>
            <w:vAlign w:val="center"/>
          </w:tcPr>
          <w:p w14:paraId="2E269A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eastAsia" w:ascii="Times New Roman" w:hAnsi="Times New Roman" w:cs="Times New Roman"/>
                <w:snapToGrid/>
                <w:color w:val="auto"/>
                <w:spacing w:val="0"/>
                <w:w w:val="100"/>
                <w:kern w:val="2"/>
                <w:position w:val="0"/>
                <w:szCs w:val="21"/>
                <w:highlight w:val="none"/>
                <w:lang w:val="en-US" w:eastAsia="zh-CN"/>
              </w:rPr>
              <w:t>1</w:t>
            </w:r>
            <w:r>
              <w:rPr>
                <w:rFonts w:hint="default" w:ascii="Times New Roman" w:hAnsi="Times New Roman" w:eastAsia="宋体" w:cs="Times New Roman"/>
                <w:snapToGrid/>
                <w:color w:val="auto"/>
                <w:spacing w:val="0"/>
                <w:w w:val="100"/>
                <w:kern w:val="2"/>
                <w:position w:val="0"/>
                <w:szCs w:val="21"/>
                <w:highlight w:val="none"/>
                <w:lang w:val="en-US" w:eastAsia="zh-CN"/>
              </w:rPr>
              <w:t>次/</w:t>
            </w:r>
            <w:r>
              <w:rPr>
                <w:rFonts w:hint="eastAsia" w:ascii="Times New Roman" w:hAnsi="Times New Roman" w:cs="Times New Roman"/>
                <w:snapToGrid/>
                <w:color w:val="auto"/>
                <w:spacing w:val="0"/>
                <w:w w:val="100"/>
                <w:kern w:val="2"/>
                <w:position w:val="0"/>
                <w:szCs w:val="21"/>
                <w:highlight w:val="none"/>
                <w:lang w:val="en-US" w:eastAsia="zh-CN"/>
              </w:rPr>
              <w:t>一季度</w:t>
            </w:r>
          </w:p>
        </w:tc>
        <w:tc>
          <w:tcPr>
            <w:tcW w:w="784" w:type="pct"/>
            <w:tcBorders>
              <w:tl2br w:val="nil"/>
              <w:tr2bl w:val="nil"/>
            </w:tcBorders>
            <w:vAlign w:val="center"/>
          </w:tcPr>
          <w:p w14:paraId="75CAE0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Leq（A）</w:t>
            </w:r>
          </w:p>
        </w:tc>
        <w:tc>
          <w:tcPr>
            <w:tcW w:w="1422" w:type="pct"/>
            <w:tcBorders>
              <w:tl2br w:val="nil"/>
              <w:tr2bl w:val="nil"/>
            </w:tcBorders>
            <w:vAlign w:val="center"/>
          </w:tcPr>
          <w:p w14:paraId="0989DF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工业场地边界外1m处达到《工业企业厂界环境噪声排放标准》GB12348-2008）2类标准</w:t>
            </w:r>
          </w:p>
        </w:tc>
        <w:tc>
          <w:tcPr>
            <w:tcW w:w="774" w:type="pct"/>
            <w:tcBorders>
              <w:tl2br w:val="nil"/>
              <w:tr2bl w:val="nil"/>
            </w:tcBorders>
            <w:vAlign w:val="center"/>
          </w:tcPr>
          <w:p w14:paraId="51B51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采场界</w:t>
            </w:r>
          </w:p>
        </w:tc>
      </w:tr>
      <w:tr w14:paraId="02CE29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19" w:type="pct"/>
            <w:tcBorders>
              <w:tl2br w:val="nil"/>
              <w:tr2bl w:val="nil"/>
            </w:tcBorders>
            <w:vAlign w:val="center"/>
          </w:tcPr>
          <w:p w14:paraId="78D28C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4</w:t>
            </w:r>
          </w:p>
        </w:tc>
        <w:tc>
          <w:tcPr>
            <w:tcW w:w="372" w:type="pct"/>
            <w:tcBorders>
              <w:tl2br w:val="nil"/>
              <w:tr2bl w:val="nil"/>
            </w:tcBorders>
            <w:vAlign w:val="center"/>
          </w:tcPr>
          <w:p w14:paraId="187FF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生态恢复监管内容</w:t>
            </w:r>
          </w:p>
        </w:tc>
        <w:tc>
          <w:tcPr>
            <w:tcW w:w="3633" w:type="pct"/>
            <w:gridSpan w:val="4"/>
            <w:tcBorders>
              <w:tl2br w:val="nil"/>
              <w:tr2bl w:val="nil"/>
            </w:tcBorders>
            <w:vAlign w:val="center"/>
          </w:tcPr>
          <w:p w14:paraId="66C91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生态监管主要是针对矿山区域，定期调查和统计拟建项目运行期破坏的植被面积、种类和生物量；检查矿区周围、道路两侧绿化工作计划完成进度，监测土地沙化情况，以及水土流失的控制情况，并根据实际情况随时修正</w:t>
            </w:r>
            <w:r>
              <w:rPr>
                <w:rFonts w:hint="eastAsia" w:ascii="Times New Roman" w:hAnsi="Times New Roman" w:cs="Times New Roman"/>
                <w:snapToGrid/>
                <w:color w:val="auto"/>
                <w:spacing w:val="0"/>
                <w:w w:val="100"/>
                <w:kern w:val="2"/>
                <w:position w:val="0"/>
                <w:szCs w:val="21"/>
                <w:highlight w:val="none"/>
                <w:lang w:val="en-US" w:eastAsia="zh-CN"/>
              </w:rPr>
              <w:t>矿山生态修复</w:t>
            </w:r>
            <w:r>
              <w:rPr>
                <w:rFonts w:hint="default" w:ascii="Times New Roman" w:hAnsi="Times New Roman" w:eastAsia="宋体" w:cs="Times New Roman"/>
                <w:snapToGrid/>
                <w:color w:val="auto"/>
                <w:spacing w:val="0"/>
                <w:w w:val="100"/>
                <w:kern w:val="2"/>
                <w:position w:val="0"/>
                <w:szCs w:val="21"/>
                <w:highlight w:val="none"/>
                <w:lang w:val="en-US" w:eastAsia="zh-CN"/>
              </w:rPr>
              <w:t>计划，保证各项计划落实到位</w:t>
            </w:r>
          </w:p>
        </w:tc>
        <w:tc>
          <w:tcPr>
            <w:tcW w:w="774" w:type="pct"/>
            <w:tcBorders>
              <w:tl2br w:val="nil"/>
              <w:tr2bl w:val="nil"/>
            </w:tcBorders>
            <w:vAlign w:val="center"/>
          </w:tcPr>
          <w:p w14:paraId="08931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w:t>
            </w:r>
          </w:p>
        </w:tc>
      </w:tr>
    </w:tbl>
    <w:p w14:paraId="35BD9388">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lang w:eastAsia="zh-CN"/>
        </w:rPr>
      </w:pPr>
      <w:r>
        <w:rPr>
          <w:rFonts w:hint="default" w:ascii="Times New Roman" w:hAnsi="Times New Roman" w:eastAsia="宋体" w:cs="Times New Roman"/>
          <w:color w:val="auto"/>
          <w:spacing w:val="0"/>
          <w:w w:val="100"/>
          <w:position w:val="0"/>
          <w:sz w:val="24"/>
          <w:szCs w:val="24"/>
          <w:highlight w:val="none"/>
          <w:lang w:eastAsia="zh-CN"/>
        </w:rPr>
        <w:t>（</w:t>
      </w:r>
      <w:r>
        <w:rPr>
          <w:rFonts w:hint="default" w:ascii="Times New Roman" w:hAnsi="Times New Roman" w:eastAsia="宋体" w:cs="Times New Roman"/>
          <w:color w:val="auto"/>
          <w:spacing w:val="0"/>
          <w:w w:val="100"/>
          <w:position w:val="0"/>
          <w:sz w:val="24"/>
          <w:szCs w:val="24"/>
          <w:highlight w:val="none"/>
          <w:lang w:val="en-US" w:eastAsia="zh-CN"/>
        </w:rPr>
        <w:t>2</w:t>
      </w:r>
      <w:r>
        <w:rPr>
          <w:rFonts w:hint="default" w:ascii="Times New Roman" w:hAnsi="Times New Roman" w:eastAsia="宋体" w:cs="Times New Roman"/>
          <w:color w:val="auto"/>
          <w:spacing w:val="0"/>
          <w:w w:val="100"/>
          <w:position w:val="0"/>
          <w:sz w:val="24"/>
          <w:szCs w:val="24"/>
          <w:highlight w:val="none"/>
          <w:lang w:eastAsia="zh-CN"/>
        </w:rPr>
        <w:t>）环境质量监测计划</w:t>
      </w:r>
    </w:p>
    <w:p w14:paraId="664CF6B3">
      <w:pPr>
        <w:pStyle w:val="10"/>
        <w:keepNext w:val="0"/>
        <w:keepLines w:val="0"/>
        <w:pageBreakBefore w:val="0"/>
        <w:widowControl/>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运营期环境质量具体监测计划见表8.</w:t>
      </w:r>
      <w:r>
        <w:rPr>
          <w:rFonts w:hint="default" w:ascii="Times New Roman" w:hAnsi="Times New Roman" w:eastAsia="宋体" w:cs="Times New Roman"/>
          <w:color w:val="auto"/>
          <w:spacing w:val="0"/>
          <w:w w:val="100"/>
          <w:position w:val="0"/>
          <w:sz w:val="24"/>
          <w:szCs w:val="24"/>
          <w:highlight w:val="none"/>
          <w:lang w:val="en-US" w:eastAsia="zh-CN"/>
        </w:rPr>
        <w:t>3</w:t>
      </w:r>
      <w:r>
        <w:rPr>
          <w:rFonts w:hint="default" w:ascii="Times New Roman" w:hAnsi="Times New Roman" w:eastAsia="宋体" w:cs="Times New Roman"/>
          <w:color w:val="auto"/>
          <w:spacing w:val="0"/>
          <w:w w:val="100"/>
          <w:position w:val="0"/>
          <w:sz w:val="24"/>
          <w:szCs w:val="24"/>
          <w:highlight w:val="none"/>
        </w:rPr>
        <w:t>-3。</w:t>
      </w:r>
    </w:p>
    <w:p w14:paraId="4FEF6E5D">
      <w:pPr>
        <w:pStyle w:val="66"/>
        <w:keepNext w:val="0"/>
        <w:keepLines w:val="0"/>
        <w:pageBreakBefore w:val="0"/>
        <w:widowControl w:val="0"/>
        <w:kinsoku/>
        <w:wordWrap/>
        <w:overflowPunct/>
        <w:topLinePunct w:val="0"/>
        <w:autoSpaceDE/>
        <w:autoSpaceDN/>
        <w:bidi w:val="0"/>
        <w:adjustRightInd w:val="0"/>
        <w:snapToGrid/>
        <w:spacing w:before="0" w:after="0" w:line="480" w:lineRule="exact"/>
        <w:ind w:firstLine="482"/>
        <w:textAlignment w:val="baseline"/>
        <w:rPr>
          <w:rFonts w:hint="default" w:ascii="Times New Roman" w:hAnsi="Times New Roman" w:eastAsia="宋体" w:cs="Times New Roman"/>
          <w:b/>
          <w:color w:val="auto"/>
          <w:spacing w:val="0"/>
          <w:w w:val="100"/>
          <w:kern w:val="2"/>
          <w:position w:val="0"/>
          <w:szCs w:val="24"/>
          <w:highlight w:val="none"/>
        </w:rPr>
      </w:pPr>
      <w:r>
        <w:rPr>
          <w:rFonts w:hint="default" w:ascii="Times New Roman" w:hAnsi="Times New Roman" w:eastAsia="宋体" w:cs="Times New Roman"/>
          <w:b/>
          <w:color w:val="auto"/>
          <w:spacing w:val="0"/>
          <w:w w:val="100"/>
          <w:kern w:val="2"/>
          <w:position w:val="0"/>
          <w:szCs w:val="24"/>
          <w:highlight w:val="none"/>
        </w:rPr>
        <w:t>表8.3-</w:t>
      </w:r>
      <w:r>
        <w:rPr>
          <w:rFonts w:hint="default" w:ascii="Times New Roman" w:hAnsi="Times New Roman" w:eastAsia="宋体" w:cs="Times New Roman"/>
          <w:b/>
          <w:color w:val="auto"/>
          <w:spacing w:val="0"/>
          <w:w w:val="100"/>
          <w:kern w:val="2"/>
          <w:position w:val="0"/>
          <w:szCs w:val="24"/>
          <w:highlight w:val="none"/>
          <w:lang w:val="en-US" w:eastAsia="zh-CN"/>
        </w:rPr>
        <w:t>3</w:t>
      </w:r>
      <w:r>
        <w:rPr>
          <w:rFonts w:hint="default" w:ascii="Times New Roman" w:hAnsi="Times New Roman" w:eastAsia="宋体" w:cs="Times New Roman"/>
          <w:b/>
          <w:color w:val="auto"/>
          <w:spacing w:val="0"/>
          <w:w w:val="100"/>
          <w:kern w:val="2"/>
          <w:position w:val="0"/>
          <w:szCs w:val="24"/>
          <w:highlight w:val="none"/>
        </w:rPr>
        <w:t xml:space="preserve">    运营期环境监测计划表</w:t>
      </w:r>
    </w:p>
    <w:tbl>
      <w:tblPr>
        <w:tblStyle w:val="31"/>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989"/>
        <w:gridCol w:w="1958"/>
        <w:gridCol w:w="2967"/>
        <w:gridCol w:w="1448"/>
        <w:gridCol w:w="965"/>
      </w:tblGrid>
      <w:tr w14:paraId="360FF9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594" w:type="pct"/>
            <w:tcBorders>
              <w:tl2br w:val="nil"/>
              <w:tr2bl w:val="nil"/>
            </w:tcBorders>
            <w:vAlign w:val="center"/>
          </w:tcPr>
          <w:p w14:paraId="4155EB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监测类别</w:t>
            </w:r>
          </w:p>
        </w:tc>
        <w:tc>
          <w:tcPr>
            <w:tcW w:w="1175" w:type="pct"/>
            <w:tcBorders>
              <w:tl2br w:val="nil"/>
              <w:tr2bl w:val="nil"/>
            </w:tcBorders>
            <w:vAlign w:val="center"/>
          </w:tcPr>
          <w:p w14:paraId="07284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监测地点</w:t>
            </w:r>
          </w:p>
        </w:tc>
        <w:tc>
          <w:tcPr>
            <w:tcW w:w="1781" w:type="pct"/>
            <w:tcBorders>
              <w:tl2br w:val="nil"/>
              <w:tr2bl w:val="nil"/>
            </w:tcBorders>
            <w:vAlign w:val="center"/>
          </w:tcPr>
          <w:p w14:paraId="30E3DA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监测项目</w:t>
            </w:r>
          </w:p>
        </w:tc>
        <w:tc>
          <w:tcPr>
            <w:tcW w:w="869" w:type="pct"/>
            <w:tcBorders>
              <w:tl2br w:val="nil"/>
              <w:tr2bl w:val="nil"/>
            </w:tcBorders>
            <w:vAlign w:val="center"/>
          </w:tcPr>
          <w:p w14:paraId="11395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监测频次</w:t>
            </w:r>
          </w:p>
        </w:tc>
        <w:tc>
          <w:tcPr>
            <w:tcW w:w="579" w:type="pct"/>
            <w:tcBorders>
              <w:tl2br w:val="nil"/>
              <w:tr2bl w:val="nil"/>
            </w:tcBorders>
            <w:vAlign w:val="center"/>
          </w:tcPr>
          <w:p w14:paraId="4C126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备注</w:t>
            </w:r>
          </w:p>
        </w:tc>
      </w:tr>
      <w:tr w14:paraId="1A72B1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94" w:type="pct"/>
            <w:tcBorders>
              <w:tl2br w:val="nil"/>
              <w:tr2bl w:val="nil"/>
            </w:tcBorders>
            <w:vAlign w:val="center"/>
          </w:tcPr>
          <w:p w14:paraId="2C85D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环境空气</w:t>
            </w:r>
          </w:p>
        </w:tc>
        <w:tc>
          <w:tcPr>
            <w:tcW w:w="1175" w:type="pct"/>
            <w:tcBorders>
              <w:tl2br w:val="nil"/>
              <w:tr2bl w:val="nil"/>
            </w:tcBorders>
            <w:vAlign w:val="center"/>
          </w:tcPr>
          <w:p w14:paraId="06BE3D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矿区</w:t>
            </w:r>
            <w:r>
              <w:rPr>
                <w:rFonts w:hint="default" w:ascii="Times New Roman" w:hAnsi="Times New Roman" w:cs="Times New Roman"/>
                <w:snapToGrid/>
                <w:color w:val="auto"/>
                <w:spacing w:val="0"/>
                <w:w w:val="100"/>
                <w:kern w:val="2"/>
                <w:position w:val="0"/>
                <w:szCs w:val="21"/>
                <w:highlight w:val="none"/>
                <w:lang w:val="en-US" w:eastAsia="zh-CN"/>
              </w:rPr>
              <w:t>上</w:t>
            </w:r>
            <w:r>
              <w:rPr>
                <w:rFonts w:hint="default" w:ascii="Times New Roman" w:hAnsi="Times New Roman" w:eastAsia="宋体" w:cs="Times New Roman"/>
                <w:snapToGrid/>
                <w:color w:val="auto"/>
                <w:spacing w:val="0"/>
                <w:w w:val="100"/>
                <w:kern w:val="2"/>
                <w:position w:val="0"/>
                <w:szCs w:val="21"/>
                <w:highlight w:val="none"/>
                <w:lang w:val="en-US" w:eastAsia="zh-CN"/>
              </w:rPr>
              <w:t>下风向</w:t>
            </w:r>
          </w:p>
        </w:tc>
        <w:tc>
          <w:tcPr>
            <w:tcW w:w="1781" w:type="pct"/>
            <w:tcBorders>
              <w:tl2br w:val="nil"/>
              <w:tr2bl w:val="nil"/>
            </w:tcBorders>
            <w:vAlign w:val="center"/>
          </w:tcPr>
          <w:p w14:paraId="0F3F7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TSP</w:t>
            </w:r>
          </w:p>
        </w:tc>
        <w:tc>
          <w:tcPr>
            <w:tcW w:w="869" w:type="pct"/>
            <w:tcBorders>
              <w:tl2br w:val="nil"/>
              <w:tr2bl w:val="nil"/>
            </w:tcBorders>
            <w:vAlign w:val="center"/>
          </w:tcPr>
          <w:p w14:paraId="1FFD0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每年1次，不利季节</w:t>
            </w:r>
          </w:p>
        </w:tc>
        <w:tc>
          <w:tcPr>
            <w:tcW w:w="579" w:type="pct"/>
            <w:tcBorders>
              <w:tl2br w:val="nil"/>
              <w:tr2bl w:val="nil"/>
            </w:tcBorders>
            <w:vAlign w:val="center"/>
          </w:tcPr>
          <w:p w14:paraId="13DD7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w:t>
            </w:r>
          </w:p>
        </w:tc>
      </w:tr>
      <w:tr w14:paraId="32DBDE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94" w:type="pct"/>
            <w:vMerge w:val="restart"/>
            <w:tcBorders>
              <w:tl2br w:val="nil"/>
              <w:tr2bl w:val="nil"/>
            </w:tcBorders>
            <w:vAlign w:val="center"/>
          </w:tcPr>
          <w:p w14:paraId="0B6D5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土壤</w:t>
            </w:r>
          </w:p>
        </w:tc>
        <w:tc>
          <w:tcPr>
            <w:tcW w:w="1175" w:type="pct"/>
            <w:vMerge w:val="restart"/>
            <w:tcBorders>
              <w:tl2br w:val="nil"/>
              <w:tr2bl w:val="nil"/>
            </w:tcBorders>
            <w:vAlign w:val="center"/>
          </w:tcPr>
          <w:p w14:paraId="19A10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占地范围内、占地范围</w:t>
            </w:r>
            <w:r>
              <w:rPr>
                <w:rFonts w:hint="eastAsia" w:ascii="Times New Roman" w:hAnsi="Times New Roman" w:cs="Times New Roman"/>
                <w:snapToGrid/>
                <w:color w:val="auto"/>
                <w:spacing w:val="0"/>
                <w:w w:val="100"/>
                <w:kern w:val="2"/>
                <w:position w:val="0"/>
                <w:szCs w:val="21"/>
                <w:highlight w:val="none"/>
                <w:lang w:val="en-US" w:eastAsia="zh-CN"/>
              </w:rPr>
              <w:t>外</w:t>
            </w:r>
            <w:r>
              <w:rPr>
                <w:rFonts w:hint="default" w:ascii="Times New Roman" w:hAnsi="Times New Roman" w:eastAsia="宋体" w:cs="Times New Roman"/>
                <w:snapToGrid/>
                <w:color w:val="auto"/>
                <w:spacing w:val="0"/>
                <w:w w:val="100"/>
                <w:kern w:val="2"/>
                <w:position w:val="0"/>
                <w:szCs w:val="21"/>
                <w:highlight w:val="none"/>
                <w:lang w:val="en-US" w:eastAsia="zh-CN"/>
              </w:rPr>
              <w:t>、工业场地</w:t>
            </w:r>
          </w:p>
        </w:tc>
        <w:tc>
          <w:tcPr>
            <w:tcW w:w="1781" w:type="pct"/>
            <w:tcBorders>
              <w:tl2br w:val="nil"/>
              <w:tr2bl w:val="nil"/>
            </w:tcBorders>
            <w:vAlign w:val="center"/>
          </w:tcPr>
          <w:p w14:paraId="20842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表层样，pH、砷、镉、总铬、铬（六价）、铜、铅、汞、锌、镍、共10项</w:t>
            </w:r>
          </w:p>
        </w:tc>
        <w:tc>
          <w:tcPr>
            <w:tcW w:w="869" w:type="pct"/>
            <w:vMerge w:val="restart"/>
            <w:tcBorders>
              <w:tl2br w:val="nil"/>
              <w:tr2bl w:val="nil"/>
            </w:tcBorders>
            <w:vAlign w:val="center"/>
          </w:tcPr>
          <w:p w14:paraId="773E4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每</w:t>
            </w:r>
            <w:r>
              <w:rPr>
                <w:rFonts w:hint="eastAsia" w:ascii="Times New Roman" w:hAnsi="Times New Roman" w:cs="Times New Roman"/>
                <w:snapToGrid/>
                <w:color w:val="auto"/>
                <w:spacing w:val="0"/>
                <w:w w:val="100"/>
                <w:kern w:val="2"/>
                <w:position w:val="0"/>
                <w:szCs w:val="21"/>
                <w:highlight w:val="none"/>
                <w:lang w:val="en-US" w:eastAsia="zh-CN"/>
              </w:rPr>
              <w:t>3</w:t>
            </w:r>
            <w:r>
              <w:rPr>
                <w:rFonts w:hint="default" w:ascii="Times New Roman" w:hAnsi="Times New Roman" w:eastAsia="宋体" w:cs="Times New Roman"/>
                <w:snapToGrid/>
                <w:color w:val="auto"/>
                <w:spacing w:val="0"/>
                <w:w w:val="100"/>
                <w:kern w:val="2"/>
                <w:position w:val="0"/>
                <w:szCs w:val="21"/>
                <w:highlight w:val="none"/>
                <w:lang w:val="en-US" w:eastAsia="zh-CN"/>
              </w:rPr>
              <w:t>年1次</w:t>
            </w:r>
          </w:p>
        </w:tc>
        <w:tc>
          <w:tcPr>
            <w:tcW w:w="579" w:type="pct"/>
            <w:vMerge w:val="restart"/>
            <w:tcBorders>
              <w:tl2br w:val="nil"/>
              <w:tr2bl w:val="nil"/>
            </w:tcBorders>
            <w:vAlign w:val="center"/>
          </w:tcPr>
          <w:p w14:paraId="20262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w:t>
            </w:r>
          </w:p>
        </w:tc>
      </w:tr>
      <w:tr w14:paraId="25027E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94" w:type="pct"/>
            <w:vMerge w:val="continue"/>
            <w:tcBorders>
              <w:tl2br w:val="nil"/>
              <w:tr2bl w:val="nil"/>
            </w:tcBorders>
            <w:vAlign w:val="center"/>
          </w:tcPr>
          <w:p w14:paraId="3AF62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1175" w:type="pct"/>
            <w:vMerge w:val="continue"/>
            <w:tcBorders>
              <w:tl2br w:val="nil"/>
              <w:tr2bl w:val="nil"/>
            </w:tcBorders>
            <w:vAlign w:val="center"/>
          </w:tcPr>
          <w:p w14:paraId="5E0E89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1781" w:type="pct"/>
            <w:tcBorders>
              <w:tl2br w:val="nil"/>
              <w:tr2bl w:val="nil"/>
            </w:tcBorders>
            <w:vAlign w:val="center"/>
          </w:tcPr>
          <w:p w14:paraId="4347B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pH、常规45项，土壤理化性质调查</w:t>
            </w:r>
          </w:p>
        </w:tc>
        <w:tc>
          <w:tcPr>
            <w:tcW w:w="869" w:type="pct"/>
            <w:vMerge w:val="continue"/>
            <w:tcBorders>
              <w:tl2br w:val="nil"/>
              <w:tr2bl w:val="nil"/>
            </w:tcBorders>
            <w:vAlign w:val="center"/>
          </w:tcPr>
          <w:p w14:paraId="05E96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c>
          <w:tcPr>
            <w:tcW w:w="579" w:type="pct"/>
            <w:vMerge w:val="continue"/>
            <w:tcBorders>
              <w:tl2br w:val="nil"/>
              <w:tr2bl w:val="nil"/>
            </w:tcBorders>
            <w:vAlign w:val="center"/>
          </w:tcPr>
          <w:p w14:paraId="5A39B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p>
        </w:tc>
      </w:tr>
      <w:tr w14:paraId="5D27B3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594" w:type="pct"/>
            <w:tcBorders>
              <w:tl2br w:val="nil"/>
              <w:tr2bl w:val="nil"/>
            </w:tcBorders>
            <w:vAlign w:val="center"/>
          </w:tcPr>
          <w:p w14:paraId="6003F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地下</w:t>
            </w:r>
          </w:p>
          <w:p w14:paraId="1961E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水</w:t>
            </w:r>
          </w:p>
        </w:tc>
        <w:tc>
          <w:tcPr>
            <w:tcW w:w="1175" w:type="pct"/>
            <w:tcBorders>
              <w:tl2br w:val="nil"/>
              <w:tr2bl w:val="nil"/>
            </w:tcBorders>
            <w:vAlign w:val="center"/>
          </w:tcPr>
          <w:p w14:paraId="4852C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地下水环境监测井</w:t>
            </w:r>
          </w:p>
        </w:tc>
        <w:tc>
          <w:tcPr>
            <w:tcW w:w="1781" w:type="pct"/>
            <w:tcBorders>
              <w:tl2br w:val="nil"/>
              <w:tr2bl w:val="nil"/>
            </w:tcBorders>
            <w:vAlign w:val="center"/>
          </w:tcPr>
          <w:p w14:paraId="2CCAA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pH、溶解性总固体、耗氧量、氯化物、硝酸盐（以N计）、亚硝酸盐（以N计）、铅、砷、镉、汞、六价铬，铜、钼、石油类</w:t>
            </w:r>
          </w:p>
        </w:tc>
        <w:tc>
          <w:tcPr>
            <w:tcW w:w="869" w:type="pct"/>
            <w:tcBorders>
              <w:tl2br w:val="nil"/>
              <w:tr2bl w:val="nil"/>
            </w:tcBorders>
            <w:vAlign w:val="center"/>
          </w:tcPr>
          <w:p w14:paraId="1C497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每季度一次。如发现污染和水质恶化时，应加密监测频次</w:t>
            </w:r>
          </w:p>
        </w:tc>
        <w:tc>
          <w:tcPr>
            <w:tcW w:w="579" w:type="pct"/>
            <w:tcBorders>
              <w:tl2br w:val="nil"/>
              <w:tr2bl w:val="nil"/>
            </w:tcBorders>
            <w:vAlign w:val="center"/>
          </w:tcPr>
          <w:p w14:paraId="479CE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snapToGrid/>
                <w:color w:val="auto"/>
                <w:spacing w:val="0"/>
                <w:w w:val="100"/>
                <w:kern w:val="2"/>
                <w:position w:val="0"/>
                <w:szCs w:val="21"/>
                <w:highlight w:val="none"/>
                <w:lang w:val="en-US" w:eastAsia="zh-CN"/>
              </w:rPr>
            </w:pPr>
            <w:r>
              <w:rPr>
                <w:rFonts w:hint="default" w:ascii="Times New Roman" w:hAnsi="Times New Roman" w:eastAsia="宋体" w:cs="Times New Roman"/>
                <w:snapToGrid/>
                <w:color w:val="auto"/>
                <w:spacing w:val="0"/>
                <w:w w:val="100"/>
                <w:kern w:val="2"/>
                <w:position w:val="0"/>
                <w:szCs w:val="21"/>
                <w:highlight w:val="none"/>
                <w:lang w:val="en-US" w:eastAsia="zh-CN"/>
              </w:rPr>
              <w:t>-</w:t>
            </w:r>
          </w:p>
        </w:tc>
      </w:tr>
    </w:tbl>
    <w:p w14:paraId="70EA8BBB">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940" w:name="_Toc8526"/>
      <w:bookmarkStart w:id="941" w:name="_Toc25329"/>
      <w:r>
        <w:rPr>
          <w:rFonts w:hint="default" w:ascii="Times New Roman" w:hAnsi="Times New Roman" w:eastAsia="宋体" w:cs="Times New Roman"/>
          <w:color w:val="auto"/>
          <w:spacing w:val="0"/>
          <w:w w:val="100"/>
          <w:position w:val="0"/>
          <w:lang w:val="en-US" w:eastAsia="zh-CN"/>
        </w:rPr>
        <w:t>8.4环境管理措施及环保行动计划</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14:paraId="51CABAB6">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lang w:eastAsia="zh-CN"/>
        </w:rPr>
        <w:t>本工程</w:t>
      </w:r>
      <w:r>
        <w:rPr>
          <w:rFonts w:hint="default" w:ascii="Times New Roman" w:hAnsi="Times New Roman" w:eastAsia="宋体" w:cs="Times New Roman"/>
          <w:color w:val="auto"/>
          <w:spacing w:val="0"/>
          <w:w w:val="100"/>
          <w:position w:val="0"/>
          <w:sz w:val="24"/>
          <w:szCs w:val="24"/>
          <w:highlight w:val="none"/>
        </w:rPr>
        <w:t>环境管理措施及环保行动计划见表8.4-1、8.4-2。</w:t>
      </w:r>
    </w:p>
    <w:p w14:paraId="30DAE31B">
      <w:pPr>
        <w:ind w:firstLine="482"/>
        <w:jc w:val="center"/>
        <w:rPr>
          <w:rFonts w:hint="default" w:ascii="Times New Roman" w:hAnsi="Times New Roman" w:eastAsia="宋体" w:cs="Times New Roman"/>
          <w:b/>
          <w:color w:val="auto"/>
          <w:spacing w:val="0"/>
          <w:w w:val="100"/>
          <w:position w:val="0"/>
          <w:sz w:val="24"/>
          <w:szCs w:val="24"/>
          <w:highlight w:val="none"/>
        </w:rPr>
      </w:pPr>
      <w:r>
        <w:rPr>
          <w:rFonts w:hint="default" w:ascii="Times New Roman" w:hAnsi="Times New Roman" w:eastAsia="宋体" w:cs="Times New Roman"/>
          <w:b/>
          <w:color w:val="auto"/>
          <w:spacing w:val="0"/>
          <w:w w:val="100"/>
          <w:position w:val="0"/>
          <w:sz w:val="24"/>
          <w:szCs w:val="24"/>
          <w:highlight w:val="none"/>
        </w:rPr>
        <w:t>表8.4-1    营运期环境管理措施</w:t>
      </w:r>
    </w:p>
    <w:tbl>
      <w:tblPr>
        <w:tblStyle w:val="21"/>
        <w:tblW w:w="851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57"/>
        <w:gridCol w:w="904"/>
        <w:gridCol w:w="1453"/>
      </w:tblGrid>
      <w:tr w14:paraId="1DEF1B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jc w:val="center"/>
        </w:trPr>
        <w:tc>
          <w:tcPr>
            <w:tcW w:w="6157" w:type="dxa"/>
            <w:vAlign w:val="center"/>
          </w:tcPr>
          <w:p w14:paraId="14682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环境监控管理措施</w:t>
            </w:r>
          </w:p>
        </w:tc>
        <w:tc>
          <w:tcPr>
            <w:tcW w:w="904" w:type="dxa"/>
            <w:vAlign w:val="center"/>
          </w:tcPr>
          <w:p w14:paraId="491A3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实施方</w:t>
            </w:r>
          </w:p>
        </w:tc>
        <w:tc>
          <w:tcPr>
            <w:tcW w:w="1453" w:type="dxa"/>
            <w:vAlign w:val="center"/>
          </w:tcPr>
          <w:p w14:paraId="092F4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b w:val="0"/>
                <w:bCs w:val="0"/>
                <w:color w:val="auto"/>
                <w:spacing w:val="0"/>
                <w:w w:val="100"/>
                <w:position w:val="0"/>
                <w:highlight w:val="none"/>
              </w:rPr>
            </w:pPr>
            <w:r>
              <w:rPr>
                <w:rFonts w:hint="default" w:ascii="Times New Roman" w:hAnsi="Times New Roman" w:eastAsia="宋体" w:cs="Times New Roman"/>
                <w:b w:val="0"/>
                <w:bCs w:val="0"/>
                <w:color w:val="auto"/>
                <w:spacing w:val="0"/>
                <w:w w:val="100"/>
                <w:position w:val="0"/>
                <w:highlight w:val="none"/>
              </w:rPr>
              <w:t>监督管理</w:t>
            </w:r>
          </w:p>
        </w:tc>
      </w:tr>
      <w:tr w14:paraId="448A95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7633B8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（1）废气</w:t>
            </w:r>
          </w:p>
          <w:p w14:paraId="0EAF9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①工作面和采装点喷雾洒水降尘。</w:t>
            </w:r>
          </w:p>
          <w:p w14:paraId="4602E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②矿石装卸过程控制落差，降低扬尘量。</w:t>
            </w:r>
          </w:p>
          <w:p w14:paraId="05E60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③矿区道路路面</w:t>
            </w:r>
            <w:r>
              <w:rPr>
                <w:rFonts w:hint="eastAsia" w:ascii="Times New Roman" w:hAnsi="Times New Roman" w:cs="Times New Roman"/>
                <w:color w:val="auto"/>
                <w:spacing w:val="0"/>
                <w:w w:val="100"/>
                <w:position w:val="0"/>
                <w:highlight w:val="none"/>
                <w:lang w:eastAsia="zh-CN"/>
              </w:rPr>
              <w:t>做</w:t>
            </w:r>
            <w:r>
              <w:rPr>
                <w:rFonts w:hint="default" w:ascii="Times New Roman" w:hAnsi="Times New Roman" w:eastAsia="宋体" w:cs="Times New Roman"/>
                <w:color w:val="auto"/>
                <w:spacing w:val="0"/>
                <w:w w:val="100"/>
                <w:position w:val="0"/>
                <w:highlight w:val="none"/>
              </w:rPr>
              <w:t>硬化处理及运输道路洒水</w:t>
            </w:r>
          </w:p>
          <w:p w14:paraId="0DFDC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④加强工人的个人防护</w:t>
            </w:r>
          </w:p>
          <w:p w14:paraId="64018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highlight w:val="none"/>
              </w:rPr>
              <w:t>⑤定期对矿区无组织排放粉尘进行监测</w:t>
            </w:r>
          </w:p>
        </w:tc>
        <w:tc>
          <w:tcPr>
            <w:tcW w:w="904" w:type="dxa"/>
            <w:vAlign w:val="center"/>
          </w:tcPr>
          <w:p w14:paraId="3B317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614DAB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72A0E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685D54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18BD95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（2）废水</w:t>
            </w:r>
          </w:p>
          <w:p w14:paraId="1D690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lang w:val="en-US"/>
              </w:rPr>
            </w:pPr>
            <w:r>
              <w:rPr>
                <w:rFonts w:hint="default" w:ascii="Times New Roman" w:hAnsi="Times New Roman" w:eastAsia="宋体" w:cs="Times New Roman"/>
                <w:color w:val="auto"/>
                <w:spacing w:val="0"/>
                <w:w w:val="100"/>
                <w:position w:val="0"/>
                <w:highlight w:val="none"/>
              </w:rPr>
              <w:t>生活污水严禁随意泼洒，</w:t>
            </w:r>
            <w:r>
              <w:rPr>
                <w:rFonts w:hint="default" w:ascii="Times New Roman" w:hAnsi="Times New Roman" w:eastAsia="宋体" w:cs="Times New Roman"/>
                <w:color w:val="auto"/>
                <w:spacing w:val="0"/>
                <w:w w:val="100"/>
                <w:position w:val="0"/>
                <w:highlight w:val="none"/>
                <w:lang w:val="en-US" w:eastAsia="zh-CN"/>
              </w:rPr>
              <w:t>通过生活</w:t>
            </w:r>
            <w:r>
              <w:rPr>
                <w:rFonts w:hint="default" w:ascii="Times New Roman" w:hAnsi="Times New Roman" w:eastAsia="宋体" w:cs="Times New Roman"/>
                <w:color w:val="auto"/>
                <w:spacing w:val="0"/>
                <w:w w:val="100"/>
                <w:position w:val="0"/>
                <w:highlight w:val="none"/>
              </w:rPr>
              <w:t>污水处理设施处理后综合利用，不外排</w:t>
            </w:r>
            <w:r>
              <w:rPr>
                <w:rFonts w:hint="default" w:ascii="Times New Roman" w:hAnsi="Times New Roman" w:eastAsia="宋体" w:cs="Times New Roman"/>
                <w:color w:val="auto"/>
                <w:spacing w:val="0"/>
                <w:w w:val="100"/>
                <w:position w:val="0"/>
                <w:highlight w:val="none"/>
                <w:lang w:val="en-US" w:eastAsia="zh-CN"/>
              </w:rPr>
              <w:t>。矿井涌水经沉淀法处理达标后，回用于生产。</w:t>
            </w:r>
          </w:p>
          <w:p w14:paraId="5E718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加强</w:t>
            </w:r>
            <w:r>
              <w:rPr>
                <w:rFonts w:hint="default" w:ascii="Times New Roman" w:hAnsi="Times New Roman" w:eastAsia="宋体" w:cs="Times New Roman"/>
                <w:color w:val="auto"/>
                <w:spacing w:val="0"/>
                <w:w w:val="100"/>
                <w:position w:val="0"/>
                <w:highlight w:val="none"/>
                <w:lang w:val="en-US" w:eastAsia="zh-CN"/>
              </w:rPr>
              <w:t>矿区</w:t>
            </w:r>
            <w:r>
              <w:rPr>
                <w:rFonts w:hint="default" w:ascii="Times New Roman" w:hAnsi="Times New Roman" w:eastAsia="宋体" w:cs="Times New Roman"/>
                <w:color w:val="auto"/>
                <w:spacing w:val="0"/>
                <w:w w:val="100"/>
                <w:position w:val="0"/>
                <w:highlight w:val="none"/>
              </w:rPr>
              <w:t>输送线路日常管理，</w:t>
            </w:r>
            <w:r>
              <w:rPr>
                <w:rFonts w:hint="default" w:ascii="Times New Roman" w:hAnsi="Times New Roman" w:eastAsia="宋体" w:cs="Times New Roman"/>
                <w:color w:val="auto"/>
                <w:spacing w:val="0"/>
                <w:w w:val="100"/>
                <w:position w:val="0"/>
                <w:highlight w:val="none"/>
                <w:lang w:val="en-US" w:eastAsia="zh-CN"/>
              </w:rPr>
              <w:t>矿区</w:t>
            </w:r>
            <w:r>
              <w:rPr>
                <w:rFonts w:hint="default" w:ascii="Times New Roman" w:hAnsi="Times New Roman" w:eastAsia="宋体" w:cs="Times New Roman"/>
                <w:color w:val="auto"/>
                <w:spacing w:val="0"/>
                <w:w w:val="100"/>
                <w:position w:val="0"/>
                <w:highlight w:val="none"/>
              </w:rPr>
              <w:t>地下水上游</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lang w:val="en-US" w:eastAsia="zh-CN"/>
              </w:rPr>
              <w:t>下游设立地下水监测井定期进行地下水水质及水位监测</w:t>
            </w:r>
            <w:r>
              <w:rPr>
                <w:rFonts w:hint="default" w:ascii="Times New Roman" w:hAnsi="Times New Roman" w:eastAsia="宋体" w:cs="Times New Roman"/>
                <w:color w:val="auto"/>
                <w:spacing w:val="0"/>
                <w:w w:val="100"/>
                <w:position w:val="0"/>
                <w:highlight w:val="none"/>
              </w:rPr>
              <w:t>，避免因事故排放造成的对周边环境污染。</w:t>
            </w:r>
            <w:r>
              <w:rPr>
                <w:rFonts w:hint="default" w:ascii="Times New Roman" w:hAnsi="Times New Roman" w:eastAsia="宋体" w:cs="Times New Roman"/>
                <w:color w:val="auto"/>
                <w:spacing w:val="0"/>
                <w:w w:val="100"/>
                <w:position w:val="0"/>
                <w:highlight w:val="none"/>
                <w:lang w:val="en-US" w:eastAsia="zh-CN"/>
              </w:rPr>
              <w:t>加强矿区地下水监控。</w:t>
            </w:r>
          </w:p>
        </w:tc>
        <w:tc>
          <w:tcPr>
            <w:tcW w:w="904" w:type="dxa"/>
            <w:vAlign w:val="center"/>
          </w:tcPr>
          <w:p w14:paraId="3ABAD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34586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665EA9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5A9C30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144BB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（3）固体废物</w:t>
            </w:r>
          </w:p>
          <w:p w14:paraId="28AC0E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pacing w:val="0"/>
                <w:w w:val="100"/>
                <w:position w:val="0"/>
                <w:highlight w:val="none"/>
              </w:rPr>
              <w:t>①废石合理堆放，尽量综合利用</w:t>
            </w:r>
            <w:r>
              <w:rPr>
                <w:rFonts w:hint="default" w:ascii="Times New Roman" w:hAnsi="Times New Roman" w:eastAsia="宋体" w:cs="Times New Roman"/>
                <w:color w:val="auto"/>
                <w:spacing w:val="0"/>
                <w:w w:val="100"/>
                <w:position w:val="0"/>
                <w:highlight w:val="none"/>
                <w:lang w:eastAsia="zh-CN"/>
              </w:rPr>
              <w:t>；</w:t>
            </w:r>
          </w:p>
          <w:p w14:paraId="54F4F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pacing w:val="0"/>
                <w:w w:val="100"/>
                <w:position w:val="0"/>
                <w:highlight w:val="none"/>
                <w:lang w:val="en-US" w:eastAsia="zh-CN"/>
              </w:rPr>
              <w:t>②</w:t>
            </w:r>
            <w:r>
              <w:rPr>
                <w:rFonts w:hint="default" w:ascii="Times New Roman" w:hAnsi="Times New Roman" w:eastAsia="宋体" w:cs="Times New Roman"/>
                <w:color w:val="auto"/>
                <w:spacing w:val="0"/>
                <w:w w:val="100"/>
                <w:position w:val="0"/>
                <w:highlight w:val="none"/>
              </w:rPr>
              <w:t>生活垃圾集中收集</w:t>
            </w:r>
            <w:r>
              <w:rPr>
                <w:rFonts w:hint="default" w:ascii="Times New Roman" w:hAnsi="Times New Roman" w:eastAsia="宋体" w:cs="Times New Roman"/>
                <w:color w:val="auto"/>
                <w:spacing w:val="0"/>
                <w:w w:val="100"/>
                <w:position w:val="0"/>
                <w:highlight w:val="none"/>
                <w:lang w:eastAsia="zh-CN"/>
              </w:rPr>
              <w:t>，定期清运至</w:t>
            </w:r>
            <w:r>
              <w:rPr>
                <w:rFonts w:hint="default" w:ascii="Times New Roman" w:hAnsi="Times New Roman" w:cs="Times New Roman"/>
                <w:color w:val="auto"/>
                <w:spacing w:val="0"/>
                <w:w w:val="100"/>
                <w:position w:val="0"/>
                <w:highlight w:val="none"/>
                <w:lang w:val="en-US" w:eastAsia="zh-CN"/>
              </w:rPr>
              <w:t>星星峡镇</w:t>
            </w:r>
            <w:r>
              <w:rPr>
                <w:rFonts w:hint="default" w:ascii="Times New Roman" w:hAnsi="Times New Roman" w:eastAsia="宋体" w:cs="Times New Roman"/>
                <w:color w:val="auto"/>
                <w:spacing w:val="0"/>
                <w:w w:val="100"/>
                <w:position w:val="0"/>
                <w:highlight w:val="none"/>
                <w:lang w:eastAsia="zh-CN"/>
              </w:rPr>
              <w:t>生活垃圾填埋场进行处置；</w:t>
            </w:r>
          </w:p>
          <w:p w14:paraId="6F410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lang w:eastAsia="zh-CN"/>
              </w:rPr>
            </w:pPr>
            <w:r>
              <w:rPr>
                <w:rFonts w:hint="default" w:ascii="Times New Roman" w:hAnsi="Times New Roman" w:eastAsia="宋体" w:cs="Times New Roman"/>
                <w:color w:val="auto"/>
                <w:spacing w:val="0"/>
                <w:w w:val="100"/>
                <w:position w:val="0"/>
                <w:highlight w:val="none"/>
                <w:lang w:val="en-US" w:eastAsia="zh-CN"/>
              </w:rPr>
              <w:t>③除尘器除尘灰返回</w:t>
            </w:r>
            <w:r>
              <w:rPr>
                <w:rFonts w:hint="default" w:ascii="Times New Roman" w:hAnsi="Times New Roman" w:cs="Times New Roman"/>
                <w:color w:val="auto"/>
                <w:spacing w:val="0"/>
                <w:w w:val="100"/>
                <w:position w:val="0"/>
                <w:highlight w:val="none"/>
                <w:lang w:val="en-US" w:eastAsia="zh-CN"/>
              </w:rPr>
              <w:t>充填</w:t>
            </w:r>
            <w:r>
              <w:rPr>
                <w:rFonts w:hint="default" w:ascii="Times New Roman" w:hAnsi="Times New Roman" w:eastAsia="宋体" w:cs="Times New Roman"/>
                <w:color w:val="auto"/>
                <w:spacing w:val="0"/>
                <w:w w:val="100"/>
                <w:position w:val="0"/>
                <w:highlight w:val="none"/>
                <w:lang w:val="en-US" w:eastAsia="zh-CN"/>
              </w:rPr>
              <w:t>工艺综合</w:t>
            </w:r>
            <w:r>
              <w:rPr>
                <w:rFonts w:hint="eastAsia" w:ascii="Times New Roman" w:hAnsi="Times New Roman" w:cs="Times New Roman"/>
                <w:color w:val="auto"/>
                <w:spacing w:val="0"/>
                <w:w w:val="100"/>
                <w:position w:val="0"/>
                <w:highlight w:val="none"/>
                <w:lang w:val="en-US" w:eastAsia="zh-CN"/>
              </w:rPr>
              <w:t>利</w:t>
            </w:r>
            <w:r>
              <w:rPr>
                <w:rFonts w:hint="default" w:ascii="Times New Roman" w:hAnsi="Times New Roman" w:eastAsia="宋体" w:cs="Times New Roman"/>
                <w:color w:val="auto"/>
                <w:spacing w:val="0"/>
                <w:w w:val="100"/>
                <w:position w:val="0"/>
                <w:highlight w:val="none"/>
                <w:lang w:val="en-US" w:eastAsia="zh-CN"/>
              </w:rPr>
              <w:t>用；</w:t>
            </w:r>
          </w:p>
          <w:p w14:paraId="1504D47D">
            <w:pPr>
              <w:pStyle w:val="11"/>
              <w:keepNext w:val="0"/>
              <w:keepLines w:val="0"/>
              <w:pageBreakBefore w:val="0"/>
              <w:suppressLineNumbers w:val="0"/>
              <w:kinsoku/>
              <w:wordWrap/>
              <w:overflowPunct/>
              <w:topLinePunct w:val="0"/>
              <w:autoSpaceDE/>
              <w:autoSpaceDN/>
              <w:bidi w:val="0"/>
              <w:adjustRightInd/>
              <w:snapToGrid/>
              <w:spacing w:before="0" w:beforeAutospacing="0" w:afterAutospacing="0" w:line="360" w:lineRule="exact"/>
              <w:ind w:left="0" w:leftChars="0" w:right="0" w:firstLine="0" w:firstLineChars="0"/>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④废机油收集后暂存于危废贮存库，定期交由有资质单位处理。</w:t>
            </w:r>
          </w:p>
        </w:tc>
        <w:tc>
          <w:tcPr>
            <w:tcW w:w="904" w:type="dxa"/>
            <w:vAlign w:val="center"/>
          </w:tcPr>
          <w:p w14:paraId="24D49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563B3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6D2CE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6128B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519CC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（4）噪声</w:t>
            </w:r>
          </w:p>
          <w:p w14:paraId="76EF2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①选用低噪声设备及必要的消声措施。</w:t>
            </w:r>
          </w:p>
          <w:p w14:paraId="1C8F1E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②保持设备良好的运营工况，及时维修检修。</w:t>
            </w:r>
          </w:p>
          <w:p w14:paraId="54CB2A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③加强个人防护。</w:t>
            </w:r>
          </w:p>
        </w:tc>
        <w:tc>
          <w:tcPr>
            <w:tcW w:w="904" w:type="dxa"/>
            <w:vAlign w:val="center"/>
          </w:tcPr>
          <w:p w14:paraId="78DBD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7A713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6E235E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10CB0C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157" w:type="dxa"/>
            <w:vAlign w:val="center"/>
          </w:tcPr>
          <w:p w14:paraId="7C698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rPr>
            </w:pPr>
            <w:r>
              <w:rPr>
                <w:rFonts w:hint="default" w:ascii="Times New Roman" w:hAnsi="Times New Roman" w:eastAsia="宋体" w:cs="Times New Roman"/>
                <w:color w:val="auto"/>
                <w:spacing w:val="0"/>
                <w:w w:val="100"/>
                <w:position w:val="0"/>
              </w:rPr>
              <w:t>（</w:t>
            </w:r>
            <w:r>
              <w:rPr>
                <w:rFonts w:hint="default" w:ascii="Times New Roman" w:hAnsi="Times New Roman" w:eastAsia="宋体" w:cs="Times New Roman"/>
                <w:color w:val="auto"/>
                <w:spacing w:val="0"/>
                <w:w w:val="100"/>
                <w:position w:val="0"/>
                <w:highlight w:val="none"/>
              </w:rPr>
              <w:t>5）生</w:t>
            </w:r>
            <w:r>
              <w:rPr>
                <w:rFonts w:hint="default" w:ascii="Times New Roman" w:hAnsi="Times New Roman" w:eastAsia="宋体" w:cs="Times New Roman"/>
                <w:color w:val="auto"/>
                <w:spacing w:val="0"/>
                <w:w w:val="100"/>
                <w:position w:val="0"/>
              </w:rPr>
              <w:t>态保护</w:t>
            </w:r>
          </w:p>
          <w:p w14:paraId="44C90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①控制开采活动地表扰动面积</w:t>
            </w:r>
            <w:r>
              <w:rPr>
                <w:rFonts w:hint="default" w:ascii="Times New Roman" w:hAnsi="Times New Roman" w:eastAsia="宋体" w:cs="Times New Roman"/>
                <w:color w:val="auto"/>
                <w:spacing w:val="0"/>
                <w:w w:val="100"/>
                <w:position w:val="0"/>
                <w:highlight w:val="none"/>
                <w:lang w:eastAsia="zh-CN"/>
              </w:rPr>
              <w:t>，</w:t>
            </w:r>
            <w:r>
              <w:rPr>
                <w:rFonts w:hint="default" w:ascii="Times New Roman" w:hAnsi="Times New Roman" w:eastAsia="宋体" w:cs="Times New Roman"/>
                <w:color w:val="auto"/>
                <w:spacing w:val="0"/>
                <w:w w:val="100"/>
                <w:position w:val="0"/>
                <w:highlight w:val="none"/>
                <w:lang w:val="en-US" w:eastAsia="zh-CN"/>
              </w:rPr>
              <w:t>禁止在红线范围内开采</w:t>
            </w:r>
            <w:r>
              <w:rPr>
                <w:rFonts w:hint="default" w:ascii="Times New Roman" w:hAnsi="Times New Roman" w:eastAsia="宋体" w:cs="Times New Roman"/>
                <w:color w:val="auto"/>
                <w:spacing w:val="0"/>
                <w:w w:val="100"/>
                <w:position w:val="0"/>
                <w:highlight w:val="none"/>
              </w:rPr>
              <w:t>。</w:t>
            </w:r>
          </w:p>
          <w:p w14:paraId="3DC7E2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②限制车辆行驶路线，减小影响范围。</w:t>
            </w:r>
          </w:p>
          <w:p w14:paraId="38013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③做好水土保持工作。</w:t>
            </w:r>
          </w:p>
          <w:p w14:paraId="7C694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lang w:val="en-US" w:eastAsia="zh-CN"/>
              </w:rPr>
            </w:pPr>
            <w:r>
              <w:rPr>
                <w:rFonts w:hint="default" w:ascii="Times New Roman" w:hAnsi="Times New Roman" w:eastAsia="宋体" w:cs="Times New Roman"/>
                <w:color w:val="auto"/>
                <w:spacing w:val="0"/>
                <w:w w:val="100"/>
                <w:position w:val="0"/>
                <w:highlight w:val="none"/>
              </w:rPr>
              <w:t>④开采结束尽快开展生态恢复建设工作。</w:t>
            </w:r>
          </w:p>
        </w:tc>
        <w:tc>
          <w:tcPr>
            <w:tcW w:w="904" w:type="dxa"/>
            <w:vAlign w:val="center"/>
          </w:tcPr>
          <w:p w14:paraId="7A900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78D9A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4012C2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2E9707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58DAB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（6）安全措施</w:t>
            </w:r>
          </w:p>
          <w:p w14:paraId="7D5122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①矿区安全出口、危险地带应设置相应标识，避免事故发生。</w:t>
            </w:r>
          </w:p>
          <w:p w14:paraId="51442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②爆破严格按规程操作，保证安全。</w:t>
            </w:r>
          </w:p>
          <w:p w14:paraId="27E92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lang w:val="en-US" w:eastAsia="zh-CN"/>
              </w:rPr>
              <w:t>③</w:t>
            </w:r>
            <w:r>
              <w:rPr>
                <w:rFonts w:hint="default" w:ascii="Times New Roman" w:hAnsi="Times New Roman" w:eastAsia="宋体" w:cs="Times New Roman"/>
                <w:color w:val="auto"/>
                <w:spacing w:val="0"/>
                <w:w w:val="100"/>
                <w:position w:val="0"/>
                <w:highlight w:val="none"/>
              </w:rPr>
              <w:t>开采期保证井下通风风量，确保安全生产。</w:t>
            </w:r>
          </w:p>
          <w:p w14:paraId="62BE57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lang w:val="en-US" w:eastAsia="zh-CN"/>
              </w:rPr>
              <w:t>④</w:t>
            </w:r>
            <w:r>
              <w:rPr>
                <w:rFonts w:hint="default" w:ascii="Times New Roman" w:hAnsi="Times New Roman" w:eastAsia="宋体" w:cs="Times New Roman"/>
                <w:color w:val="auto"/>
                <w:spacing w:val="0"/>
                <w:w w:val="100"/>
                <w:position w:val="0"/>
                <w:highlight w:val="none"/>
              </w:rPr>
              <w:t>做好错动区的栅栏标识工作，防止人机误入引起伤害。</w:t>
            </w:r>
          </w:p>
        </w:tc>
        <w:tc>
          <w:tcPr>
            <w:tcW w:w="904" w:type="dxa"/>
            <w:vAlign w:val="center"/>
          </w:tcPr>
          <w:p w14:paraId="1573D4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66FE05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6BC70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r w14:paraId="424397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157" w:type="dxa"/>
            <w:vAlign w:val="center"/>
          </w:tcPr>
          <w:p w14:paraId="26A70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（7）环境管理</w:t>
            </w:r>
          </w:p>
          <w:p w14:paraId="004DC1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建立环境管理，制定环境管理手段，按要求开展环境监测，完善矿区环境管理工作。</w:t>
            </w:r>
          </w:p>
        </w:tc>
        <w:tc>
          <w:tcPr>
            <w:tcW w:w="904" w:type="dxa"/>
            <w:vAlign w:val="center"/>
          </w:tcPr>
          <w:p w14:paraId="26A0D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建设</w:t>
            </w:r>
          </w:p>
          <w:p w14:paraId="3B3F3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rPr>
            </w:pPr>
            <w:r>
              <w:rPr>
                <w:rFonts w:hint="default" w:ascii="Times New Roman" w:hAnsi="Times New Roman" w:eastAsia="宋体" w:cs="Times New Roman"/>
                <w:color w:val="auto"/>
                <w:spacing w:val="0"/>
                <w:w w:val="100"/>
                <w:position w:val="0"/>
                <w:highlight w:val="none"/>
              </w:rPr>
              <w:t>单位</w:t>
            </w:r>
          </w:p>
        </w:tc>
        <w:tc>
          <w:tcPr>
            <w:tcW w:w="1453" w:type="dxa"/>
            <w:vAlign w:val="center"/>
          </w:tcPr>
          <w:p w14:paraId="1E048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100"/>
                <w:position w:val="0"/>
                <w:highlight w:val="none"/>
                <w:lang w:val="en-US" w:eastAsia="zh-CN"/>
              </w:rPr>
            </w:pPr>
            <w:r>
              <w:rPr>
                <w:rFonts w:hint="default" w:ascii="Times New Roman" w:hAnsi="Times New Roman" w:eastAsia="宋体" w:cs="Times New Roman"/>
                <w:color w:val="auto"/>
                <w:spacing w:val="0"/>
                <w:w w:val="100"/>
                <w:position w:val="0"/>
                <w:highlight w:val="none"/>
                <w:lang w:val="en-US" w:eastAsia="zh-CN"/>
              </w:rPr>
              <w:t>哈密市生态环境局</w:t>
            </w:r>
          </w:p>
        </w:tc>
      </w:tr>
    </w:tbl>
    <w:p w14:paraId="0CD20FA0">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942" w:name="_Toc4211"/>
      <w:bookmarkStart w:id="943" w:name="_Toc321501720"/>
      <w:bookmarkStart w:id="944" w:name="_Toc179653313"/>
      <w:bookmarkStart w:id="945" w:name="_Toc179522853"/>
      <w:bookmarkStart w:id="946" w:name="_Toc180891812"/>
      <w:bookmarkStart w:id="947" w:name="_Toc170970697"/>
      <w:bookmarkStart w:id="948" w:name="_Toc245882808"/>
      <w:bookmarkStart w:id="949" w:name="_Toc172698700"/>
      <w:bookmarkStart w:id="950" w:name="_Toc5598"/>
      <w:bookmarkStart w:id="951" w:name="_Toc187800075"/>
      <w:bookmarkStart w:id="952" w:name="_Toc9633"/>
      <w:bookmarkStart w:id="953" w:name="_Toc3663"/>
      <w:bookmarkStart w:id="954" w:name="_Toc483589671"/>
      <w:bookmarkStart w:id="955" w:name="_Toc17940"/>
      <w:bookmarkStart w:id="956" w:name="_Toc4349"/>
      <w:bookmarkStart w:id="957" w:name="_Toc5794"/>
      <w:bookmarkStart w:id="958" w:name="_Toc25403"/>
      <w:bookmarkStart w:id="959" w:name="_Toc17705"/>
      <w:bookmarkStart w:id="960" w:name="_Toc14695"/>
      <w:r>
        <w:rPr>
          <w:rFonts w:hint="default" w:ascii="Times New Roman" w:hAnsi="Times New Roman" w:eastAsia="宋体" w:cs="Times New Roman"/>
          <w:color w:val="auto"/>
          <w:spacing w:val="0"/>
          <w:w w:val="100"/>
          <w:position w:val="0"/>
          <w:lang w:val="en-US" w:eastAsia="zh-CN"/>
        </w:rPr>
        <w:t>8.5环境保护竣工验收</w:t>
      </w:r>
      <w:bookmarkEnd w:id="942"/>
      <w:bookmarkEnd w:id="943"/>
      <w:bookmarkEnd w:id="944"/>
      <w:bookmarkEnd w:id="945"/>
      <w:bookmarkEnd w:id="946"/>
      <w:bookmarkEnd w:id="947"/>
      <w:bookmarkEnd w:id="948"/>
      <w:bookmarkEnd w:id="949"/>
      <w:bookmarkEnd w:id="950"/>
      <w:bookmarkEnd w:id="951"/>
      <w:r>
        <w:rPr>
          <w:rFonts w:hint="default" w:ascii="Times New Roman" w:hAnsi="Times New Roman" w:eastAsia="宋体" w:cs="Times New Roman"/>
          <w:color w:val="auto"/>
          <w:spacing w:val="0"/>
          <w:w w:val="100"/>
          <w:position w:val="0"/>
          <w:lang w:val="en-US" w:eastAsia="zh-CN"/>
        </w:rPr>
        <w:t>计划</w:t>
      </w:r>
      <w:bookmarkEnd w:id="952"/>
      <w:bookmarkEnd w:id="953"/>
      <w:bookmarkEnd w:id="954"/>
      <w:bookmarkEnd w:id="955"/>
      <w:bookmarkEnd w:id="956"/>
      <w:bookmarkEnd w:id="957"/>
      <w:bookmarkEnd w:id="958"/>
      <w:bookmarkEnd w:id="959"/>
      <w:bookmarkEnd w:id="960"/>
    </w:p>
    <w:p w14:paraId="06D1423B">
      <w:pPr>
        <w:keepNext w:val="0"/>
        <w:keepLines w:val="0"/>
        <w:pageBreakBefore w:val="0"/>
        <w:widowControl w:val="0"/>
        <w:kinsoku/>
        <w:wordWrap/>
        <w:overflowPunct/>
        <w:topLinePunct w:val="0"/>
        <w:autoSpaceDE/>
        <w:autoSpaceDN/>
        <w:bidi w:val="0"/>
        <w:adjustRightInd/>
        <w:snapToGrid/>
        <w:spacing w:line="480" w:lineRule="atLeas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rPr>
        <w:t>为便于环保主管部门对工程项目进行竣工验收，现按照国家和自治区的有关规定，提出如下环境保护</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三同时</w:t>
      </w:r>
      <w:r>
        <w:rPr>
          <w:rFonts w:hint="default" w:ascii="Times New Roman" w:hAnsi="Times New Roman" w:eastAsia="宋体" w:cs="Times New Roman"/>
          <w:color w:val="auto"/>
          <w:spacing w:val="0"/>
          <w:w w:val="100"/>
          <w:position w:val="0"/>
          <w:sz w:val="24"/>
          <w:highlight w:val="none"/>
          <w:lang w:eastAsia="zh-CN"/>
        </w:rPr>
        <w:t>”</w:t>
      </w:r>
      <w:r>
        <w:rPr>
          <w:rFonts w:hint="default" w:ascii="Times New Roman" w:hAnsi="Times New Roman" w:eastAsia="宋体" w:cs="Times New Roman"/>
          <w:color w:val="auto"/>
          <w:spacing w:val="0"/>
          <w:w w:val="100"/>
          <w:position w:val="0"/>
          <w:sz w:val="24"/>
          <w:highlight w:val="none"/>
        </w:rPr>
        <w:t>验收一览表。</w:t>
      </w:r>
    </w:p>
    <w:p w14:paraId="00EAD6B5">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jc w:val="center"/>
        <w:textAlignment w:val="auto"/>
        <w:rPr>
          <w:rFonts w:hint="default" w:ascii="Times New Roman" w:hAnsi="Times New Roman" w:eastAsia="宋体" w:cs="Times New Roman"/>
          <w:b/>
          <w:color w:val="auto"/>
          <w:spacing w:val="0"/>
          <w:w w:val="100"/>
          <w:position w:val="0"/>
          <w:sz w:val="24"/>
          <w:szCs w:val="24"/>
          <w:highlight w:val="none"/>
        </w:rPr>
      </w:pPr>
      <w:r>
        <w:rPr>
          <w:rFonts w:hint="default" w:ascii="Times New Roman" w:hAnsi="Times New Roman" w:eastAsia="宋体" w:cs="Times New Roman"/>
          <w:b/>
          <w:color w:val="auto"/>
          <w:spacing w:val="0"/>
          <w:w w:val="100"/>
          <w:position w:val="0"/>
          <w:sz w:val="24"/>
          <w:szCs w:val="24"/>
          <w:highlight w:val="none"/>
        </w:rPr>
        <w:t>表8.5-1    环境保护</w:t>
      </w:r>
      <w:r>
        <w:rPr>
          <w:rFonts w:hint="default" w:ascii="Times New Roman" w:hAnsi="Times New Roman" w:eastAsia="宋体" w:cs="Times New Roman"/>
          <w:b/>
          <w:color w:val="auto"/>
          <w:spacing w:val="0"/>
          <w:w w:val="100"/>
          <w:position w:val="0"/>
          <w:sz w:val="24"/>
          <w:szCs w:val="24"/>
          <w:highlight w:val="none"/>
          <w:lang w:eastAsia="zh-CN"/>
        </w:rPr>
        <w:t>“</w:t>
      </w:r>
      <w:r>
        <w:rPr>
          <w:rFonts w:hint="default" w:ascii="Times New Roman" w:hAnsi="Times New Roman" w:eastAsia="宋体" w:cs="Times New Roman"/>
          <w:b/>
          <w:color w:val="auto"/>
          <w:spacing w:val="0"/>
          <w:w w:val="100"/>
          <w:position w:val="0"/>
          <w:sz w:val="24"/>
          <w:szCs w:val="24"/>
          <w:highlight w:val="none"/>
        </w:rPr>
        <w:t>三同时</w:t>
      </w:r>
      <w:r>
        <w:rPr>
          <w:rFonts w:hint="default" w:ascii="Times New Roman" w:hAnsi="Times New Roman" w:eastAsia="宋体" w:cs="Times New Roman"/>
          <w:b/>
          <w:color w:val="auto"/>
          <w:spacing w:val="0"/>
          <w:w w:val="100"/>
          <w:position w:val="0"/>
          <w:sz w:val="24"/>
          <w:szCs w:val="24"/>
          <w:highlight w:val="none"/>
          <w:lang w:eastAsia="zh-CN"/>
        </w:rPr>
        <w:t>”</w:t>
      </w:r>
      <w:r>
        <w:rPr>
          <w:rFonts w:hint="default" w:ascii="Times New Roman" w:hAnsi="Times New Roman" w:eastAsia="宋体" w:cs="Times New Roman"/>
          <w:b/>
          <w:color w:val="auto"/>
          <w:spacing w:val="0"/>
          <w:w w:val="100"/>
          <w:position w:val="0"/>
          <w:sz w:val="24"/>
          <w:szCs w:val="24"/>
          <w:highlight w:val="none"/>
        </w:rPr>
        <w:t>验收一览表</w:t>
      </w:r>
    </w:p>
    <w:tbl>
      <w:tblPr>
        <w:tblStyle w:val="31"/>
        <w:tblW w:w="5124"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384"/>
        <w:gridCol w:w="1153"/>
        <w:gridCol w:w="2442"/>
        <w:gridCol w:w="1448"/>
        <w:gridCol w:w="3110"/>
      </w:tblGrid>
      <w:tr w14:paraId="4027B6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225" w:type="pct"/>
            <w:tcBorders>
              <w:tl2br w:val="nil"/>
              <w:tr2bl w:val="nil"/>
            </w:tcBorders>
            <w:vAlign w:val="center"/>
          </w:tcPr>
          <w:p w14:paraId="2A9A80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bookmarkStart w:id="961" w:name="_Toc30442"/>
            <w:bookmarkStart w:id="962" w:name="_Toc13791"/>
            <w:bookmarkStart w:id="963" w:name="_Toc29746"/>
            <w:bookmarkStart w:id="964" w:name="_Toc119"/>
            <w:bookmarkStart w:id="965" w:name="_Toc4134"/>
            <w:bookmarkStart w:id="966" w:name="_Toc22543"/>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类别</w:t>
            </w:r>
          </w:p>
        </w:tc>
        <w:tc>
          <w:tcPr>
            <w:tcW w:w="675" w:type="pct"/>
            <w:tcBorders>
              <w:tl2br w:val="nil"/>
              <w:tr2bl w:val="nil"/>
            </w:tcBorders>
            <w:vAlign w:val="center"/>
          </w:tcPr>
          <w:p w14:paraId="77FF9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项目</w:t>
            </w:r>
          </w:p>
        </w:tc>
        <w:tc>
          <w:tcPr>
            <w:tcW w:w="1430" w:type="pct"/>
            <w:tcBorders>
              <w:tl2br w:val="nil"/>
              <w:tr2bl w:val="nil"/>
            </w:tcBorders>
            <w:vAlign w:val="center"/>
          </w:tcPr>
          <w:p w14:paraId="2A685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验收内容</w:t>
            </w:r>
          </w:p>
        </w:tc>
        <w:tc>
          <w:tcPr>
            <w:tcW w:w="848" w:type="pct"/>
            <w:tcBorders>
              <w:tl2br w:val="nil"/>
              <w:tr2bl w:val="nil"/>
            </w:tcBorders>
            <w:vAlign w:val="center"/>
          </w:tcPr>
          <w:p w14:paraId="2C799E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数量</w:t>
            </w:r>
          </w:p>
        </w:tc>
        <w:tc>
          <w:tcPr>
            <w:tcW w:w="1820" w:type="pct"/>
            <w:tcBorders>
              <w:tl2br w:val="nil"/>
              <w:tr2bl w:val="nil"/>
            </w:tcBorders>
            <w:vAlign w:val="center"/>
          </w:tcPr>
          <w:p w14:paraId="22A86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效果及要求</w:t>
            </w:r>
          </w:p>
        </w:tc>
      </w:tr>
      <w:tr w14:paraId="6A39D4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restart"/>
            <w:tcBorders>
              <w:tl2br w:val="nil"/>
              <w:tr2bl w:val="nil"/>
            </w:tcBorders>
            <w:vAlign w:val="center"/>
          </w:tcPr>
          <w:p w14:paraId="2EB1F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废气</w:t>
            </w:r>
          </w:p>
        </w:tc>
        <w:tc>
          <w:tcPr>
            <w:tcW w:w="675" w:type="pct"/>
            <w:tcBorders>
              <w:tl2br w:val="nil"/>
              <w:tr2bl w:val="nil"/>
            </w:tcBorders>
            <w:vAlign w:val="center"/>
          </w:tcPr>
          <w:p w14:paraId="57F70A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破碎</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站</w:t>
            </w:r>
          </w:p>
        </w:tc>
        <w:tc>
          <w:tcPr>
            <w:tcW w:w="1430" w:type="pct"/>
            <w:tcBorders>
              <w:tl2br w:val="nil"/>
              <w:tr2bl w:val="nil"/>
            </w:tcBorders>
            <w:vAlign w:val="center"/>
          </w:tcPr>
          <w:p w14:paraId="6E0A6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eastAsia" w:ascii="Times New Roman" w:hAnsi="Times New Roman" w:cs="Times New Roman"/>
                <w:b w:val="0"/>
                <w:bCs w:val="0"/>
                <w:snapToGrid/>
                <w:color w:val="auto"/>
                <w:spacing w:val="0"/>
                <w:w w:val="100"/>
                <w:kern w:val="2"/>
                <w:position w:val="0"/>
                <w:sz w:val="21"/>
                <w:szCs w:val="21"/>
                <w:highlight w:val="none"/>
                <w:lang w:val="en-US" w:eastAsia="zh-CN"/>
              </w:rPr>
              <w:t>布</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袋除尘器</w:t>
            </w:r>
          </w:p>
        </w:tc>
        <w:tc>
          <w:tcPr>
            <w:tcW w:w="848" w:type="pct"/>
            <w:tcBorders>
              <w:tl2br w:val="nil"/>
              <w:tr2bl w:val="nil"/>
            </w:tcBorders>
            <w:vAlign w:val="center"/>
          </w:tcPr>
          <w:p w14:paraId="616C0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1套，除尘效率≥</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99</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25388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满足</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《铜、镍、钴工业污染物排放标准》（GB25467-2010）及其修改单</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表5</w:t>
            </w:r>
          </w:p>
        </w:tc>
      </w:tr>
      <w:tr w14:paraId="4599DF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vAlign w:val="center"/>
          </w:tcPr>
          <w:p w14:paraId="1298EE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77B9B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eastAsia" w:ascii="Times New Roman" w:hAnsi="Times New Roman" w:cs="Times New Roman"/>
                <w:b w:val="0"/>
                <w:bCs w:val="0"/>
                <w:snapToGrid/>
                <w:color w:val="auto"/>
                <w:spacing w:val="0"/>
                <w:w w:val="100"/>
                <w:kern w:val="2"/>
                <w:position w:val="0"/>
                <w:sz w:val="21"/>
                <w:szCs w:val="21"/>
                <w:highlight w:val="none"/>
                <w:lang w:val="en-US" w:eastAsia="zh-CN"/>
              </w:rPr>
              <w:t>水泥筒仓</w:t>
            </w:r>
          </w:p>
        </w:tc>
        <w:tc>
          <w:tcPr>
            <w:tcW w:w="1430" w:type="pct"/>
            <w:tcBorders>
              <w:tl2br w:val="nil"/>
              <w:tr2bl w:val="nil"/>
            </w:tcBorders>
            <w:vAlign w:val="center"/>
          </w:tcPr>
          <w:p w14:paraId="786E52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eastAsia" w:ascii="Times New Roman" w:hAnsi="Times New Roman" w:cs="Times New Roman"/>
                <w:b w:val="0"/>
                <w:bCs w:val="0"/>
                <w:snapToGrid/>
                <w:color w:val="auto"/>
                <w:spacing w:val="0"/>
                <w:w w:val="100"/>
                <w:kern w:val="2"/>
                <w:position w:val="0"/>
                <w:sz w:val="21"/>
                <w:szCs w:val="21"/>
                <w:highlight w:val="none"/>
                <w:lang w:val="en-US" w:eastAsia="zh-CN"/>
              </w:rPr>
              <w:t>仓顶布袋除尘器</w:t>
            </w:r>
          </w:p>
        </w:tc>
        <w:tc>
          <w:tcPr>
            <w:tcW w:w="848" w:type="pct"/>
            <w:tcBorders>
              <w:tl2br w:val="nil"/>
              <w:tr2bl w:val="nil"/>
            </w:tcBorders>
            <w:vAlign w:val="center"/>
          </w:tcPr>
          <w:p w14:paraId="1EC57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1套，除尘效率≥</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99</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0C468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《水泥工业大气污染物排放标准》</w:t>
            </w:r>
            <w:r>
              <w:rPr>
                <w:rFonts w:hint="eastAsia" w:ascii="Times New Roman" w:hAnsi="Times New Roman" w:cs="Times New Roman"/>
                <w:b w:val="0"/>
                <w:bCs w:val="0"/>
                <w:snapToGrid/>
                <w:color w:val="auto"/>
                <w:spacing w:val="0"/>
                <w:w w:val="100"/>
                <w:kern w:val="2"/>
                <w:position w:val="0"/>
                <w:sz w:val="21"/>
                <w:szCs w:val="21"/>
                <w:highlight w:val="none"/>
                <w:lang w:val="en-US" w:eastAsia="zh-CN"/>
              </w:rPr>
              <w:t>（</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GB 4915-2013</w:t>
            </w:r>
            <w:r>
              <w:rPr>
                <w:rFonts w:hint="eastAsia" w:ascii="Times New Roman" w:hAnsi="Times New Roman" w:cs="Times New Roman"/>
                <w:b w:val="0"/>
                <w:bCs w:val="0"/>
                <w:snapToGrid/>
                <w:color w:val="auto"/>
                <w:spacing w:val="0"/>
                <w:w w:val="100"/>
                <w:kern w:val="2"/>
                <w:position w:val="0"/>
                <w:sz w:val="21"/>
                <w:szCs w:val="21"/>
                <w:highlight w:val="none"/>
                <w:lang w:val="en-US" w:eastAsia="zh-CN"/>
              </w:rPr>
              <w:t>）</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fldChar w:fldCharType="begin"/>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instrText xml:space="preserve"> HYPERLINK "https://www.mee.gov.cn/ywgz/fgbz/bz/bzwb/dqhjbh/dqgdwrywrwpfbz/201312/W020260224575335786022.pdf" </w:instrTex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fldChar w:fldCharType="separate"/>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（含2025年修改单）</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fldChar w:fldCharType="end"/>
            </w:r>
          </w:p>
        </w:tc>
      </w:tr>
      <w:tr w14:paraId="55279B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22669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66EFD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道路</w:t>
            </w:r>
          </w:p>
        </w:tc>
        <w:tc>
          <w:tcPr>
            <w:tcW w:w="1430" w:type="pct"/>
            <w:tcBorders>
              <w:tl2br w:val="nil"/>
              <w:tr2bl w:val="nil"/>
            </w:tcBorders>
            <w:vAlign w:val="center"/>
          </w:tcPr>
          <w:p w14:paraId="3865A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洒水车</w:t>
            </w:r>
          </w:p>
        </w:tc>
        <w:tc>
          <w:tcPr>
            <w:tcW w:w="848" w:type="pct"/>
            <w:tcBorders>
              <w:tl2br w:val="nil"/>
              <w:tr2bl w:val="nil"/>
            </w:tcBorders>
            <w:vAlign w:val="center"/>
          </w:tcPr>
          <w:p w14:paraId="6A8BA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1辆</w:t>
            </w:r>
          </w:p>
        </w:tc>
        <w:tc>
          <w:tcPr>
            <w:tcW w:w="1820" w:type="pct"/>
            <w:vMerge w:val="restart"/>
            <w:tcBorders>
              <w:tl2br w:val="nil"/>
              <w:tr2bl w:val="nil"/>
            </w:tcBorders>
            <w:vAlign w:val="center"/>
          </w:tcPr>
          <w:p w14:paraId="67A48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《铜、镍、钴工业污染物排放标准》（GB25467-2010）及其修改单</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表6</w:t>
            </w:r>
          </w:p>
        </w:tc>
      </w:tr>
      <w:tr w14:paraId="1E84CF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51F44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1B2F9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废石场</w:t>
            </w:r>
          </w:p>
        </w:tc>
        <w:tc>
          <w:tcPr>
            <w:tcW w:w="1430" w:type="pct"/>
            <w:tcBorders>
              <w:tl2br w:val="nil"/>
              <w:tr2bl w:val="nil"/>
            </w:tcBorders>
            <w:vAlign w:val="center"/>
          </w:tcPr>
          <w:p w14:paraId="4CFD3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洒水车</w:t>
            </w:r>
          </w:p>
        </w:tc>
        <w:tc>
          <w:tcPr>
            <w:tcW w:w="848" w:type="pct"/>
            <w:tcBorders>
              <w:tl2br w:val="nil"/>
              <w:tr2bl w:val="nil"/>
            </w:tcBorders>
            <w:vAlign w:val="center"/>
          </w:tcPr>
          <w:p w14:paraId="24DF9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1辆</w:t>
            </w:r>
          </w:p>
        </w:tc>
        <w:tc>
          <w:tcPr>
            <w:tcW w:w="1820" w:type="pct"/>
            <w:vMerge w:val="continue"/>
            <w:tcBorders>
              <w:tl2br w:val="nil"/>
              <w:tr2bl w:val="nil"/>
            </w:tcBorders>
            <w:vAlign w:val="center"/>
          </w:tcPr>
          <w:p w14:paraId="4BDD90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18F3C7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restart"/>
            <w:tcBorders>
              <w:tl2br w:val="nil"/>
              <w:tr2bl w:val="nil"/>
            </w:tcBorders>
            <w:vAlign w:val="center"/>
          </w:tcPr>
          <w:p w14:paraId="0AA66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废水</w:t>
            </w:r>
          </w:p>
        </w:tc>
        <w:tc>
          <w:tcPr>
            <w:tcW w:w="675" w:type="pct"/>
            <w:tcBorders>
              <w:tl2br w:val="nil"/>
              <w:tr2bl w:val="nil"/>
            </w:tcBorders>
            <w:vAlign w:val="center"/>
          </w:tcPr>
          <w:p w14:paraId="3CA52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矿坑涌水</w:t>
            </w:r>
          </w:p>
        </w:tc>
        <w:tc>
          <w:tcPr>
            <w:tcW w:w="1430" w:type="pct"/>
            <w:tcBorders>
              <w:tl2br w:val="nil"/>
              <w:tr2bl w:val="nil"/>
            </w:tcBorders>
            <w:vAlign w:val="center"/>
          </w:tcPr>
          <w:p w14:paraId="4F818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4</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00m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水池</w:t>
            </w:r>
          </w:p>
        </w:tc>
        <w:tc>
          <w:tcPr>
            <w:tcW w:w="848" w:type="pct"/>
            <w:tcBorders>
              <w:tl2br w:val="nil"/>
              <w:tr2bl w:val="nil"/>
            </w:tcBorders>
            <w:vAlign w:val="center"/>
          </w:tcPr>
          <w:p w14:paraId="667E6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1座</w:t>
            </w:r>
          </w:p>
        </w:tc>
        <w:tc>
          <w:tcPr>
            <w:tcW w:w="1820" w:type="pct"/>
            <w:tcBorders>
              <w:tl2br w:val="nil"/>
              <w:tr2bl w:val="nil"/>
            </w:tcBorders>
            <w:vAlign w:val="center"/>
          </w:tcPr>
          <w:p w14:paraId="6F1E4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全部回用于矿山生产，不外排。</w:t>
            </w:r>
          </w:p>
        </w:tc>
      </w:tr>
      <w:tr w14:paraId="08B5F7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1E946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79F63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生活污水</w:t>
            </w:r>
          </w:p>
        </w:tc>
        <w:tc>
          <w:tcPr>
            <w:tcW w:w="1430" w:type="pct"/>
            <w:tcBorders>
              <w:tl2br w:val="nil"/>
              <w:tr2bl w:val="nil"/>
            </w:tcBorders>
            <w:vAlign w:val="center"/>
          </w:tcPr>
          <w:p w14:paraId="248C6B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20m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/d一体化生活污水处理设施</w:t>
            </w:r>
          </w:p>
        </w:tc>
        <w:tc>
          <w:tcPr>
            <w:tcW w:w="848" w:type="pct"/>
            <w:tcBorders>
              <w:tl2br w:val="nil"/>
              <w:tr2bl w:val="nil"/>
            </w:tcBorders>
            <w:vAlign w:val="center"/>
          </w:tcPr>
          <w:p w14:paraId="00888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1套</w:t>
            </w:r>
          </w:p>
        </w:tc>
        <w:tc>
          <w:tcPr>
            <w:tcW w:w="1820" w:type="pct"/>
            <w:tcBorders>
              <w:tl2br w:val="nil"/>
              <w:tr2bl w:val="nil"/>
            </w:tcBorders>
            <w:vAlign w:val="center"/>
          </w:tcPr>
          <w:p w14:paraId="49A61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《农村生活污水处理排放标准》（DB65 4275-2019）表2规定的A级排放限值和《城市污水再生利用</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 xml:space="preserve"> </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工业用水水质》（GB/T19923-2005）的“工艺与产品用水”水质要求</w:t>
            </w:r>
          </w:p>
        </w:tc>
      </w:tr>
      <w:tr w14:paraId="46F332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restart"/>
            <w:tcBorders>
              <w:tl2br w:val="nil"/>
              <w:tr2bl w:val="nil"/>
            </w:tcBorders>
            <w:vAlign w:val="center"/>
          </w:tcPr>
          <w:p w14:paraId="6FCB39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噪声</w:t>
            </w:r>
          </w:p>
        </w:tc>
        <w:tc>
          <w:tcPr>
            <w:tcW w:w="675" w:type="pct"/>
            <w:tcBorders>
              <w:tl2br w:val="nil"/>
              <w:tr2bl w:val="nil"/>
            </w:tcBorders>
            <w:vAlign w:val="center"/>
          </w:tcPr>
          <w:p w14:paraId="4EF83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地表生产设备空压机、各类泵等</w:t>
            </w:r>
          </w:p>
        </w:tc>
        <w:tc>
          <w:tcPr>
            <w:tcW w:w="1430" w:type="pct"/>
            <w:tcBorders>
              <w:tl2br w:val="nil"/>
              <w:tr2bl w:val="nil"/>
            </w:tcBorders>
            <w:vAlign w:val="center"/>
          </w:tcPr>
          <w:p w14:paraId="66813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消声、减振</w:t>
            </w:r>
          </w:p>
        </w:tc>
        <w:tc>
          <w:tcPr>
            <w:tcW w:w="848" w:type="pct"/>
            <w:tcBorders>
              <w:tl2br w:val="nil"/>
              <w:tr2bl w:val="nil"/>
            </w:tcBorders>
            <w:vAlign w:val="center"/>
          </w:tcPr>
          <w:p w14:paraId="76ECF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0F90D5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工业场地边界外1m处达到《工业企业厂界环境噪声排放标准》GB12348-2008）2类标准</w:t>
            </w:r>
          </w:p>
        </w:tc>
      </w:tr>
      <w:tr w14:paraId="685711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restart"/>
            <w:tcBorders>
              <w:tl2br w:val="nil"/>
              <w:tr2bl w:val="nil"/>
            </w:tcBorders>
            <w:textDirection w:val="tbRlV"/>
            <w:vAlign w:val="center"/>
          </w:tcPr>
          <w:p w14:paraId="7FBEA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固废</w:t>
            </w:r>
          </w:p>
        </w:tc>
        <w:tc>
          <w:tcPr>
            <w:tcW w:w="675" w:type="pct"/>
            <w:tcBorders>
              <w:tl2br w:val="nil"/>
              <w:tr2bl w:val="nil"/>
            </w:tcBorders>
            <w:vAlign w:val="center"/>
          </w:tcPr>
          <w:p w14:paraId="349636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废石</w:t>
            </w:r>
          </w:p>
        </w:tc>
        <w:tc>
          <w:tcPr>
            <w:tcW w:w="1430" w:type="pct"/>
            <w:tcBorders>
              <w:tl2br w:val="nil"/>
              <w:tr2bl w:val="nil"/>
            </w:tcBorders>
            <w:vAlign w:val="center"/>
          </w:tcPr>
          <w:p w14:paraId="6AB4E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堆存于废石场</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，定期作为充填原料回填</w:t>
            </w:r>
          </w:p>
        </w:tc>
        <w:tc>
          <w:tcPr>
            <w:tcW w:w="848" w:type="pct"/>
            <w:tcBorders>
              <w:tl2br w:val="nil"/>
              <w:tr2bl w:val="nil"/>
            </w:tcBorders>
            <w:vAlign w:val="center"/>
          </w:tcPr>
          <w:p w14:paraId="53117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1座</w:t>
            </w:r>
          </w:p>
        </w:tc>
        <w:tc>
          <w:tcPr>
            <w:tcW w:w="1820" w:type="pct"/>
            <w:tcBorders>
              <w:tl2br w:val="nil"/>
              <w:tr2bl w:val="nil"/>
            </w:tcBorders>
            <w:vAlign w:val="center"/>
          </w:tcPr>
          <w:p w14:paraId="6130F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废石场满足《一般工业固体废物贮存和填埋污染控制标准》（GB18599-2020）要求</w:t>
            </w:r>
          </w:p>
        </w:tc>
      </w:tr>
      <w:tr w14:paraId="138279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7D700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6E625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生活垃圾</w:t>
            </w:r>
          </w:p>
        </w:tc>
        <w:tc>
          <w:tcPr>
            <w:tcW w:w="1430" w:type="pct"/>
            <w:tcBorders>
              <w:tl2br w:val="nil"/>
              <w:tr2bl w:val="nil"/>
            </w:tcBorders>
            <w:vAlign w:val="center"/>
          </w:tcPr>
          <w:p w14:paraId="667BD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垃圾桶、周转池</w:t>
            </w:r>
          </w:p>
        </w:tc>
        <w:tc>
          <w:tcPr>
            <w:tcW w:w="848" w:type="pct"/>
            <w:tcBorders>
              <w:tl2br w:val="nil"/>
              <w:tr2bl w:val="nil"/>
            </w:tcBorders>
            <w:vAlign w:val="center"/>
          </w:tcPr>
          <w:p w14:paraId="6B62F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若干、1座</w:t>
            </w:r>
          </w:p>
        </w:tc>
        <w:tc>
          <w:tcPr>
            <w:tcW w:w="1820" w:type="pct"/>
            <w:tcBorders>
              <w:tl2br w:val="nil"/>
              <w:tr2bl w:val="nil"/>
            </w:tcBorders>
            <w:vAlign w:val="center"/>
          </w:tcPr>
          <w:p w14:paraId="62A55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定期清运处理，清运率100%</w:t>
            </w:r>
          </w:p>
        </w:tc>
      </w:tr>
      <w:tr w14:paraId="50ABC4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18053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40C9B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废机油</w:t>
            </w:r>
            <w:r>
              <w:rPr>
                <w:rFonts w:hint="eastAsia" w:ascii="Times New Roman" w:hAnsi="Times New Roman" w:cs="Times New Roman"/>
                <w:b w:val="0"/>
                <w:bCs w:val="0"/>
                <w:snapToGrid/>
                <w:color w:val="auto"/>
                <w:spacing w:val="0"/>
                <w:w w:val="100"/>
                <w:kern w:val="2"/>
                <w:position w:val="0"/>
                <w:sz w:val="21"/>
                <w:szCs w:val="21"/>
                <w:highlight w:val="none"/>
                <w:lang w:val="en-US" w:eastAsia="zh-CN"/>
              </w:rPr>
              <w:t>、废油桶</w:t>
            </w:r>
          </w:p>
        </w:tc>
        <w:tc>
          <w:tcPr>
            <w:tcW w:w="1430" w:type="pct"/>
            <w:tcBorders>
              <w:tl2br w:val="nil"/>
              <w:tr2bl w:val="nil"/>
            </w:tcBorders>
            <w:vAlign w:val="center"/>
          </w:tcPr>
          <w:p w14:paraId="48705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危废贮存库</w:t>
            </w:r>
          </w:p>
        </w:tc>
        <w:tc>
          <w:tcPr>
            <w:tcW w:w="848" w:type="pct"/>
            <w:tcBorders>
              <w:tl2br w:val="nil"/>
              <w:tr2bl w:val="nil"/>
            </w:tcBorders>
            <w:vAlign w:val="center"/>
          </w:tcPr>
          <w:p w14:paraId="44EED4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1个</w:t>
            </w:r>
          </w:p>
        </w:tc>
        <w:tc>
          <w:tcPr>
            <w:tcW w:w="1820" w:type="pct"/>
            <w:tcBorders>
              <w:tl2br w:val="nil"/>
              <w:tr2bl w:val="nil"/>
            </w:tcBorders>
            <w:vAlign w:val="center"/>
          </w:tcPr>
          <w:p w14:paraId="1A201663">
            <w:pP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满足《危险废物贮存污染控制标准》（GB18597-2023），定期交由有资质单位</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处置</w:t>
            </w:r>
          </w:p>
        </w:tc>
      </w:tr>
      <w:tr w14:paraId="707E68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67243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14656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除尘灰</w:t>
            </w:r>
          </w:p>
        </w:tc>
        <w:tc>
          <w:tcPr>
            <w:tcW w:w="1430" w:type="pct"/>
            <w:tcBorders>
              <w:tl2br w:val="nil"/>
              <w:tr2bl w:val="nil"/>
            </w:tcBorders>
            <w:vAlign w:val="center"/>
          </w:tcPr>
          <w:p w14:paraId="33F97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返回</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充填工艺</w:t>
            </w:r>
          </w:p>
        </w:tc>
        <w:tc>
          <w:tcPr>
            <w:tcW w:w="848" w:type="pct"/>
            <w:tcBorders>
              <w:tl2br w:val="nil"/>
              <w:tr2bl w:val="nil"/>
            </w:tcBorders>
            <w:vAlign w:val="center"/>
          </w:tcPr>
          <w:p w14:paraId="49521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01967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返回</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充填工艺</w:t>
            </w:r>
          </w:p>
        </w:tc>
      </w:tr>
      <w:tr w14:paraId="5AB517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restart"/>
            <w:tcBorders>
              <w:tl2br w:val="nil"/>
              <w:tr2bl w:val="nil"/>
            </w:tcBorders>
            <w:vAlign w:val="center"/>
          </w:tcPr>
          <w:p w14:paraId="69C77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地下水</w:t>
            </w:r>
          </w:p>
        </w:tc>
        <w:tc>
          <w:tcPr>
            <w:tcW w:w="675" w:type="pct"/>
            <w:vMerge w:val="restart"/>
            <w:tcBorders>
              <w:tl2br w:val="nil"/>
              <w:tr2bl w:val="nil"/>
            </w:tcBorders>
            <w:vAlign w:val="center"/>
          </w:tcPr>
          <w:p w14:paraId="440B4C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防渗</w:t>
            </w:r>
          </w:p>
        </w:tc>
        <w:tc>
          <w:tcPr>
            <w:tcW w:w="1430" w:type="pct"/>
            <w:tcBorders>
              <w:tl2br w:val="nil"/>
              <w:tr2bl w:val="nil"/>
            </w:tcBorders>
            <w:vAlign w:val="center"/>
          </w:tcPr>
          <w:p w14:paraId="0815C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机修车间</w:t>
            </w:r>
          </w:p>
        </w:tc>
        <w:tc>
          <w:tcPr>
            <w:tcW w:w="848" w:type="pct"/>
            <w:tcBorders>
              <w:tl2br w:val="nil"/>
              <w:tr2bl w:val="nil"/>
            </w:tcBorders>
            <w:vAlign w:val="center"/>
          </w:tcPr>
          <w:p w14:paraId="6AF51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12118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防渗结构的渗透系数需等效厚度Mb≥6.0m、K≤1×10</w:t>
            </w:r>
            <w:r>
              <w:rPr>
                <w:rFonts w:hint="default" w:ascii="Times New Roman" w:hAnsi="Times New Roman" w:cs="Times New Roman"/>
                <w:b w:val="0"/>
                <w:bCs w:val="0"/>
                <w:snapToGrid/>
                <w:color w:val="auto"/>
                <w:spacing w:val="0"/>
                <w:w w:val="100"/>
                <w:kern w:val="2"/>
                <w:position w:val="0"/>
                <w:sz w:val="21"/>
                <w:szCs w:val="21"/>
                <w:highlight w:val="none"/>
                <w:vertAlign w:val="superscript"/>
                <w:lang w:val="en-US" w:eastAsia="zh-CN"/>
              </w:rPr>
              <w:t>-7</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cm/s的黏土防渗层</w:t>
            </w:r>
          </w:p>
        </w:tc>
      </w:tr>
      <w:tr w14:paraId="3943D5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textDirection w:val="tbRlV"/>
            <w:vAlign w:val="center"/>
          </w:tcPr>
          <w:p w14:paraId="41B93E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vMerge w:val="continue"/>
            <w:tcBorders>
              <w:tl2br w:val="nil"/>
              <w:tr2bl w:val="nil"/>
            </w:tcBorders>
            <w:vAlign w:val="center"/>
          </w:tcPr>
          <w:p w14:paraId="7E0FC7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430" w:type="pct"/>
            <w:tcBorders>
              <w:tl2br w:val="nil"/>
              <w:tr2bl w:val="nil"/>
            </w:tcBorders>
            <w:vAlign w:val="center"/>
          </w:tcPr>
          <w:p w14:paraId="48A89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危废贮存库</w:t>
            </w:r>
          </w:p>
        </w:tc>
        <w:tc>
          <w:tcPr>
            <w:tcW w:w="848" w:type="pct"/>
            <w:tcBorders>
              <w:tl2br w:val="nil"/>
              <w:tr2bl w:val="nil"/>
            </w:tcBorders>
            <w:vAlign w:val="center"/>
          </w:tcPr>
          <w:p w14:paraId="4CBC81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4EFE7F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基础必须防渗，防渗层为至少1m厚粘土层（渗透系数≤10</w:t>
            </w:r>
            <w:r>
              <w:rPr>
                <w:rFonts w:hint="default" w:ascii="Times New Roman" w:hAnsi="Times New Roman" w:cs="Times New Roman"/>
                <w:b w:val="0"/>
                <w:bCs w:val="0"/>
                <w:snapToGrid/>
                <w:color w:val="auto"/>
                <w:spacing w:val="0"/>
                <w:w w:val="100"/>
                <w:kern w:val="2"/>
                <w:position w:val="0"/>
                <w:sz w:val="21"/>
                <w:szCs w:val="21"/>
                <w:highlight w:val="none"/>
                <w:vertAlign w:val="superscript"/>
                <w:lang w:val="en-US" w:eastAsia="zh-CN"/>
              </w:rPr>
              <w:t>-10</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cm/s），或2mm厚高密度聚乙烯，或至少2mm厚的其它人工材料，渗透系数≤10</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-10</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cm/s</w:t>
            </w:r>
          </w:p>
        </w:tc>
      </w:tr>
      <w:tr w14:paraId="602514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1530" w:hRule="atLeast"/>
          <w:jc w:val="center"/>
        </w:trPr>
        <w:tc>
          <w:tcPr>
            <w:tcW w:w="225" w:type="pct"/>
            <w:vMerge w:val="continue"/>
            <w:tcBorders>
              <w:tl2br w:val="nil"/>
              <w:tr2bl w:val="nil"/>
            </w:tcBorders>
            <w:textDirection w:val="tbRlV"/>
            <w:vAlign w:val="center"/>
          </w:tcPr>
          <w:p w14:paraId="7F337E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vMerge w:val="continue"/>
            <w:tcBorders>
              <w:tl2br w:val="nil"/>
              <w:tr2bl w:val="nil"/>
            </w:tcBorders>
            <w:vAlign w:val="center"/>
          </w:tcPr>
          <w:p w14:paraId="41E960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430" w:type="pct"/>
            <w:tcBorders>
              <w:tl2br w:val="nil"/>
              <w:tr2bl w:val="nil"/>
            </w:tcBorders>
            <w:vAlign w:val="center"/>
          </w:tcPr>
          <w:p w14:paraId="7EAED6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生活污水处理站</w:t>
            </w:r>
          </w:p>
        </w:tc>
        <w:tc>
          <w:tcPr>
            <w:tcW w:w="848" w:type="pct"/>
            <w:tcBorders>
              <w:tl2br w:val="nil"/>
              <w:tr2bl w:val="nil"/>
            </w:tcBorders>
            <w:vAlign w:val="center"/>
          </w:tcPr>
          <w:p w14:paraId="740B2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1820" w:type="pct"/>
            <w:tcBorders>
              <w:tl2br w:val="nil"/>
              <w:tr2bl w:val="nil"/>
            </w:tcBorders>
            <w:vAlign w:val="center"/>
          </w:tcPr>
          <w:p w14:paraId="68031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防渗结构渗透系数需等效厚度Mb≥1.5m、K≤1×10</w:t>
            </w:r>
            <w:r>
              <w:rPr>
                <w:rFonts w:hint="default" w:ascii="Times New Roman" w:hAnsi="Times New Roman" w:cs="Times New Roman"/>
                <w:b w:val="0"/>
                <w:bCs w:val="0"/>
                <w:snapToGrid/>
                <w:color w:val="auto"/>
                <w:spacing w:val="0"/>
                <w:w w:val="100"/>
                <w:kern w:val="2"/>
                <w:position w:val="0"/>
                <w:sz w:val="21"/>
                <w:szCs w:val="21"/>
                <w:highlight w:val="none"/>
                <w:vertAlign w:val="superscript"/>
                <w:lang w:val="en-US" w:eastAsia="zh-CN"/>
              </w:rPr>
              <w:t>-</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7</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cm/s的黏土防渗层，或参照GB16889执行。</w:t>
            </w:r>
          </w:p>
        </w:tc>
      </w:tr>
      <w:tr w14:paraId="4FC9B3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vMerge w:val="continue"/>
            <w:tcBorders>
              <w:tl2br w:val="nil"/>
              <w:tr2bl w:val="nil"/>
            </w:tcBorders>
            <w:vAlign w:val="center"/>
          </w:tcPr>
          <w:p w14:paraId="17936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675" w:type="pct"/>
            <w:tcBorders>
              <w:tl2br w:val="nil"/>
              <w:tr2bl w:val="nil"/>
            </w:tcBorders>
            <w:vAlign w:val="center"/>
          </w:tcPr>
          <w:p w14:paraId="5C159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地下水监测</w:t>
            </w:r>
          </w:p>
        </w:tc>
        <w:tc>
          <w:tcPr>
            <w:tcW w:w="1430" w:type="pct"/>
            <w:tcBorders>
              <w:tl2br w:val="nil"/>
              <w:tr2bl w:val="nil"/>
            </w:tcBorders>
            <w:vAlign w:val="center"/>
          </w:tcPr>
          <w:p w14:paraId="68022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地下水监测井</w:t>
            </w:r>
          </w:p>
        </w:tc>
        <w:tc>
          <w:tcPr>
            <w:tcW w:w="848" w:type="pct"/>
            <w:tcBorders>
              <w:tl2br w:val="nil"/>
              <w:tr2bl w:val="nil"/>
            </w:tcBorders>
            <w:vAlign w:val="center"/>
          </w:tcPr>
          <w:p w14:paraId="0B4CC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4</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口</w:t>
            </w:r>
          </w:p>
        </w:tc>
        <w:tc>
          <w:tcPr>
            <w:tcW w:w="1820" w:type="pct"/>
            <w:tcBorders>
              <w:tl2br w:val="nil"/>
              <w:tr2bl w:val="nil"/>
            </w:tcBorders>
            <w:vAlign w:val="center"/>
          </w:tcPr>
          <w:p w14:paraId="508B7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符合要求</w:t>
            </w:r>
          </w:p>
        </w:tc>
      </w:tr>
      <w:tr w14:paraId="31FE4C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50" w:hRule="atLeast"/>
          <w:jc w:val="center"/>
        </w:trPr>
        <w:tc>
          <w:tcPr>
            <w:tcW w:w="225" w:type="pct"/>
            <w:tcBorders>
              <w:tl2br w:val="nil"/>
              <w:tr2bl w:val="nil"/>
            </w:tcBorders>
            <w:vAlign w:val="center"/>
          </w:tcPr>
          <w:p w14:paraId="4D9F9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生态</w:t>
            </w:r>
          </w:p>
        </w:tc>
        <w:tc>
          <w:tcPr>
            <w:tcW w:w="675" w:type="pct"/>
            <w:tcBorders>
              <w:tl2br w:val="nil"/>
              <w:tr2bl w:val="nil"/>
            </w:tcBorders>
            <w:vAlign w:val="center"/>
          </w:tcPr>
          <w:p w14:paraId="51C0B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防风固沙</w:t>
            </w:r>
          </w:p>
        </w:tc>
        <w:tc>
          <w:tcPr>
            <w:tcW w:w="2278" w:type="pct"/>
            <w:gridSpan w:val="2"/>
            <w:tcBorders>
              <w:tl2br w:val="nil"/>
              <w:tr2bl w:val="nil"/>
            </w:tcBorders>
            <w:vAlign w:val="center"/>
          </w:tcPr>
          <w:p w14:paraId="0C30AA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在散体物料堆场表面要覆盖防风固沙网</w:t>
            </w:r>
          </w:p>
        </w:tc>
        <w:tc>
          <w:tcPr>
            <w:tcW w:w="1820" w:type="pct"/>
            <w:tcBorders>
              <w:tl2br w:val="nil"/>
              <w:tr2bl w:val="nil"/>
            </w:tcBorders>
            <w:vAlign w:val="center"/>
          </w:tcPr>
          <w:p w14:paraId="6BD53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按要求设置</w:t>
            </w:r>
          </w:p>
        </w:tc>
      </w:tr>
      <w:tr w14:paraId="093E2F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225" w:type="pct"/>
            <w:tcBorders>
              <w:tl2br w:val="nil"/>
              <w:tr2bl w:val="nil"/>
            </w:tcBorders>
            <w:vAlign w:val="center"/>
          </w:tcPr>
          <w:p w14:paraId="0725F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其他</w:t>
            </w:r>
          </w:p>
        </w:tc>
        <w:tc>
          <w:tcPr>
            <w:tcW w:w="675" w:type="pct"/>
            <w:tcBorders>
              <w:tl2br w:val="nil"/>
              <w:tr2bl w:val="nil"/>
            </w:tcBorders>
            <w:vAlign w:val="center"/>
          </w:tcPr>
          <w:p w14:paraId="28428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排污口规范化</w:t>
            </w:r>
          </w:p>
        </w:tc>
        <w:tc>
          <w:tcPr>
            <w:tcW w:w="1430" w:type="pct"/>
            <w:tcBorders>
              <w:tl2br w:val="nil"/>
              <w:tr2bl w:val="nil"/>
            </w:tcBorders>
            <w:vAlign w:val="center"/>
          </w:tcPr>
          <w:p w14:paraId="3F363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按排放口规范化管理要求设置环境保护图形标志</w:t>
            </w:r>
          </w:p>
        </w:tc>
        <w:tc>
          <w:tcPr>
            <w:tcW w:w="848" w:type="pct"/>
            <w:tcBorders>
              <w:tl2br w:val="nil"/>
              <w:tr2bl w:val="nil"/>
            </w:tcBorders>
            <w:vAlign w:val="center"/>
          </w:tcPr>
          <w:p w14:paraId="7610EB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若干</w:t>
            </w:r>
          </w:p>
        </w:tc>
        <w:tc>
          <w:tcPr>
            <w:tcW w:w="1820" w:type="pct"/>
            <w:tcBorders>
              <w:tl2br w:val="nil"/>
              <w:tr2bl w:val="nil"/>
            </w:tcBorders>
            <w:vAlign w:val="center"/>
          </w:tcPr>
          <w:p w14:paraId="3DA413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按地方生态环境部门要求设置</w:t>
            </w:r>
          </w:p>
        </w:tc>
      </w:tr>
    </w:tbl>
    <w:p w14:paraId="720B7DE6">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967" w:name="_Toc10616"/>
      <w:bookmarkStart w:id="968" w:name="_Toc18783"/>
      <w:r>
        <w:rPr>
          <w:rFonts w:hint="default" w:ascii="Times New Roman" w:hAnsi="Times New Roman" w:eastAsia="宋体" w:cs="Times New Roman"/>
          <w:color w:val="auto"/>
          <w:spacing w:val="0"/>
          <w:w w:val="100"/>
          <w:position w:val="0"/>
          <w:lang w:val="en-US" w:eastAsia="zh-CN"/>
        </w:rPr>
        <w:t>8.6排污清单</w:t>
      </w:r>
      <w:bookmarkEnd w:id="961"/>
      <w:bookmarkEnd w:id="962"/>
      <w:bookmarkEnd w:id="963"/>
      <w:bookmarkEnd w:id="964"/>
      <w:bookmarkEnd w:id="965"/>
      <w:bookmarkEnd w:id="966"/>
      <w:bookmarkEnd w:id="967"/>
      <w:bookmarkEnd w:id="968"/>
    </w:p>
    <w:p w14:paraId="613860F3">
      <w:pPr>
        <w:keepNext w:val="0"/>
        <w:keepLines w:val="0"/>
        <w:pageBreakBefore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pacing w:val="0"/>
          <w:w w:val="100"/>
          <w:position w:val="0"/>
          <w:sz w:val="24"/>
          <w:highlight w:val="none"/>
        </w:rPr>
      </w:pPr>
      <w:r>
        <w:rPr>
          <w:rFonts w:hint="default" w:ascii="Times New Roman" w:hAnsi="Times New Roman" w:eastAsia="宋体" w:cs="Times New Roman"/>
          <w:color w:val="auto"/>
          <w:spacing w:val="0"/>
          <w:w w:val="100"/>
          <w:position w:val="0"/>
          <w:sz w:val="24"/>
          <w:highlight w:val="none"/>
          <w:lang w:eastAsia="zh-CN"/>
        </w:rPr>
        <w:t>本工程</w:t>
      </w:r>
      <w:r>
        <w:rPr>
          <w:rFonts w:hint="default" w:ascii="Times New Roman" w:hAnsi="Times New Roman" w:eastAsia="宋体" w:cs="Times New Roman"/>
          <w:color w:val="auto"/>
          <w:spacing w:val="0"/>
          <w:w w:val="100"/>
          <w:position w:val="0"/>
          <w:sz w:val="24"/>
          <w:highlight w:val="none"/>
        </w:rPr>
        <w:t>排污清单见表8.6-1。</w:t>
      </w:r>
    </w:p>
    <w:p w14:paraId="0132D33F">
      <w:pPr>
        <w:pStyle w:val="67"/>
        <w:keepNext w:val="0"/>
        <w:keepLines w:val="0"/>
        <w:pageBreakBefore w:val="0"/>
        <w:widowControl/>
        <w:kinsoku/>
        <w:wordWrap/>
        <w:overflowPunct/>
        <w:topLinePunct w:val="0"/>
        <w:autoSpaceDE/>
        <w:autoSpaceDN/>
        <w:bidi w:val="0"/>
        <w:adjustRightInd/>
        <w:snapToGrid/>
        <w:spacing w:before="0" w:beforeLines="0" w:after="0" w:afterLines="0" w:line="480" w:lineRule="exact"/>
        <w:textAlignment w:val="auto"/>
        <w:rPr>
          <w:rFonts w:hint="default" w:ascii="Times New Roman" w:hAnsi="Times New Roman" w:eastAsia="宋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rPr>
        <w:t>表8.6-1    项目排污清单一览表</w:t>
      </w:r>
    </w:p>
    <w:tbl>
      <w:tblPr>
        <w:tblStyle w:val="31"/>
        <w:tblW w:w="521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605"/>
        <w:gridCol w:w="544"/>
        <w:gridCol w:w="845"/>
        <w:gridCol w:w="1294"/>
        <w:gridCol w:w="1094"/>
        <w:gridCol w:w="1678"/>
        <w:gridCol w:w="2630"/>
      </w:tblGrid>
      <w:tr w14:paraId="4D3573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tblHeader/>
          <w:jc w:val="center"/>
        </w:trPr>
        <w:tc>
          <w:tcPr>
            <w:tcW w:w="348" w:type="pct"/>
            <w:tcBorders>
              <w:tl2br w:val="nil"/>
              <w:tr2bl w:val="nil"/>
            </w:tcBorders>
            <w:vAlign w:val="center"/>
          </w:tcPr>
          <w:p w14:paraId="3A658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类别</w:t>
            </w:r>
          </w:p>
        </w:tc>
        <w:tc>
          <w:tcPr>
            <w:tcW w:w="799" w:type="pct"/>
            <w:gridSpan w:val="2"/>
            <w:tcBorders>
              <w:tl2br w:val="nil"/>
              <w:tr2bl w:val="nil"/>
            </w:tcBorders>
            <w:vAlign w:val="center"/>
          </w:tcPr>
          <w:p w14:paraId="7205F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污染物</w:t>
            </w:r>
          </w:p>
        </w:tc>
        <w:tc>
          <w:tcPr>
            <w:tcW w:w="744" w:type="pct"/>
            <w:tcBorders>
              <w:tl2br w:val="nil"/>
              <w:tr2bl w:val="nil"/>
            </w:tcBorders>
            <w:vAlign w:val="center"/>
          </w:tcPr>
          <w:p w14:paraId="16F74E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排放浓度</w:t>
            </w:r>
          </w:p>
        </w:tc>
        <w:tc>
          <w:tcPr>
            <w:tcW w:w="629" w:type="pct"/>
            <w:tcBorders>
              <w:tl2br w:val="nil"/>
              <w:tr2bl w:val="nil"/>
            </w:tcBorders>
            <w:vAlign w:val="center"/>
          </w:tcPr>
          <w:p w14:paraId="60704B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排放量</w:t>
            </w:r>
          </w:p>
        </w:tc>
        <w:tc>
          <w:tcPr>
            <w:tcW w:w="965" w:type="pct"/>
            <w:tcBorders>
              <w:tl2br w:val="nil"/>
              <w:tr2bl w:val="nil"/>
            </w:tcBorders>
            <w:vAlign w:val="center"/>
          </w:tcPr>
          <w:p w14:paraId="6FEB3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环保措施</w:t>
            </w:r>
          </w:p>
        </w:tc>
        <w:tc>
          <w:tcPr>
            <w:tcW w:w="1512" w:type="pct"/>
            <w:tcBorders>
              <w:tl2br w:val="nil"/>
              <w:tr2bl w:val="nil"/>
            </w:tcBorders>
            <w:vAlign w:val="center"/>
          </w:tcPr>
          <w:p w14:paraId="6E300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排放标准</w:t>
            </w:r>
          </w:p>
        </w:tc>
      </w:tr>
      <w:tr w14:paraId="40FA96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restart"/>
            <w:tcBorders>
              <w:tl2br w:val="nil"/>
              <w:tr2bl w:val="nil"/>
            </w:tcBorders>
            <w:vAlign w:val="center"/>
          </w:tcPr>
          <w:p w14:paraId="049A7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废气</w:t>
            </w:r>
          </w:p>
        </w:tc>
        <w:tc>
          <w:tcPr>
            <w:tcW w:w="799" w:type="pct"/>
            <w:gridSpan w:val="2"/>
            <w:tcBorders>
              <w:tl2br w:val="nil"/>
              <w:tr2bl w:val="nil"/>
            </w:tcBorders>
            <w:vAlign w:val="center"/>
          </w:tcPr>
          <w:p w14:paraId="6521F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破碎</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车间废气颗粒物</w:t>
            </w:r>
          </w:p>
        </w:tc>
        <w:tc>
          <w:tcPr>
            <w:tcW w:w="744" w:type="pct"/>
            <w:tcBorders>
              <w:tl2br w:val="nil"/>
              <w:tr2bl w:val="nil"/>
            </w:tcBorders>
            <w:vAlign w:val="center"/>
          </w:tcPr>
          <w:p w14:paraId="4FD35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1.78</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660CCB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0.05</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t/a</w:t>
            </w:r>
          </w:p>
        </w:tc>
        <w:tc>
          <w:tcPr>
            <w:tcW w:w="965" w:type="pct"/>
            <w:tcBorders>
              <w:tl2br w:val="nil"/>
              <w:tr2bl w:val="nil"/>
            </w:tcBorders>
            <w:vAlign w:val="center"/>
          </w:tcPr>
          <w:p w14:paraId="58CC1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袋式除尘</w:t>
            </w:r>
          </w:p>
        </w:tc>
        <w:tc>
          <w:tcPr>
            <w:tcW w:w="1512" w:type="pct"/>
            <w:vMerge w:val="restart"/>
            <w:tcBorders>
              <w:tl2br w:val="nil"/>
              <w:tr2bl w:val="nil"/>
            </w:tcBorders>
            <w:vAlign w:val="center"/>
          </w:tcPr>
          <w:p w14:paraId="3B640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《铜、镍、钴工业污染物排放标准》（GB25467-2010）及其修改单</w:t>
            </w:r>
          </w:p>
        </w:tc>
      </w:tr>
      <w:tr w14:paraId="471607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5C97BB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vAlign w:val="center"/>
          </w:tcPr>
          <w:p w14:paraId="04D64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采矿扬尘</w:t>
            </w:r>
          </w:p>
        </w:tc>
        <w:tc>
          <w:tcPr>
            <w:tcW w:w="744" w:type="pct"/>
            <w:tcBorders>
              <w:tl2br w:val="nil"/>
              <w:tr2bl w:val="nil"/>
            </w:tcBorders>
            <w:vAlign w:val="center"/>
          </w:tcPr>
          <w:p w14:paraId="66127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4A7DE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0.228t/a</w:t>
            </w:r>
          </w:p>
        </w:tc>
        <w:tc>
          <w:tcPr>
            <w:tcW w:w="965" w:type="pct"/>
            <w:tcBorders>
              <w:tl2br w:val="nil"/>
              <w:tr2bl w:val="nil"/>
            </w:tcBorders>
            <w:vAlign w:val="center"/>
          </w:tcPr>
          <w:p w14:paraId="5D1D5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，回风井稀释</w:t>
            </w:r>
          </w:p>
        </w:tc>
        <w:tc>
          <w:tcPr>
            <w:tcW w:w="1512" w:type="pct"/>
            <w:vMerge w:val="continue"/>
            <w:tcBorders>
              <w:tl2br w:val="nil"/>
              <w:tr2bl w:val="nil"/>
            </w:tcBorders>
            <w:vAlign w:val="center"/>
          </w:tcPr>
          <w:p w14:paraId="19481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2183C4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2420F5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0DF00C22">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运输扬尘</w:t>
            </w:r>
          </w:p>
        </w:tc>
        <w:tc>
          <w:tcPr>
            <w:tcW w:w="744" w:type="pct"/>
            <w:tcBorders>
              <w:tl2br w:val="nil"/>
              <w:tr2bl w:val="nil"/>
            </w:tcBorders>
            <w:vAlign w:val="center"/>
          </w:tcPr>
          <w:p w14:paraId="22039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74C68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13.75t/a</w:t>
            </w:r>
          </w:p>
        </w:tc>
        <w:tc>
          <w:tcPr>
            <w:tcW w:w="965" w:type="pct"/>
            <w:tcBorders>
              <w:tl2br w:val="nil"/>
              <w:tr2bl w:val="nil"/>
            </w:tcBorders>
            <w:vAlign w:val="center"/>
          </w:tcPr>
          <w:p w14:paraId="27DEC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vMerge w:val="continue"/>
            <w:tcBorders>
              <w:tl2br w:val="nil"/>
              <w:tr2bl w:val="nil"/>
            </w:tcBorders>
            <w:vAlign w:val="center"/>
          </w:tcPr>
          <w:p w14:paraId="6CDED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58C96B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34939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11F9A7F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1号</w:t>
            </w:r>
            <w:r>
              <w:rPr>
                <w:rFonts w:hint="default" w:ascii="Times New Roman" w:hAnsi="Times New Roman" w:eastAsia="宋体" w:cs="Times New Roman"/>
                <w:color w:val="auto"/>
                <w:spacing w:val="0"/>
                <w:w w:val="100"/>
                <w:position w:val="0"/>
                <w:sz w:val="21"/>
                <w:szCs w:val="21"/>
              </w:rPr>
              <w:t>废石场</w:t>
            </w:r>
          </w:p>
        </w:tc>
        <w:tc>
          <w:tcPr>
            <w:tcW w:w="744" w:type="pct"/>
            <w:tcBorders>
              <w:tl2br w:val="nil"/>
              <w:tr2bl w:val="nil"/>
            </w:tcBorders>
            <w:vAlign w:val="center"/>
          </w:tcPr>
          <w:p w14:paraId="5C72E9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436FA9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0.40t/a</w:t>
            </w:r>
          </w:p>
        </w:tc>
        <w:tc>
          <w:tcPr>
            <w:tcW w:w="965" w:type="pct"/>
            <w:tcBorders>
              <w:tl2br w:val="nil"/>
              <w:tr2bl w:val="nil"/>
            </w:tcBorders>
            <w:vAlign w:val="center"/>
          </w:tcPr>
          <w:p w14:paraId="041C8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vMerge w:val="continue"/>
            <w:tcBorders>
              <w:tl2br w:val="nil"/>
              <w:tr2bl w:val="nil"/>
            </w:tcBorders>
            <w:vAlign w:val="center"/>
          </w:tcPr>
          <w:p w14:paraId="43C42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15A4D3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11715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15EFE7F6">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2号</w:t>
            </w:r>
            <w:r>
              <w:rPr>
                <w:rFonts w:hint="default" w:ascii="Times New Roman" w:hAnsi="Times New Roman" w:eastAsia="宋体" w:cs="Times New Roman"/>
                <w:color w:val="auto"/>
                <w:spacing w:val="0"/>
                <w:w w:val="100"/>
                <w:position w:val="0"/>
                <w:sz w:val="21"/>
                <w:szCs w:val="21"/>
              </w:rPr>
              <w:t>废石场</w:t>
            </w:r>
          </w:p>
        </w:tc>
        <w:tc>
          <w:tcPr>
            <w:tcW w:w="744" w:type="pct"/>
            <w:tcBorders>
              <w:tl2br w:val="nil"/>
              <w:tr2bl w:val="nil"/>
            </w:tcBorders>
            <w:vAlign w:val="center"/>
          </w:tcPr>
          <w:p w14:paraId="0D7C1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4F9FD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0.02t/a</w:t>
            </w:r>
          </w:p>
        </w:tc>
        <w:tc>
          <w:tcPr>
            <w:tcW w:w="965" w:type="pct"/>
            <w:tcBorders>
              <w:tl2br w:val="nil"/>
              <w:tr2bl w:val="nil"/>
            </w:tcBorders>
            <w:vAlign w:val="center"/>
          </w:tcPr>
          <w:p w14:paraId="69A27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vMerge w:val="continue"/>
            <w:tcBorders>
              <w:tl2br w:val="nil"/>
              <w:tr2bl w:val="nil"/>
            </w:tcBorders>
            <w:vAlign w:val="center"/>
          </w:tcPr>
          <w:p w14:paraId="7755F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561BDE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27180E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36B5C389">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position w:val="0"/>
                <w:sz w:val="21"/>
                <w:szCs w:val="21"/>
                <w:lang w:val="en-US" w:eastAsia="zh-CN"/>
              </w:rPr>
              <w:t>3号</w:t>
            </w:r>
            <w:r>
              <w:rPr>
                <w:rFonts w:hint="default" w:ascii="Times New Roman" w:hAnsi="Times New Roman" w:eastAsia="宋体" w:cs="Times New Roman"/>
                <w:color w:val="auto"/>
                <w:spacing w:val="0"/>
                <w:w w:val="100"/>
                <w:position w:val="0"/>
                <w:sz w:val="21"/>
                <w:szCs w:val="21"/>
              </w:rPr>
              <w:t>废石场</w:t>
            </w:r>
          </w:p>
        </w:tc>
        <w:tc>
          <w:tcPr>
            <w:tcW w:w="744" w:type="pct"/>
            <w:tcBorders>
              <w:tl2br w:val="nil"/>
              <w:tr2bl w:val="nil"/>
            </w:tcBorders>
            <w:vAlign w:val="center"/>
          </w:tcPr>
          <w:p w14:paraId="0C25C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643FD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0.50t/a</w:t>
            </w:r>
          </w:p>
        </w:tc>
        <w:tc>
          <w:tcPr>
            <w:tcW w:w="965" w:type="pct"/>
            <w:tcBorders>
              <w:tl2br w:val="nil"/>
              <w:tr2bl w:val="nil"/>
            </w:tcBorders>
            <w:vAlign w:val="center"/>
          </w:tcPr>
          <w:p w14:paraId="206897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vMerge w:val="continue"/>
            <w:tcBorders>
              <w:tl2br w:val="nil"/>
              <w:tr2bl w:val="nil"/>
            </w:tcBorders>
            <w:vAlign w:val="center"/>
          </w:tcPr>
          <w:p w14:paraId="285A6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398A66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20FA1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1ACD530A">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矿石堆场</w:t>
            </w:r>
          </w:p>
        </w:tc>
        <w:tc>
          <w:tcPr>
            <w:tcW w:w="744" w:type="pct"/>
            <w:tcBorders>
              <w:tl2br w:val="nil"/>
              <w:tr2bl w:val="nil"/>
            </w:tcBorders>
            <w:vAlign w:val="center"/>
          </w:tcPr>
          <w:p w14:paraId="45884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30FBD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4.64t/a</w:t>
            </w:r>
          </w:p>
        </w:tc>
        <w:tc>
          <w:tcPr>
            <w:tcW w:w="965" w:type="pct"/>
            <w:tcBorders>
              <w:tl2br w:val="nil"/>
              <w:tr2bl w:val="nil"/>
            </w:tcBorders>
            <w:vAlign w:val="center"/>
          </w:tcPr>
          <w:p w14:paraId="4C1639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半敞开式设置、洒水抑尘</w:t>
            </w:r>
          </w:p>
        </w:tc>
        <w:tc>
          <w:tcPr>
            <w:tcW w:w="1512" w:type="pct"/>
            <w:vMerge w:val="continue"/>
            <w:tcBorders>
              <w:tl2br w:val="nil"/>
              <w:tr2bl w:val="nil"/>
            </w:tcBorders>
            <w:vAlign w:val="center"/>
          </w:tcPr>
          <w:p w14:paraId="73A76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3C2FDD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272E2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3AFC6B75">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cs="Times New Roman"/>
                <w:color w:val="auto"/>
                <w:spacing w:val="0"/>
                <w:w w:val="100"/>
                <w:kern w:val="2"/>
                <w:position w:val="0"/>
                <w:sz w:val="21"/>
                <w:szCs w:val="21"/>
                <w:lang w:val="en-US" w:eastAsia="zh-CN" w:bidi="ar-SA"/>
              </w:rPr>
              <w:t>水泥筒仓</w:t>
            </w:r>
          </w:p>
        </w:tc>
        <w:tc>
          <w:tcPr>
            <w:tcW w:w="744" w:type="pct"/>
            <w:tcBorders>
              <w:tl2br w:val="nil"/>
              <w:tr2bl w:val="nil"/>
            </w:tcBorders>
            <w:vAlign w:val="center"/>
          </w:tcPr>
          <w:p w14:paraId="1C435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18C9F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0.003t/a</w:t>
            </w:r>
          </w:p>
        </w:tc>
        <w:tc>
          <w:tcPr>
            <w:tcW w:w="965" w:type="pct"/>
            <w:tcBorders>
              <w:tl2br w:val="nil"/>
              <w:tr2bl w:val="nil"/>
            </w:tcBorders>
            <w:vAlign w:val="center"/>
          </w:tcPr>
          <w:p w14:paraId="7C569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tcBorders>
              <w:tl2br w:val="nil"/>
              <w:tr2bl w:val="nil"/>
            </w:tcBorders>
            <w:vAlign w:val="center"/>
          </w:tcPr>
          <w:p w14:paraId="00A15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水泥工业大气污染物排放标准</w:t>
            </w:r>
            <w:r>
              <w:rPr>
                <w:rFonts w:hint="default" w:ascii="Times New Roman" w:hAnsi="Times New Roman" w:eastAsia="宋体" w:cs="Times New Roman"/>
                <w:color w:val="auto"/>
                <w:spacing w:val="0"/>
                <w:w w:val="100"/>
                <w:position w:val="0"/>
                <w:sz w:val="21"/>
                <w:szCs w:val="21"/>
                <w:lang w:eastAsia="zh-CN"/>
              </w:rPr>
              <w:t>》</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t>GB 4915-2013</w:t>
            </w:r>
            <w:r>
              <w:rPr>
                <w:rFonts w:hint="eastAsia" w:ascii="Times New Roman" w:hAnsi="Times New Roman" w:eastAsia="宋体" w:cs="Times New Roman"/>
                <w:color w:val="auto"/>
                <w:spacing w:val="0"/>
                <w:w w:val="100"/>
                <w:position w:val="0"/>
                <w:sz w:val="21"/>
                <w:szCs w:val="21"/>
                <w:lang w:eastAsia="zh-CN"/>
              </w:rPr>
              <w:t>）</w:t>
            </w:r>
            <w:r>
              <w:rPr>
                <w:rFonts w:hint="default" w:ascii="Times New Roman" w:hAnsi="Times New Roman" w:eastAsia="宋体" w:cs="Times New Roman"/>
                <w:color w:val="auto"/>
                <w:spacing w:val="0"/>
                <w:w w:val="100"/>
                <w:position w:val="0"/>
                <w:sz w:val="21"/>
                <w:szCs w:val="21"/>
              </w:rPr>
              <w:fldChar w:fldCharType="begin"/>
            </w:r>
            <w:r>
              <w:rPr>
                <w:rFonts w:hint="default" w:ascii="Times New Roman" w:hAnsi="Times New Roman" w:eastAsia="宋体" w:cs="Times New Roman"/>
                <w:color w:val="auto"/>
                <w:spacing w:val="0"/>
                <w:w w:val="100"/>
                <w:position w:val="0"/>
                <w:sz w:val="21"/>
                <w:szCs w:val="21"/>
              </w:rPr>
              <w:instrText xml:space="preserve"> HYPERLINK "https://www.mee.gov.cn/ywgz/fgbz/bz/bzwb/dqhjbh/dqgdwrywrwpfbz/201312/W020260224575335786022.pdf" </w:instrText>
            </w:r>
            <w:r>
              <w:rPr>
                <w:rFonts w:hint="default" w:ascii="Times New Roman" w:hAnsi="Times New Roman" w:eastAsia="宋体" w:cs="Times New Roman"/>
                <w:color w:val="auto"/>
                <w:spacing w:val="0"/>
                <w:w w:val="100"/>
                <w:position w:val="0"/>
                <w:sz w:val="21"/>
                <w:szCs w:val="21"/>
              </w:rPr>
              <w:fldChar w:fldCharType="separate"/>
            </w:r>
            <w:r>
              <w:rPr>
                <w:rFonts w:hint="default" w:ascii="Times New Roman" w:hAnsi="Times New Roman" w:eastAsia="宋体" w:cs="Times New Roman"/>
                <w:color w:val="auto"/>
                <w:spacing w:val="0"/>
                <w:w w:val="100"/>
                <w:position w:val="0"/>
                <w:sz w:val="21"/>
                <w:szCs w:val="21"/>
              </w:rPr>
              <w:t>（含2025年修改单）</w:t>
            </w:r>
            <w:r>
              <w:rPr>
                <w:rFonts w:hint="default" w:ascii="Times New Roman" w:hAnsi="Times New Roman" w:eastAsia="宋体" w:cs="Times New Roman"/>
                <w:color w:val="auto"/>
                <w:spacing w:val="0"/>
                <w:w w:val="100"/>
                <w:position w:val="0"/>
                <w:sz w:val="21"/>
                <w:szCs w:val="21"/>
              </w:rPr>
              <w:fldChar w:fldCharType="end"/>
            </w:r>
          </w:p>
        </w:tc>
      </w:tr>
      <w:tr w14:paraId="1F1C62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1400" w:hRule="atLeast"/>
          <w:jc w:val="center"/>
        </w:trPr>
        <w:tc>
          <w:tcPr>
            <w:tcW w:w="348" w:type="pct"/>
            <w:vMerge w:val="continue"/>
            <w:tcBorders>
              <w:tl2br w:val="nil"/>
              <w:tr2bl w:val="nil"/>
            </w:tcBorders>
            <w:vAlign w:val="center"/>
          </w:tcPr>
          <w:p w14:paraId="2ABA4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48E2E27D">
            <w:pPr>
              <w:pStyle w:val="30"/>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olor w:val="auto"/>
                <w:spacing w:val="0"/>
                <w:w w:val="100"/>
                <w:kern w:val="2"/>
                <w:position w:val="0"/>
                <w:sz w:val="21"/>
                <w:szCs w:val="21"/>
                <w:lang w:val="en-US" w:eastAsia="zh-CN" w:bidi="ar-SA"/>
              </w:rPr>
            </w:pPr>
            <w:r>
              <w:rPr>
                <w:rFonts w:hint="default" w:ascii="Times New Roman" w:hAnsi="Times New Roman" w:eastAsia="宋体" w:cs="Times New Roman"/>
                <w:color w:val="auto"/>
                <w:spacing w:val="0"/>
                <w:w w:val="100"/>
                <w:position w:val="0"/>
                <w:sz w:val="21"/>
                <w:szCs w:val="21"/>
                <w:lang w:val="en-US" w:eastAsia="zh-CN"/>
              </w:rPr>
              <w:t>破碎车间</w:t>
            </w:r>
          </w:p>
        </w:tc>
        <w:tc>
          <w:tcPr>
            <w:tcW w:w="744" w:type="pct"/>
            <w:tcBorders>
              <w:tl2br w:val="nil"/>
              <w:tr2bl w:val="nil"/>
            </w:tcBorders>
            <w:vAlign w:val="center"/>
          </w:tcPr>
          <w:p w14:paraId="6FDE2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420" w:firstLineChars="20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1mg/Nm</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3</w:t>
            </w:r>
          </w:p>
        </w:tc>
        <w:tc>
          <w:tcPr>
            <w:tcW w:w="629" w:type="pct"/>
            <w:tcBorders>
              <w:tl2br w:val="nil"/>
              <w:tr2bl w:val="nil"/>
            </w:tcBorders>
            <w:vAlign w:val="center"/>
          </w:tcPr>
          <w:p w14:paraId="7CD0F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0.59t/a</w:t>
            </w:r>
          </w:p>
        </w:tc>
        <w:tc>
          <w:tcPr>
            <w:tcW w:w="965" w:type="pct"/>
            <w:tcBorders>
              <w:tl2br w:val="nil"/>
              <w:tr2bl w:val="nil"/>
            </w:tcBorders>
            <w:vAlign w:val="center"/>
          </w:tcPr>
          <w:p w14:paraId="3D8FE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洒水抑尘</w:t>
            </w:r>
          </w:p>
        </w:tc>
        <w:tc>
          <w:tcPr>
            <w:tcW w:w="1512" w:type="pct"/>
            <w:tcBorders>
              <w:tl2br w:val="nil"/>
              <w:tr2bl w:val="nil"/>
            </w:tcBorders>
            <w:vAlign w:val="center"/>
          </w:tcPr>
          <w:p w14:paraId="3FF12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《铜、镍、钴工业污染物排放标准》（GB25467-2010）及其修改单</w:t>
            </w:r>
          </w:p>
        </w:tc>
      </w:tr>
      <w:tr w14:paraId="065EED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restart"/>
            <w:tcBorders>
              <w:tl2br w:val="nil"/>
              <w:tr2bl w:val="nil"/>
            </w:tcBorders>
            <w:vAlign w:val="center"/>
          </w:tcPr>
          <w:p w14:paraId="05599A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废水</w:t>
            </w:r>
          </w:p>
        </w:tc>
        <w:tc>
          <w:tcPr>
            <w:tcW w:w="313" w:type="pct"/>
            <w:vMerge w:val="restart"/>
            <w:tcBorders>
              <w:tl2br w:val="nil"/>
              <w:tr2bl w:val="nil"/>
            </w:tcBorders>
            <w:vAlign w:val="center"/>
          </w:tcPr>
          <w:p w14:paraId="6D5FAA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生活污水</w:t>
            </w:r>
          </w:p>
        </w:tc>
        <w:tc>
          <w:tcPr>
            <w:tcW w:w="485" w:type="pct"/>
            <w:tcBorders>
              <w:tl2br w:val="nil"/>
              <w:tr2bl w:val="nil"/>
            </w:tcBorders>
            <w:vAlign w:val="center"/>
          </w:tcPr>
          <w:p w14:paraId="17A59B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SS</w:t>
            </w:r>
          </w:p>
        </w:tc>
        <w:tc>
          <w:tcPr>
            <w:tcW w:w="744" w:type="pct"/>
            <w:tcBorders>
              <w:tl2br w:val="nil"/>
              <w:tr2bl w:val="nil"/>
            </w:tcBorders>
            <w:vAlign w:val="center"/>
          </w:tcPr>
          <w:p w14:paraId="025D2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20mg/L</w:t>
            </w:r>
          </w:p>
        </w:tc>
        <w:tc>
          <w:tcPr>
            <w:tcW w:w="629" w:type="pct"/>
            <w:tcBorders>
              <w:tl2br w:val="nil"/>
              <w:tr2bl w:val="nil"/>
            </w:tcBorders>
            <w:vAlign w:val="center"/>
          </w:tcPr>
          <w:p w14:paraId="67522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0t/a</w:t>
            </w:r>
          </w:p>
        </w:tc>
        <w:tc>
          <w:tcPr>
            <w:tcW w:w="965" w:type="pct"/>
            <w:vMerge w:val="restart"/>
            <w:tcBorders>
              <w:tl2br w:val="nil"/>
              <w:tr2bl w:val="nil"/>
            </w:tcBorders>
            <w:vAlign w:val="center"/>
          </w:tcPr>
          <w:p w14:paraId="21017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A</w:t>
            </w:r>
            <w:r>
              <w:rPr>
                <w:rFonts w:hint="default" w:ascii="Times New Roman" w:hAnsi="Times New Roman" w:eastAsia="宋体" w:cs="Times New Roman"/>
                <w:b w:val="0"/>
                <w:bCs w:val="0"/>
                <w:snapToGrid/>
                <w:color w:val="auto"/>
                <w:spacing w:val="0"/>
                <w:w w:val="100"/>
                <w:kern w:val="2"/>
                <w:position w:val="0"/>
                <w:sz w:val="21"/>
                <w:szCs w:val="21"/>
                <w:highlight w:val="none"/>
                <w:vertAlign w:val="superscript"/>
                <w:lang w:val="en-US" w:eastAsia="zh-CN"/>
              </w:rPr>
              <w:t>2/</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O+MBR一体化生活污水处理设施</w:t>
            </w:r>
          </w:p>
        </w:tc>
        <w:tc>
          <w:tcPr>
            <w:tcW w:w="1512" w:type="pct"/>
            <w:vMerge w:val="restart"/>
            <w:tcBorders>
              <w:tl2br w:val="nil"/>
              <w:tr2bl w:val="nil"/>
            </w:tcBorders>
            <w:vAlign w:val="center"/>
          </w:tcPr>
          <w:p w14:paraId="5CE5B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出水达到《农村生活污水处理排放标准》（DB65 4275-2019）表2规定的A级排放限值以及《城市污水再生利用 城市杂用水水质》（GB/T18920-2020）</w:t>
            </w:r>
          </w:p>
        </w:tc>
      </w:tr>
      <w:tr w14:paraId="6A9C5A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005D8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313" w:type="pct"/>
            <w:vMerge w:val="continue"/>
            <w:tcBorders>
              <w:tl2br w:val="nil"/>
              <w:tr2bl w:val="nil"/>
            </w:tcBorders>
            <w:vAlign w:val="center"/>
          </w:tcPr>
          <w:p w14:paraId="6D360A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485" w:type="pct"/>
            <w:tcBorders>
              <w:tl2br w:val="nil"/>
              <w:tr2bl w:val="nil"/>
            </w:tcBorders>
            <w:vAlign w:val="center"/>
          </w:tcPr>
          <w:p w14:paraId="5B9C9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COD</w:t>
            </w:r>
          </w:p>
        </w:tc>
        <w:tc>
          <w:tcPr>
            <w:tcW w:w="744" w:type="pct"/>
            <w:tcBorders>
              <w:tl2br w:val="nil"/>
              <w:tr2bl w:val="nil"/>
            </w:tcBorders>
            <w:vAlign w:val="center"/>
          </w:tcPr>
          <w:p w14:paraId="29B16B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50mg/L</w:t>
            </w:r>
          </w:p>
        </w:tc>
        <w:tc>
          <w:tcPr>
            <w:tcW w:w="629" w:type="pct"/>
            <w:tcBorders>
              <w:tl2br w:val="nil"/>
              <w:tr2bl w:val="nil"/>
            </w:tcBorders>
            <w:vAlign w:val="center"/>
          </w:tcPr>
          <w:p w14:paraId="53AEF7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0t/a</w:t>
            </w:r>
          </w:p>
        </w:tc>
        <w:tc>
          <w:tcPr>
            <w:tcW w:w="965" w:type="pct"/>
            <w:vMerge w:val="continue"/>
            <w:tcBorders>
              <w:tl2br w:val="nil"/>
              <w:tr2bl w:val="nil"/>
            </w:tcBorders>
            <w:vAlign w:val="center"/>
          </w:tcPr>
          <w:p w14:paraId="68F3E8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512" w:type="pct"/>
            <w:vMerge w:val="continue"/>
            <w:tcBorders>
              <w:tl2br w:val="nil"/>
              <w:tr2bl w:val="nil"/>
            </w:tcBorders>
            <w:vAlign w:val="center"/>
          </w:tcPr>
          <w:p w14:paraId="6F76E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79D7E2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49A5A8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313" w:type="pct"/>
            <w:vMerge w:val="continue"/>
            <w:tcBorders>
              <w:tl2br w:val="nil"/>
              <w:tr2bl w:val="nil"/>
            </w:tcBorders>
            <w:vAlign w:val="center"/>
          </w:tcPr>
          <w:p w14:paraId="21FFE5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485" w:type="pct"/>
            <w:tcBorders>
              <w:tl2br w:val="nil"/>
              <w:tr2bl w:val="nil"/>
            </w:tcBorders>
            <w:vAlign w:val="center"/>
          </w:tcPr>
          <w:p w14:paraId="64C50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BOD</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en-US" w:eastAsia="zh-CN"/>
              </w:rPr>
              <w:t>5</w:t>
            </w:r>
          </w:p>
        </w:tc>
        <w:tc>
          <w:tcPr>
            <w:tcW w:w="744" w:type="pct"/>
            <w:tcBorders>
              <w:tl2br w:val="nil"/>
              <w:tr2bl w:val="nil"/>
            </w:tcBorders>
            <w:vAlign w:val="center"/>
          </w:tcPr>
          <w:p w14:paraId="56781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9mg/L</w:t>
            </w:r>
          </w:p>
        </w:tc>
        <w:tc>
          <w:tcPr>
            <w:tcW w:w="629" w:type="pct"/>
            <w:tcBorders>
              <w:tl2br w:val="nil"/>
              <w:tr2bl w:val="nil"/>
            </w:tcBorders>
            <w:vAlign w:val="center"/>
          </w:tcPr>
          <w:p w14:paraId="69BE77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0t/a</w:t>
            </w:r>
          </w:p>
        </w:tc>
        <w:tc>
          <w:tcPr>
            <w:tcW w:w="965" w:type="pct"/>
            <w:vMerge w:val="continue"/>
            <w:tcBorders>
              <w:tl2br w:val="nil"/>
              <w:tr2bl w:val="nil"/>
            </w:tcBorders>
            <w:vAlign w:val="center"/>
          </w:tcPr>
          <w:p w14:paraId="38D97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512" w:type="pct"/>
            <w:vMerge w:val="continue"/>
            <w:tcBorders>
              <w:tl2br w:val="nil"/>
              <w:tr2bl w:val="nil"/>
            </w:tcBorders>
            <w:vAlign w:val="center"/>
          </w:tcPr>
          <w:p w14:paraId="075C6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26FF70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7BA23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313" w:type="pct"/>
            <w:vMerge w:val="continue"/>
            <w:tcBorders>
              <w:tl2br w:val="nil"/>
              <w:tr2bl w:val="nil"/>
            </w:tcBorders>
            <w:vAlign w:val="center"/>
          </w:tcPr>
          <w:p w14:paraId="3D372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485" w:type="pct"/>
            <w:tcBorders>
              <w:tl2br w:val="nil"/>
              <w:tr2bl w:val="nil"/>
            </w:tcBorders>
            <w:vAlign w:val="center"/>
          </w:tcPr>
          <w:p w14:paraId="48295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NH</w:t>
            </w:r>
            <w:r>
              <w:rPr>
                <w:rFonts w:hint="default" w:ascii="Times New Roman" w:hAnsi="Times New Roman" w:eastAsia="宋体" w:cs="Times New Roman"/>
                <w:b w:val="0"/>
                <w:bCs w:val="0"/>
                <w:snapToGrid/>
                <w:color w:val="auto"/>
                <w:spacing w:val="0"/>
                <w:w w:val="100"/>
                <w:kern w:val="2"/>
                <w:position w:val="0"/>
                <w:sz w:val="21"/>
                <w:szCs w:val="21"/>
                <w:highlight w:val="none"/>
                <w:vertAlign w:val="subscript"/>
                <w:lang w:val="en-US" w:eastAsia="zh-CN"/>
              </w:rPr>
              <w:t>3</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-N</w:t>
            </w:r>
          </w:p>
        </w:tc>
        <w:tc>
          <w:tcPr>
            <w:tcW w:w="744" w:type="pct"/>
            <w:tcBorders>
              <w:tl2br w:val="nil"/>
              <w:tr2bl w:val="nil"/>
            </w:tcBorders>
            <w:vAlign w:val="center"/>
          </w:tcPr>
          <w:p w14:paraId="31F36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8mg/L</w:t>
            </w:r>
          </w:p>
        </w:tc>
        <w:tc>
          <w:tcPr>
            <w:tcW w:w="629" w:type="pct"/>
            <w:tcBorders>
              <w:tl2br w:val="nil"/>
              <w:tr2bl w:val="nil"/>
            </w:tcBorders>
            <w:vAlign w:val="center"/>
          </w:tcPr>
          <w:p w14:paraId="4B8FD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0t/a</w:t>
            </w:r>
          </w:p>
        </w:tc>
        <w:tc>
          <w:tcPr>
            <w:tcW w:w="965" w:type="pct"/>
            <w:vMerge w:val="continue"/>
            <w:tcBorders>
              <w:tl2br w:val="nil"/>
              <w:tr2bl w:val="nil"/>
            </w:tcBorders>
            <w:vAlign w:val="center"/>
          </w:tcPr>
          <w:p w14:paraId="1DA34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512" w:type="pct"/>
            <w:vMerge w:val="continue"/>
            <w:tcBorders>
              <w:tl2br w:val="nil"/>
              <w:tr2bl w:val="nil"/>
            </w:tcBorders>
            <w:vAlign w:val="center"/>
          </w:tcPr>
          <w:p w14:paraId="13635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1244CD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restart"/>
            <w:tcBorders>
              <w:tl2br w:val="nil"/>
              <w:tr2bl w:val="nil"/>
            </w:tcBorders>
            <w:vAlign w:val="center"/>
          </w:tcPr>
          <w:p w14:paraId="3E8B1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固体废物</w:t>
            </w:r>
          </w:p>
        </w:tc>
        <w:tc>
          <w:tcPr>
            <w:tcW w:w="799" w:type="pct"/>
            <w:gridSpan w:val="2"/>
            <w:tcBorders>
              <w:tl2br w:val="nil"/>
              <w:tr2bl w:val="nil"/>
            </w:tcBorders>
            <w:vAlign w:val="center"/>
          </w:tcPr>
          <w:p w14:paraId="5B05BC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废石</w:t>
            </w:r>
          </w:p>
        </w:tc>
        <w:tc>
          <w:tcPr>
            <w:tcW w:w="744" w:type="pct"/>
            <w:tcBorders>
              <w:tl2br w:val="nil"/>
              <w:tr2bl w:val="nil"/>
            </w:tcBorders>
            <w:vAlign w:val="center"/>
          </w:tcPr>
          <w:p w14:paraId="31050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32630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2.37</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万t</w:t>
            </w:r>
          </w:p>
        </w:tc>
        <w:tc>
          <w:tcPr>
            <w:tcW w:w="965" w:type="pct"/>
            <w:tcBorders>
              <w:tl2br w:val="nil"/>
              <w:tr2bl w:val="nil"/>
            </w:tcBorders>
            <w:vAlign w:val="center"/>
          </w:tcPr>
          <w:p w14:paraId="367AD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color w:val="auto"/>
                <w:sz w:val="21"/>
                <w:szCs w:val="21"/>
                <w:lang w:val="en-US" w:eastAsia="zh-CN"/>
              </w:rPr>
              <w:t>废石临时堆放于废石场，作为充填原料用于井下充填</w:t>
            </w:r>
          </w:p>
        </w:tc>
        <w:tc>
          <w:tcPr>
            <w:tcW w:w="1512" w:type="pct"/>
            <w:vMerge w:val="restart"/>
            <w:tcBorders>
              <w:tl2br w:val="nil"/>
              <w:tr2bl w:val="nil"/>
            </w:tcBorders>
            <w:vAlign w:val="center"/>
          </w:tcPr>
          <w:p w14:paraId="23E6D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《一般工业固体废物贮存和填埋污染控制标准》（GB18599-2020）中的有关规定</w:t>
            </w:r>
          </w:p>
        </w:tc>
      </w:tr>
      <w:tr w14:paraId="17E152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5949F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vAlign w:val="center"/>
          </w:tcPr>
          <w:p w14:paraId="36FA8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除尘灰</w:t>
            </w:r>
          </w:p>
        </w:tc>
        <w:tc>
          <w:tcPr>
            <w:tcW w:w="744" w:type="pct"/>
            <w:tcBorders>
              <w:tl2br w:val="nil"/>
              <w:tr2bl w:val="nil"/>
            </w:tcBorders>
            <w:vAlign w:val="center"/>
          </w:tcPr>
          <w:p w14:paraId="4190E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593E7E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5.28t/a</w:t>
            </w:r>
          </w:p>
        </w:tc>
        <w:tc>
          <w:tcPr>
            <w:tcW w:w="965" w:type="pct"/>
            <w:tcBorders>
              <w:tl2br w:val="nil"/>
              <w:tr2bl w:val="nil"/>
            </w:tcBorders>
            <w:vAlign w:val="center"/>
          </w:tcPr>
          <w:p w14:paraId="5E182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color w:val="auto"/>
                <w:sz w:val="21"/>
                <w:szCs w:val="21"/>
                <w:lang w:val="en-US" w:eastAsia="zh-CN"/>
              </w:rPr>
              <w:t>收集后回用于充填工艺</w:t>
            </w:r>
          </w:p>
        </w:tc>
        <w:tc>
          <w:tcPr>
            <w:tcW w:w="1512" w:type="pct"/>
            <w:vMerge w:val="continue"/>
            <w:tcBorders>
              <w:tl2br w:val="nil"/>
              <w:tr2bl w:val="nil"/>
            </w:tcBorders>
            <w:vAlign w:val="center"/>
          </w:tcPr>
          <w:p w14:paraId="37A51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6F7BFF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0B6301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1F9568DA">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沉淀池底泥</w:t>
            </w:r>
          </w:p>
        </w:tc>
        <w:tc>
          <w:tcPr>
            <w:tcW w:w="744" w:type="pct"/>
            <w:tcBorders>
              <w:tl2br w:val="nil"/>
              <w:tr2bl w:val="nil"/>
            </w:tcBorders>
            <w:vAlign w:val="center"/>
          </w:tcPr>
          <w:p w14:paraId="557E22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4ECFD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22.05t/a</w:t>
            </w:r>
          </w:p>
        </w:tc>
        <w:tc>
          <w:tcPr>
            <w:tcW w:w="965" w:type="pct"/>
            <w:tcBorders>
              <w:tl2br w:val="nil"/>
              <w:tr2bl w:val="nil"/>
            </w:tcBorders>
            <w:shd w:val="clear" w:color="auto" w:fill="auto"/>
            <w:vAlign w:val="center"/>
          </w:tcPr>
          <w:p w14:paraId="1BFCBD63">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送至废石堆场堆存，后期用于矿山土地复垦</w:t>
            </w:r>
          </w:p>
        </w:tc>
        <w:tc>
          <w:tcPr>
            <w:tcW w:w="1512" w:type="pct"/>
            <w:vMerge w:val="continue"/>
            <w:tcBorders>
              <w:tl2br w:val="nil"/>
              <w:tr2bl w:val="nil"/>
            </w:tcBorders>
            <w:vAlign w:val="center"/>
          </w:tcPr>
          <w:p w14:paraId="0B88A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28B73B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vAlign w:val="center"/>
          </w:tcPr>
          <w:p w14:paraId="488EC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shd w:val="clear" w:color="auto" w:fill="auto"/>
            <w:vAlign w:val="center"/>
          </w:tcPr>
          <w:p w14:paraId="0687D1D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污水处理站污泥</w:t>
            </w:r>
          </w:p>
        </w:tc>
        <w:tc>
          <w:tcPr>
            <w:tcW w:w="744" w:type="pct"/>
            <w:tcBorders>
              <w:tl2br w:val="nil"/>
              <w:tr2bl w:val="nil"/>
            </w:tcBorders>
            <w:vAlign w:val="center"/>
          </w:tcPr>
          <w:p w14:paraId="5E727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692B6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3.43t/a</w:t>
            </w:r>
          </w:p>
        </w:tc>
        <w:tc>
          <w:tcPr>
            <w:tcW w:w="965" w:type="pct"/>
            <w:tcBorders>
              <w:tl2br w:val="nil"/>
              <w:tr2bl w:val="nil"/>
            </w:tcBorders>
            <w:shd w:val="clear" w:color="auto" w:fill="auto"/>
            <w:vAlign w:val="center"/>
          </w:tcPr>
          <w:p w14:paraId="5CE4791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集中收集定期送运往星星峡镇垃圾填埋场处理</w:t>
            </w:r>
          </w:p>
        </w:tc>
        <w:tc>
          <w:tcPr>
            <w:tcW w:w="1512" w:type="pct"/>
            <w:vMerge w:val="continue"/>
            <w:tcBorders>
              <w:tl2br w:val="nil"/>
              <w:tr2bl w:val="nil"/>
            </w:tcBorders>
            <w:vAlign w:val="center"/>
          </w:tcPr>
          <w:p w14:paraId="29D63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0C3243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2420" w:hRule="atLeast"/>
          <w:jc w:val="center"/>
        </w:trPr>
        <w:tc>
          <w:tcPr>
            <w:tcW w:w="348" w:type="pct"/>
            <w:vMerge w:val="continue"/>
            <w:tcBorders>
              <w:tl2br w:val="nil"/>
              <w:tr2bl w:val="nil"/>
            </w:tcBorders>
            <w:textDirection w:val="tbRlV"/>
            <w:vAlign w:val="center"/>
          </w:tcPr>
          <w:p w14:paraId="06106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vAlign w:val="center"/>
          </w:tcPr>
          <w:p w14:paraId="2F8BED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废机油</w:t>
            </w:r>
          </w:p>
        </w:tc>
        <w:tc>
          <w:tcPr>
            <w:tcW w:w="744" w:type="pct"/>
            <w:tcBorders>
              <w:tl2br w:val="nil"/>
              <w:tr2bl w:val="nil"/>
            </w:tcBorders>
            <w:vAlign w:val="center"/>
          </w:tcPr>
          <w:p w14:paraId="64DDA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6FA50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2.5</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t/a</w:t>
            </w:r>
          </w:p>
        </w:tc>
        <w:tc>
          <w:tcPr>
            <w:tcW w:w="965" w:type="pct"/>
            <w:vMerge w:val="restart"/>
            <w:tcBorders>
              <w:tl2br w:val="nil"/>
              <w:tr2bl w:val="nil"/>
            </w:tcBorders>
            <w:vAlign w:val="center"/>
          </w:tcPr>
          <w:p w14:paraId="230D8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委托有资质单位安全处置</w:t>
            </w:r>
          </w:p>
        </w:tc>
        <w:tc>
          <w:tcPr>
            <w:tcW w:w="1512" w:type="pct"/>
            <w:vMerge w:val="restart"/>
            <w:tcBorders>
              <w:tl2br w:val="nil"/>
              <w:tr2bl w:val="nil"/>
            </w:tcBorders>
            <w:vAlign w:val="center"/>
          </w:tcPr>
          <w:p w14:paraId="5AC33F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危废贮存库符合《危险废物贮存污染控制标准》（GB18597-2023），运输和转移符合《危险废物收集、贮存、运输技术规范》以及《危险废物转移联单管理办法》</w:t>
            </w:r>
          </w:p>
        </w:tc>
      </w:tr>
      <w:tr w14:paraId="1FEEFA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textDirection w:val="tbRlV"/>
            <w:vAlign w:val="center"/>
          </w:tcPr>
          <w:p w14:paraId="582DD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vAlign w:val="center"/>
          </w:tcPr>
          <w:p w14:paraId="38A28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废油桶</w:t>
            </w:r>
          </w:p>
        </w:tc>
        <w:tc>
          <w:tcPr>
            <w:tcW w:w="744" w:type="pct"/>
            <w:tcBorders>
              <w:tl2br w:val="nil"/>
              <w:tr2bl w:val="nil"/>
            </w:tcBorders>
            <w:vAlign w:val="center"/>
          </w:tcPr>
          <w:p w14:paraId="73CFE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vAlign w:val="center"/>
          </w:tcPr>
          <w:p w14:paraId="4FA82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cs="Times New Roman"/>
                <w:b w:val="0"/>
                <w:bCs w:val="0"/>
                <w:snapToGrid/>
                <w:color w:val="auto"/>
                <w:spacing w:val="0"/>
                <w:w w:val="100"/>
                <w:kern w:val="2"/>
                <w:position w:val="0"/>
                <w:sz w:val="21"/>
                <w:szCs w:val="21"/>
                <w:highlight w:val="none"/>
                <w:lang w:val="en-US" w:eastAsia="zh-CN"/>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0.5t/a</w:t>
            </w:r>
          </w:p>
        </w:tc>
        <w:tc>
          <w:tcPr>
            <w:tcW w:w="965" w:type="pct"/>
            <w:vMerge w:val="continue"/>
            <w:tcBorders>
              <w:tl2br w:val="nil"/>
              <w:tr2bl w:val="nil"/>
            </w:tcBorders>
            <w:vAlign w:val="center"/>
          </w:tcPr>
          <w:p w14:paraId="03DA6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1512" w:type="pct"/>
            <w:vMerge w:val="continue"/>
            <w:tcBorders>
              <w:tl2br w:val="nil"/>
              <w:tr2bl w:val="nil"/>
            </w:tcBorders>
            <w:vAlign w:val="center"/>
          </w:tcPr>
          <w:p w14:paraId="04B0D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r>
      <w:tr w14:paraId="6E7A5C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0" w:hRule="atLeast"/>
          <w:jc w:val="center"/>
        </w:trPr>
        <w:tc>
          <w:tcPr>
            <w:tcW w:w="348" w:type="pct"/>
            <w:vMerge w:val="continue"/>
            <w:tcBorders>
              <w:tl2br w:val="nil"/>
              <w:tr2bl w:val="nil"/>
            </w:tcBorders>
            <w:textDirection w:val="tbRlV"/>
            <w:vAlign w:val="center"/>
          </w:tcPr>
          <w:p w14:paraId="6FEC6B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p>
        </w:tc>
        <w:tc>
          <w:tcPr>
            <w:tcW w:w="799" w:type="pct"/>
            <w:gridSpan w:val="2"/>
            <w:tcBorders>
              <w:tl2br w:val="nil"/>
              <w:tr2bl w:val="nil"/>
            </w:tcBorders>
            <w:vAlign w:val="center"/>
          </w:tcPr>
          <w:p w14:paraId="34EBE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生活垃圾</w:t>
            </w:r>
          </w:p>
        </w:tc>
        <w:tc>
          <w:tcPr>
            <w:tcW w:w="744" w:type="pct"/>
            <w:tcBorders>
              <w:tl2br w:val="nil"/>
              <w:tr2bl w:val="nil"/>
            </w:tcBorders>
            <w:vAlign w:val="center"/>
          </w:tcPr>
          <w:p w14:paraId="2E6508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w:t>
            </w:r>
          </w:p>
        </w:tc>
        <w:tc>
          <w:tcPr>
            <w:tcW w:w="629" w:type="pct"/>
            <w:tcBorders>
              <w:tl2br w:val="nil"/>
              <w:tr2bl w:val="nil"/>
            </w:tcBorders>
            <w:shd w:val="clear" w:color="auto" w:fill="auto"/>
            <w:vAlign w:val="center"/>
          </w:tcPr>
          <w:p w14:paraId="31FC0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bidi="ar-SA"/>
              </w:rPr>
            </w:pPr>
            <w:r>
              <w:rPr>
                <w:rFonts w:hint="default" w:ascii="Times New Roman" w:hAnsi="Times New Roman" w:cs="Times New Roman"/>
                <w:b w:val="0"/>
                <w:bCs w:val="0"/>
                <w:snapToGrid/>
                <w:color w:val="auto"/>
                <w:spacing w:val="0"/>
                <w:w w:val="100"/>
                <w:kern w:val="2"/>
                <w:position w:val="0"/>
                <w:sz w:val="21"/>
                <w:szCs w:val="21"/>
                <w:highlight w:val="none"/>
                <w:lang w:val="en-US" w:eastAsia="zh-CN"/>
              </w:rPr>
              <w:t>24.5</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t/a</w:t>
            </w:r>
          </w:p>
        </w:tc>
        <w:tc>
          <w:tcPr>
            <w:tcW w:w="965" w:type="pct"/>
            <w:tcBorders>
              <w:tl2br w:val="nil"/>
              <w:tr2bl w:val="nil"/>
            </w:tcBorders>
            <w:shd w:val="clear" w:color="auto" w:fill="auto"/>
            <w:vAlign w:val="center"/>
          </w:tcPr>
          <w:p w14:paraId="6FD732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厂内设垃圾池，定期清运至哈密市</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星星峡镇</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rPr>
              <w:t>生活垃圾填埋场填埋处理</w:t>
            </w:r>
          </w:p>
        </w:tc>
        <w:tc>
          <w:tcPr>
            <w:tcW w:w="1512" w:type="pct"/>
            <w:tcBorders>
              <w:tl2br w:val="nil"/>
              <w:tr2bl w:val="nil"/>
            </w:tcBorders>
            <w:shd w:val="clear" w:color="auto" w:fill="auto"/>
            <w:vAlign w:val="center"/>
          </w:tcPr>
          <w:p w14:paraId="64BA3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outlineLvl w:val="9"/>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bidi="ar-SA"/>
              </w:rPr>
            </w:pP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bidi="ar-SA"/>
              </w:rPr>
              <w:t>定期清运至哈密市</w:t>
            </w:r>
            <w:r>
              <w:rPr>
                <w:rFonts w:hint="default" w:ascii="Times New Roman" w:hAnsi="Times New Roman" w:cs="Times New Roman"/>
                <w:b w:val="0"/>
                <w:bCs w:val="0"/>
                <w:snapToGrid/>
                <w:color w:val="auto"/>
                <w:spacing w:val="0"/>
                <w:w w:val="100"/>
                <w:kern w:val="2"/>
                <w:position w:val="0"/>
                <w:sz w:val="21"/>
                <w:szCs w:val="21"/>
                <w:highlight w:val="none"/>
                <w:lang w:val="en-US" w:eastAsia="zh-CN"/>
              </w:rPr>
              <w:t>星星峡镇</w:t>
            </w:r>
            <w:r>
              <w:rPr>
                <w:rFonts w:hint="default" w:ascii="Times New Roman" w:hAnsi="Times New Roman" w:eastAsia="宋体" w:cs="Times New Roman"/>
                <w:b w:val="0"/>
                <w:bCs w:val="0"/>
                <w:snapToGrid/>
                <w:color w:val="auto"/>
                <w:spacing w:val="0"/>
                <w:w w:val="100"/>
                <w:kern w:val="2"/>
                <w:position w:val="0"/>
                <w:sz w:val="21"/>
                <w:szCs w:val="21"/>
                <w:highlight w:val="none"/>
                <w:lang w:val="en-US" w:eastAsia="zh-CN" w:bidi="ar-SA"/>
              </w:rPr>
              <w:t>生活垃圾填埋场填埋处理</w:t>
            </w:r>
          </w:p>
        </w:tc>
      </w:tr>
    </w:tbl>
    <w:p w14:paraId="462BBD5C">
      <w:pPr>
        <w:pStyle w:val="3"/>
        <w:numPr>
          <w:ilvl w:val="1"/>
          <w:numId w:val="0"/>
        </w:numPr>
        <w:bidi w:val="0"/>
        <w:ind w:leftChars="0"/>
        <w:rPr>
          <w:rFonts w:hint="default" w:ascii="Times New Roman" w:hAnsi="Times New Roman" w:eastAsia="宋体" w:cs="Times New Roman"/>
          <w:color w:val="auto"/>
          <w:spacing w:val="0"/>
          <w:w w:val="100"/>
          <w:position w:val="0"/>
          <w:lang w:val="en-US" w:eastAsia="zh-CN"/>
        </w:rPr>
      </w:pPr>
      <w:bookmarkStart w:id="969" w:name="_Toc13810"/>
      <w:bookmarkStart w:id="970" w:name="_Toc8227"/>
      <w:r>
        <w:rPr>
          <w:rFonts w:hint="default" w:ascii="Times New Roman" w:hAnsi="Times New Roman" w:eastAsia="宋体" w:cs="Times New Roman"/>
          <w:b/>
          <w:bCs/>
          <w:color w:val="auto"/>
          <w:spacing w:val="0"/>
          <w:w w:val="100"/>
          <w:kern w:val="2"/>
          <w:position w:val="0"/>
          <w:sz w:val="32"/>
          <w:szCs w:val="32"/>
          <w:lang w:val="en-US" w:eastAsia="zh-CN" w:bidi="ar-SA"/>
        </w:rPr>
        <w:t>8.7总量</w:t>
      </w:r>
      <w:r>
        <w:rPr>
          <w:rFonts w:hint="default" w:ascii="Times New Roman" w:hAnsi="Times New Roman" w:cs="Times New Roman"/>
          <w:b/>
          <w:bCs/>
          <w:color w:val="auto"/>
          <w:spacing w:val="0"/>
          <w:w w:val="100"/>
          <w:kern w:val="2"/>
          <w:position w:val="0"/>
          <w:sz w:val="32"/>
          <w:szCs w:val="32"/>
          <w:lang w:val="en-US" w:eastAsia="zh-CN" w:bidi="ar-SA"/>
        </w:rPr>
        <w:t>控制</w:t>
      </w:r>
      <w:bookmarkEnd w:id="969"/>
      <w:bookmarkEnd w:id="970"/>
    </w:p>
    <w:p w14:paraId="37123295">
      <w:pPr>
        <w:keepNext w:val="0"/>
        <w:keepLines w:val="0"/>
        <w:pageBreakBefore w:val="0"/>
        <w:widowControl w:val="0"/>
        <w:kinsoku/>
        <w:wordWrap/>
        <w:overflowPunct/>
        <w:topLinePunct w:val="0"/>
        <w:autoSpaceDE/>
        <w:autoSpaceDN/>
        <w:bidi w:val="0"/>
        <w:adjustRightInd/>
        <w:snapToGrid/>
        <w:spacing w:line="480" w:lineRule="exact"/>
        <w:ind w:left="0" w:right="0" w:firstLine="466"/>
        <w:textAlignment w:val="auto"/>
        <w:rPr>
          <w:rFonts w:hint="default" w:ascii="Times New Roman" w:hAnsi="Times New Roman" w:eastAsia="宋体" w:cs="Times New Roman"/>
          <w:color w:val="auto"/>
          <w:spacing w:val="0"/>
          <w:w w:val="100"/>
          <w:position w:val="0"/>
          <w:sz w:val="24"/>
          <w:szCs w:val="24"/>
        </w:rPr>
      </w:pPr>
      <w:r>
        <w:rPr>
          <w:rFonts w:hint="default" w:ascii="Times New Roman" w:hAnsi="Times New Roman" w:cs="Times New Roman"/>
          <w:color w:val="auto"/>
          <w:spacing w:val="0"/>
          <w:w w:val="100"/>
          <w:position w:val="0"/>
          <w:sz w:val="24"/>
          <w:szCs w:val="24"/>
          <w:lang w:val="en-US" w:eastAsia="zh-CN"/>
        </w:rPr>
        <w:t>根据前文核算，</w:t>
      </w:r>
      <w:r>
        <w:rPr>
          <w:rFonts w:hint="default" w:ascii="Times New Roman" w:hAnsi="Times New Roman" w:eastAsia="宋体" w:cs="Times New Roman"/>
          <w:color w:val="auto"/>
          <w:spacing w:val="0"/>
          <w:w w:val="100"/>
          <w:position w:val="0"/>
          <w:sz w:val="24"/>
          <w:szCs w:val="24"/>
          <w:lang w:val="en-US" w:eastAsia="zh-CN"/>
        </w:rPr>
        <w:t>本项目不涉及总量指标</w:t>
      </w:r>
      <w:r>
        <w:rPr>
          <w:rFonts w:hint="default" w:ascii="Times New Roman" w:hAnsi="Times New Roman" w:eastAsia="宋体" w:cs="Times New Roman"/>
          <w:color w:val="auto"/>
          <w:spacing w:val="0"/>
          <w:w w:val="100"/>
          <w:position w:val="0"/>
          <w:sz w:val="24"/>
          <w:szCs w:val="24"/>
        </w:rPr>
        <w:t>。</w:t>
      </w:r>
    </w:p>
    <w:p w14:paraId="0C6BBA2C">
      <w:pPr>
        <w:pStyle w:val="2"/>
        <w:keepNext w:val="0"/>
        <w:keepLines w:val="0"/>
        <w:numPr>
          <w:ilvl w:val="0"/>
          <w:numId w:val="0"/>
        </w:numPr>
        <w:bidi w:val="0"/>
        <w:spacing w:before="180" w:beforeLines="0" w:beforeAutospacing="0" w:after="180" w:afterLines="0" w:afterAutospacing="0" w:line="720" w:lineRule="exact"/>
        <w:ind w:leftChars="0"/>
        <w:rPr>
          <w:rFonts w:hint="default" w:ascii="Times New Roman" w:hAnsi="Times New Roman" w:eastAsia="宋体" w:cs="Times New Roman"/>
          <w:bCs/>
          <w:color w:val="auto"/>
          <w:spacing w:val="0"/>
          <w:w w:val="100"/>
          <w:kern w:val="0"/>
          <w:position w:val="0"/>
          <w:sz w:val="44"/>
          <w:szCs w:val="44"/>
          <w:highlight w:val="none"/>
          <w:lang w:val="en-US" w:eastAsia="zh-CN"/>
        </w:rPr>
      </w:pPr>
      <w:r>
        <w:rPr>
          <w:rFonts w:hint="default" w:ascii="Times New Roman" w:hAnsi="Times New Roman" w:eastAsia="宋体" w:cs="Times New Roman"/>
          <w:color w:val="auto"/>
          <w:spacing w:val="0"/>
          <w:w w:val="100"/>
          <w:position w:val="0"/>
          <w:lang w:val="en-US" w:eastAsia="zh-CN"/>
        </w:rPr>
        <w:br w:type="page"/>
      </w:r>
      <w:bookmarkStart w:id="971" w:name="_Toc1567852756"/>
      <w:bookmarkStart w:id="972" w:name="_Toc27910"/>
      <w:bookmarkStart w:id="973" w:name="_Toc1449"/>
      <w:bookmarkStart w:id="974" w:name="_Toc10546"/>
      <w:bookmarkStart w:id="975" w:name="_Toc2823"/>
      <w:bookmarkStart w:id="976" w:name="_Toc30794"/>
      <w:r>
        <w:rPr>
          <w:rFonts w:hint="default" w:ascii="Times New Roman" w:hAnsi="Times New Roman" w:eastAsia="宋体" w:cs="Times New Roman"/>
          <w:bCs/>
          <w:color w:val="auto"/>
          <w:spacing w:val="0"/>
          <w:w w:val="100"/>
          <w:kern w:val="0"/>
          <w:position w:val="0"/>
          <w:sz w:val="44"/>
          <w:szCs w:val="44"/>
          <w:highlight w:val="none"/>
          <w:lang w:val="en-US" w:eastAsia="zh-CN"/>
        </w:rPr>
        <w:t>9结论与建议</w:t>
      </w:r>
      <w:bookmarkEnd w:id="971"/>
      <w:bookmarkEnd w:id="972"/>
      <w:bookmarkEnd w:id="973"/>
      <w:bookmarkEnd w:id="974"/>
      <w:bookmarkEnd w:id="975"/>
      <w:bookmarkEnd w:id="976"/>
    </w:p>
    <w:p w14:paraId="4935C56C">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977" w:name="_Toc28748"/>
      <w:bookmarkStart w:id="978" w:name="_Toc21137"/>
      <w:bookmarkStart w:id="979" w:name="_Toc14438"/>
      <w:bookmarkStart w:id="980" w:name="_Toc30191"/>
      <w:bookmarkStart w:id="981" w:name="_Toc7560"/>
      <w:bookmarkStart w:id="982" w:name="_Toc27891"/>
      <w:bookmarkStart w:id="983" w:name="_Toc17300"/>
      <w:bookmarkStart w:id="984" w:name="_Toc1276921402"/>
      <w:bookmarkStart w:id="985" w:name="_Toc9048"/>
      <w:bookmarkStart w:id="986" w:name="_Toc12299"/>
      <w:r>
        <w:rPr>
          <w:rFonts w:hint="default" w:ascii="Times New Roman" w:hAnsi="Times New Roman" w:eastAsia="宋体" w:cs="Times New Roman"/>
          <w:bCs/>
          <w:color w:val="auto"/>
          <w:kern w:val="0"/>
          <w:sz w:val="36"/>
          <w:szCs w:val="32"/>
          <w:highlight w:val="none"/>
          <w:lang w:val="en-US" w:eastAsia="zh-CN"/>
        </w:rPr>
        <w:t>9.1工程概况</w:t>
      </w:r>
      <w:bookmarkEnd w:id="977"/>
      <w:bookmarkEnd w:id="978"/>
      <w:bookmarkEnd w:id="979"/>
      <w:bookmarkEnd w:id="980"/>
      <w:bookmarkEnd w:id="981"/>
      <w:bookmarkEnd w:id="982"/>
      <w:bookmarkEnd w:id="983"/>
      <w:bookmarkEnd w:id="984"/>
      <w:bookmarkEnd w:id="985"/>
      <w:bookmarkEnd w:id="986"/>
    </w:p>
    <w:p w14:paraId="02CF425D">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0"/>
          <w:w w:val="100"/>
          <w:position w:val="0"/>
          <w:sz w:val="24"/>
          <w:szCs w:val="24"/>
        </w:rPr>
        <w:t>矿区位于哈密市东南直距180千米处，行政</w:t>
      </w:r>
      <w:r>
        <w:rPr>
          <w:rFonts w:hint="default" w:ascii="Times New Roman" w:hAnsi="Times New Roman" w:cs="Times New Roman"/>
          <w:color w:val="auto"/>
          <w:spacing w:val="0"/>
          <w:w w:val="100"/>
          <w:position w:val="0"/>
          <w:sz w:val="24"/>
          <w:szCs w:val="24"/>
          <w:lang w:val="en-US" w:eastAsia="zh-CN"/>
        </w:rPr>
        <w:t>区划隶</w:t>
      </w:r>
      <w:r>
        <w:rPr>
          <w:rFonts w:hint="default" w:ascii="Times New Roman" w:hAnsi="Times New Roman" w:eastAsia="宋体" w:cs="Times New Roman"/>
          <w:color w:val="auto"/>
          <w:spacing w:val="0"/>
          <w:w w:val="100"/>
          <w:position w:val="0"/>
          <w:sz w:val="24"/>
          <w:szCs w:val="24"/>
        </w:rPr>
        <w:t>属哈密市伊州区双井子乡</w:t>
      </w:r>
      <w:r>
        <w:rPr>
          <w:rFonts w:hint="default" w:ascii="Times New Roman" w:hAnsi="Times New Roman" w:cs="Times New Roman"/>
          <w:color w:val="auto"/>
          <w:spacing w:val="0"/>
          <w:w w:val="100"/>
          <w:position w:val="0"/>
          <w:sz w:val="24"/>
          <w:szCs w:val="24"/>
          <w:lang w:val="en-US" w:eastAsia="zh-CN"/>
        </w:rPr>
        <w:t>管辖</w:t>
      </w:r>
      <w:r>
        <w:rPr>
          <w:rFonts w:hint="default" w:ascii="Times New Roman" w:hAnsi="Times New Roman" w:eastAsia="宋体" w:cs="Times New Roman"/>
          <w:color w:val="auto"/>
          <w:spacing w:val="0"/>
          <w:w w:val="100"/>
          <w:position w:val="0"/>
          <w:sz w:val="24"/>
          <w:szCs w:val="24"/>
        </w:rPr>
        <w:t>，地理坐标为（CGCS2000坐标系）：东经95°17′34″～95°18′35″、北纬41°52′05″～41°53′20″，中心点坐标：东经95°18′05″、北纬41°52′42″。矿区面积2.7131平方千米</w:t>
      </w:r>
      <w:r>
        <w:rPr>
          <w:rFonts w:hint="default" w:ascii="Times New Roman" w:hAnsi="Times New Roman" w:cs="Times New Roman"/>
          <w:color w:val="auto"/>
          <w:spacing w:val="0"/>
          <w:w w:val="100"/>
          <w:position w:val="0"/>
          <w:sz w:val="24"/>
          <w:szCs w:val="24"/>
          <w:lang w:eastAsia="zh-CN"/>
        </w:rPr>
        <w:t>；</w:t>
      </w:r>
    </w:p>
    <w:p w14:paraId="2E551E47">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lang w:eastAsia="zh-CN"/>
        </w:rPr>
      </w:pPr>
      <w:r>
        <w:rPr>
          <w:rFonts w:hint="default" w:ascii="Times New Roman" w:hAnsi="Times New Roman" w:eastAsia="宋体" w:cs="Times New Roman"/>
          <w:color w:val="auto"/>
          <w:spacing w:val="-2"/>
          <w:sz w:val="24"/>
          <w:szCs w:val="24"/>
        </w:rPr>
        <w:t>建设内容包括采</w:t>
      </w:r>
      <w:r>
        <w:rPr>
          <w:rFonts w:hint="default" w:ascii="Times New Roman" w:hAnsi="Times New Roman" w:eastAsia="宋体" w:cs="Times New Roman"/>
          <w:color w:val="auto"/>
          <w:spacing w:val="-2"/>
          <w:sz w:val="24"/>
          <w:szCs w:val="24"/>
          <w:lang w:val="en-US" w:eastAsia="zh-CN"/>
        </w:rPr>
        <w:t>矿</w:t>
      </w:r>
      <w:r>
        <w:rPr>
          <w:rFonts w:hint="default" w:ascii="Times New Roman" w:hAnsi="Times New Roman" w:eastAsia="宋体" w:cs="Times New Roman"/>
          <w:color w:val="auto"/>
          <w:spacing w:val="-2"/>
          <w:sz w:val="24"/>
          <w:szCs w:val="24"/>
        </w:rPr>
        <w:t>工业场地、废石场、联络道路及生活区等</w:t>
      </w:r>
      <w:r>
        <w:rPr>
          <w:rFonts w:hint="default"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lang w:val="en-US" w:eastAsia="zh-CN"/>
        </w:rPr>
        <w:t>开采规模</w:t>
      </w:r>
      <w:r>
        <w:rPr>
          <w:rFonts w:hint="default" w:ascii="Times New Roman" w:hAnsi="Times New Roman" w:eastAsia="宋体" w:cs="Times New Roman"/>
          <w:color w:val="auto"/>
          <w:spacing w:val="0"/>
          <w:w w:val="100"/>
          <w:position w:val="0"/>
          <w:sz w:val="24"/>
          <w:szCs w:val="24"/>
          <w:lang w:val="en-US" w:eastAsia="zh-CN"/>
        </w:rPr>
        <w:t>3</w:t>
      </w:r>
      <w:r>
        <w:rPr>
          <w:rFonts w:hint="default" w:ascii="Times New Roman" w:hAnsi="Times New Roman" w:eastAsia="宋体" w:cs="Times New Roman"/>
          <w:color w:val="auto"/>
          <w:spacing w:val="0"/>
          <w:w w:val="100"/>
          <w:position w:val="0"/>
          <w:sz w:val="24"/>
          <w:szCs w:val="24"/>
        </w:rPr>
        <w:t>0×10</w:t>
      </w:r>
      <w:r>
        <w:rPr>
          <w:rFonts w:hint="default" w:ascii="Times New Roman" w:hAnsi="Times New Roman" w:eastAsia="宋体" w:cs="Times New Roman"/>
          <w:color w:val="auto"/>
          <w:spacing w:val="0"/>
          <w:w w:val="100"/>
          <w:position w:val="0"/>
          <w:sz w:val="24"/>
          <w:szCs w:val="24"/>
          <w:vertAlign w:val="superscript"/>
        </w:rPr>
        <w:t>4</w:t>
      </w:r>
      <w:r>
        <w:rPr>
          <w:rFonts w:hint="default" w:ascii="Times New Roman" w:hAnsi="Times New Roman" w:eastAsia="宋体" w:cs="Times New Roman"/>
          <w:color w:val="auto"/>
          <w:spacing w:val="0"/>
          <w:w w:val="100"/>
          <w:position w:val="0"/>
          <w:sz w:val="24"/>
          <w:szCs w:val="24"/>
        </w:rPr>
        <w:t>t/a。矿山总服务年限</w:t>
      </w:r>
      <w:r>
        <w:rPr>
          <w:rFonts w:hint="default" w:ascii="Times New Roman" w:hAnsi="Times New Roman" w:eastAsia="宋体" w:cs="Times New Roman"/>
          <w:color w:val="auto"/>
          <w:spacing w:val="0"/>
          <w:w w:val="100"/>
          <w:position w:val="0"/>
          <w:sz w:val="24"/>
          <w:szCs w:val="24"/>
          <w:lang w:val="en-US" w:eastAsia="zh-CN"/>
        </w:rPr>
        <w:t>10.4</w:t>
      </w:r>
      <w:r>
        <w:rPr>
          <w:rFonts w:hint="default" w:ascii="Times New Roman" w:hAnsi="Times New Roman" w:eastAsia="宋体" w:cs="Times New Roman"/>
          <w:color w:val="auto"/>
          <w:spacing w:val="0"/>
          <w:w w:val="100"/>
          <w:position w:val="0"/>
          <w:sz w:val="24"/>
          <w:szCs w:val="24"/>
        </w:rPr>
        <w:t>年。</w:t>
      </w:r>
    </w:p>
    <w:p w14:paraId="6548E299">
      <w:pPr>
        <w:keepNext w:val="0"/>
        <w:keepLines w:val="0"/>
        <w:pageBreakBefore w:val="0"/>
        <w:widowControl w:val="0"/>
        <w:kinsoku/>
        <w:wordWrap/>
        <w:overflowPunct/>
        <w:topLinePunct w:val="0"/>
        <w:autoSpaceDE/>
        <w:autoSpaceDN/>
        <w:bidi w:val="0"/>
        <w:adjustRightInd/>
        <w:snapToGrid/>
        <w:spacing w:line="480" w:lineRule="exact"/>
        <w:ind w:left="0" w:right="0" w:firstLine="499"/>
        <w:jc w:val="both"/>
        <w:textAlignment w:val="auto"/>
        <w:rPr>
          <w:rFonts w:hint="default" w:ascii="Times New Roman" w:hAnsi="Times New Roman" w:eastAsia="宋体" w:cs="Times New Roman"/>
          <w:color w:val="auto"/>
          <w:spacing w:val="0"/>
          <w:w w:val="100"/>
          <w:position w:val="0"/>
          <w:sz w:val="24"/>
          <w:szCs w:val="24"/>
          <w:highlight w:val="yellow"/>
          <w:lang w:eastAsia="zh-CN"/>
        </w:rPr>
      </w:pPr>
      <w:r>
        <w:rPr>
          <w:rFonts w:hint="default" w:ascii="Times New Roman" w:hAnsi="Times New Roman" w:eastAsia="宋体" w:cs="Times New Roman"/>
          <w:color w:val="auto"/>
          <w:spacing w:val="0"/>
          <w:w w:val="100"/>
          <w:position w:val="0"/>
          <w:sz w:val="24"/>
          <w:szCs w:val="24"/>
          <w:lang w:val="en-US" w:eastAsia="zh-CN"/>
        </w:rPr>
        <w:t>工程总</w:t>
      </w:r>
      <w:r>
        <w:rPr>
          <w:rFonts w:hint="default" w:ascii="Times New Roman" w:hAnsi="Times New Roman" w:eastAsia="宋体" w:cs="Times New Roman"/>
          <w:color w:val="auto"/>
          <w:spacing w:val="0"/>
          <w:w w:val="100"/>
          <w:position w:val="0"/>
          <w:sz w:val="24"/>
          <w:szCs w:val="24"/>
        </w:rPr>
        <w:t>投资为</w:t>
      </w:r>
      <w:r>
        <w:rPr>
          <w:rFonts w:hint="eastAsia" w:ascii="Times New Roman" w:hAnsi="Times New Roman" w:cs="Times New Roman"/>
          <w:color w:val="auto"/>
          <w:spacing w:val="0"/>
          <w:w w:val="100"/>
          <w:position w:val="0"/>
          <w:sz w:val="24"/>
          <w:szCs w:val="24"/>
          <w:lang w:val="en-US" w:eastAsia="zh-CN"/>
        </w:rPr>
        <w:t>9186.04</w:t>
      </w:r>
      <w:r>
        <w:rPr>
          <w:rFonts w:hint="default" w:ascii="Times New Roman" w:hAnsi="Times New Roman" w:eastAsia="宋体" w:cs="Times New Roman"/>
          <w:color w:val="auto"/>
          <w:spacing w:val="0"/>
          <w:w w:val="100"/>
          <w:position w:val="0"/>
          <w:sz w:val="24"/>
          <w:szCs w:val="24"/>
          <w:highlight w:val="none"/>
        </w:rPr>
        <w:t>万元，环保投资</w:t>
      </w:r>
      <w:r>
        <w:rPr>
          <w:rFonts w:hint="eastAsia" w:ascii="Times New Roman" w:hAnsi="Times New Roman" w:cs="Times New Roman"/>
          <w:color w:val="auto"/>
          <w:spacing w:val="0"/>
          <w:w w:val="100"/>
          <w:position w:val="0"/>
          <w:sz w:val="24"/>
          <w:szCs w:val="24"/>
          <w:highlight w:val="none"/>
          <w:lang w:val="en-US" w:eastAsia="zh-CN"/>
        </w:rPr>
        <w:t>471</w:t>
      </w:r>
      <w:r>
        <w:rPr>
          <w:rFonts w:hint="default" w:ascii="Times New Roman" w:hAnsi="Times New Roman" w:eastAsia="宋体" w:cs="Times New Roman"/>
          <w:color w:val="auto"/>
          <w:spacing w:val="0"/>
          <w:w w:val="100"/>
          <w:position w:val="0"/>
          <w:sz w:val="24"/>
          <w:szCs w:val="24"/>
          <w:highlight w:val="none"/>
        </w:rPr>
        <w:t>万元，占比</w:t>
      </w:r>
      <w:r>
        <w:rPr>
          <w:rFonts w:hint="eastAsia" w:ascii="Times New Roman" w:hAnsi="Times New Roman" w:cs="Times New Roman"/>
          <w:color w:val="auto"/>
          <w:spacing w:val="0"/>
          <w:w w:val="100"/>
          <w:position w:val="0"/>
          <w:sz w:val="24"/>
          <w:szCs w:val="24"/>
          <w:highlight w:val="none"/>
          <w:lang w:val="en-US" w:eastAsia="zh-CN"/>
        </w:rPr>
        <w:t>5.12</w:t>
      </w:r>
      <w:r>
        <w:rPr>
          <w:rFonts w:hint="default" w:ascii="Times New Roman" w:hAnsi="Times New Roman" w:eastAsia="宋体" w:cs="Times New Roman"/>
          <w:color w:val="auto"/>
          <w:spacing w:val="0"/>
          <w:w w:val="100"/>
          <w:position w:val="0"/>
          <w:sz w:val="24"/>
          <w:szCs w:val="24"/>
          <w:highlight w:val="none"/>
        </w:rPr>
        <w:t>%</w:t>
      </w:r>
      <w:r>
        <w:rPr>
          <w:rFonts w:hint="default" w:ascii="Times New Roman" w:hAnsi="Times New Roman" w:cs="Times New Roman"/>
          <w:color w:val="auto"/>
          <w:spacing w:val="0"/>
          <w:w w:val="100"/>
          <w:position w:val="0"/>
          <w:sz w:val="24"/>
          <w:szCs w:val="24"/>
          <w:highlight w:val="none"/>
          <w:lang w:eastAsia="zh-CN"/>
        </w:rPr>
        <w:t>。</w:t>
      </w:r>
    </w:p>
    <w:p w14:paraId="155473D7">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987" w:name="_Toc8042"/>
      <w:bookmarkStart w:id="988" w:name="_Toc31221"/>
      <w:bookmarkStart w:id="989" w:name="_Toc13836"/>
      <w:bookmarkStart w:id="990" w:name="_Toc3512"/>
      <w:bookmarkStart w:id="991" w:name="_Toc26654"/>
      <w:bookmarkStart w:id="992" w:name="_Toc13905"/>
      <w:bookmarkStart w:id="993" w:name="_Toc11543"/>
      <w:bookmarkStart w:id="994" w:name="_Toc482784728"/>
      <w:bookmarkStart w:id="995" w:name="_Toc1618"/>
      <w:bookmarkStart w:id="996" w:name="_Toc492457108"/>
      <w:bookmarkStart w:id="997" w:name="_Toc5630"/>
      <w:bookmarkStart w:id="998" w:name="_Toc668"/>
      <w:bookmarkStart w:id="999" w:name="_Toc7960"/>
      <w:bookmarkStart w:id="1000" w:name="_Toc11757"/>
      <w:bookmarkStart w:id="1001" w:name="_Toc16927"/>
      <w:bookmarkStart w:id="1002" w:name="_Toc23670"/>
      <w:bookmarkStart w:id="1003" w:name="_Toc31598"/>
      <w:bookmarkStart w:id="1004" w:name="_Toc1413918943"/>
      <w:r>
        <w:rPr>
          <w:rFonts w:hint="default" w:ascii="Times New Roman" w:hAnsi="Times New Roman" w:eastAsia="宋体" w:cs="Times New Roman"/>
          <w:bCs/>
          <w:color w:val="auto"/>
          <w:kern w:val="0"/>
          <w:sz w:val="36"/>
          <w:szCs w:val="32"/>
          <w:highlight w:val="none"/>
          <w:lang w:val="en-US" w:eastAsia="zh-CN"/>
        </w:rPr>
        <w:t>9.2符合性分析</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14:paraId="65CA325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shd w:val="clear" w:color="auto" w:fill="auto"/>
          <w:lang w:val="en-US" w:eastAsia="zh-CN"/>
        </w:rPr>
      </w:pPr>
      <w:r>
        <w:rPr>
          <w:rFonts w:hint="default" w:ascii="Times New Roman" w:hAnsi="Times New Roman" w:eastAsia="宋体" w:cs="Times New Roman"/>
          <w:color w:val="auto"/>
          <w:spacing w:val="0"/>
          <w:w w:val="100"/>
          <w:position w:val="0"/>
          <w:sz w:val="24"/>
          <w:lang w:val="en-US" w:eastAsia="zh-CN"/>
        </w:rPr>
        <w:t>本项目为铜矿采矿项目，根据《产业结构调整指导目录（2024年本）》，不属于产业政策鼓</w:t>
      </w:r>
      <w:r>
        <w:rPr>
          <w:rFonts w:hint="default" w:ascii="Times New Roman" w:hAnsi="Times New Roman" w:eastAsia="宋体" w:cs="Times New Roman"/>
          <w:color w:val="auto"/>
          <w:spacing w:val="0"/>
          <w:w w:val="100"/>
          <w:position w:val="0"/>
          <w:sz w:val="24"/>
          <w:shd w:val="clear" w:color="auto" w:fill="auto"/>
          <w:lang w:val="en-US" w:eastAsia="zh-CN"/>
        </w:rPr>
        <w:t>励类、限制类、淘汰类项目，视为允许类，本项目的建设符合国家产业政策。</w:t>
      </w:r>
    </w:p>
    <w:p w14:paraId="0A98A88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lang w:val="en-US" w:eastAsia="zh-CN"/>
        </w:rPr>
        <w:t>对照《西部地区鼓励类产业目录（202</w:t>
      </w:r>
      <w:r>
        <w:rPr>
          <w:rFonts w:hint="default" w:ascii="Times New Roman" w:hAnsi="Times New Roman" w:cs="Times New Roman"/>
          <w:color w:val="auto"/>
          <w:spacing w:val="0"/>
          <w:w w:val="100"/>
          <w:position w:val="0"/>
          <w:sz w:val="24"/>
          <w:lang w:val="en-US" w:eastAsia="zh-CN"/>
        </w:rPr>
        <w:t>5</w:t>
      </w:r>
      <w:r>
        <w:rPr>
          <w:rFonts w:hint="default" w:ascii="Times New Roman" w:hAnsi="Times New Roman" w:eastAsia="宋体" w:cs="Times New Roman"/>
          <w:color w:val="auto"/>
          <w:spacing w:val="0"/>
          <w:w w:val="100"/>
          <w:position w:val="0"/>
          <w:sz w:val="24"/>
          <w:lang w:val="en-US" w:eastAsia="zh-CN"/>
        </w:rPr>
        <w:t>年本）》，本项目属于新疆维吾尔自治</w:t>
      </w:r>
      <w:r>
        <w:rPr>
          <w:rFonts w:hint="default" w:ascii="Times New Roman" w:hAnsi="Times New Roman" w:cs="Times New Roman"/>
          <w:color w:val="auto"/>
          <w:spacing w:val="0"/>
          <w:w w:val="100"/>
          <w:position w:val="0"/>
          <w:sz w:val="24"/>
          <w:lang w:val="en-US" w:eastAsia="zh-CN"/>
        </w:rPr>
        <w:t>区</w:t>
      </w:r>
      <w:r>
        <w:rPr>
          <w:rFonts w:hint="default" w:ascii="Times New Roman" w:hAnsi="Times New Roman" w:eastAsia="宋体" w:cs="Times New Roman"/>
          <w:color w:val="auto"/>
          <w:spacing w:val="0"/>
          <w:w w:val="100"/>
          <w:position w:val="0"/>
          <w:sz w:val="24"/>
          <w:lang w:val="en-US" w:eastAsia="zh-CN"/>
        </w:rPr>
        <w:t>（含新疆生产建设兵团）中19.铁、锰、铜、镍、铅、锌、钨、锡、钛、锑、镁、稀有金属和稀散金属勘探、有序开采、精深加工、加工新技术开发及应用，符合《西部地区鼓励类产业目录（202</w:t>
      </w:r>
      <w:r>
        <w:rPr>
          <w:rFonts w:hint="default" w:ascii="Times New Roman" w:hAnsi="Times New Roman" w:cs="Times New Roman"/>
          <w:color w:val="auto"/>
          <w:spacing w:val="0"/>
          <w:w w:val="100"/>
          <w:position w:val="0"/>
          <w:sz w:val="24"/>
          <w:lang w:val="en-US" w:eastAsia="zh-CN"/>
        </w:rPr>
        <w:t>5</w:t>
      </w:r>
      <w:r>
        <w:rPr>
          <w:rFonts w:hint="default" w:ascii="Times New Roman" w:hAnsi="Times New Roman" w:eastAsia="宋体" w:cs="Times New Roman"/>
          <w:color w:val="auto"/>
          <w:spacing w:val="0"/>
          <w:w w:val="100"/>
          <w:position w:val="0"/>
          <w:sz w:val="24"/>
          <w:lang w:val="en-US" w:eastAsia="zh-CN"/>
        </w:rPr>
        <w:t>年本）》鼓励类产业要求。</w:t>
      </w:r>
    </w:p>
    <w:p w14:paraId="72E2EFF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本项目的建设符合</w:t>
      </w:r>
      <w:r>
        <w:rPr>
          <w:rFonts w:hint="default" w:ascii="Times New Roman" w:hAnsi="Times New Roman" w:eastAsia="宋体" w:cs="Times New Roman"/>
          <w:color w:val="auto"/>
          <w:spacing w:val="0"/>
          <w:w w:val="100"/>
          <w:position w:val="0"/>
          <w:sz w:val="24"/>
          <w:highlight w:val="none"/>
          <w:shd w:val="clear" w:color="auto" w:fill="auto"/>
          <w:lang w:val="en-US" w:eastAsia="zh-CN"/>
        </w:rPr>
        <w:t>《新疆维吾尔自治区重点行业生态环境准入条件（2024年）》</w:t>
      </w:r>
      <w:r>
        <w:rPr>
          <w:rFonts w:hint="default" w:ascii="Times New Roman" w:hAnsi="Times New Roman" w:cs="Times New Roman"/>
          <w:color w:val="auto"/>
          <w:spacing w:val="0"/>
          <w:w w:val="100"/>
          <w:position w:val="0"/>
          <w:sz w:val="24"/>
          <w:szCs w:val="24"/>
          <w:highlight w:val="none"/>
          <w:lang w:val="en-US" w:eastAsia="zh-CN"/>
        </w:rPr>
        <w:t>《新疆维吾尔自治区生态环境分区管控动态更新成果》《哈密市生态环境准入清单（2024 版）》</w:t>
      </w:r>
      <w:r>
        <w:rPr>
          <w:rFonts w:hint="default" w:ascii="Times New Roman" w:hAnsi="Times New Roman" w:eastAsia="宋体" w:cs="Times New Roman"/>
          <w:color w:val="auto"/>
          <w:spacing w:val="0"/>
          <w:w w:val="100"/>
          <w:kern w:val="10"/>
          <w:position w:val="0"/>
          <w:sz w:val="24"/>
          <w:szCs w:val="24"/>
          <w:highlight w:val="none"/>
          <w:lang w:val="en-US" w:eastAsia="zh-CN"/>
        </w:rPr>
        <w:t>中的相关要求。</w:t>
      </w:r>
    </w:p>
    <w:p w14:paraId="240B2F3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lang w:val="en-US" w:eastAsia="zh-CN"/>
        </w:rPr>
      </w:pPr>
      <w:r>
        <w:rPr>
          <w:rFonts w:hint="default" w:ascii="Times New Roman" w:hAnsi="Times New Roman" w:eastAsia="宋体" w:cs="Times New Roman"/>
          <w:color w:val="auto"/>
          <w:spacing w:val="0"/>
          <w:w w:val="100"/>
          <w:position w:val="0"/>
          <w:sz w:val="24"/>
          <w:highlight w:val="none"/>
          <w:lang w:val="en-US" w:eastAsia="zh-CN"/>
        </w:rPr>
        <w:t>本项目所在地不属于依法划定的自然保护区、风景名胜区和饮用水水源保护区，也不属于地质灾害危险区等生态脆弱区；矿区所采用方法均为国内普遍运用的采矿方法，矿井涌水经沉淀后循环使用不外排，地下开采期废石暂存于临时废石场内，定期用于采空区回填，综合利用。因此，本项目建设符合《矿山生</w:t>
      </w:r>
      <w:r>
        <w:rPr>
          <w:rFonts w:hint="default" w:ascii="Times New Roman" w:hAnsi="Times New Roman" w:eastAsia="宋体" w:cs="Times New Roman"/>
          <w:color w:val="auto"/>
          <w:spacing w:val="0"/>
          <w:w w:val="100"/>
          <w:position w:val="0"/>
          <w:sz w:val="24"/>
          <w:lang w:val="en-US" w:eastAsia="zh-CN"/>
        </w:rPr>
        <w:t>态环境保护与污染防治技术政策》。</w:t>
      </w:r>
    </w:p>
    <w:p w14:paraId="5188B22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r>
        <w:rPr>
          <w:rFonts w:hint="default" w:ascii="Times New Roman" w:hAnsi="Times New Roman" w:eastAsia="宋体" w:cs="Times New Roman"/>
          <w:color w:val="auto"/>
          <w:spacing w:val="0"/>
          <w:w w:val="100"/>
          <w:position w:val="0"/>
          <w:sz w:val="24"/>
          <w:szCs w:val="24"/>
          <w:highlight w:val="none"/>
          <w:lang w:val="en-US" w:eastAsia="zh-CN" w:bidi="ar"/>
        </w:rPr>
        <w:t>本项目为</w:t>
      </w:r>
      <w:r>
        <w:rPr>
          <w:rFonts w:hint="default" w:ascii="Times New Roman" w:hAnsi="Times New Roman" w:eastAsia="宋体" w:cs="Times New Roman"/>
          <w:color w:val="auto"/>
          <w:spacing w:val="0"/>
          <w:w w:val="100"/>
          <w:position w:val="0"/>
          <w:sz w:val="24"/>
          <w:highlight w:val="none"/>
          <w:lang w:val="en-US" w:eastAsia="zh-CN"/>
        </w:rPr>
        <w:t>铜矿采矿项目</w:t>
      </w:r>
      <w:r>
        <w:rPr>
          <w:rFonts w:hint="default" w:ascii="Times New Roman" w:hAnsi="Times New Roman" w:eastAsia="宋体" w:cs="Times New Roman"/>
          <w:color w:val="auto"/>
          <w:spacing w:val="0"/>
          <w:w w:val="100"/>
          <w:position w:val="0"/>
          <w:sz w:val="24"/>
          <w:szCs w:val="24"/>
          <w:highlight w:val="none"/>
          <w:lang w:val="en-US" w:eastAsia="zh-CN" w:bidi="ar"/>
        </w:rPr>
        <w:t>，符合《新疆维吾尔自治区矿产资源总体规划》（2021</w:t>
      </w:r>
      <w:r>
        <w:rPr>
          <w:rFonts w:hint="default" w:ascii="Times New Roman" w:hAnsi="Times New Roman" w:cs="Times New Roman"/>
          <w:color w:val="auto"/>
          <w:spacing w:val="0"/>
          <w:w w:val="100"/>
          <w:position w:val="0"/>
          <w:sz w:val="24"/>
          <w:szCs w:val="24"/>
          <w:highlight w:val="none"/>
          <w:lang w:val="en-US" w:eastAsia="zh-CN" w:bidi="ar"/>
        </w:rPr>
        <w:t>—</w:t>
      </w:r>
      <w:r>
        <w:rPr>
          <w:rFonts w:hint="default" w:ascii="Times New Roman" w:hAnsi="Times New Roman" w:eastAsia="宋体" w:cs="Times New Roman"/>
          <w:color w:val="auto"/>
          <w:spacing w:val="0"/>
          <w:w w:val="100"/>
          <w:position w:val="0"/>
          <w:sz w:val="24"/>
          <w:szCs w:val="24"/>
          <w:highlight w:val="none"/>
          <w:lang w:val="en-US" w:eastAsia="zh-CN" w:bidi="ar"/>
        </w:rPr>
        <w:t>2025</w:t>
      </w:r>
      <w:r>
        <w:rPr>
          <w:rFonts w:hint="default" w:ascii="Times New Roman" w:hAnsi="Times New Roman" w:eastAsia="宋体" w:cs="Times New Roman"/>
          <w:color w:val="auto"/>
          <w:spacing w:val="0"/>
          <w:w w:val="100"/>
          <w:position w:val="0"/>
          <w:sz w:val="24"/>
          <w:szCs w:val="24"/>
          <w:highlight w:val="none"/>
        </w:rPr>
        <w:t>年）</w:t>
      </w:r>
      <w:r>
        <w:rPr>
          <w:rFonts w:hint="default" w:ascii="Times New Roman" w:hAnsi="Times New Roman" w:eastAsia="宋体" w:cs="Times New Roman"/>
          <w:color w:val="auto"/>
          <w:spacing w:val="0"/>
          <w:w w:val="100"/>
          <w:position w:val="0"/>
          <w:sz w:val="24"/>
          <w:szCs w:val="24"/>
          <w:highlight w:val="none"/>
          <w:lang w:val="en-US" w:eastAsia="zh-CN"/>
        </w:rPr>
        <w:t>中的“加大吐鲁番、哈密市铁、锰、</w:t>
      </w:r>
      <w:r>
        <w:rPr>
          <w:rFonts w:hint="default" w:ascii="Times New Roman" w:hAnsi="Times New Roman" w:eastAsia="宋体" w:cs="Times New Roman"/>
          <w:b/>
          <w:bCs/>
          <w:color w:val="auto"/>
          <w:spacing w:val="0"/>
          <w:w w:val="100"/>
          <w:position w:val="0"/>
          <w:sz w:val="24"/>
          <w:szCs w:val="24"/>
          <w:highlight w:val="none"/>
          <w:lang w:val="en-US" w:eastAsia="zh-CN"/>
        </w:rPr>
        <w:t>铜</w:t>
      </w:r>
      <w:r>
        <w:rPr>
          <w:rFonts w:hint="default" w:ascii="Times New Roman" w:hAnsi="Times New Roman" w:eastAsia="宋体" w:cs="Times New Roman"/>
          <w:color w:val="auto"/>
          <w:spacing w:val="0"/>
          <w:w w:val="100"/>
          <w:position w:val="0"/>
          <w:sz w:val="24"/>
          <w:szCs w:val="24"/>
          <w:highlight w:val="none"/>
          <w:lang w:val="en-US" w:eastAsia="zh-CN"/>
        </w:rPr>
        <w:t>、镍、金、银、钒、钛、镁、硅质原料等矿产资源的勘查与开发”相关规定</w:t>
      </w:r>
      <w:r>
        <w:rPr>
          <w:rFonts w:hint="default" w:ascii="Times New Roman" w:hAnsi="Times New Roman" w:eastAsia="宋体" w:cs="Times New Roman"/>
          <w:color w:val="auto"/>
          <w:spacing w:val="0"/>
          <w:w w:val="100"/>
          <w:position w:val="0"/>
          <w:sz w:val="24"/>
          <w:szCs w:val="24"/>
          <w:highlight w:val="none"/>
          <w:lang w:val="en-US" w:eastAsia="zh-CN" w:bidi="ar"/>
        </w:rPr>
        <w:t>，且矿区不在禁止开发区域和限制开发区域。同时本项目也</w:t>
      </w:r>
      <w:r>
        <w:rPr>
          <w:rFonts w:hint="default" w:ascii="Times New Roman" w:hAnsi="Times New Roman" w:eastAsia="宋体" w:cs="Times New Roman"/>
          <w:color w:val="auto"/>
          <w:spacing w:val="0"/>
          <w:w w:val="100"/>
          <w:position w:val="0"/>
          <w:sz w:val="24"/>
          <w:szCs w:val="24"/>
          <w:highlight w:val="none"/>
          <w:lang w:val="en-US" w:eastAsia="zh-CN"/>
        </w:rPr>
        <w:t>符合《</w:t>
      </w:r>
      <w:r>
        <w:rPr>
          <w:rFonts w:hint="default" w:ascii="Times New Roman" w:hAnsi="Times New Roman" w:eastAsia="宋体" w:cs="Times New Roman"/>
          <w:color w:val="auto"/>
          <w:spacing w:val="0"/>
          <w:w w:val="100"/>
          <w:position w:val="0"/>
          <w:sz w:val="24"/>
          <w:szCs w:val="24"/>
          <w:highlight w:val="none"/>
          <w:lang w:val="en-US" w:eastAsia="zh-CN" w:bidi="ar"/>
        </w:rPr>
        <w:t>新疆维吾尔自治区</w:t>
      </w:r>
      <w:r>
        <w:rPr>
          <w:rFonts w:hint="default" w:ascii="Times New Roman" w:hAnsi="Times New Roman" w:eastAsia="宋体" w:cs="Times New Roman"/>
          <w:color w:val="auto"/>
          <w:spacing w:val="0"/>
          <w:w w:val="100"/>
          <w:position w:val="0"/>
          <w:sz w:val="24"/>
          <w:szCs w:val="24"/>
          <w:highlight w:val="none"/>
          <w:lang w:val="en-US" w:eastAsia="zh-CN"/>
        </w:rPr>
        <w:t>哈密市</w:t>
      </w:r>
      <w:r>
        <w:rPr>
          <w:rFonts w:hint="eastAsia" w:ascii="Times New Roman" w:hAnsi="Times New Roman" w:cs="Times New Roman"/>
          <w:color w:val="auto"/>
          <w:spacing w:val="0"/>
          <w:w w:val="100"/>
          <w:position w:val="0"/>
          <w:sz w:val="24"/>
          <w:szCs w:val="24"/>
          <w:highlight w:val="none"/>
          <w:lang w:val="en-US" w:eastAsia="zh-CN"/>
        </w:rPr>
        <w:t>伊州区</w:t>
      </w:r>
      <w:r>
        <w:rPr>
          <w:rFonts w:hint="default" w:ascii="Times New Roman" w:hAnsi="Times New Roman" w:eastAsia="宋体" w:cs="Times New Roman"/>
          <w:color w:val="auto"/>
          <w:spacing w:val="0"/>
          <w:w w:val="100"/>
          <w:position w:val="0"/>
          <w:sz w:val="24"/>
          <w:szCs w:val="24"/>
          <w:highlight w:val="none"/>
          <w:lang w:val="en-US" w:eastAsia="zh-CN"/>
        </w:rPr>
        <w:t>矿产资源总体规划（2021~2025）》。</w:t>
      </w:r>
    </w:p>
    <w:p w14:paraId="1A6933ED">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005" w:name="_Toc24740"/>
      <w:bookmarkStart w:id="1006" w:name="_Toc23439"/>
      <w:bookmarkStart w:id="1007" w:name="_Toc19577"/>
      <w:bookmarkStart w:id="1008" w:name="_Toc1072"/>
      <w:bookmarkStart w:id="1009" w:name="_Toc14584"/>
      <w:bookmarkStart w:id="1010" w:name="_Toc482784729"/>
      <w:bookmarkStart w:id="1011" w:name="_Toc492457109"/>
      <w:bookmarkStart w:id="1012" w:name="_Toc13084"/>
      <w:bookmarkStart w:id="1013" w:name="_Toc13968"/>
      <w:bookmarkStart w:id="1014" w:name="_Toc30278"/>
      <w:bookmarkStart w:id="1015" w:name="_Toc16233"/>
      <w:bookmarkStart w:id="1016" w:name="_Toc2509"/>
      <w:bookmarkStart w:id="1017" w:name="_Toc2869"/>
      <w:bookmarkStart w:id="1018" w:name="_Toc26156"/>
      <w:bookmarkStart w:id="1019" w:name="_Toc16550"/>
      <w:bookmarkStart w:id="1020" w:name="_Toc21253"/>
      <w:bookmarkStart w:id="1021" w:name="_Toc1829120946"/>
      <w:bookmarkStart w:id="1022" w:name="_Toc30998"/>
      <w:r>
        <w:rPr>
          <w:rFonts w:hint="default" w:ascii="Times New Roman" w:hAnsi="Times New Roman" w:eastAsia="宋体" w:cs="Times New Roman"/>
          <w:bCs/>
          <w:color w:val="auto"/>
          <w:kern w:val="0"/>
          <w:sz w:val="36"/>
          <w:szCs w:val="32"/>
          <w:highlight w:val="none"/>
          <w:lang w:val="en-US" w:eastAsia="zh-CN"/>
        </w:rPr>
        <w:t>9.3环境质量现状</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14:paraId="37030CA6">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023" w:name="_Toc22691"/>
      <w:bookmarkStart w:id="1024" w:name="_Toc13654"/>
      <w:bookmarkStart w:id="1025" w:name="_Toc807332617"/>
      <w:bookmarkStart w:id="1026" w:name="_Toc16219"/>
      <w:bookmarkStart w:id="1027" w:name="_Toc16053"/>
      <w:bookmarkStart w:id="1028" w:name="_Toc30636"/>
      <w:bookmarkStart w:id="1029" w:name="_Toc3353"/>
      <w:bookmarkStart w:id="1030" w:name="_Toc31950"/>
      <w:bookmarkStart w:id="1031" w:name="_Toc3807"/>
      <w:bookmarkStart w:id="1032" w:name="_Toc7582"/>
      <w:r>
        <w:rPr>
          <w:rFonts w:hint="default" w:ascii="Times New Roman" w:hAnsi="Times New Roman" w:eastAsia="宋体" w:cs="Times New Roman"/>
          <w:color w:val="auto"/>
        </w:rPr>
        <w:t>9.3.1环境空气质量现状</w:t>
      </w:r>
      <w:bookmarkEnd w:id="1023"/>
      <w:bookmarkEnd w:id="1024"/>
      <w:bookmarkEnd w:id="1025"/>
      <w:bookmarkEnd w:id="1026"/>
      <w:bookmarkEnd w:id="1027"/>
      <w:bookmarkEnd w:id="1028"/>
      <w:bookmarkEnd w:id="1029"/>
      <w:bookmarkEnd w:id="1030"/>
      <w:bookmarkEnd w:id="1031"/>
      <w:bookmarkEnd w:id="1032"/>
    </w:p>
    <w:p w14:paraId="2705337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pacing w:val="0"/>
          <w:w w:val="100"/>
          <w:position w:val="0"/>
          <w:sz w:val="24"/>
          <w:szCs w:val="24"/>
          <w:highlight w:val="none"/>
          <w:lang w:val="en-US" w:eastAsia="zh-CN"/>
        </w:rPr>
      </w:pPr>
      <w:bookmarkStart w:id="1033" w:name="_Toc15121"/>
      <w:bookmarkStart w:id="1034" w:name="_Toc2266"/>
      <w:r>
        <w:rPr>
          <w:rFonts w:hint="default" w:ascii="Times New Roman" w:hAnsi="Times New Roman" w:eastAsia="宋体" w:cs="Times New Roman"/>
          <w:color w:val="auto"/>
          <w:sz w:val="24"/>
          <w:szCs w:val="24"/>
          <w:highlight w:val="none"/>
        </w:rPr>
        <w:t>本项目所在区域</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CO、O</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浓度均满足《环境空气质量标准》（GB</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3095-20</w:t>
      </w:r>
      <w:r>
        <w:rPr>
          <w:rFonts w:hint="default" w:ascii="Times New Roman" w:hAnsi="Times New Roman" w:cs="Times New Roman"/>
          <w:color w:val="auto"/>
          <w:sz w:val="24"/>
          <w:szCs w:val="24"/>
          <w:lang w:val="en-US" w:eastAsia="zh-CN"/>
        </w:rPr>
        <w:t>26</w:t>
      </w:r>
      <w:r>
        <w:rPr>
          <w:rFonts w:hint="default" w:ascii="Times New Roman" w:hAnsi="Times New Roman" w:eastAsia="宋体" w:cs="Times New Roman"/>
          <w:color w:val="auto"/>
          <w:sz w:val="24"/>
          <w:szCs w:val="24"/>
        </w:rPr>
        <w:t>）二级标准要求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本项目所在区域</w:t>
      </w:r>
      <w:r>
        <w:rPr>
          <w:rFonts w:hint="default" w:ascii="Times New Roman" w:hAnsi="Times New Roman" w:cs="Times New Roman"/>
          <w:color w:val="auto"/>
          <w:sz w:val="24"/>
          <w:szCs w:val="24"/>
          <w:lang w:val="en-US" w:eastAsia="zh-CN"/>
        </w:rPr>
        <w:t>为达标区</w:t>
      </w:r>
      <w:r>
        <w:rPr>
          <w:rFonts w:hint="default" w:ascii="Times New Roman" w:hAnsi="Times New Roman" w:eastAsia="宋体" w:cs="Times New Roman"/>
          <w:color w:val="auto"/>
          <w:sz w:val="24"/>
          <w:szCs w:val="24"/>
        </w:rPr>
        <w:t>。</w:t>
      </w:r>
    </w:p>
    <w:p w14:paraId="07D9A2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监测期间项目区下风向处TSP</w:t>
      </w:r>
      <w:r>
        <w:rPr>
          <w:rFonts w:hint="default" w:ascii="Times New Roman" w:hAnsi="Times New Roman" w:cs="Times New Roman"/>
          <w:color w:val="auto"/>
          <w:sz w:val="24"/>
          <w:szCs w:val="24"/>
          <w:highlight w:val="none"/>
        </w:rPr>
        <w:t>监测浓度可满足《环境空气质量标准》（GB3095-20</w:t>
      </w:r>
      <w:r>
        <w:rPr>
          <w:rFonts w:hint="default" w:ascii="Times New Roman" w:hAnsi="Times New Roman" w:cs="Times New Roman"/>
          <w:color w:val="auto"/>
          <w:sz w:val="24"/>
          <w:szCs w:val="24"/>
          <w:highlight w:val="none"/>
          <w:lang w:val="en-US" w:eastAsia="zh-CN"/>
        </w:rPr>
        <w:t>26</w:t>
      </w:r>
      <w:r>
        <w:rPr>
          <w:rFonts w:hint="default" w:ascii="Times New Roman" w:hAnsi="Times New Roman" w:cs="Times New Roman"/>
          <w:color w:val="auto"/>
          <w:sz w:val="24"/>
          <w:szCs w:val="24"/>
          <w:highlight w:val="none"/>
        </w:rPr>
        <w:t>）的二级标准要求</w:t>
      </w:r>
      <w:r>
        <w:rPr>
          <w:rFonts w:hint="default" w:ascii="Times New Roman" w:hAnsi="Times New Roman" w:cs="Times New Roman"/>
          <w:color w:val="auto"/>
          <w:sz w:val="24"/>
          <w:szCs w:val="24"/>
          <w:highlight w:val="none"/>
          <w:lang w:val="en-US" w:eastAsia="zh-CN"/>
        </w:rPr>
        <w:t>。</w:t>
      </w:r>
    </w:p>
    <w:p w14:paraId="18D290B0">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035" w:name="_Toc28084"/>
      <w:bookmarkStart w:id="1036" w:name="_Toc1037612173"/>
      <w:bookmarkStart w:id="1037" w:name="_Toc19086"/>
      <w:bookmarkStart w:id="1038" w:name="_Toc11289"/>
      <w:bookmarkStart w:id="1039" w:name="_Toc21403"/>
      <w:bookmarkStart w:id="1040" w:name="_Toc2155"/>
      <w:bookmarkStart w:id="1041" w:name="_Toc4610"/>
      <w:bookmarkStart w:id="1042" w:name="_Toc20345"/>
      <w:bookmarkStart w:id="1043" w:name="_Toc19355"/>
      <w:r>
        <w:rPr>
          <w:rFonts w:hint="default" w:ascii="Times New Roman" w:hAnsi="Times New Roman" w:eastAsia="宋体" w:cs="Times New Roman"/>
          <w:color w:val="auto"/>
        </w:rPr>
        <w:t>9.3.2水环境现状</w:t>
      </w:r>
      <w:bookmarkEnd w:id="1033"/>
      <w:bookmarkEnd w:id="1034"/>
      <w:bookmarkEnd w:id="1035"/>
      <w:bookmarkEnd w:id="1036"/>
      <w:bookmarkEnd w:id="1037"/>
      <w:bookmarkEnd w:id="1038"/>
      <w:bookmarkEnd w:id="1039"/>
      <w:bookmarkEnd w:id="1040"/>
      <w:bookmarkEnd w:id="1041"/>
      <w:bookmarkEnd w:id="1042"/>
      <w:bookmarkEnd w:id="1043"/>
    </w:p>
    <w:p w14:paraId="61F8D5AE">
      <w:pPr>
        <w:keepNext w:val="0"/>
        <w:keepLines w:val="0"/>
        <w:pageBreakBefore w:val="0"/>
        <w:widowControl w:val="0"/>
        <w:kinsoku/>
        <w:wordWrap/>
        <w:overflowPunct/>
        <w:topLinePunct w:val="0"/>
        <w:autoSpaceDE/>
        <w:autoSpaceDN/>
        <w:bidi w:val="0"/>
        <w:snapToGrid w:val="0"/>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根据地下水现状监测结果，评价区地下水</w:t>
      </w:r>
      <w:r>
        <w:rPr>
          <w:rFonts w:hint="default" w:ascii="Times New Roman" w:hAnsi="Times New Roman" w:eastAsia="宋体" w:cs="Times New Roman"/>
          <w:color w:val="auto"/>
          <w:sz w:val="24"/>
          <w:szCs w:val="24"/>
          <w:highlight w:val="none"/>
          <w:lang w:val="en-US" w:eastAsia="zh-CN"/>
        </w:rPr>
        <w:t>除</w:t>
      </w:r>
      <w:r>
        <w:rPr>
          <w:rFonts w:hint="default" w:ascii="Times New Roman" w:hAnsi="Times New Roman" w:eastAsia="宋体" w:cs="Times New Roman"/>
          <w:color w:val="auto"/>
          <w:sz w:val="24"/>
          <w:szCs w:val="24"/>
          <w:highlight w:val="none"/>
          <w:lang w:eastAsia="zh-CN"/>
        </w:rPr>
        <w:t>总硬度、溶解性总固体、钠、氯化物、硫酸盐</w:t>
      </w:r>
      <w:r>
        <w:rPr>
          <w:rFonts w:hint="default" w:ascii="Times New Roman" w:hAnsi="Times New Roman" w:eastAsia="宋体" w:cs="Times New Roman"/>
          <w:color w:val="auto"/>
          <w:sz w:val="24"/>
          <w:szCs w:val="24"/>
          <w:highlight w:val="none"/>
          <w:lang w:val="en-US" w:eastAsia="zh-CN"/>
        </w:rPr>
        <w:t>超标外，其他因子</w:t>
      </w:r>
      <w:r>
        <w:rPr>
          <w:rFonts w:hint="default" w:ascii="Times New Roman" w:hAnsi="Times New Roman" w:eastAsia="宋体" w:cs="Times New Roman"/>
          <w:color w:val="auto"/>
          <w:sz w:val="24"/>
          <w:szCs w:val="24"/>
          <w:highlight w:val="none"/>
          <w:lang w:eastAsia="zh-CN"/>
        </w:rPr>
        <w:t>满足Ⅲ类地下水质量标准；总硬度、溶解性总固体、钠、氯化物、硫酸盐存在不同程度超标现象，主要为区域原生地质背景（碳酸盐岩、侵入岩风化溶滤）导致的本底值偏高，属于原生型超标。</w:t>
      </w:r>
    </w:p>
    <w:p w14:paraId="41505B5B">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044" w:name="_Toc6457"/>
      <w:bookmarkStart w:id="1045" w:name="_Toc2067"/>
      <w:bookmarkStart w:id="1046" w:name="_Toc5928"/>
      <w:bookmarkStart w:id="1047" w:name="_Toc17655"/>
      <w:bookmarkStart w:id="1048" w:name="_Toc3618"/>
      <w:bookmarkStart w:id="1049" w:name="_Toc5840"/>
      <w:bookmarkStart w:id="1050" w:name="_Toc31524"/>
      <w:bookmarkStart w:id="1051" w:name="_Toc14345"/>
      <w:bookmarkStart w:id="1052" w:name="_Toc1580577971"/>
      <w:bookmarkStart w:id="1053" w:name="_Toc13505"/>
      <w:bookmarkStart w:id="1054" w:name="_Toc8458"/>
      <w:r>
        <w:rPr>
          <w:rFonts w:hint="default" w:ascii="Times New Roman" w:hAnsi="Times New Roman" w:eastAsia="宋体" w:cs="Times New Roman"/>
          <w:color w:val="auto"/>
        </w:rPr>
        <w:t>9.3.3声环境现状</w:t>
      </w:r>
      <w:bookmarkEnd w:id="1044"/>
      <w:bookmarkEnd w:id="1045"/>
      <w:bookmarkEnd w:id="1046"/>
      <w:bookmarkEnd w:id="1047"/>
      <w:bookmarkEnd w:id="1048"/>
      <w:bookmarkEnd w:id="1049"/>
      <w:bookmarkEnd w:id="1050"/>
      <w:bookmarkEnd w:id="1051"/>
      <w:bookmarkEnd w:id="1052"/>
      <w:bookmarkEnd w:id="1053"/>
      <w:bookmarkEnd w:id="1054"/>
    </w:p>
    <w:p w14:paraId="118FFB3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项目所在区域声环境质量现状均满足《声环境质量标准》（GB3096-2008）2类区标准限值，评价区域内的声环境质量较好。</w:t>
      </w:r>
    </w:p>
    <w:p w14:paraId="69B393B5">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055" w:name="_Toc1742"/>
      <w:bookmarkStart w:id="1056" w:name="_Toc23620"/>
      <w:bookmarkStart w:id="1057" w:name="_Toc401245207"/>
      <w:bookmarkStart w:id="1058" w:name="_Toc3657"/>
      <w:bookmarkStart w:id="1059" w:name="_Toc6870"/>
      <w:bookmarkStart w:id="1060" w:name="_Toc7272"/>
      <w:bookmarkStart w:id="1061" w:name="_Toc29210"/>
      <w:bookmarkStart w:id="1062" w:name="_Toc31245"/>
      <w:r>
        <w:rPr>
          <w:rFonts w:hint="default" w:ascii="Times New Roman" w:hAnsi="Times New Roman" w:eastAsia="宋体" w:cs="Times New Roman"/>
          <w:color w:val="auto"/>
        </w:rPr>
        <w:t>9.3.4土壤环境现状</w:t>
      </w:r>
      <w:bookmarkEnd w:id="1055"/>
      <w:bookmarkEnd w:id="1056"/>
      <w:bookmarkEnd w:id="1057"/>
      <w:bookmarkEnd w:id="1058"/>
      <w:bookmarkEnd w:id="1059"/>
      <w:bookmarkEnd w:id="1060"/>
      <w:bookmarkEnd w:id="1061"/>
      <w:bookmarkEnd w:id="1062"/>
    </w:p>
    <w:p w14:paraId="719D3D89">
      <w:pPr>
        <w:keepNext w:val="0"/>
        <w:keepLines w:val="0"/>
        <w:pageBreakBefore w:val="0"/>
        <w:kinsoku/>
        <w:wordWrap/>
        <w:overflowPunct/>
        <w:topLinePunct w:val="0"/>
        <w:autoSpaceDE/>
        <w:autoSpaceDN/>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评价期间</w:t>
      </w:r>
      <w:r>
        <w:rPr>
          <w:rFonts w:hint="default" w:ascii="Times New Roman" w:hAnsi="Times New Roman" w:eastAsia="宋体" w:cs="Times New Roman"/>
          <w:color w:val="auto"/>
          <w:sz w:val="24"/>
          <w:szCs w:val="24"/>
          <w:highlight w:val="none"/>
        </w:rPr>
        <w:t>各</w:t>
      </w:r>
      <w:r>
        <w:rPr>
          <w:rFonts w:hint="default" w:ascii="Times New Roman" w:hAnsi="Times New Roman" w:eastAsia="宋体" w:cs="Times New Roman"/>
          <w:color w:val="auto"/>
          <w:sz w:val="24"/>
          <w:szCs w:val="24"/>
          <w:highlight w:val="none"/>
          <w:lang w:val="en-US" w:eastAsia="zh-CN"/>
        </w:rPr>
        <w:t>土壤</w:t>
      </w:r>
      <w:r>
        <w:rPr>
          <w:rFonts w:hint="default" w:ascii="Times New Roman" w:hAnsi="Times New Roman" w:eastAsia="宋体" w:cs="Times New Roman"/>
          <w:color w:val="auto"/>
          <w:sz w:val="24"/>
          <w:szCs w:val="24"/>
          <w:highlight w:val="none"/>
        </w:rPr>
        <w:t>监测点位的基本指标均未超出《土壤环境质量 建设用地土壤污染风险管控质量标准》（GB36600-2018）表1中的第二类用地土壤污染风险筛选值</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土壤环境质量</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农用地土壤污染风险管控标准（试行）</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w:t>
      </w:r>
      <w:r>
        <w:rPr>
          <w:rFonts w:hint="default" w:ascii="Times New Roman" w:hAnsi="Times New Roman" w:eastAsia="宋体" w:cs="Times New Roman"/>
          <w:color w:val="auto"/>
          <w:sz w:val="24"/>
          <w:szCs w:val="24"/>
          <w:highlight w:val="none"/>
          <w:lang w:val="en-US" w:eastAsia="zh-CN"/>
        </w:rPr>
        <w:t>15618-</w:t>
      </w:r>
      <w:r>
        <w:rPr>
          <w:rFonts w:hint="default" w:ascii="Times New Roman" w:hAnsi="Times New Roman" w:eastAsia="宋体" w:cs="Times New Roman"/>
          <w:color w:val="auto"/>
          <w:sz w:val="24"/>
          <w:szCs w:val="24"/>
          <w:highlight w:val="none"/>
        </w:rPr>
        <w:t>2018</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基本项目风险筛选值。</w:t>
      </w:r>
    </w:p>
    <w:p w14:paraId="3F895700">
      <w:pPr>
        <w:keepNext w:val="0"/>
        <w:keepLines w:val="0"/>
        <w:pageBreakBefore w:val="0"/>
        <w:kinsoku/>
        <w:wordWrap/>
        <w:overflowPunct/>
        <w:topLinePunct w:val="0"/>
        <w:autoSpaceDE/>
        <w:autoSpaceDN/>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根据土壤pH值判断，区域土壤基本处于无酸化</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轻度</w:t>
      </w:r>
      <w:r>
        <w:rPr>
          <w:rFonts w:hint="default" w:ascii="Times New Roman" w:hAnsi="Times New Roman" w:eastAsia="宋体" w:cs="Times New Roman"/>
          <w:color w:val="auto"/>
          <w:sz w:val="24"/>
          <w:szCs w:val="24"/>
          <w:highlight w:val="none"/>
        </w:rPr>
        <w:t>碱化强度。</w:t>
      </w:r>
    </w:p>
    <w:p w14:paraId="520319C5">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063" w:name="_Toc361840113"/>
      <w:bookmarkStart w:id="1064" w:name="_Toc278281234"/>
      <w:bookmarkStart w:id="1065" w:name="_Toc8118"/>
      <w:bookmarkStart w:id="1066" w:name="_Toc28962"/>
      <w:bookmarkStart w:id="1067" w:name="_Toc25324"/>
      <w:bookmarkStart w:id="1068" w:name="_Toc30611"/>
      <w:bookmarkStart w:id="1069" w:name="_Toc9775"/>
      <w:bookmarkStart w:id="1070" w:name="_Toc17832"/>
      <w:bookmarkStart w:id="1071" w:name="_Toc338153326"/>
      <w:bookmarkStart w:id="1072" w:name="_Toc355715735"/>
      <w:bookmarkStart w:id="1073" w:name="_Toc482784730"/>
      <w:bookmarkStart w:id="1074" w:name="_Toc18240"/>
      <w:bookmarkStart w:id="1075" w:name="_Toc4197"/>
      <w:bookmarkStart w:id="1076" w:name="_Toc15613"/>
      <w:bookmarkStart w:id="1077" w:name="_Toc120683074"/>
      <w:bookmarkStart w:id="1078" w:name="_Toc6682"/>
      <w:bookmarkStart w:id="1079" w:name="_Toc7359"/>
      <w:bookmarkStart w:id="1080" w:name="_Toc16952"/>
      <w:bookmarkStart w:id="1081" w:name="_Toc360205164"/>
      <w:bookmarkStart w:id="1082" w:name="_Toc23824"/>
      <w:bookmarkStart w:id="1083" w:name="_Toc629542469"/>
      <w:bookmarkStart w:id="1084" w:name="_Toc9401"/>
      <w:bookmarkStart w:id="1085" w:name="_Toc28618"/>
      <w:bookmarkStart w:id="1086" w:name="_Toc318298695"/>
      <w:bookmarkStart w:id="1087" w:name="_Toc492457110"/>
      <w:bookmarkStart w:id="1088" w:name="_Toc282074159"/>
      <w:r>
        <w:rPr>
          <w:rFonts w:hint="default" w:ascii="Times New Roman" w:hAnsi="Times New Roman" w:eastAsia="宋体" w:cs="Times New Roman"/>
          <w:bCs/>
          <w:color w:val="auto"/>
          <w:kern w:val="0"/>
          <w:sz w:val="36"/>
          <w:szCs w:val="32"/>
          <w:highlight w:val="none"/>
          <w:lang w:val="en-US" w:eastAsia="zh-CN"/>
        </w:rPr>
        <w:t>9.4环境影响评价</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14:paraId="74B0C3E2">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sz w:val="24"/>
          <w:szCs w:val="24"/>
          <w:highlight w:val="none"/>
          <w:lang w:val="en-US" w:eastAsia="zh-CN"/>
        </w:rPr>
      </w:pPr>
      <w:bookmarkStart w:id="1089" w:name="_Toc21439"/>
      <w:bookmarkStart w:id="1090" w:name="_Toc14610"/>
      <w:bookmarkStart w:id="1091" w:name="_Toc26237"/>
      <w:bookmarkStart w:id="1092" w:name="_Toc27787"/>
      <w:bookmarkStart w:id="1093" w:name="_Toc31433"/>
      <w:bookmarkStart w:id="1094" w:name="_Toc17100"/>
      <w:bookmarkStart w:id="1095" w:name="_Toc7261"/>
      <w:bookmarkStart w:id="1096" w:name="_Toc68347714"/>
      <w:bookmarkStart w:id="1097" w:name="_Toc26733"/>
      <w:bookmarkStart w:id="1098" w:name="_Toc16066"/>
      <w:bookmarkStart w:id="1099" w:name="_Toc2073"/>
      <w:r>
        <w:rPr>
          <w:rFonts w:hint="default" w:ascii="Times New Roman" w:hAnsi="Times New Roman" w:eastAsia="宋体" w:cs="Times New Roman"/>
          <w:color w:val="auto"/>
        </w:rPr>
        <w:t>9.4.1大气环境影响评价</w:t>
      </w:r>
      <w:bookmarkEnd w:id="1089"/>
      <w:bookmarkEnd w:id="1090"/>
      <w:bookmarkEnd w:id="1091"/>
      <w:bookmarkEnd w:id="1092"/>
      <w:bookmarkEnd w:id="1093"/>
      <w:bookmarkEnd w:id="1094"/>
      <w:bookmarkEnd w:id="1095"/>
      <w:bookmarkEnd w:id="1096"/>
      <w:bookmarkEnd w:id="1097"/>
      <w:bookmarkEnd w:id="1098"/>
      <w:bookmarkEnd w:id="1099"/>
    </w:p>
    <w:p w14:paraId="63F691D3">
      <w:pPr>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highlight w:val="none"/>
          <w:lang w:val="en-US" w:eastAsia="zh-CN"/>
        </w:rPr>
        <w:t>由估算结果可知，在正常排放情况下项目大气污染因子TSP矿界贡献浓度无超标点，</w:t>
      </w:r>
      <w:r>
        <w:rPr>
          <w:rFonts w:hint="default" w:ascii="Times New Roman" w:hAnsi="Times New Roman" w:eastAsia="宋体" w:cs="Times New Roman"/>
          <w:color w:val="auto"/>
          <w:sz w:val="24"/>
          <w:szCs w:val="24"/>
          <w:highlight w:val="none"/>
          <w:lang w:val="en-US" w:eastAsia="zh-CN"/>
        </w:rPr>
        <w:t>因此不设置大气环境防护距离。本项目在落实环评提出的大气污染物控制措施后，对周边环境影响较小</w:t>
      </w:r>
      <w:r>
        <w:rPr>
          <w:rFonts w:hint="default" w:ascii="Times New Roman" w:hAnsi="Times New Roman" w:cs="Times New Roman"/>
          <w:color w:val="auto"/>
          <w:sz w:val="24"/>
          <w:highlight w:val="none"/>
          <w:lang w:val="en-US" w:eastAsia="zh-CN"/>
        </w:rPr>
        <w:t>。</w:t>
      </w:r>
    </w:p>
    <w:p w14:paraId="4EFD6739">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100" w:name="_Toc32573"/>
      <w:bookmarkStart w:id="1101" w:name="_Toc1963761700"/>
      <w:bookmarkStart w:id="1102" w:name="_Toc18367"/>
      <w:bookmarkStart w:id="1103" w:name="_Toc12705"/>
      <w:bookmarkStart w:id="1104" w:name="_Toc20217"/>
      <w:bookmarkStart w:id="1105" w:name="_Toc30430"/>
      <w:bookmarkStart w:id="1106" w:name="_Toc17442"/>
      <w:bookmarkStart w:id="1107" w:name="_Toc30646"/>
      <w:bookmarkStart w:id="1108" w:name="_Toc30584"/>
      <w:bookmarkStart w:id="1109" w:name="_Toc19769"/>
      <w:bookmarkStart w:id="1110" w:name="_Toc17893"/>
      <w:r>
        <w:rPr>
          <w:rFonts w:hint="default" w:ascii="Times New Roman" w:hAnsi="Times New Roman" w:eastAsia="宋体" w:cs="Times New Roman"/>
          <w:color w:val="auto"/>
        </w:rPr>
        <w:t>9.4.2水环境影响评价</w:t>
      </w:r>
      <w:bookmarkEnd w:id="1100"/>
      <w:bookmarkEnd w:id="1101"/>
      <w:bookmarkEnd w:id="1102"/>
      <w:bookmarkEnd w:id="1103"/>
      <w:bookmarkEnd w:id="1104"/>
      <w:bookmarkEnd w:id="1105"/>
      <w:bookmarkEnd w:id="1106"/>
      <w:bookmarkEnd w:id="1107"/>
      <w:bookmarkEnd w:id="1108"/>
      <w:bookmarkEnd w:id="1109"/>
      <w:bookmarkEnd w:id="1110"/>
    </w:p>
    <w:p w14:paraId="35FF3E8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shd w:val="clear" w:color="auto" w:fill="auto"/>
          <w:lang w:val="en-US" w:eastAsia="zh-CN"/>
        </w:rPr>
        <w:t>矿井涌水采用沉淀处理后，满足《污水综合排放标准》（GB8978-1996）表1第一类污染物最高允许排放浓度限值、</w:t>
      </w:r>
      <w:r>
        <w:rPr>
          <w:rFonts w:hint="default" w:ascii="Times New Roman" w:hAnsi="Times New Roman" w:cs="Times New Roman"/>
          <w:color w:val="auto"/>
          <w:kern w:val="0"/>
          <w:sz w:val="24"/>
          <w:szCs w:val="24"/>
          <w:highlight w:val="none"/>
          <w:lang w:val="en-US" w:eastAsia="zh-CN" w:bidi="ar-SA"/>
        </w:rPr>
        <w:t>《铜、镍、钴工业污染物排放标准》（GB25467-2010）及其修改单</w:t>
      </w:r>
      <w:r>
        <w:rPr>
          <w:rFonts w:hint="default" w:ascii="Times New Roman" w:hAnsi="Times New Roman" w:eastAsia="宋体" w:cs="Times New Roman"/>
          <w:color w:val="auto"/>
          <w:sz w:val="24"/>
          <w:szCs w:val="24"/>
          <w:shd w:val="clear" w:color="auto" w:fill="auto"/>
          <w:lang w:val="en-US" w:eastAsia="zh-CN"/>
        </w:rPr>
        <w:t>新建企业水污染物排放浓度限值要求后，并且满足《城市污水再生利用 城市杂用水水质》（GB/T18920-20</w:t>
      </w:r>
      <w:r>
        <w:rPr>
          <w:rFonts w:hint="default" w:ascii="Times New Roman" w:hAnsi="Times New Roman" w:cs="Times New Roman"/>
          <w:color w:val="auto"/>
          <w:sz w:val="24"/>
          <w:szCs w:val="24"/>
          <w:shd w:val="clear" w:color="auto" w:fill="auto"/>
          <w:lang w:val="en-US" w:eastAsia="zh-CN"/>
        </w:rPr>
        <w:t>20</w:t>
      </w:r>
      <w:r>
        <w:rPr>
          <w:rFonts w:hint="default" w:ascii="Times New Roman" w:hAnsi="Times New Roman" w:eastAsia="宋体" w:cs="Times New Roman"/>
          <w:color w:val="auto"/>
          <w:sz w:val="24"/>
          <w:szCs w:val="24"/>
          <w:shd w:val="clear" w:color="auto" w:fill="auto"/>
          <w:lang w:val="en-US" w:eastAsia="zh-CN"/>
        </w:rPr>
        <w:t>）中杂用水质标准后，全部用于生产用水等，不外排；</w:t>
      </w:r>
      <w:r>
        <w:rPr>
          <w:rFonts w:hint="default" w:ascii="Times New Roman" w:hAnsi="Times New Roman" w:eastAsia="宋体" w:cs="Times New Roman"/>
          <w:color w:val="auto"/>
          <w:sz w:val="24"/>
          <w:highlight w:val="none"/>
          <w:lang w:val="en-US" w:eastAsia="zh-CN"/>
        </w:rPr>
        <w:t>本工程生活污水经污水处理设施处理</w:t>
      </w:r>
      <w:r>
        <w:rPr>
          <w:rFonts w:hint="default" w:ascii="Times New Roman" w:hAnsi="Times New Roman" w:cs="Times New Roman"/>
          <w:color w:val="auto"/>
          <w:sz w:val="24"/>
          <w:highlight w:val="none"/>
          <w:lang w:val="en-US" w:eastAsia="zh-CN"/>
        </w:rPr>
        <w:t>满足</w:t>
      </w:r>
      <w:r>
        <w:rPr>
          <w:rFonts w:hint="default" w:ascii="Times New Roman" w:hAnsi="Times New Roman" w:cs="Times New Roman"/>
          <w:color w:val="auto"/>
          <w:sz w:val="24"/>
          <w:szCs w:val="24"/>
          <w:highlight w:val="none"/>
          <w:lang w:val="en-US" w:eastAsia="zh-CN"/>
        </w:rPr>
        <w:t>《农村生活污水处理排放标准》（DB65 4275-2019）A级标准和《城市污水再生利用 城市杂用水水质》（GB/T18920-2020）中绿化和道路清扫、消防水质标准后用于生产不外排。</w:t>
      </w:r>
    </w:p>
    <w:p w14:paraId="6DEC0AA2">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111" w:name="_Toc23467"/>
      <w:bookmarkStart w:id="1112" w:name="_Toc7195"/>
      <w:bookmarkStart w:id="1113" w:name="_Toc31320"/>
      <w:bookmarkStart w:id="1114" w:name="_Toc26324"/>
      <w:bookmarkStart w:id="1115" w:name="_Toc266721157"/>
      <w:bookmarkStart w:id="1116" w:name="_Toc31165"/>
      <w:bookmarkStart w:id="1117" w:name="_Toc30669"/>
      <w:bookmarkStart w:id="1118" w:name="_Toc13625"/>
      <w:bookmarkStart w:id="1119" w:name="_Toc10650"/>
      <w:bookmarkStart w:id="1120" w:name="_Toc10072"/>
      <w:bookmarkStart w:id="1121" w:name="_Toc20834"/>
      <w:r>
        <w:rPr>
          <w:rFonts w:hint="default" w:ascii="Times New Roman" w:hAnsi="Times New Roman" w:eastAsia="宋体" w:cs="Times New Roman"/>
          <w:color w:val="auto"/>
        </w:rPr>
        <w:t>9.4.3声环境影响评价</w:t>
      </w:r>
      <w:bookmarkEnd w:id="1111"/>
      <w:bookmarkEnd w:id="1112"/>
      <w:bookmarkEnd w:id="1113"/>
      <w:bookmarkEnd w:id="1114"/>
      <w:bookmarkEnd w:id="1115"/>
      <w:bookmarkEnd w:id="1116"/>
      <w:bookmarkEnd w:id="1117"/>
      <w:bookmarkEnd w:id="1118"/>
      <w:bookmarkEnd w:id="1119"/>
      <w:bookmarkEnd w:id="1120"/>
      <w:bookmarkEnd w:id="1121"/>
    </w:p>
    <w:p w14:paraId="0DDB1DC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经预测后，本工程预测值满足《工业企业厂界环境噪声排放标准》（GB12348-2008）中2类标准。</w:t>
      </w:r>
    </w:p>
    <w:p w14:paraId="7322E153">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122" w:name="_Toc16513"/>
      <w:bookmarkStart w:id="1123" w:name="_Toc9625"/>
      <w:bookmarkStart w:id="1124" w:name="_Toc984114410"/>
      <w:bookmarkStart w:id="1125" w:name="_Toc31958"/>
      <w:bookmarkStart w:id="1126" w:name="_Toc21201"/>
      <w:bookmarkStart w:id="1127" w:name="_Toc3107"/>
      <w:bookmarkStart w:id="1128" w:name="_Toc12140"/>
      <w:bookmarkStart w:id="1129" w:name="_Toc1510"/>
      <w:bookmarkStart w:id="1130" w:name="_Toc21283"/>
      <w:bookmarkStart w:id="1131" w:name="_Toc11239"/>
      <w:bookmarkStart w:id="1132" w:name="_Toc15743"/>
      <w:r>
        <w:rPr>
          <w:rFonts w:hint="default" w:ascii="Times New Roman" w:hAnsi="Times New Roman" w:eastAsia="宋体" w:cs="Times New Roman"/>
          <w:color w:val="auto"/>
        </w:rPr>
        <w:t>9.4.4固体废物影响评价</w:t>
      </w:r>
      <w:bookmarkEnd w:id="1122"/>
      <w:bookmarkEnd w:id="1123"/>
      <w:bookmarkEnd w:id="1124"/>
      <w:bookmarkEnd w:id="1125"/>
      <w:bookmarkEnd w:id="1126"/>
      <w:bookmarkEnd w:id="1127"/>
      <w:bookmarkEnd w:id="1128"/>
      <w:bookmarkEnd w:id="1129"/>
      <w:bookmarkEnd w:id="1130"/>
      <w:bookmarkEnd w:id="1131"/>
      <w:bookmarkEnd w:id="1132"/>
    </w:p>
    <w:p w14:paraId="4114D4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运营期固体废物主要来源于矿石开采过程中的废石、废机油及生活垃圾等。</w:t>
      </w:r>
    </w:p>
    <w:p w14:paraId="7A76E95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0"/>
          <w:sz w:val="24"/>
          <w:szCs w:val="24"/>
          <w:highlight w:val="none"/>
          <w:lang w:val="en-US" w:eastAsia="zh-CN"/>
        </w:rPr>
        <w:t>废石临时堆放于废石场，作为充填原料用于井下充填</w:t>
      </w:r>
      <w:r>
        <w:rPr>
          <w:rFonts w:hint="default" w:ascii="Times New Roman" w:hAnsi="Times New Roman" w:eastAsia="宋体" w:cs="Times New Roman"/>
          <w:color w:val="auto"/>
          <w:sz w:val="24"/>
          <w:szCs w:val="24"/>
          <w:lang w:val="en-US" w:eastAsia="zh-CN"/>
        </w:rPr>
        <w:t>坑。本工程产生的危险废物为废机油</w:t>
      </w:r>
      <w:r>
        <w:rPr>
          <w:rFonts w:hint="default" w:ascii="Times New Roman" w:hAnsi="Times New Roman" w:cs="Times New Roman"/>
          <w:color w:val="auto"/>
          <w:sz w:val="24"/>
          <w:szCs w:val="24"/>
          <w:lang w:val="en-US" w:eastAsia="zh-CN"/>
        </w:rPr>
        <w:t>和废油桶，</w:t>
      </w:r>
      <w:r>
        <w:rPr>
          <w:rFonts w:hint="default" w:ascii="Times New Roman" w:hAnsi="Times New Roman" w:eastAsia="宋体" w:cs="Times New Roman"/>
          <w:color w:val="auto"/>
          <w:sz w:val="24"/>
          <w:szCs w:val="24"/>
          <w:lang w:val="en-US" w:eastAsia="zh-CN"/>
        </w:rPr>
        <w:t>统一收集至防渗危废</w:t>
      </w:r>
      <w:r>
        <w:rPr>
          <w:rFonts w:hint="default" w:ascii="Times New Roman" w:hAnsi="Times New Roman" w:cs="Times New Roman"/>
          <w:color w:val="auto"/>
          <w:sz w:val="24"/>
          <w:szCs w:val="24"/>
          <w:lang w:val="en-US" w:eastAsia="zh-CN"/>
        </w:rPr>
        <w:t>贮存库</w:t>
      </w:r>
      <w:r>
        <w:rPr>
          <w:rFonts w:hint="default" w:ascii="Times New Roman" w:hAnsi="Times New Roman" w:eastAsia="宋体" w:cs="Times New Roman"/>
          <w:color w:val="auto"/>
          <w:sz w:val="24"/>
          <w:szCs w:val="24"/>
          <w:lang w:val="en-US" w:eastAsia="zh-CN"/>
        </w:rPr>
        <w:t>，定期交由</w:t>
      </w:r>
      <w:r>
        <w:rPr>
          <w:rFonts w:hint="default" w:ascii="Times New Roman" w:hAnsi="Times New Roman" w:cs="Times New Roman"/>
          <w:color w:val="auto"/>
          <w:sz w:val="24"/>
          <w:szCs w:val="24"/>
          <w:lang w:val="en-US" w:eastAsia="zh-CN"/>
        </w:rPr>
        <w:t>有资质单位处置</w:t>
      </w:r>
      <w:r>
        <w:rPr>
          <w:rFonts w:hint="default" w:ascii="Times New Roman" w:hAnsi="Times New Roman" w:eastAsia="宋体" w:cs="Times New Roman"/>
          <w:color w:val="auto"/>
          <w:sz w:val="24"/>
          <w:szCs w:val="24"/>
          <w:lang w:val="en-US" w:eastAsia="zh-CN"/>
        </w:rPr>
        <w:t>。生活垃圾临时放置于生活区内垃圾池，最终拉运至哈密市</w:t>
      </w:r>
      <w:r>
        <w:rPr>
          <w:rFonts w:hint="default" w:ascii="Times New Roman" w:hAnsi="Times New Roman" w:cs="Times New Roman"/>
          <w:color w:val="auto"/>
          <w:sz w:val="24"/>
          <w:szCs w:val="24"/>
          <w:lang w:val="en-US" w:eastAsia="zh-CN"/>
        </w:rPr>
        <w:t>星星峡镇</w:t>
      </w:r>
      <w:r>
        <w:rPr>
          <w:rFonts w:hint="default" w:ascii="Times New Roman" w:hAnsi="Times New Roman" w:eastAsia="宋体" w:cs="Times New Roman"/>
          <w:color w:val="auto"/>
          <w:sz w:val="24"/>
          <w:szCs w:val="24"/>
          <w:lang w:val="en-US" w:eastAsia="zh-CN"/>
        </w:rPr>
        <w:t>生活垃圾填埋场进行处置。</w:t>
      </w:r>
    </w:p>
    <w:p w14:paraId="55046BE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在严格落实以上各项环保措施的情况下，项目产生的各类固体废物均得到了合理处置，不会对周围环境产生明显影响。</w:t>
      </w:r>
    </w:p>
    <w:p w14:paraId="2E868740">
      <w:pPr>
        <w:pStyle w:val="4"/>
        <w:keepNext/>
        <w:keepLines/>
        <w:pageBreakBefore w:val="0"/>
        <w:widowControl w:val="0"/>
        <w:numPr>
          <w:ilvl w:val="0"/>
          <w:numId w:val="0"/>
        </w:numPr>
        <w:tabs>
          <w:tab w:val="left" w:pos="720"/>
        </w:tabs>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color w:val="auto"/>
        </w:rPr>
      </w:pPr>
      <w:bookmarkStart w:id="1133" w:name="_Toc26466"/>
      <w:bookmarkStart w:id="1134" w:name="_Toc9272"/>
      <w:bookmarkStart w:id="1135" w:name="_Toc28152"/>
      <w:bookmarkStart w:id="1136" w:name="_Toc28769"/>
      <w:bookmarkStart w:id="1137" w:name="_Toc9148"/>
      <w:bookmarkStart w:id="1138" w:name="_Toc3530"/>
      <w:bookmarkStart w:id="1139" w:name="_Toc29374"/>
      <w:bookmarkStart w:id="1140" w:name="_Toc91839676"/>
      <w:bookmarkStart w:id="1141" w:name="_Toc10374"/>
      <w:bookmarkStart w:id="1142" w:name="_Toc26143"/>
      <w:bookmarkStart w:id="1143" w:name="_Toc30112"/>
      <w:r>
        <w:rPr>
          <w:rFonts w:hint="default" w:ascii="Times New Roman" w:hAnsi="Times New Roman" w:eastAsia="宋体" w:cs="Times New Roman"/>
          <w:color w:val="auto"/>
        </w:rPr>
        <w:t>9.4.5环境风险分析</w:t>
      </w:r>
      <w:bookmarkEnd w:id="1133"/>
      <w:bookmarkEnd w:id="1134"/>
      <w:bookmarkEnd w:id="1135"/>
      <w:bookmarkEnd w:id="1136"/>
      <w:bookmarkEnd w:id="1137"/>
      <w:bookmarkEnd w:id="1138"/>
      <w:bookmarkEnd w:id="1139"/>
      <w:bookmarkEnd w:id="1140"/>
      <w:bookmarkEnd w:id="1141"/>
      <w:bookmarkEnd w:id="1142"/>
      <w:bookmarkEnd w:id="1143"/>
    </w:p>
    <w:p w14:paraId="2D60334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本工程发生事故的类型主要为</w:t>
      </w:r>
      <w:r>
        <w:rPr>
          <w:rFonts w:hint="default" w:ascii="Times New Roman" w:hAnsi="Times New Roman" w:cs="Times New Roman"/>
          <w:color w:val="auto"/>
          <w:sz w:val="24"/>
          <w:szCs w:val="24"/>
          <w:lang w:val="en-US" w:eastAsia="zh-CN"/>
        </w:rPr>
        <w:t>泄漏</w:t>
      </w:r>
      <w:r>
        <w:rPr>
          <w:rFonts w:hint="default" w:ascii="Times New Roman" w:hAnsi="Times New Roman" w:eastAsia="宋体" w:cs="Times New Roman"/>
          <w:color w:val="auto"/>
          <w:sz w:val="24"/>
          <w:szCs w:val="24"/>
          <w:lang w:val="en-US" w:eastAsia="zh-CN"/>
        </w:rPr>
        <w:t>及火灾爆炸，本工程发生环境风险事故影响范围主要为矿区及邻近矿区的工作人员，影响范围不大，本工程在设计过程中充分考虑了防爆、防火措施及设施，同时设计及施工过程将严格按照国家及行业有关标准、规范进行。</w:t>
      </w:r>
    </w:p>
    <w:p w14:paraId="3A206AC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工程发生事故后的影响范围主要在矿区内部，在严格落实设计及隐患治理中的各项环境风险防范措施、强化和完善环境风险应急预案并持续改进、加强管理和培训教育、严格执行各种规章制度的前提下，能尽量避免上述事故的发生，可以将环境风险水平降低到一个较小的水平之内。在落实本报告书中提出的环境保护措施的前提下，因地制宜地进行环境优化，本工程的环境风险在采取上述措施并加强管理及风险防范措施得当的情况下，项目风险是可以接受的。</w:t>
      </w:r>
    </w:p>
    <w:p w14:paraId="07F1436F">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144" w:name="_Toc28806"/>
      <w:bookmarkStart w:id="1145" w:name="_Toc282074161"/>
      <w:bookmarkStart w:id="1146" w:name="_Toc26033"/>
      <w:bookmarkStart w:id="1147" w:name="_Toc25142"/>
      <w:bookmarkStart w:id="1148" w:name="_Toc361840114"/>
      <w:bookmarkStart w:id="1149" w:name="_Toc743"/>
      <w:bookmarkStart w:id="1150" w:name="_Toc492457111"/>
      <w:bookmarkStart w:id="1151" w:name="_Toc318298697"/>
      <w:bookmarkStart w:id="1152" w:name="_Toc1656175986"/>
      <w:bookmarkStart w:id="1153" w:name="_Toc6617"/>
      <w:bookmarkStart w:id="1154" w:name="_Toc3776"/>
      <w:bookmarkStart w:id="1155" w:name="_Toc22601"/>
      <w:bookmarkStart w:id="1156" w:name="_Toc355715736"/>
      <w:bookmarkStart w:id="1157" w:name="_Toc9699"/>
      <w:bookmarkStart w:id="1158" w:name="_Toc2048"/>
      <w:bookmarkStart w:id="1159" w:name="_Toc22737"/>
      <w:bookmarkStart w:id="1160" w:name="_Toc29883"/>
      <w:bookmarkStart w:id="1161" w:name="_Toc278281237"/>
      <w:bookmarkStart w:id="1162" w:name="_Toc360205165"/>
      <w:bookmarkStart w:id="1163" w:name="_Toc31458"/>
      <w:bookmarkStart w:id="1164" w:name="_Toc6265"/>
      <w:bookmarkStart w:id="1165" w:name="_Toc120683077"/>
      <w:bookmarkStart w:id="1166" w:name="_Toc17374"/>
      <w:bookmarkStart w:id="1167" w:name="_Toc482784731"/>
      <w:bookmarkStart w:id="1168" w:name="_Toc338153328"/>
      <w:bookmarkStart w:id="1169" w:name="_Toc6131"/>
      <w:r>
        <w:rPr>
          <w:rFonts w:hint="default" w:ascii="Times New Roman" w:hAnsi="Times New Roman" w:eastAsia="宋体" w:cs="Times New Roman"/>
          <w:bCs/>
          <w:color w:val="auto"/>
          <w:kern w:val="0"/>
          <w:sz w:val="36"/>
          <w:szCs w:val="32"/>
          <w:highlight w:val="none"/>
          <w:lang w:val="en-US" w:eastAsia="zh-CN"/>
        </w:rPr>
        <w:t>9.5总量控制</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14:paraId="66AFC73E">
      <w:pPr>
        <w:spacing w:before="185" w:line="353" w:lineRule="auto"/>
        <w:ind w:left="38" w:right="18" w:firstLine="486"/>
        <w:jc w:val="both"/>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rPr>
        <w:t>结合本项目的特点，本项目无需申请总量控制指标。</w:t>
      </w:r>
    </w:p>
    <w:p w14:paraId="62659DBD">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170" w:name="_Toc1031"/>
      <w:bookmarkStart w:id="1171" w:name="_Toc26340"/>
      <w:bookmarkStart w:id="1172" w:name="_Toc1915"/>
      <w:bookmarkStart w:id="1173" w:name="_Toc2878"/>
      <w:bookmarkStart w:id="1174" w:name="_Toc1951"/>
      <w:bookmarkStart w:id="1175" w:name="_Toc21124"/>
      <w:bookmarkStart w:id="1176" w:name="_Toc21981"/>
      <w:r>
        <w:rPr>
          <w:rFonts w:hint="default" w:ascii="Times New Roman" w:hAnsi="Times New Roman" w:eastAsia="宋体" w:cs="Times New Roman"/>
          <w:bCs/>
          <w:color w:val="auto"/>
          <w:kern w:val="0"/>
          <w:sz w:val="36"/>
          <w:szCs w:val="32"/>
          <w:highlight w:val="none"/>
          <w:lang w:val="en-US" w:eastAsia="zh-CN"/>
        </w:rPr>
        <w:t>9.6公众参与调查结论</w:t>
      </w:r>
      <w:bookmarkEnd w:id="1170"/>
      <w:bookmarkEnd w:id="1171"/>
      <w:bookmarkEnd w:id="1172"/>
      <w:bookmarkEnd w:id="1173"/>
      <w:bookmarkEnd w:id="1174"/>
      <w:bookmarkEnd w:id="1175"/>
      <w:bookmarkEnd w:id="1176"/>
    </w:p>
    <w:p w14:paraId="4A86DE79">
      <w:pPr>
        <w:spacing w:before="182" w:line="351" w:lineRule="auto"/>
        <w:ind w:left="39" w:right="85" w:firstLine="479"/>
        <w:jc w:val="both"/>
        <w:rPr>
          <w:rFonts w:hint="default" w:ascii="Times New Roman" w:hAnsi="Times New Roman" w:eastAsia="宋体" w:cs="Times New Roman"/>
          <w:color w:val="auto"/>
          <w:spacing w:val="0"/>
          <w:sz w:val="24"/>
          <w:szCs w:val="24"/>
          <w:highlight w:val="none"/>
        </w:rPr>
      </w:pPr>
      <w:bookmarkStart w:id="1177" w:name="_Toc3072"/>
      <w:bookmarkStart w:id="1178" w:name="_Toc14483"/>
      <w:bookmarkStart w:id="1179" w:name="_Toc3411"/>
      <w:bookmarkStart w:id="1180" w:name="_Toc26314"/>
      <w:bookmarkStart w:id="1181" w:name="_Toc14829"/>
      <w:bookmarkStart w:id="1182" w:name="_Toc29976"/>
      <w:bookmarkStart w:id="1183" w:name="_Toc12938"/>
      <w:bookmarkStart w:id="1184" w:name="_Toc6586"/>
      <w:bookmarkStart w:id="1185" w:name="_Toc28567"/>
      <w:bookmarkStart w:id="1186" w:name="_Toc12616"/>
      <w:bookmarkStart w:id="1187" w:name="_Toc353"/>
      <w:bookmarkStart w:id="1188" w:name="_Toc355715739"/>
      <w:bookmarkStart w:id="1189" w:name="_Toc360205168"/>
      <w:bookmarkStart w:id="1190" w:name="_Toc2092223439"/>
      <w:bookmarkStart w:id="1191" w:name="_Toc361840117"/>
      <w:bookmarkStart w:id="1192" w:name="_Toc4531"/>
      <w:bookmarkStart w:id="1193" w:name="_Toc482784735"/>
      <w:bookmarkStart w:id="1194" w:name="_Toc492457115"/>
      <w:bookmarkStart w:id="1195" w:name="_Toc11533"/>
      <w:r>
        <w:rPr>
          <w:rFonts w:hint="default" w:ascii="Times New Roman" w:hAnsi="Times New Roman" w:eastAsia="宋体" w:cs="Times New Roman"/>
          <w:color w:val="auto"/>
          <w:spacing w:val="0"/>
          <w:sz w:val="24"/>
          <w:szCs w:val="24"/>
          <w:highlight w:val="none"/>
        </w:rPr>
        <w:t>根据《环境影响评价公众参与办法》（生态环境部令第</w:t>
      </w:r>
      <w:r>
        <w:rPr>
          <w:rFonts w:hint="default" w:ascii="Times New Roman" w:hAnsi="Times New Roman" w:eastAsia="Times New Roman" w:cs="Times New Roman"/>
          <w:color w:val="auto"/>
          <w:spacing w:val="0"/>
          <w:sz w:val="24"/>
          <w:szCs w:val="24"/>
          <w:highlight w:val="none"/>
        </w:rPr>
        <w:t>4</w:t>
      </w:r>
      <w:r>
        <w:rPr>
          <w:rFonts w:hint="default" w:ascii="Times New Roman" w:hAnsi="Times New Roman" w:eastAsia="宋体" w:cs="Times New Roman"/>
          <w:color w:val="auto"/>
          <w:spacing w:val="0"/>
          <w:sz w:val="24"/>
          <w:szCs w:val="24"/>
          <w:highlight w:val="none"/>
        </w:rPr>
        <w:t>号）要求，</w:t>
      </w:r>
      <w:r>
        <w:rPr>
          <w:rFonts w:hint="default" w:ascii="Times New Roman" w:hAnsi="Times New Roman" w:eastAsia="Times New Roman" w:cs="Times New Roman"/>
          <w:color w:val="auto"/>
          <w:spacing w:val="0"/>
          <w:sz w:val="24"/>
          <w:szCs w:val="24"/>
          <w:highlight w:val="none"/>
        </w:rPr>
        <w:t>20</w:t>
      </w:r>
      <w:r>
        <w:rPr>
          <w:rFonts w:hint="default" w:ascii="Times New Roman" w:hAnsi="Times New Roman" w:eastAsia="宋体" w:cs="Times New Roman"/>
          <w:color w:val="auto"/>
          <w:spacing w:val="0"/>
          <w:sz w:val="24"/>
          <w:szCs w:val="24"/>
          <w:highlight w:val="none"/>
          <w:lang w:val="en-US" w:eastAsia="zh-CN"/>
        </w:rPr>
        <w:t>26</w:t>
      </w:r>
      <w:r>
        <w:rPr>
          <w:rFonts w:hint="default" w:ascii="Times New Roman" w:hAnsi="Times New Roman" w:eastAsia="宋体" w:cs="Times New Roman"/>
          <w:color w:val="auto"/>
          <w:spacing w:val="0"/>
          <w:sz w:val="24"/>
          <w:szCs w:val="24"/>
          <w:highlight w:val="none"/>
        </w:rPr>
        <w:t>年</w:t>
      </w:r>
      <w:r>
        <w:rPr>
          <w:rFonts w:hint="default" w:ascii="Times New Roman" w:hAnsi="Times New Roman" w:eastAsia="宋体" w:cs="Times New Roman"/>
          <w:color w:val="auto"/>
          <w:spacing w:val="0"/>
          <w:sz w:val="24"/>
          <w:szCs w:val="24"/>
          <w:highlight w:val="none"/>
          <w:lang w:val="en-US" w:eastAsia="zh-CN"/>
        </w:rPr>
        <w:t>4</w:t>
      </w:r>
      <w:r>
        <w:rPr>
          <w:rFonts w:hint="default" w:ascii="Times New Roman" w:hAnsi="Times New Roman" w:eastAsia="宋体" w:cs="Times New Roman"/>
          <w:color w:val="auto"/>
          <w:spacing w:val="0"/>
          <w:sz w:val="24"/>
          <w:szCs w:val="24"/>
          <w:highlight w:val="none"/>
        </w:rPr>
        <w:t>月</w:t>
      </w:r>
      <w:r>
        <w:rPr>
          <w:rFonts w:hint="default" w:ascii="Times New Roman" w:hAnsi="Times New Roman" w:eastAsia="宋体" w:cs="Times New Roman"/>
          <w:color w:val="auto"/>
          <w:spacing w:val="0"/>
          <w:sz w:val="24"/>
          <w:szCs w:val="24"/>
          <w:highlight w:val="none"/>
          <w:lang w:val="en-US" w:eastAsia="zh-CN"/>
        </w:rPr>
        <w:t>24</w:t>
      </w:r>
      <w:r>
        <w:rPr>
          <w:rFonts w:hint="default" w:ascii="Times New Roman" w:hAnsi="Times New Roman" w:eastAsia="宋体" w:cs="Times New Roman"/>
          <w:color w:val="auto"/>
          <w:spacing w:val="0"/>
          <w:sz w:val="24"/>
          <w:szCs w:val="24"/>
          <w:highlight w:val="none"/>
        </w:rPr>
        <w:t>日在</w:t>
      </w:r>
      <w:r>
        <w:rPr>
          <w:rFonts w:hint="eastAsia" w:ascii="Times New Roman" w:hAnsi="Times New Roman" w:cs="Times New Roman"/>
          <w:color w:val="auto"/>
          <w:spacing w:val="0"/>
          <w:sz w:val="24"/>
          <w:szCs w:val="24"/>
          <w:highlight w:val="none"/>
          <w:lang w:val="en-US" w:eastAsia="zh-CN"/>
        </w:rPr>
        <w:t>生态环境公示</w:t>
      </w:r>
      <w:r>
        <w:rPr>
          <w:rFonts w:hint="default" w:ascii="Times New Roman" w:hAnsi="Times New Roman" w:eastAsia="宋体" w:cs="Times New Roman"/>
          <w:color w:val="auto"/>
          <w:spacing w:val="0"/>
          <w:sz w:val="24"/>
          <w:szCs w:val="24"/>
          <w:highlight w:val="none"/>
        </w:rPr>
        <w:t>网站开展了第一次环境影响评价信息公示。</w:t>
      </w:r>
      <w:r>
        <w:rPr>
          <w:rFonts w:hint="default" w:ascii="Times New Roman" w:hAnsi="Times New Roman" w:eastAsia="Times New Roman" w:cs="Times New Roman"/>
          <w:color w:val="auto"/>
          <w:spacing w:val="0"/>
          <w:sz w:val="24"/>
          <w:szCs w:val="24"/>
          <w:highlight w:val="none"/>
        </w:rPr>
        <w:t>20</w:t>
      </w:r>
      <w:r>
        <w:rPr>
          <w:rFonts w:hint="default" w:ascii="Times New Roman" w:hAnsi="Times New Roman" w:eastAsia="宋体" w:cs="Times New Roman"/>
          <w:color w:val="auto"/>
          <w:spacing w:val="0"/>
          <w:sz w:val="24"/>
          <w:szCs w:val="24"/>
          <w:highlight w:val="none"/>
          <w:lang w:val="en-US" w:eastAsia="zh-CN"/>
        </w:rPr>
        <w:t>26</w:t>
      </w:r>
      <w:r>
        <w:rPr>
          <w:rFonts w:hint="default" w:ascii="Times New Roman" w:hAnsi="Times New Roman" w:eastAsia="宋体" w:cs="Times New Roman"/>
          <w:color w:val="auto"/>
          <w:spacing w:val="0"/>
          <w:sz w:val="24"/>
          <w:szCs w:val="24"/>
          <w:highlight w:val="none"/>
        </w:rPr>
        <w:t>年</w:t>
      </w:r>
      <w:r>
        <w:rPr>
          <w:rFonts w:hint="default" w:ascii="Times New Roman" w:hAnsi="Times New Roman" w:eastAsia="宋体" w:cs="Times New Roman"/>
          <w:color w:val="auto"/>
          <w:spacing w:val="0"/>
          <w:sz w:val="24"/>
          <w:szCs w:val="24"/>
          <w:highlight w:val="none"/>
          <w:lang w:val="en-US" w:eastAsia="zh-CN"/>
        </w:rPr>
        <w:t>8</w:t>
      </w:r>
      <w:r>
        <w:rPr>
          <w:rFonts w:hint="default" w:ascii="Times New Roman" w:hAnsi="Times New Roman" w:eastAsia="宋体" w:cs="Times New Roman"/>
          <w:color w:val="auto"/>
          <w:spacing w:val="0"/>
          <w:sz w:val="24"/>
          <w:szCs w:val="24"/>
          <w:highlight w:val="none"/>
        </w:rPr>
        <w:t>月</w:t>
      </w:r>
      <w:r>
        <w:rPr>
          <w:rFonts w:hint="default" w:ascii="Times New Roman" w:hAnsi="Times New Roman" w:eastAsia="宋体" w:cs="Times New Roman"/>
          <w:color w:val="auto"/>
          <w:spacing w:val="0"/>
          <w:sz w:val="24"/>
          <w:szCs w:val="24"/>
          <w:highlight w:val="none"/>
          <w:lang w:val="en-US" w:eastAsia="zh-CN"/>
        </w:rPr>
        <w:t>20</w:t>
      </w:r>
      <w:r>
        <w:rPr>
          <w:rFonts w:hint="default" w:ascii="Times New Roman" w:hAnsi="Times New Roman" w:eastAsia="宋体" w:cs="Times New Roman"/>
          <w:color w:val="auto"/>
          <w:spacing w:val="0"/>
          <w:sz w:val="24"/>
          <w:szCs w:val="24"/>
          <w:highlight w:val="none"/>
        </w:rPr>
        <w:t>日至</w:t>
      </w:r>
      <w:r>
        <w:rPr>
          <w:rFonts w:hint="default" w:ascii="Times New Roman" w:hAnsi="Times New Roman" w:eastAsia="宋体" w:cs="Times New Roman"/>
          <w:color w:val="auto"/>
          <w:spacing w:val="0"/>
          <w:sz w:val="24"/>
          <w:szCs w:val="24"/>
          <w:highlight w:val="none"/>
          <w:lang w:val="en-US" w:eastAsia="zh-CN"/>
        </w:rPr>
        <w:t>9</w:t>
      </w:r>
      <w:r>
        <w:rPr>
          <w:rFonts w:hint="default" w:ascii="Times New Roman" w:hAnsi="Times New Roman" w:eastAsia="宋体" w:cs="Times New Roman"/>
          <w:color w:val="auto"/>
          <w:spacing w:val="0"/>
          <w:sz w:val="24"/>
          <w:szCs w:val="24"/>
          <w:highlight w:val="none"/>
        </w:rPr>
        <w:t>月</w:t>
      </w:r>
      <w:r>
        <w:rPr>
          <w:rFonts w:hint="default" w:ascii="Times New Roman" w:hAnsi="Times New Roman" w:eastAsia="宋体"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rPr>
        <w:t>日，在报告书主要内容基本完成后，在</w:t>
      </w:r>
      <w:r>
        <w:rPr>
          <w:rFonts w:hint="eastAsia" w:ascii="Times New Roman" w:hAnsi="Times New Roman" w:cs="Times New Roman"/>
          <w:color w:val="auto"/>
          <w:spacing w:val="0"/>
          <w:sz w:val="24"/>
          <w:szCs w:val="24"/>
          <w:highlight w:val="none"/>
          <w:lang w:val="en-US" w:eastAsia="zh-CN"/>
        </w:rPr>
        <w:t>生态环境公示</w:t>
      </w:r>
      <w:r>
        <w:rPr>
          <w:rFonts w:hint="default" w:ascii="Times New Roman" w:hAnsi="Times New Roman" w:eastAsia="宋体" w:cs="Times New Roman"/>
          <w:color w:val="auto"/>
          <w:spacing w:val="0"/>
          <w:sz w:val="24"/>
          <w:szCs w:val="24"/>
          <w:highlight w:val="none"/>
        </w:rPr>
        <w:t>网站开展了第二次环境影响评价信息公示，并公示了项目的环境影响报告书征求意见稿，同步在</w:t>
      </w:r>
      <w:r>
        <w:rPr>
          <w:rFonts w:hint="default" w:ascii="Times New Roman" w:hAnsi="Times New Roman" w:eastAsia="宋体" w:cs="Times New Roman"/>
          <w:color w:val="auto"/>
          <w:spacing w:val="0"/>
          <w:sz w:val="24"/>
          <w:szCs w:val="24"/>
          <w:highlight w:val="none"/>
          <w:lang w:val="en-US" w:eastAsia="zh-CN"/>
        </w:rPr>
        <w:t>新疆法制报</w:t>
      </w:r>
      <w:r>
        <w:rPr>
          <w:rFonts w:hint="default" w:ascii="Times New Roman" w:hAnsi="Times New Roman" w:eastAsia="宋体" w:cs="Times New Roman"/>
          <w:color w:val="auto"/>
          <w:spacing w:val="0"/>
          <w:sz w:val="24"/>
          <w:szCs w:val="24"/>
          <w:highlight w:val="none"/>
        </w:rPr>
        <w:t>进行了</w:t>
      </w:r>
      <w:r>
        <w:rPr>
          <w:rFonts w:hint="default" w:ascii="Times New Roman" w:hAnsi="Times New Roman" w:eastAsia="Times New Roman" w:cs="Times New Roman"/>
          <w:color w:val="auto"/>
          <w:spacing w:val="0"/>
          <w:sz w:val="24"/>
          <w:szCs w:val="24"/>
          <w:highlight w:val="none"/>
        </w:rPr>
        <w:t>2</w:t>
      </w:r>
      <w:r>
        <w:rPr>
          <w:rFonts w:hint="default" w:ascii="Times New Roman" w:hAnsi="Times New Roman" w:eastAsia="宋体" w:cs="Times New Roman"/>
          <w:color w:val="auto"/>
          <w:spacing w:val="0"/>
          <w:sz w:val="24"/>
          <w:szCs w:val="24"/>
          <w:highlight w:val="none"/>
        </w:rPr>
        <w:t>次公示，并在公告栏进行了现场张贴公告。</w:t>
      </w:r>
      <w:r>
        <w:rPr>
          <w:rFonts w:hint="default" w:ascii="Times New Roman" w:hAnsi="Times New Roman" w:eastAsia="Times New Roman" w:cs="Times New Roman"/>
          <w:color w:val="auto"/>
          <w:spacing w:val="0"/>
          <w:sz w:val="24"/>
          <w:szCs w:val="24"/>
          <w:highlight w:val="none"/>
        </w:rPr>
        <w:t>20</w:t>
      </w:r>
      <w:r>
        <w:rPr>
          <w:rFonts w:hint="default" w:ascii="Times New Roman" w:hAnsi="Times New Roman" w:eastAsia="宋体" w:cs="Times New Roman"/>
          <w:color w:val="auto"/>
          <w:spacing w:val="0"/>
          <w:sz w:val="24"/>
          <w:szCs w:val="24"/>
          <w:highlight w:val="none"/>
          <w:lang w:val="en-US" w:eastAsia="zh-CN"/>
        </w:rPr>
        <w:t>26</w:t>
      </w:r>
      <w:r>
        <w:rPr>
          <w:rFonts w:hint="default" w:ascii="Times New Roman" w:hAnsi="Times New Roman" w:eastAsia="宋体" w:cs="Times New Roman"/>
          <w:color w:val="auto"/>
          <w:spacing w:val="0"/>
          <w:sz w:val="24"/>
          <w:szCs w:val="24"/>
          <w:highlight w:val="none"/>
        </w:rPr>
        <w:t>年</w:t>
      </w:r>
      <w:r>
        <w:rPr>
          <w:rFonts w:hint="default" w:ascii="Times New Roman" w:hAnsi="Times New Roman" w:eastAsia="宋体" w:cs="Times New Roman"/>
          <w:color w:val="auto"/>
          <w:spacing w:val="0"/>
          <w:sz w:val="24"/>
          <w:szCs w:val="24"/>
          <w:highlight w:val="none"/>
          <w:lang w:val="en-US" w:eastAsia="zh-CN"/>
        </w:rPr>
        <w:t>9</w:t>
      </w:r>
      <w:r>
        <w:rPr>
          <w:rFonts w:hint="default" w:ascii="Times New Roman" w:hAnsi="Times New Roman" w:eastAsia="宋体" w:cs="Times New Roman"/>
          <w:color w:val="auto"/>
          <w:spacing w:val="0"/>
          <w:sz w:val="24"/>
          <w:szCs w:val="24"/>
          <w:highlight w:val="none"/>
        </w:rPr>
        <w:t>月</w:t>
      </w:r>
      <w:r>
        <w:rPr>
          <w:rFonts w:hint="eastAsia" w:ascii="Times New Roman" w:hAnsi="Times New Roman" w:cs="Times New Roman"/>
          <w:color w:val="auto"/>
          <w:spacing w:val="0"/>
          <w:sz w:val="24"/>
          <w:szCs w:val="24"/>
          <w:highlight w:val="none"/>
          <w:lang w:val="en-US" w:eastAsia="zh-CN"/>
        </w:rPr>
        <w:t>8</w:t>
      </w:r>
      <w:r>
        <w:rPr>
          <w:rFonts w:hint="default" w:ascii="Times New Roman" w:hAnsi="Times New Roman" w:eastAsia="宋体" w:cs="Times New Roman"/>
          <w:color w:val="auto"/>
          <w:spacing w:val="0"/>
          <w:sz w:val="24"/>
          <w:szCs w:val="24"/>
          <w:highlight w:val="none"/>
        </w:rPr>
        <w:t>日，在</w:t>
      </w:r>
      <w:r>
        <w:rPr>
          <w:rFonts w:hint="eastAsia" w:ascii="Times New Roman" w:hAnsi="Times New Roman" w:cs="Times New Roman"/>
          <w:color w:val="auto"/>
          <w:spacing w:val="0"/>
          <w:sz w:val="24"/>
          <w:szCs w:val="24"/>
          <w:highlight w:val="none"/>
          <w:lang w:val="en-US" w:eastAsia="zh-CN"/>
        </w:rPr>
        <w:t>生态环境公示</w:t>
      </w:r>
      <w:r>
        <w:rPr>
          <w:rFonts w:hint="default" w:ascii="Times New Roman" w:hAnsi="Times New Roman" w:eastAsia="宋体" w:cs="Times New Roman"/>
          <w:color w:val="auto"/>
          <w:spacing w:val="0"/>
          <w:sz w:val="24"/>
          <w:szCs w:val="24"/>
          <w:highlight w:val="none"/>
        </w:rPr>
        <w:t>网站进行了拟报批公示。环境影响评价信息公开期间，未收到公众反馈意见公示期间未收到公众反馈意见。</w:t>
      </w:r>
    </w:p>
    <w:p w14:paraId="01BFEBDC">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196" w:name="_Toc379"/>
      <w:bookmarkStart w:id="1197" w:name="_Toc14270"/>
      <w:r>
        <w:rPr>
          <w:rFonts w:hint="default" w:ascii="Times New Roman" w:hAnsi="Times New Roman" w:eastAsia="宋体" w:cs="Times New Roman"/>
          <w:bCs/>
          <w:color w:val="auto"/>
          <w:kern w:val="0"/>
          <w:sz w:val="36"/>
          <w:szCs w:val="32"/>
          <w:highlight w:val="none"/>
          <w:lang w:val="en-US" w:eastAsia="zh-CN"/>
        </w:rPr>
        <w:t>9.</w:t>
      </w:r>
      <w:r>
        <w:rPr>
          <w:rFonts w:hint="default" w:ascii="Times New Roman" w:hAnsi="Times New Roman" w:cs="Times New Roman"/>
          <w:bCs/>
          <w:color w:val="auto"/>
          <w:kern w:val="0"/>
          <w:sz w:val="36"/>
          <w:szCs w:val="32"/>
          <w:highlight w:val="none"/>
          <w:lang w:val="en-US" w:eastAsia="zh-CN"/>
        </w:rPr>
        <w:t>7</w:t>
      </w:r>
      <w:r>
        <w:rPr>
          <w:rFonts w:hint="default" w:ascii="Times New Roman" w:hAnsi="Times New Roman" w:eastAsia="宋体" w:cs="Times New Roman"/>
          <w:bCs/>
          <w:color w:val="auto"/>
          <w:kern w:val="0"/>
          <w:sz w:val="36"/>
          <w:szCs w:val="32"/>
          <w:highlight w:val="none"/>
          <w:lang w:val="en-US" w:eastAsia="zh-CN"/>
        </w:rPr>
        <w:t>总体结论</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77B0A69C">
      <w:pPr>
        <w:keepNext w:val="0"/>
        <w:keepLines w:val="0"/>
        <w:pageBreakBefore w:val="0"/>
        <w:widowControl w:val="0"/>
        <w:kinsoku/>
        <w:wordWrap/>
        <w:overflowPunct/>
        <w:topLinePunct w:val="0"/>
        <w:autoSpaceDE/>
        <w:autoSpaceDN/>
        <w:bidi w:val="0"/>
        <w:adjustRightInd/>
        <w:snapToGrid/>
        <w:spacing w:line="480" w:lineRule="exact"/>
        <w:ind w:left="0" w:firstLine="479"/>
        <w:jc w:val="both"/>
        <w:textAlignment w:val="auto"/>
        <w:rPr>
          <w:rFonts w:hint="default" w:ascii="Times New Roman" w:hAnsi="Times New Roman" w:eastAsia="宋体" w:cs="Times New Roman"/>
          <w:color w:val="auto"/>
          <w:spacing w:val="0"/>
          <w:sz w:val="24"/>
          <w:szCs w:val="24"/>
        </w:rPr>
      </w:pPr>
      <w:bookmarkStart w:id="1198" w:name="_Toc355715740"/>
      <w:bookmarkStart w:id="1199" w:name="_Toc360205169"/>
      <w:bookmarkStart w:id="1200" w:name="_Toc338153330"/>
      <w:bookmarkStart w:id="1201" w:name="_Toc318298699"/>
      <w:bookmarkStart w:id="1202" w:name="_Toc278281239"/>
      <w:bookmarkStart w:id="1203" w:name="_Toc282074163"/>
      <w:bookmarkStart w:id="1204" w:name="_Toc361840118"/>
      <w:r>
        <w:rPr>
          <w:rFonts w:hint="default" w:ascii="Times New Roman" w:hAnsi="Times New Roman" w:eastAsia="宋体" w:cs="Times New Roman"/>
          <w:color w:val="auto"/>
          <w:spacing w:val="0"/>
          <w:sz w:val="24"/>
          <w:szCs w:val="24"/>
        </w:rPr>
        <w:t>拟建项目符合国家产业政策，工艺技术先进合理，生产过程达到了清洁生产国内先进水平，厂址位置符合当地发展规划和环保要求。工程建成后，具有良好的社会、经济和环境效益。本工程在采取本评价报告所提出的各项环保措施与方案后，可实现大气污染物的稳定达标排放，生产废水、生活污水收集处理后循环利用，不外排。同时对各类固废均采取了合理可靠的处理处置措施。根据预测，工程所造成的大气、地表水、地下水、噪声、土壤环境影响均不超标，对周边环境影响较小，对生态环境、保护区安全造成的影响可降低到环境所能承受的范围。</w:t>
      </w:r>
    </w:p>
    <w:p w14:paraId="1F65A5C7">
      <w:pPr>
        <w:keepNext w:val="0"/>
        <w:keepLines w:val="0"/>
        <w:pageBreakBefore w:val="0"/>
        <w:widowControl w:val="0"/>
        <w:kinsoku/>
        <w:wordWrap/>
        <w:overflowPunct/>
        <w:topLinePunct w:val="0"/>
        <w:autoSpaceDE/>
        <w:autoSpaceDN/>
        <w:bidi w:val="0"/>
        <w:adjustRightInd/>
        <w:snapToGrid/>
        <w:spacing w:line="480" w:lineRule="exact"/>
        <w:ind w:left="0"/>
        <w:textAlignment w:val="auto"/>
        <w:rPr>
          <w:rFonts w:hint="default" w:ascii="Times New Roman" w:hAnsi="Times New Roman" w:cs="Times New Roman"/>
          <w:color w:val="auto"/>
          <w:spacing w:val="0"/>
        </w:rPr>
      </w:pPr>
      <w:r>
        <w:rPr>
          <w:rFonts w:hint="default" w:ascii="Times New Roman" w:hAnsi="Times New Roman" w:eastAsia="宋体" w:cs="Times New Roman"/>
          <w:color w:val="auto"/>
          <w:spacing w:val="0"/>
          <w:sz w:val="24"/>
          <w:szCs w:val="24"/>
        </w:rPr>
        <w:t>综上所述，本项目从</w:t>
      </w:r>
      <w:r>
        <w:rPr>
          <w:rFonts w:hint="eastAsia" w:ascii="Times New Roman" w:hAnsi="Times New Roman" w:cs="Times New Roman"/>
          <w:color w:val="auto"/>
          <w:spacing w:val="0"/>
          <w:sz w:val="24"/>
          <w:szCs w:val="24"/>
          <w:lang w:val="en-US" w:eastAsia="zh-CN"/>
        </w:rPr>
        <w:t>生态环境</w:t>
      </w:r>
      <w:r>
        <w:rPr>
          <w:rFonts w:hint="default" w:ascii="Times New Roman" w:hAnsi="Times New Roman" w:eastAsia="宋体" w:cs="Times New Roman"/>
          <w:color w:val="auto"/>
          <w:spacing w:val="0"/>
          <w:sz w:val="24"/>
          <w:szCs w:val="24"/>
        </w:rPr>
        <w:t>角度分析是可行的。</w:t>
      </w:r>
    </w:p>
    <w:p w14:paraId="12BC7C8D">
      <w:pPr>
        <w:pStyle w:val="3"/>
        <w:keepNext w:val="0"/>
        <w:keepLines w:val="0"/>
        <w:numPr>
          <w:ilvl w:val="0"/>
          <w:numId w:val="0"/>
        </w:numPr>
        <w:tabs>
          <w:tab w:val="left" w:pos="575"/>
        </w:tabs>
        <w:bidi w:val="0"/>
        <w:spacing w:before="120" w:beforeLines="0" w:beforeAutospacing="0" w:after="120" w:afterLines="0" w:afterAutospacing="0" w:line="560" w:lineRule="exact"/>
        <w:ind w:leftChars="0"/>
        <w:rPr>
          <w:rFonts w:hint="default" w:ascii="Times New Roman" w:hAnsi="Times New Roman" w:eastAsia="宋体" w:cs="Times New Roman"/>
          <w:bCs/>
          <w:color w:val="auto"/>
          <w:kern w:val="0"/>
          <w:sz w:val="36"/>
          <w:szCs w:val="32"/>
          <w:highlight w:val="none"/>
          <w:lang w:val="en-US" w:eastAsia="zh-CN"/>
        </w:rPr>
      </w:pPr>
      <w:bookmarkStart w:id="1205" w:name="_Toc5180"/>
      <w:bookmarkStart w:id="1206" w:name="_Toc492457116"/>
      <w:bookmarkStart w:id="1207" w:name="_Toc271"/>
      <w:bookmarkStart w:id="1208" w:name="_Toc9383"/>
      <w:bookmarkStart w:id="1209" w:name="_Toc6306"/>
      <w:bookmarkStart w:id="1210" w:name="_Toc10884"/>
      <w:bookmarkStart w:id="1211" w:name="_Toc16725"/>
      <w:bookmarkStart w:id="1212" w:name="_Toc16762"/>
      <w:bookmarkStart w:id="1213" w:name="_Toc9814"/>
      <w:bookmarkStart w:id="1214" w:name="_Toc5901"/>
      <w:bookmarkStart w:id="1215" w:name="_Toc21433"/>
      <w:bookmarkStart w:id="1216" w:name="_Toc22643"/>
      <w:bookmarkStart w:id="1217" w:name="_Toc482784736"/>
      <w:bookmarkStart w:id="1218" w:name="_Toc13052"/>
      <w:bookmarkStart w:id="1219" w:name="_Toc1102103295"/>
      <w:bookmarkStart w:id="1220" w:name="_Toc3260"/>
      <w:bookmarkStart w:id="1221" w:name="_Toc13981"/>
      <w:bookmarkStart w:id="1222" w:name="_Toc14571"/>
      <w:r>
        <w:rPr>
          <w:rFonts w:hint="default" w:ascii="Times New Roman" w:hAnsi="Times New Roman" w:eastAsia="宋体" w:cs="Times New Roman"/>
          <w:bCs/>
          <w:color w:val="auto"/>
          <w:kern w:val="0"/>
          <w:sz w:val="36"/>
          <w:szCs w:val="32"/>
          <w:highlight w:val="none"/>
          <w:lang w:val="en-US" w:eastAsia="zh-CN"/>
        </w:rPr>
        <w:t>9.</w:t>
      </w:r>
      <w:r>
        <w:rPr>
          <w:rFonts w:hint="default" w:ascii="Times New Roman" w:hAnsi="Times New Roman" w:cs="Times New Roman"/>
          <w:bCs/>
          <w:color w:val="auto"/>
          <w:kern w:val="0"/>
          <w:sz w:val="36"/>
          <w:szCs w:val="32"/>
          <w:highlight w:val="none"/>
          <w:lang w:val="en-US" w:eastAsia="zh-CN"/>
        </w:rPr>
        <w:t>8</w:t>
      </w:r>
      <w:r>
        <w:rPr>
          <w:rFonts w:hint="default" w:ascii="Times New Roman" w:hAnsi="Times New Roman" w:eastAsia="宋体" w:cs="Times New Roman"/>
          <w:bCs/>
          <w:color w:val="auto"/>
          <w:kern w:val="0"/>
          <w:sz w:val="36"/>
          <w:szCs w:val="32"/>
          <w:highlight w:val="none"/>
          <w:lang w:val="en-US" w:eastAsia="zh-CN"/>
        </w:rPr>
        <w:t>建议</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14:paraId="3A7DABC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）严格按要求做好粉尘的治理工作，确保无组织排放污染物达标排放。严格落实固体废物的收集、处置措施，避免对周围地表水、地下水环境造成污染。</w:t>
      </w:r>
    </w:p>
    <w:p w14:paraId="322FB394">
      <w:pPr>
        <w:rPr>
          <w:rFonts w:hint="default" w:ascii="Times New Roman" w:hAnsi="Times New Roman" w:cs="Times New Roman"/>
          <w:color w:val="auto"/>
          <w:lang w:val="en-US" w:eastAsia="zh-CN"/>
        </w:rPr>
      </w:pPr>
      <w:r>
        <w:rPr>
          <w:rFonts w:hint="default" w:ascii="Times New Roman" w:hAnsi="Times New Roman" w:eastAsia="宋体" w:cs="Times New Roman"/>
          <w:color w:val="auto"/>
          <w:sz w:val="24"/>
          <w:szCs w:val="24"/>
          <w:lang w:val="zh-TW" w:eastAsia="zh-CN"/>
        </w:rPr>
        <w:t>（</w:t>
      </w: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zh-TW" w:eastAsia="zh-CN"/>
        </w:rPr>
        <w:t>）本工程建成后3</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zh-TW" w:eastAsia="zh-CN"/>
        </w:rPr>
        <w:t>5年内，应开展环境影响后评价，重点关注工程建设的生态环境影响，根据后评价结果，及时补充、完善相关环保措施。</w:t>
      </w:r>
    </w:p>
    <w:p w14:paraId="26E6D873">
      <w:pPr>
        <w:rPr>
          <w:rFonts w:hint="default" w:ascii="Times New Roman" w:hAnsi="Times New Roman" w:cs="Times New Roman"/>
          <w:color w:val="auto"/>
        </w:rPr>
      </w:pPr>
    </w:p>
    <w:sectPr>
      <w:pgSz w:w="11906" w:h="16838"/>
      <w:pgMar w:top="1440" w:right="1803" w:bottom="1440" w:left="1803" w:header="680" w:footer="850"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decorative"/>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auto"/>
    <w:pitch w:val="default"/>
    <w:sig w:usb0="00000000" w:usb1="00000000" w:usb2="00000000" w:usb3="00000000" w:csb0="00040001" w:csb1="00000000"/>
  </w:font>
  <w:font w:name="華康中楷體">
    <w:altName w:val="Microsoft JhengHei"/>
    <w:panose1 w:val="00000000000000000000"/>
    <w:charset w:val="88"/>
    <w:family w:val="decorative"/>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隶书">
    <w:panose1 w:val="02010509060101010101"/>
    <w:charset w:val="86"/>
    <w:family w:val="swiss"/>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C659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FF393">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EF459">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OZRm0zAgAAZQQAAA4AAAAAAAAAAQAgAAAAHwEAAGRycy9lMm9Eb2MueG1sUEsF&#10;BgAAAAAGAAYAWQEAAMQFAAAAAA==&#10;">
              <v:fill on="f" focussize="0,0"/>
              <v:stroke on="f" weight="0.5pt"/>
              <v:imagedata o:title=""/>
              <o:lock v:ext="edit" aspectratio="f"/>
              <v:textbox inset="0mm,0mm,0mm,0mm" style="mso-fit-shape-to-text:t;">
                <w:txbxContent>
                  <w:p w14:paraId="5E1EF459">
                    <w:pPr>
                      <w:pStyle w:val="13"/>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668B5">
    <w:pPr>
      <w:pStyle w:val="13"/>
      <w:keepNext w:val="0"/>
      <w:keepLines w:val="0"/>
      <w:pageBreakBefore w:val="0"/>
      <w:widowControl w:val="0"/>
      <w:pBdr>
        <w:top w:val="single" w:color="auto" w:sz="4" w:space="1"/>
        <w:left w:val="none" w:color="auto" w:sz="0" w:space="4"/>
        <w:bottom w:val="none" w:color="auto" w:sz="0" w:space="1"/>
        <w:right w:val="none" w:color="auto" w:sz="0" w:space="4"/>
        <w:between w:val="none" w:color="auto" w:sz="0" w:space="0"/>
      </w:pBdr>
      <w:kinsoku/>
      <w:wordWrap/>
      <w:overflowPunct/>
      <w:topLinePunct w:val="0"/>
      <w:bidi w:val="0"/>
      <w:adjustRightInd/>
      <w:snapToGrid w:val="0"/>
      <w:spacing w:line="480" w:lineRule="exact"/>
      <w:ind w:firstLine="0" w:firstLineChars="0"/>
      <w:jc w:val="distribute"/>
      <w:textAlignment w:val="auto"/>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3" name="文本框 1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0EEAD">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2PE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6/e5t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YJdjxNAIAAGUEAAAOAAAAAAAAAAEAIAAAAB8BAABkcnMvZTJvRG9jLnhtbFBL&#10;BQYAAAAABgAGAFkBAADFBQAAAAA=&#10;">
              <v:fill on="f" focussize="0,0"/>
              <v:stroke on="f" weight="0.5pt"/>
              <v:imagedata o:title=""/>
              <o:lock v:ext="edit" aspectratio="f"/>
              <v:textbox inset="0mm,0mm,0mm,0mm" style="mso-fit-shape-to-text:t;">
                <w:txbxContent>
                  <w:p w14:paraId="4730EEAD">
                    <w:pPr>
                      <w:pStyle w:val="13"/>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3F833">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rPr>
        <w:rFonts w:hint="default"/>
        <w:sz w:val="21"/>
        <w:szCs w:val="21"/>
        <w:lang w:val="en-US"/>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3328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sc45A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I3lBimUfLTj++n&#10;nw+nX99IOoREjQszRN47xMb2nW0RPpwHHCbmbeV1+oITgR8CHy8CizYSni5NJ9NpDheHb9gAP3u8&#10;7nyI74XVJBkF9ahgJyw7bELsQ4eQlM3YtVSqq6IypCno1eu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sc45AzAgAAZQQAAA4AAAAAAAAAAQAgAAAAHwEAAGRycy9lMm9Eb2MueG1sUEsF&#10;BgAAAAAGAAYAWQEAAMQFAAAAAA==&#10;">
              <v:fill on="f" focussize="0,0"/>
              <v:stroke on="f" weight="0.5pt"/>
              <v:imagedata o:title=""/>
              <o:lock v:ext="edit" aspectratio="f"/>
              <v:textbox inset="0mm,0mm,0mm,0mm" style="mso-fit-shape-to-text:t;">
                <w:txbxContent>
                  <w:p w14:paraId="09C3328A">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16CC5">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distribute"/>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8E9E8">
                          <w:pPr>
                            <w:pStyle w:val="1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gfQw0AgAAZQQAAA4AAABkcnMvZTJvRG9jLnhtbK1UzY7TMBC+I/EO&#10;lu80adGu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oH0MNAIAAGUEAAAOAAAAAAAAAAEAIAAAAB8BAABkcnMvZTJvRG9jLnhtbFBL&#10;BQYAAAAABgAGAFkBAADFBQAAAAA=&#10;">
              <v:fill on="f" focussize="0,0"/>
              <v:stroke on="f" weight="0.5pt"/>
              <v:imagedata o:title=""/>
              <o:lock v:ext="edit" aspectratio="f"/>
              <v:textbox inset="0mm,0mm,0mm,0mm" style="mso-fit-shape-to-text:t;">
                <w:txbxContent>
                  <w:p w14:paraId="3AE8E9E8">
                    <w:pPr>
                      <w:pStyle w:val="13"/>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3DF9">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szCs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0BC4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4070BC45">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681E6">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CD386">
                          <w:pPr>
                            <w:pStyle w:val="13"/>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14:paraId="786CD386">
                    <w:pPr>
                      <w:pStyle w:val="13"/>
                    </w:pPr>
                    <w:r>
                      <w:fldChar w:fldCharType="begin"/>
                    </w:r>
                    <w:r>
                      <w:instrText xml:space="preserve"> PAGE  \* MERGEFORMAT </w:instrText>
                    </w:r>
                    <w:r>
                      <w:fldChar w:fldCharType="separate"/>
                    </w:r>
                    <w:r>
                      <w:t>55</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1B72F">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B6CB0">
                          <w:pPr>
                            <w:pStyle w:val="1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eMe4z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eMe4zAgAAZQQAAA4AAAAAAAAAAQAgAAAAHwEAAGRycy9lMm9Eb2MueG1sUEsF&#10;BgAAAAAGAAYAWQEAAMQFAAAAAA==&#10;">
              <v:fill on="f" focussize="0,0"/>
              <v:stroke on="f" weight="0.5pt"/>
              <v:imagedata o:title=""/>
              <o:lock v:ext="edit" aspectratio="f"/>
              <v:textbox inset="0mm,0mm,0mm,0mm" style="mso-fit-shape-to-text:t;">
                <w:txbxContent>
                  <w:p w14:paraId="2DDB6CB0">
                    <w:pPr>
                      <w:pStyle w:val="13"/>
                    </w:pPr>
                    <w:r>
                      <w:fldChar w:fldCharType="begin"/>
                    </w:r>
                    <w:r>
                      <w:instrText xml:space="preserve"> PAGE  \* MERGEFORMAT </w:instrText>
                    </w:r>
                    <w:r>
                      <w:fldChar w:fldCharType="separate"/>
                    </w:r>
                    <w:r>
                      <w:t>56</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79E2">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distribute"/>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CA435">
                          <w:pPr>
                            <w:pStyle w:val="13"/>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HZsDICAABlBAAADgAAAAAAAAABACAAAAAfAQAAZHJzL2Uyb0RvYy54bWxQSwUG&#10;AAAAAAYABgBZAQAAwwUAAAAA&#10;">
              <v:fill on="f" focussize="0,0"/>
              <v:stroke on="f" weight="0.5pt"/>
              <v:imagedata o:title=""/>
              <o:lock v:ext="edit" aspectratio="f"/>
              <v:textbox inset="0mm,0mm,0mm,0mm" style="mso-fit-shape-to-text:t;">
                <w:txbxContent>
                  <w:p w14:paraId="76BCA435">
                    <w:pPr>
                      <w:pStyle w:val="13"/>
                    </w:pPr>
                    <w:r>
                      <w:fldChar w:fldCharType="begin"/>
                    </w:r>
                    <w:r>
                      <w:instrText xml:space="preserve"> PAGE  \* MERGEFORMAT </w:instrText>
                    </w:r>
                    <w:r>
                      <w:fldChar w:fldCharType="separate"/>
                    </w:r>
                    <w:r>
                      <w:t>99</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8A441">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distribute"/>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2FC2E">
                          <w:pPr>
                            <w:pStyle w:val="13"/>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14:paraId="7442FC2E">
                    <w:pPr>
                      <w:pStyle w:val="13"/>
                    </w:pPr>
                    <w:r>
                      <w:fldChar w:fldCharType="begin"/>
                    </w:r>
                    <w:r>
                      <w:instrText xml:space="preserve"> PAGE  \* MERGEFORMAT </w:instrText>
                    </w:r>
                    <w:r>
                      <w:fldChar w:fldCharType="separate"/>
                    </w:r>
                    <w:r>
                      <w:t>98</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5C3EC">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distribute"/>
    </w:pPr>
    <w:r>
      <w:rPr>
        <w:sz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09683">
                          <w:pPr>
                            <w:pStyle w:val="13"/>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9aMk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w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31oyTICAABlBAAADgAAAAAAAAABACAAAAAfAQAAZHJzL2Uyb0RvYy54bWxQSwUG&#10;AAAAAAYABgBZAQAAwwUAAAAA&#10;">
              <v:fill on="f" focussize="0,0"/>
              <v:stroke on="f" weight="0.5pt"/>
              <v:imagedata o:title=""/>
              <o:lock v:ext="edit" aspectratio="f"/>
              <v:textbox inset="0mm,0mm,0mm,0mm" style="mso-fit-shape-to-text:t;">
                <w:txbxContent>
                  <w:p w14:paraId="06D09683">
                    <w:pPr>
                      <w:pStyle w:val="13"/>
                    </w:pPr>
                    <w:r>
                      <w:fldChar w:fldCharType="begin"/>
                    </w:r>
                    <w:r>
                      <w:instrText xml:space="preserve"> PAGE  \* MERGEFORMAT </w:instrText>
                    </w:r>
                    <w:r>
                      <w:fldChar w:fldCharType="separate"/>
                    </w:r>
                    <w:r>
                      <w:t>101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4CC0B">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distribute"/>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583FA">
                          <w:pPr>
                            <w:pStyle w:val="13"/>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urc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urczAgAAZQQAAA4AAAAAAAAAAQAgAAAAHwEAAGRycy9lMm9Eb2MueG1sUEsF&#10;BgAAAAAGAAYAWQEAAMQFAAAAAA==&#10;">
              <v:fill on="f" focussize="0,0"/>
              <v:stroke on="f" weight="0.5pt"/>
              <v:imagedata o:title=""/>
              <o:lock v:ext="edit" aspectratio="f"/>
              <v:textbox inset="0mm,0mm,0mm,0mm" style="mso-fit-shape-to-text:t;">
                <w:txbxContent>
                  <w:p w14:paraId="1F5583FA">
                    <w:pPr>
                      <w:pStyle w:val="13"/>
                    </w:pPr>
                    <w:r>
                      <w:fldChar w:fldCharType="begin"/>
                    </w:r>
                    <w:r>
                      <w:instrText xml:space="preserve"> PAGE  \* MERGEFORMAT </w:instrText>
                    </w:r>
                    <w:r>
                      <w:fldChar w:fldCharType="separate"/>
                    </w:r>
                    <w:r>
                      <w:t>102</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D35FF">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94911">
                          <w:pPr>
                            <w:pStyle w:val="13"/>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38994911">
                    <w:pPr>
                      <w:pStyle w:val="13"/>
                    </w:pPr>
                    <w:r>
                      <w:fldChar w:fldCharType="begin"/>
                    </w:r>
                    <w:r>
                      <w:instrText xml:space="preserve"> PAGE  \* MERGEFORMAT </w:instrText>
                    </w:r>
                    <w:r>
                      <w:fldChar w:fldCharType="separate"/>
                    </w:r>
                    <w:r>
                      <w:t>127</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55335">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E4496">
                          <w:pPr>
                            <w:pStyle w:val="13"/>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14:paraId="092E4496">
                    <w:pPr>
                      <w:pStyle w:val="13"/>
                    </w:pPr>
                    <w:r>
                      <w:fldChar w:fldCharType="begin"/>
                    </w:r>
                    <w:r>
                      <w:instrText xml:space="preserve"> PAGE  \* MERGEFORMAT </w:instrText>
                    </w:r>
                    <w:r>
                      <w:fldChar w:fldCharType="separate"/>
                    </w:r>
                    <w:r>
                      <w:t>128</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C4C71">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firstLine="420" w:firstLineChars="200"/>
      <w:jc w:val="distribute"/>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1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048E2">
                          <w:pPr>
                            <w:pStyle w:val="13"/>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GgdY0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fXo3ThYsH4FIjRyTRPTZaod21PbOd&#10;KU4g5kzXHd7yTY3kW+bDPXNoBzwYAxPusJTSIInpLUoq477+6zzGo0rwUtKgvXKqMU2UyA8a1QNg&#10;GAw3GLvB0Ad1a9CvEwyi5cnEBRfkYJbOqC+YolXMARfTHJlyGgbzNnQtjinkYrVKQQfr6n3VXUDv&#10;WRa2+sHymCYK6e3qECBm0jgK1KnS64buS1XqJyW295/7FP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hoHWNAIAAGUEAAAOAAAAAAAAAAEAIAAAAB8BAABkcnMvZTJvRG9jLnhtbFBL&#10;BQYAAAAABgAGAFkBAADFBQAAAAA=&#10;">
              <v:fill on="f" focussize="0,0"/>
              <v:stroke on="f" weight="0.5pt"/>
              <v:imagedata o:title=""/>
              <o:lock v:ext="edit" aspectratio="f"/>
              <v:textbox inset="0mm,0mm,0mm,0mm" style="mso-fit-shape-to-text:t;">
                <w:txbxContent>
                  <w:p w14:paraId="3A6048E2">
                    <w:pPr>
                      <w:pStyle w:val="13"/>
                    </w:pPr>
                    <w:r>
                      <w:fldChar w:fldCharType="begin"/>
                    </w:r>
                    <w:r>
                      <w:instrText xml:space="preserve"> PAGE  \* MERGEFORMAT </w:instrText>
                    </w:r>
                    <w:r>
                      <w:fldChar w:fldCharType="separate"/>
                    </w:r>
                    <w:r>
                      <w:t>141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462CA">
    <w:pPr>
      <w:pStyle w:val="13"/>
    </w:pPr>
    <w:r>
      <w:rPr>
        <w:sz w:val="21"/>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 name="文本框 1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F358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EU6gz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BEU6gzAgAAZQQAAA4AAAAAAAAAAQAgAAAAHwEAAGRycy9lMm9Eb2MueG1sUEsF&#10;BgAAAAAGAAYAWQEAAMQFAAAAAA==&#10;">
              <v:fill on="f" focussize="0,0"/>
              <v:stroke on="f" weight="0.5pt"/>
              <v:imagedata o:title=""/>
              <o:lock v:ext="edit" aspectratio="f"/>
              <v:textbox inset="0mm,0mm,0mm,0mm" style="mso-fit-shape-to-text:t;">
                <w:txbxContent>
                  <w:p w14:paraId="4C0F3583">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4376">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rFonts w:hint="eastAsia"/>
        <w:sz w:val="21"/>
        <w:szCs w:val="21"/>
        <w:lang w:val="en-US" w:eastAsia="zh-CN"/>
      </w:rPr>
      <w:t>新疆恒升融裕环保科技有限公司                             电话：0991-3333881</w:t>
    </w: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4F2FC">
                          <w:pPr>
                            <w:pStyle w:val="13"/>
                          </w:pPr>
                          <w:r>
                            <w:fldChar w:fldCharType="begin"/>
                          </w:r>
                          <w:r>
                            <w:instrText xml:space="preserve"> PAGE  \* MERGEFORMAT </w:instrText>
                          </w:r>
                          <w:r>
                            <w:fldChar w:fldCharType="separate"/>
                          </w:r>
                          <w:r>
                            <w:t>144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4zT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b+M00NAIAAGUEAAAOAAAAAAAAAAEAIAAAAB8BAABkcnMvZTJvRG9jLnhtbFBL&#10;BQYAAAAABgAGAFkBAADFBQAAAAA=&#10;">
              <v:fill on="f" focussize="0,0"/>
              <v:stroke on="f" weight="0.5pt"/>
              <v:imagedata o:title=""/>
              <o:lock v:ext="edit" aspectratio="f"/>
              <v:textbox inset="0mm,0mm,0mm,0mm" style="mso-fit-shape-to-text:t;">
                <w:txbxContent>
                  <w:p w14:paraId="10A4F2FC">
                    <w:pPr>
                      <w:pStyle w:val="13"/>
                    </w:pPr>
                    <w:r>
                      <w:fldChar w:fldCharType="begin"/>
                    </w:r>
                    <w:r>
                      <w:instrText xml:space="preserve"> PAGE  \* MERGEFORMAT </w:instrText>
                    </w:r>
                    <w:r>
                      <w:fldChar w:fldCharType="separate"/>
                    </w:r>
                    <w:r>
                      <w:t>144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20DC0">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left"/>
    </w:pPr>
    <w:r>
      <w:rPr>
        <w:sz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8" name="文本框 1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EAE00">
                          <w:pPr>
                            <w:pStyle w:val="13"/>
                          </w:pPr>
                          <w:r>
                            <w:fldChar w:fldCharType="begin"/>
                          </w:r>
                          <w:r>
                            <w:instrText xml:space="preserve"> PAGE  \* MERGEFORMAT </w:instrText>
                          </w:r>
                          <w:r>
                            <w:fldChar w:fldCharType="separate"/>
                          </w:r>
                          <w:r>
                            <w:t>145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3JWo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jclajICAABlBAAADgAAAAAAAAABACAAAAAfAQAAZHJzL2Uyb0RvYy54bWxQSwUG&#10;AAAAAAYABgBZAQAAwwUAAAAA&#10;">
              <v:fill on="f" focussize="0,0"/>
              <v:stroke on="f" weight="0.5pt"/>
              <v:imagedata o:title=""/>
              <o:lock v:ext="edit" aspectratio="f"/>
              <v:textbox inset="0mm,0mm,0mm,0mm" style="mso-fit-shape-to-text:t;">
                <w:txbxContent>
                  <w:p w14:paraId="780EAE00">
                    <w:pPr>
                      <w:pStyle w:val="13"/>
                    </w:pPr>
                    <w:r>
                      <w:fldChar w:fldCharType="begin"/>
                    </w:r>
                    <w:r>
                      <w:instrText xml:space="preserve"> PAGE  \* MERGEFORMAT </w:instrText>
                    </w:r>
                    <w:r>
                      <w:fldChar w:fldCharType="separate"/>
                    </w:r>
                    <w:r>
                      <w:t>145</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F639F">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9"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3DED6">
                          <w:pPr>
                            <w:pStyle w:val="13"/>
                          </w:pPr>
                          <w:r>
                            <w:fldChar w:fldCharType="begin"/>
                          </w:r>
                          <w:r>
                            <w:instrText xml:space="preserve"> PAGE  \* MERGEFORMAT </w:instrText>
                          </w:r>
                          <w:r>
                            <w:fldChar w:fldCharType="separate"/>
                          </w:r>
                          <w:r>
                            <w:t>146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2Lu/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i7v2NAIAAGUEAAAOAAAAAAAAAAEAIAAAAB8BAABkcnMvZTJvRG9jLnhtbFBL&#10;BQYAAAAABgAGAFkBAADFBQAAAAA=&#10;">
              <v:fill on="f" focussize="0,0"/>
              <v:stroke on="f" weight="0.5pt"/>
              <v:imagedata o:title=""/>
              <o:lock v:ext="edit" aspectratio="f"/>
              <v:textbox inset="0mm,0mm,0mm,0mm" style="mso-fit-shape-to-text:t;">
                <w:txbxContent>
                  <w:p w14:paraId="4413DED6">
                    <w:pPr>
                      <w:pStyle w:val="13"/>
                    </w:pPr>
                    <w:r>
                      <w:fldChar w:fldCharType="begin"/>
                    </w:r>
                    <w:r>
                      <w:instrText xml:space="preserve"> PAGE  \* MERGEFORMAT </w:instrText>
                    </w:r>
                    <w:r>
                      <w:fldChar w:fldCharType="separate"/>
                    </w:r>
                    <w:r>
                      <w:t>146</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CD757">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3AA42">
                          <w:pPr>
                            <w:pStyle w:val="13"/>
                          </w:pPr>
                          <w:r>
                            <w:fldChar w:fldCharType="begin"/>
                          </w:r>
                          <w:r>
                            <w:instrText xml:space="preserve"> PAGE  \* MERGEFORMAT </w:instrText>
                          </w:r>
                          <w:r>
                            <w:fldChar w:fldCharType="separate"/>
                          </w:r>
                          <w:r>
                            <w:t>151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tg+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a2D4TICAABlBAAADgAAAAAAAAABACAAAAAfAQAAZHJzL2Uyb0RvYy54bWxQSwUG&#10;AAAAAAYABgBZAQAAwwUAAAAA&#10;">
              <v:fill on="f" focussize="0,0"/>
              <v:stroke on="f" weight="0.5pt"/>
              <v:imagedata o:title=""/>
              <o:lock v:ext="edit" aspectratio="f"/>
              <v:textbox inset="0mm,0mm,0mm,0mm" style="mso-fit-shape-to-text:t;">
                <w:txbxContent>
                  <w:p w14:paraId="4803AA42">
                    <w:pPr>
                      <w:pStyle w:val="13"/>
                    </w:pPr>
                    <w:r>
                      <w:fldChar w:fldCharType="begin"/>
                    </w:r>
                    <w:r>
                      <w:instrText xml:space="preserve"> PAGE  \* MERGEFORMAT </w:instrText>
                    </w:r>
                    <w:r>
                      <w:fldChar w:fldCharType="separate"/>
                    </w:r>
                    <w:r>
                      <w:t>151</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5820F">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161B5">
                          <w:pPr>
                            <w:pStyle w:val="13"/>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RHX0y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dfTICAABlBAAADgAAAAAAAAABACAAAAAfAQAAZHJzL2Uyb0RvYy54bWxQSwUG&#10;AAAAAAYABgBZAQAAwwUAAAAA&#10;">
              <v:fill on="f" focussize="0,0"/>
              <v:stroke on="f" weight="0.5pt"/>
              <v:imagedata o:title=""/>
              <o:lock v:ext="edit" aspectratio="f"/>
              <v:textbox inset="0mm,0mm,0mm,0mm" style="mso-fit-shape-to-text:t;">
                <w:txbxContent>
                  <w:p w14:paraId="595161B5">
                    <w:pPr>
                      <w:pStyle w:val="13"/>
                    </w:pPr>
                    <w:r>
                      <w:fldChar w:fldCharType="begin"/>
                    </w:r>
                    <w:r>
                      <w:instrText xml:space="preserve"> PAGE  \* MERGEFORMAT </w:instrText>
                    </w:r>
                    <w:r>
                      <w:fldChar w:fldCharType="separate"/>
                    </w:r>
                    <w:r>
                      <w:t>150</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2A3FD">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B26B0A">
                          <w:pPr>
                            <w:pStyle w:val="13"/>
                          </w:pPr>
                          <w:r>
                            <w:fldChar w:fldCharType="begin"/>
                          </w:r>
                          <w:r>
                            <w:instrText xml:space="preserve"> PAGE  \* MERGEFORMAT </w:instrText>
                          </w:r>
                          <w:r>
                            <w:fldChar w:fldCharType="separate"/>
                          </w:r>
                          <w:r>
                            <w:t>173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vUZ8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FvUZ8zAgAAZQQAAA4AAAAAAAAAAQAgAAAAHwEAAGRycy9lMm9Eb2MueG1sUEsF&#10;BgAAAAAGAAYAWQEAAMQFAAAAAA==&#10;">
              <v:fill on="f" focussize="0,0"/>
              <v:stroke on="f" weight="0.5pt"/>
              <v:imagedata o:title=""/>
              <o:lock v:ext="edit" aspectratio="f"/>
              <v:textbox inset="0mm,0mm,0mm,0mm" style="mso-fit-shape-to-text:t;">
                <w:txbxContent>
                  <w:p w14:paraId="1FB26B0A">
                    <w:pPr>
                      <w:pStyle w:val="13"/>
                    </w:pPr>
                    <w:r>
                      <w:fldChar w:fldCharType="begin"/>
                    </w:r>
                    <w:r>
                      <w:instrText xml:space="preserve"> PAGE  \* MERGEFORMAT </w:instrText>
                    </w:r>
                    <w:r>
                      <w:fldChar w:fldCharType="separate"/>
                    </w:r>
                    <w:r>
                      <w:t>173</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24847">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2F803">
                          <w:pPr>
                            <w:pStyle w:val="13"/>
                          </w:pPr>
                          <w:r>
                            <w:fldChar w:fldCharType="begin"/>
                          </w:r>
                          <w:r>
                            <w:instrText xml:space="preserve"> PAGE  \* MERGEFORMAT </w:instrText>
                          </w:r>
                          <w:r>
                            <w:fldChar w:fldCharType="separate"/>
                          </w:r>
                          <w:r>
                            <w:t>177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Wav4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Vmr+NAIAAGUEAAAOAAAAAAAAAAEAIAAAAB8BAABkcnMvZTJvRG9jLnhtbFBL&#10;BQYAAAAABgAGAFkBAADFBQAAAAA=&#10;">
              <v:fill on="f" focussize="0,0"/>
              <v:stroke on="f" weight="0.5pt"/>
              <v:imagedata o:title=""/>
              <o:lock v:ext="edit" aspectratio="f"/>
              <v:textbox inset="0mm,0mm,0mm,0mm" style="mso-fit-shape-to-text:t;">
                <w:txbxContent>
                  <w:p w14:paraId="3B92F803">
                    <w:pPr>
                      <w:pStyle w:val="13"/>
                    </w:pPr>
                    <w:r>
                      <w:fldChar w:fldCharType="begin"/>
                    </w:r>
                    <w:r>
                      <w:instrText xml:space="preserve"> PAGE  \* MERGEFORMAT </w:instrText>
                    </w:r>
                    <w:r>
                      <w:fldChar w:fldCharType="separate"/>
                    </w:r>
                    <w:r>
                      <w:t>177</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266F">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9AA87">
                          <w:pPr>
                            <w:pStyle w:val="13"/>
                          </w:pPr>
                          <w:r>
                            <w:fldChar w:fldCharType="begin"/>
                          </w:r>
                          <w:r>
                            <w:instrText xml:space="preserve"> PAGE  \* MERGEFORMAT </w:instrText>
                          </w:r>
                          <w:r>
                            <w:fldChar w:fldCharType="separate"/>
                          </w:r>
                          <w:r>
                            <w:t>183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q9GI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nq9GIzAgAAZQQAAA4AAAAAAAAAAQAgAAAAHwEAAGRycy9lMm9Eb2MueG1sUEsF&#10;BgAAAAAGAAYAWQEAAMQFAAAAAA==&#10;">
              <v:fill on="f" focussize="0,0"/>
              <v:stroke on="f" weight="0.5pt"/>
              <v:imagedata o:title=""/>
              <o:lock v:ext="edit" aspectratio="f"/>
              <v:textbox inset="0mm,0mm,0mm,0mm" style="mso-fit-shape-to-text:t;">
                <w:txbxContent>
                  <w:p w14:paraId="7099AA87">
                    <w:pPr>
                      <w:pStyle w:val="13"/>
                    </w:pPr>
                    <w:r>
                      <w:fldChar w:fldCharType="begin"/>
                    </w:r>
                    <w:r>
                      <w:instrText xml:space="preserve"> PAGE  \* MERGEFORMAT </w:instrText>
                    </w:r>
                    <w:r>
                      <w:fldChar w:fldCharType="separate"/>
                    </w:r>
                    <w:r>
                      <w:t>183</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6253A">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A4D42">
                          <w:pPr>
                            <w:pStyle w:val="13"/>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UoJhw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nRG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UoJhwzAgAAZQQAAA4AAAAAAAAAAQAgAAAAHwEAAGRycy9lMm9Eb2MueG1sUEsF&#10;BgAAAAAGAAYAWQEAAMQFAAAAAA==&#10;">
              <v:fill on="f" focussize="0,0"/>
              <v:stroke on="f" weight="0.5pt"/>
              <v:imagedata o:title=""/>
              <o:lock v:ext="edit" aspectratio="f"/>
              <v:textbox inset="0mm,0mm,0mm,0mm" style="mso-fit-shape-to-text:t;">
                <w:txbxContent>
                  <w:p w14:paraId="4F4A4D42">
                    <w:pPr>
                      <w:pStyle w:val="13"/>
                    </w:pPr>
                    <w:r>
                      <w:fldChar w:fldCharType="begin"/>
                    </w:r>
                    <w:r>
                      <w:instrText xml:space="preserve"> PAGE  \* MERGEFORMAT </w:instrText>
                    </w:r>
                    <w:r>
                      <w:fldChar w:fldCharType="separate"/>
                    </w:r>
                    <w:r>
                      <w:t>182</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B221">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411A8">
                          <w:pPr>
                            <w:pStyle w:val="13"/>
                          </w:pPr>
                          <w:r>
                            <w:fldChar w:fldCharType="begin"/>
                          </w:r>
                          <w:r>
                            <w:instrText xml:space="preserve"> PAGE  \* MERGEFORMAT </w:instrText>
                          </w:r>
                          <w:r>
                            <w:fldChar w:fldCharType="separate"/>
                          </w:r>
                          <w:r>
                            <w:t>207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6UuIA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lLiANAIAAGUEAAAOAAAAAAAAAAEAIAAAAB8BAABkcnMvZTJvRG9jLnhtbFBL&#10;BQYAAAAABgAGAFkBAADFBQAAAAA=&#10;">
              <v:fill on="f" focussize="0,0"/>
              <v:stroke on="f" weight="0.5pt"/>
              <v:imagedata o:title=""/>
              <o:lock v:ext="edit" aspectratio="f"/>
              <v:textbox inset="0mm,0mm,0mm,0mm" style="mso-fit-shape-to-text:t;">
                <w:txbxContent>
                  <w:p w14:paraId="635411A8">
                    <w:pPr>
                      <w:pStyle w:val="13"/>
                    </w:pPr>
                    <w:r>
                      <w:fldChar w:fldCharType="begin"/>
                    </w:r>
                    <w:r>
                      <w:instrText xml:space="preserve"> PAGE  \* MERGEFORMAT </w:instrText>
                    </w:r>
                    <w:r>
                      <w:fldChar w:fldCharType="separate"/>
                    </w:r>
                    <w:r>
                      <w:t>207</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C1D09">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80B315">
                          <w:pPr>
                            <w:pStyle w:val="13"/>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bUN4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1tQ3jICAABlBAAADgAAAAAAAAABACAAAAAfAQAAZHJzL2Uyb0RvYy54bWxQSwUG&#10;AAAAAAYABgBZAQAAwwUAAAAA&#10;">
              <v:fill on="f" focussize="0,0"/>
              <v:stroke on="f" weight="0.5pt"/>
              <v:imagedata o:title=""/>
              <o:lock v:ext="edit" aspectratio="f"/>
              <v:textbox inset="0mm,0mm,0mm,0mm" style="mso-fit-shape-to-text:t;">
                <w:txbxContent>
                  <w:p w14:paraId="7F80B315">
                    <w:pPr>
                      <w:pStyle w:val="13"/>
                    </w:pPr>
                    <w:r>
                      <w:fldChar w:fldCharType="begin"/>
                    </w:r>
                    <w:r>
                      <w:instrText xml:space="preserve"> PAGE  \* MERGEFORMAT </w:instrText>
                    </w:r>
                    <w:r>
                      <w:fldChar w:fldCharType="separate"/>
                    </w:r>
                    <w:r>
                      <w:t>223</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8D21D">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 name="文本框 1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D3FD0">
                          <w:pPr>
                            <w:pStyle w:val="13"/>
                          </w:pPr>
                          <w:r>
                            <w:fldChar w:fldCharType="begin"/>
                          </w:r>
                          <w:r>
                            <w:instrText xml:space="preserve"> PAGE  \* MERGEFORMAT </w:instrText>
                          </w:r>
                          <w:r>
                            <w:fldChar w:fldCharType="separate"/>
                          </w:r>
                          <w:r>
                            <w:t>222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nzkI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TFMo+SnH99P&#10;Px9Ov76RdAiJGhdmiLx3iI3tO9sifDgPOEzM28rr9AUnAj8EPl4EFm0kPF2aTqbTHC4O37ABfvZ4&#10;3fkQ3wurSTIK6lHBTlh22ITYhw4hKZuxa6lUV0VlSFPQq9dv8u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I585CNAIAAGUEAAAOAAAAAAAAAAEAIAAAAB8BAABkcnMvZTJvRG9jLnhtbFBL&#10;BQYAAAAABgAGAFkBAADFBQAAAAA=&#10;">
              <v:fill on="f" focussize="0,0"/>
              <v:stroke on="f" weight="0.5pt"/>
              <v:imagedata o:title=""/>
              <o:lock v:ext="edit" aspectratio="f"/>
              <v:textbox inset="0mm,0mm,0mm,0mm" style="mso-fit-shape-to-text:t;">
                <w:txbxContent>
                  <w:p w14:paraId="45AD3FD0">
                    <w:pPr>
                      <w:pStyle w:val="13"/>
                    </w:pPr>
                    <w:r>
                      <w:fldChar w:fldCharType="begin"/>
                    </w:r>
                    <w:r>
                      <w:instrText xml:space="preserve"> PAGE  \* MERGEFORMAT </w:instrText>
                    </w:r>
                    <w:r>
                      <w:fldChar w:fldCharType="separate"/>
                    </w:r>
                    <w:r>
                      <w:t>222</w:t>
                    </w:r>
                    <w:r>
                      <w:fldChar w:fldCharType="end"/>
                    </w:r>
                  </w:p>
                </w:txbxContent>
              </v:textbox>
            </v:shape>
          </w:pict>
        </mc:Fallback>
      </mc:AlternateContent>
    </w:r>
    <w:r>
      <w:rPr>
        <w:rFonts w:hint="eastAsia"/>
        <w:sz w:val="21"/>
        <w:szCs w:val="21"/>
        <w:lang w:val="en-US" w:eastAsia="zh-CN"/>
      </w:rPr>
      <w:t>新疆恒升融裕环保科技有限公司                             电话：0991-3333881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01566">
    <w:pPr>
      <w:pStyle w:val="13"/>
      <w:widowControl w:val="0"/>
      <w:pBdr>
        <w:top w:val="single" w:color="auto" w:sz="4" w:space="1"/>
        <w:left w:val="none" w:color="auto" w:sz="0" w:space="4"/>
        <w:bottom w:val="none" w:color="auto" w:sz="0" w:space="1"/>
        <w:right w:val="none" w:color="auto" w:sz="0" w:space="4"/>
        <w:between w:val="none" w:color="auto" w:sz="0" w:space="0"/>
      </w:pBdr>
      <w:snapToGrid w:val="0"/>
      <w:spacing w:line="480" w:lineRule="exact"/>
      <w:ind w:left="0" w:leftChars="0" w:firstLine="0" w:firstLineChars="0"/>
      <w:jc w:val="cente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09718">
                          <w:pPr>
                            <w:pStyle w:val="13"/>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GLfz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GLfzszAgAAZQQAAA4AAAAAAAAAAQAgAAAAHwEAAGRycy9lMm9Eb2MueG1sUEsF&#10;BgAAAAAGAAYAWQEAAMQFAAAAAA==&#10;">
              <v:fill on="f" focussize="0,0"/>
              <v:stroke on="f" weight="0.5pt"/>
              <v:imagedata o:title=""/>
              <o:lock v:ext="edit" aspectratio="f"/>
              <v:textbox inset="0mm,0mm,0mm,0mm" style="mso-fit-shape-to-text:t;">
                <w:txbxContent>
                  <w:p w14:paraId="1A209718">
                    <w:pPr>
                      <w:pStyle w:val="13"/>
                    </w:pPr>
                    <w:r>
                      <w:fldChar w:fldCharType="begin"/>
                    </w:r>
                    <w:r>
                      <w:instrText xml:space="preserve"> PAGE  \* MERGEFORMAT </w:instrText>
                    </w:r>
                    <w:r>
                      <w:fldChar w:fldCharType="separate"/>
                    </w:r>
                    <w:r>
                      <w:t>227</w:t>
                    </w:r>
                    <w:r>
                      <w:fldChar w:fldCharType="end"/>
                    </w:r>
                  </w:p>
                </w:txbxContent>
              </v:textbox>
            </v:shape>
          </w:pict>
        </mc:Fallback>
      </mc:AlternateContent>
    </w:r>
    <w:r>
      <w:rPr>
        <w:rFonts w:hint="eastAsia"/>
        <w:sz w:val="21"/>
        <w:szCs w:val="21"/>
        <w:lang w:val="en-US" w:eastAsia="zh-CN"/>
      </w:rPr>
      <w:t>电话：0991-3333881                              新疆恒升融裕环保科技有限公司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653D">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F790">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default" w:ascii="Times New Roman" w:hAnsi="Times New Roman" w:eastAsia="宋体" w:cs="Times New Roman"/>
        <w:b/>
        <w:bCs/>
        <w:color w:val="auto"/>
        <w:sz w:val="21"/>
        <w:szCs w:val="21"/>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B3EC4">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ascii="Times New Roman" w:hAnsi="Times New Roman" w:eastAsia="宋体" w:cs="Times New Roman"/>
        <w:color w:val="000000"/>
        <w:sz w:val="21"/>
        <w:szCs w:val="21"/>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C7669">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4BB0A">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ascii="Times New Roman" w:hAnsi="黑体" w:eastAsia="黑体" w:cs="Times New Roman"/>
        <w:color w:val="000000"/>
        <w:sz w:val="24"/>
        <w:szCs w:val="24"/>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CBE3">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lang w:eastAsia="zh-CN"/>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725E9">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3F8C5">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lang w:eastAsia="zh-CN"/>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2DEAC">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C372E">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04D58">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78CAD">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18BE1">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F47B">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FFAB8">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7EA90">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C9E0">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34BEA">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eastAsia="宋体"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CAE32">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eastAsia="宋体"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67C96">
    <w:pPr>
      <w:pStyle w:val="14"/>
      <w:keepNext w:val="0"/>
      <w:keepLines w:val="0"/>
      <w:pageBreakBefore w:val="0"/>
      <w:widowControl w:val="0"/>
      <w:pBdr>
        <w:bottom w:val="thinThickSmallGap" w:color="auto" w:sz="12" w:space="1"/>
      </w:pBd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default"/>
      </w:rPr>
    </w:pPr>
    <w:r>
      <w:rPr>
        <w:rFonts w:hint="eastAsia" w:ascii="Times New Roman" w:hAnsi="Times New Roman" w:cs="Times New Roman"/>
        <w:b/>
        <w:bCs/>
        <w:color w:val="auto"/>
        <w:sz w:val="21"/>
        <w:szCs w:val="21"/>
        <w:lang w:eastAsia="zh-CN"/>
      </w:rPr>
      <w:t>哈密市金石矿业有限责任公司哈密市大红山北铜矿地下开采建设项目</w:t>
    </w:r>
    <w:r>
      <w:rPr>
        <w:rFonts w:hint="eastAsia" w:ascii="Times New Roman" w:hAnsi="Times New Roman" w:eastAsia="宋体" w:cs="Times New Roman"/>
        <w:b/>
        <w:bCs/>
        <w:color w:val="auto"/>
        <w:sz w:val="21"/>
        <w:szCs w:val="21"/>
        <w:lang w:val="en-US" w:eastAsia="zh-CN"/>
      </w:rPr>
      <w:t>生态</w:t>
    </w:r>
    <w:r>
      <w:rPr>
        <w:rFonts w:hint="default" w:ascii="Times New Roman" w:hAnsi="Times New Roman" w:eastAsia="宋体" w:cs="Times New Roman"/>
        <w:b/>
        <w:bCs/>
        <w:color w:val="auto"/>
        <w:sz w:val="21"/>
        <w:szCs w:val="21"/>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9105C6"/>
    <w:multiLevelType w:val="singleLevel"/>
    <w:tmpl w:val="B59105C6"/>
    <w:lvl w:ilvl="0" w:tentative="0">
      <w:start w:val="2"/>
      <w:numFmt w:val="decimal"/>
      <w:suff w:val="nothing"/>
      <w:lvlText w:val="%1）"/>
      <w:lvlJc w:val="left"/>
    </w:lvl>
  </w:abstractNum>
  <w:abstractNum w:abstractNumId="1">
    <w:nsid w:val="00000023"/>
    <w:multiLevelType w:val="multilevel"/>
    <w:tmpl w:val="00000023"/>
    <w:lvl w:ilvl="0" w:tentative="0">
      <w:start w:val="1"/>
      <w:numFmt w:val="upperLetter"/>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0A71D5A1"/>
    <w:multiLevelType w:val="singleLevel"/>
    <w:tmpl w:val="0A71D5A1"/>
    <w:lvl w:ilvl="0" w:tentative="0">
      <w:start w:val="1"/>
      <w:numFmt w:val="decimal"/>
      <w:suff w:val="nothing"/>
      <w:lvlText w:val="%1、"/>
      <w:lvlJc w:val="left"/>
    </w:lvl>
  </w:abstractNum>
  <w:abstractNum w:abstractNumId="3">
    <w:nsid w:val="0D663E45"/>
    <w:multiLevelType w:val="multilevel"/>
    <w:tmpl w:val="0D663E45"/>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567" w:hanging="567"/>
      </w:pPr>
      <w:rPr>
        <w:rFonts w:hint="eastAsia"/>
      </w:rPr>
    </w:lvl>
    <w:lvl w:ilvl="2" w:tentative="0">
      <w:start w:val="1"/>
      <w:numFmt w:val="decimal"/>
      <w:pStyle w:val="4"/>
      <w:suff w:val="space"/>
      <w:lvlText w:val="%1.%2.%3"/>
      <w:lvlJc w:val="left"/>
      <w:pPr>
        <w:ind w:left="709" w:hanging="709"/>
      </w:pPr>
      <w:rPr>
        <w:rFonts w:hint="eastAsia"/>
      </w:rPr>
    </w:lvl>
    <w:lvl w:ilvl="3" w:tentative="0">
      <w:start w:val="1"/>
      <w:numFmt w:val="decimal"/>
      <w:lvlText w:val="%1.%2.%3.%4"/>
      <w:lvlJc w:val="left"/>
      <w:pPr>
        <w:tabs>
          <w:tab w:val="left" w:pos="0"/>
        </w:tabs>
        <w:ind w:left="0" w:firstLine="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7904D0A"/>
    <w:multiLevelType w:val="singleLevel"/>
    <w:tmpl w:val="17904D0A"/>
    <w:lvl w:ilvl="0" w:tentative="0">
      <w:start w:val="9"/>
      <w:numFmt w:val="decimal"/>
      <w:suff w:val="nothing"/>
      <w:lvlText w:val="（%1）"/>
      <w:lvlJc w:val="left"/>
    </w:lvl>
  </w:abstractNum>
  <w:abstractNum w:abstractNumId="5">
    <w:nsid w:val="4A130CA9"/>
    <w:multiLevelType w:val="singleLevel"/>
    <w:tmpl w:val="4A130CA9"/>
    <w:lvl w:ilvl="0" w:tentative="0">
      <w:start w:val="1"/>
      <w:numFmt w:val="decimal"/>
      <w:suff w:val="nothing"/>
      <w:lvlText w:val="（%1）"/>
      <w:lvlJc w:val="left"/>
    </w:lvl>
  </w:abstractNum>
  <w:abstractNum w:abstractNumId="6">
    <w:nsid w:val="5575549A"/>
    <w:multiLevelType w:val="singleLevel"/>
    <w:tmpl w:val="5575549A"/>
    <w:lvl w:ilvl="0" w:tentative="0">
      <w:start w:val="1"/>
      <w:numFmt w:val="decimal"/>
      <w:suff w:val="nothing"/>
      <w:lvlText w:val="（%1）"/>
      <w:lvlJc w:val="left"/>
      <w:pPr>
        <w:ind w:left="360"/>
      </w:pPr>
    </w:lvl>
  </w:abstractNum>
  <w:abstractNum w:abstractNumId="7">
    <w:nsid w:val="5FA781AE"/>
    <w:multiLevelType w:val="singleLevel"/>
    <w:tmpl w:val="5FA781AE"/>
    <w:lvl w:ilvl="0" w:tentative="0">
      <w:start w:val="1"/>
      <w:numFmt w:val="decimal"/>
      <w:suff w:val="nothing"/>
      <w:lvlText w:val="（%1）"/>
      <w:lvlJc w:val="left"/>
    </w:lvl>
  </w:abstractNum>
  <w:abstractNum w:abstractNumId="8">
    <w:nsid w:val="61A4ACAB"/>
    <w:multiLevelType w:val="singleLevel"/>
    <w:tmpl w:val="61A4ACAB"/>
    <w:lvl w:ilvl="0" w:tentative="0">
      <w:start w:val="3"/>
      <w:numFmt w:val="decimal"/>
      <w:suff w:val="nothing"/>
      <w:lvlText w:val="%1、"/>
      <w:lvlJc w:val="left"/>
    </w:lvl>
  </w:abstractNum>
  <w:abstractNum w:abstractNumId="9">
    <w:nsid w:val="648ADBD0"/>
    <w:multiLevelType w:val="singleLevel"/>
    <w:tmpl w:val="648ADBD0"/>
    <w:lvl w:ilvl="0" w:tentative="0">
      <w:start w:val="3"/>
      <w:numFmt w:val="decimal"/>
      <w:suff w:val="nothing"/>
      <w:lvlText w:val="（%1）"/>
      <w:lvlJc w:val="left"/>
    </w:lvl>
  </w:abstractNum>
  <w:abstractNum w:abstractNumId="10">
    <w:nsid w:val="67638791"/>
    <w:multiLevelType w:val="singleLevel"/>
    <w:tmpl w:val="67638791"/>
    <w:lvl w:ilvl="0" w:tentative="0">
      <w:start w:val="1"/>
      <w:numFmt w:val="lowerLetter"/>
      <w:suff w:val="nothing"/>
      <w:lvlText w:val="%1，"/>
      <w:lvlJc w:val="left"/>
    </w:lvl>
  </w:abstractNum>
  <w:num w:numId="1">
    <w:abstractNumId w:val="3"/>
  </w:num>
  <w:num w:numId="2">
    <w:abstractNumId w:val="6"/>
  </w:num>
  <w:num w:numId="3">
    <w:abstractNumId w:val="2"/>
  </w:num>
  <w:num w:numId="4">
    <w:abstractNumId w:val="0"/>
  </w:num>
  <w:num w:numId="5">
    <w:abstractNumId w:val="7"/>
  </w:num>
  <w:num w:numId="6">
    <w:abstractNumId w:val="5"/>
  </w:num>
  <w:num w:numId="7">
    <w:abstractNumId w:val="9"/>
  </w:num>
  <w:num w:numId="8">
    <w:abstractNumId w:val="10"/>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8E06BC"/>
    <w:rsid w:val="001D4206"/>
    <w:rsid w:val="014B299E"/>
    <w:rsid w:val="01736598"/>
    <w:rsid w:val="01AD2ED4"/>
    <w:rsid w:val="01AF40B9"/>
    <w:rsid w:val="01F33470"/>
    <w:rsid w:val="0224187C"/>
    <w:rsid w:val="023B17BB"/>
    <w:rsid w:val="02BC02E4"/>
    <w:rsid w:val="02C95F7F"/>
    <w:rsid w:val="031C6C92"/>
    <w:rsid w:val="031F0DA9"/>
    <w:rsid w:val="0335375A"/>
    <w:rsid w:val="03C93A2F"/>
    <w:rsid w:val="03D35307"/>
    <w:rsid w:val="03E203E0"/>
    <w:rsid w:val="040B712C"/>
    <w:rsid w:val="04402541"/>
    <w:rsid w:val="04A42800"/>
    <w:rsid w:val="05114EDC"/>
    <w:rsid w:val="05137986"/>
    <w:rsid w:val="05181C4C"/>
    <w:rsid w:val="05551447"/>
    <w:rsid w:val="055A7363"/>
    <w:rsid w:val="055C31C7"/>
    <w:rsid w:val="05622C5A"/>
    <w:rsid w:val="057A17B3"/>
    <w:rsid w:val="058978DB"/>
    <w:rsid w:val="059609B9"/>
    <w:rsid w:val="05B13057"/>
    <w:rsid w:val="05B8311D"/>
    <w:rsid w:val="05C018BB"/>
    <w:rsid w:val="06AC0092"/>
    <w:rsid w:val="06FD08ED"/>
    <w:rsid w:val="06FE0384"/>
    <w:rsid w:val="076A755F"/>
    <w:rsid w:val="07B30001"/>
    <w:rsid w:val="084B79DF"/>
    <w:rsid w:val="084E7652"/>
    <w:rsid w:val="087A23B3"/>
    <w:rsid w:val="088A61B1"/>
    <w:rsid w:val="088F5575"/>
    <w:rsid w:val="08D12032"/>
    <w:rsid w:val="09343012"/>
    <w:rsid w:val="093F6532"/>
    <w:rsid w:val="09B94817"/>
    <w:rsid w:val="09E0300C"/>
    <w:rsid w:val="09F673EE"/>
    <w:rsid w:val="0A5061ED"/>
    <w:rsid w:val="0A545B78"/>
    <w:rsid w:val="0A60541B"/>
    <w:rsid w:val="0A791D37"/>
    <w:rsid w:val="0A8729A8"/>
    <w:rsid w:val="0A8B4C59"/>
    <w:rsid w:val="0B2616E1"/>
    <w:rsid w:val="0B2621C1"/>
    <w:rsid w:val="0B7423F7"/>
    <w:rsid w:val="0BD648CC"/>
    <w:rsid w:val="0BF24799"/>
    <w:rsid w:val="0C0A0C3E"/>
    <w:rsid w:val="0C614070"/>
    <w:rsid w:val="0C8B0DD5"/>
    <w:rsid w:val="0C9D4FE4"/>
    <w:rsid w:val="0CB24D02"/>
    <w:rsid w:val="0D0E01E4"/>
    <w:rsid w:val="0D1336AF"/>
    <w:rsid w:val="0D167843"/>
    <w:rsid w:val="0D3007F6"/>
    <w:rsid w:val="0D5A0CBB"/>
    <w:rsid w:val="0DB04B36"/>
    <w:rsid w:val="0DC45CC1"/>
    <w:rsid w:val="0DC67D96"/>
    <w:rsid w:val="0DD70E5E"/>
    <w:rsid w:val="0DE16873"/>
    <w:rsid w:val="0DEE3D1F"/>
    <w:rsid w:val="0E213AB4"/>
    <w:rsid w:val="0E7F3002"/>
    <w:rsid w:val="0E86353F"/>
    <w:rsid w:val="0EB0506B"/>
    <w:rsid w:val="0EB818FA"/>
    <w:rsid w:val="0EC95F88"/>
    <w:rsid w:val="0F130337"/>
    <w:rsid w:val="0F731D16"/>
    <w:rsid w:val="104133DC"/>
    <w:rsid w:val="1053332C"/>
    <w:rsid w:val="10537F76"/>
    <w:rsid w:val="109B7BB5"/>
    <w:rsid w:val="11194576"/>
    <w:rsid w:val="11727A8C"/>
    <w:rsid w:val="11BA6625"/>
    <w:rsid w:val="11E51137"/>
    <w:rsid w:val="11E95EFF"/>
    <w:rsid w:val="12530A8A"/>
    <w:rsid w:val="127F0CDB"/>
    <w:rsid w:val="12E75462"/>
    <w:rsid w:val="139C483D"/>
    <w:rsid w:val="13D76995"/>
    <w:rsid w:val="145A6BFB"/>
    <w:rsid w:val="14A53CE6"/>
    <w:rsid w:val="14BD60C0"/>
    <w:rsid w:val="15196FAC"/>
    <w:rsid w:val="15AA668C"/>
    <w:rsid w:val="15D01BB6"/>
    <w:rsid w:val="15F70B98"/>
    <w:rsid w:val="15FA38E0"/>
    <w:rsid w:val="1628375A"/>
    <w:rsid w:val="1695644C"/>
    <w:rsid w:val="16C75AA6"/>
    <w:rsid w:val="16D23900"/>
    <w:rsid w:val="170A6E3A"/>
    <w:rsid w:val="174B01C5"/>
    <w:rsid w:val="17BC7388"/>
    <w:rsid w:val="17CF19E0"/>
    <w:rsid w:val="17D271A5"/>
    <w:rsid w:val="188E6525"/>
    <w:rsid w:val="18AE370B"/>
    <w:rsid w:val="18AF707B"/>
    <w:rsid w:val="19143FA0"/>
    <w:rsid w:val="1949675F"/>
    <w:rsid w:val="19B46FFB"/>
    <w:rsid w:val="19EA6AAF"/>
    <w:rsid w:val="1A294B27"/>
    <w:rsid w:val="1A82320B"/>
    <w:rsid w:val="1ACE1000"/>
    <w:rsid w:val="1AE9220B"/>
    <w:rsid w:val="1B9B4505"/>
    <w:rsid w:val="1BA02D05"/>
    <w:rsid w:val="1BB750B7"/>
    <w:rsid w:val="1BFA18E5"/>
    <w:rsid w:val="1C000618"/>
    <w:rsid w:val="1C1764BC"/>
    <w:rsid w:val="1C273F78"/>
    <w:rsid w:val="1C5135FC"/>
    <w:rsid w:val="1C526663"/>
    <w:rsid w:val="1C6B1587"/>
    <w:rsid w:val="1CC8040E"/>
    <w:rsid w:val="1CCD0F4C"/>
    <w:rsid w:val="1CCF653B"/>
    <w:rsid w:val="1CDB049A"/>
    <w:rsid w:val="1D3249F5"/>
    <w:rsid w:val="1D4F16A6"/>
    <w:rsid w:val="1E6E4D92"/>
    <w:rsid w:val="1E791917"/>
    <w:rsid w:val="1EB47989"/>
    <w:rsid w:val="1F2C1918"/>
    <w:rsid w:val="1F6115F1"/>
    <w:rsid w:val="1F6D4792"/>
    <w:rsid w:val="1F9A0F77"/>
    <w:rsid w:val="1FB86127"/>
    <w:rsid w:val="1FD2028B"/>
    <w:rsid w:val="1FE91FB6"/>
    <w:rsid w:val="20491554"/>
    <w:rsid w:val="210677EE"/>
    <w:rsid w:val="211C60E8"/>
    <w:rsid w:val="21401420"/>
    <w:rsid w:val="214178FD"/>
    <w:rsid w:val="217D645B"/>
    <w:rsid w:val="21A51B5B"/>
    <w:rsid w:val="21D27278"/>
    <w:rsid w:val="22286511"/>
    <w:rsid w:val="22860F99"/>
    <w:rsid w:val="22B365D8"/>
    <w:rsid w:val="22BB2662"/>
    <w:rsid w:val="236740B4"/>
    <w:rsid w:val="236830D0"/>
    <w:rsid w:val="23871813"/>
    <w:rsid w:val="238734D8"/>
    <w:rsid w:val="23D22A8E"/>
    <w:rsid w:val="24534A8E"/>
    <w:rsid w:val="24E61397"/>
    <w:rsid w:val="25115838"/>
    <w:rsid w:val="254867B0"/>
    <w:rsid w:val="258C0864"/>
    <w:rsid w:val="259C15A5"/>
    <w:rsid w:val="25A26260"/>
    <w:rsid w:val="25AE6518"/>
    <w:rsid w:val="25B73564"/>
    <w:rsid w:val="2626787B"/>
    <w:rsid w:val="26655897"/>
    <w:rsid w:val="26C96D36"/>
    <w:rsid w:val="26DE5D97"/>
    <w:rsid w:val="271D6290"/>
    <w:rsid w:val="27617694"/>
    <w:rsid w:val="276509B1"/>
    <w:rsid w:val="27CC3BC0"/>
    <w:rsid w:val="27EB1EB1"/>
    <w:rsid w:val="28653E6D"/>
    <w:rsid w:val="28686379"/>
    <w:rsid w:val="28796405"/>
    <w:rsid w:val="28DD71BF"/>
    <w:rsid w:val="29020CD6"/>
    <w:rsid w:val="290376B8"/>
    <w:rsid w:val="29DF5F05"/>
    <w:rsid w:val="29E53858"/>
    <w:rsid w:val="2ACF3C63"/>
    <w:rsid w:val="2B064784"/>
    <w:rsid w:val="2C4613C9"/>
    <w:rsid w:val="2C640943"/>
    <w:rsid w:val="2CBA67B5"/>
    <w:rsid w:val="2CF061F0"/>
    <w:rsid w:val="2D01290C"/>
    <w:rsid w:val="2D413CAA"/>
    <w:rsid w:val="2D7740A4"/>
    <w:rsid w:val="2D9F7082"/>
    <w:rsid w:val="2DB92F13"/>
    <w:rsid w:val="2DCF1F8A"/>
    <w:rsid w:val="2DF13843"/>
    <w:rsid w:val="2DF87595"/>
    <w:rsid w:val="2EA27B52"/>
    <w:rsid w:val="2EBC6814"/>
    <w:rsid w:val="2F2A29E2"/>
    <w:rsid w:val="2F725125"/>
    <w:rsid w:val="2F7366F2"/>
    <w:rsid w:val="2FD41AF9"/>
    <w:rsid w:val="30156509"/>
    <w:rsid w:val="301D017F"/>
    <w:rsid w:val="303A32D0"/>
    <w:rsid w:val="306A65F2"/>
    <w:rsid w:val="307F7AFA"/>
    <w:rsid w:val="30E070F0"/>
    <w:rsid w:val="310338F4"/>
    <w:rsid w:val="3126266B"/>
    <w:rsid w:val="31476416"/>
    <w:rsid w:val="315A15B3"/>
    <w:rsid w:val="31984869"/>
    <w:rsid w:val="319E4FDA"/>
    <w:rsid w:val="31C64AE7"/>
    <w:rsid w:val="31C756D3"/>
    <w:rsid w:val="32562ADC"/>
    <w:rsid w:val="32675E48"/>
    <w:rsid w:val="32766A06"/>
    <w:rsid w:val="32944916"/>
    <w:rsid w:val="32D16607"/>
    <w:rsid w:val="32FE0135"/>
    <w:rsid w:val="337309C8"/>
    <w:rsid w:val="33997124"/>
    <w:rsid w:val="340A7BE9"/>
    <w:rsid w:val="343A7CCB"/>
    <w:rsid w:val="347C6D7B"/>
    <w:rsid w:val="349B3370"/>
    <w:rsid w:val="34B77502"/>
    <w:rsid w:val="34BD50C3"/>
    <w:rsid w:val="34CB5C82"/>
    <w:rsid w:val="34CE0799"/>
    <w:rsid w:val="34F33640"/>
    <w:rsid w:val="359D4169"/>
    <w:rsid w:val="36156A40"/>
    <w:rsid w:val="361B3EDC"/>
    <w:rsid w:val="363E5DC7"/>
    <w:rsid w:val="364000C3"/>
    <w:rsid w:val="36453593"/>
    <w:rsid w:val="365302AE"/>
    <w:rsid w:val="36721EAF"/>
    <w:rsid w:val="36C61DBB"/>
    <w:rsid w:val="36C719CD"/>
    <w:rsid w:val="36D93CDC"/>
    <w:rsid w:val="370757A2"/>
    <w:rsid w:val="371B136A"/>
    <w:rsid w:val="37DC51AD"/>
    <w:rsid w:val="38342FC3"/>
    <w:rsid w:val="392A318C"/>
    <w:rsid w:val="39514D45"/>
    <w:rsid w:val="396509C3"/>
    <w:rsid w:val="396D6ECE"/>
    <w:rsid w:val="39BF5276"/>
    <w:rsid w:val="39CB6FE8"/>
    <w:rsid w:val="3A6B0035"/>
    <w:rsid w:val="3A9B69B4"/>
    <w:rsid w:val="3AC4344A"/>
    <w:rsid w:val="3AD925C9"/>
    <w:rsid w:val="3B02765D"/>
    <w:rsid w:val="3B34332F"/>
    <w:rsid w:val="3B6224F2"/>
    <w:rsid w:val="3BB23479"/>
    <w:rsid w:val="3C0B6C5B"/>
    <w:rsid w:val="3C11091D"/>
    <w:rsid w:val="3C720E5A"/>
    <w:rsid w:val="3CBE19AA"/>
    <w:rsid w:val="3CC005BE"/>
    <w:rsid w:val="3CCD42E3"/>
    <w:rsid w:val="3D380F65"/>
    <w:rsid w:val="3D560569"/>
    <w:rsid w:val="3D570543"/>
    <w:rsid w:val="3D5B3B5C"/>
    <w:rsid w:val="3DAD7631"/>
    <w:rsid w:val="3DAF6F03"/>
    <w:rsid w:val="3DFB432B"/>
    <w:rsid w:val="3E1F0B55"/>
    <w:rsid w:val="3E994B40"/>
    <w:rsid w:val="3EC818F4"/>
    <w:rsid w:val="3F0607D0"/>
    <w:rsid w:val="3F253D28"/>
    <w:rsid w:val="3F3F336C"/>
    <w:rsid w:val="3F964792"/>
    <w:rsid w:val="3F9B6A67"/>
    <w:rsid w:val="3FC30698"/>
    <w:rsid w:val="3FDC1A92"/>
    <w:rsid w:val="3FE16591"/>
    <w:rsid w:val="3FF32092"/>
    <w:rsid w:val="3FFB1F03"/>
    <w:rsid w:val="40070A53"/>
    <w:rsid w:val="40132A12"/>
    <w:rsid w:val="409C7882"/>
    <w:rsid w:val="40BC30F3"/>
    <w:rsid w:val="40E6578E"/>
    <w:rsid w:val="4137558E"/>
    <w:rsid w:val="41A872D6"/>
    <w:rsid w:val="41C95079"/>
    <w:rsid w:val="41DC460C"/>
    <w:rsid w:val="41E4547D"/>
    <w:rsid w:val="41EA080A"/>
    <w:rsid w:val="421608E1"/>
    <w:rsid w:val="421B5801"/>
    <w:rsid w:val="422E5823"/>
    <w:rsid w:val="42F04887"/>
    <w:rsid w:val="4303280C"/>
    <w:rsid w:val="4303456B"/>
    <w:rsid w:val="431C44AA"/>
    <w:rsid w:val="43A049F8"/>
    <w:rsid w:val="43B7341D"/>
    <w:rsid w:val="43BB6D79"/>
    <w:rsid w:val="43DA5F2A"/>
    <w:rsid w:val="4436624E"/>
    <w:rsid w:val="44540C9E"/>
    <w:rsid w:val="44DE43CC"/>
    <w:rsid w:val="44F63392"/>
    <w:rsid w:val="453B1ED0"/>
    <w:rsid w:val="455A3683"/>
    <w:rsid w:val="457D3ACC"/>
    <w:rsid w:val="458E4BD4"/>
    <w:rsid w:val="45DA335A"/>
    <w:rsid w:val="46036BF8"/>
    <w:rsid w:val="46A161E6"/>
    <w:rsid w:val="474B6993"/>
    <w:rsid w:val="478A1A03"/>
    <w:rsid w:val="479A72AE"/>
    <w:rsid w:val="47AD4F03"/>
    <w:rsid w:val="47C43A82"/>
    <w:rsid w:val="480C64C1"/>
    <w:rsid w:val="482C65F8"/>
    <w:rsid w:val="48482BA7"/>
    <w:rsid w:val="486A50DB"/>
    <w:rsid w:val="490E3CB9"/>
    <w:rsid w:val="497F1F6E"/>
    <w:rsid w:val="49DA3B9B"/>
    <w:rsid w:val="4A4B4D63"/>
    <w:rsid w:val="4A4E6CBD"/>
    <w:rsid w:val="4A9C72D7"/>
    <w:rsid w:val="4AFB201B"/>
    <w:rsid w:val="4AFF6578"/>
    <w:rsid w:val="4B784D60"/>
    <w:rsid w:val="4B881658"/>
    <w:rsid w:val="4BA13E68"/>
    <w:rsid w:val="4BE01CBF"/>
    <w:rsid w:val="4C090181"/>
    <w:rsid w:val="4C7C7C27"/>
    <w:rsid w:val="4CD54ADB"/>
    <w:rsid w:val="4D0040BD"/>
    <w:rsid w:val="4D427417"/>
    <w:rsid w:val="4D562E36"/>
    <w:rsid w:val="4D6C0FAE"/>
    <w:rsid w:val="4D891B60"/>
    <w:rsid w:val="4DF94F37"/>
    <w:rsid w:val="4E0E49F1"/>
    <w:rsid w:val="4E11118C"/>
    <w:rsid w:val="4E4067A7"/>
    <w:rsid w:val="4E7330FA"/>
    <w:rsid w:val="4EBE1CDD"/>
    <w:rsid w:val="4F701171"/>
    <w:rsid w:val="4FBC5E5D"/>
    <w:rsid w:val="4FCB6460"/>
    <w:rsid w:val="4FDD44F8"/>
    <w:rsid w:val="50621378"/>
    <w:rsid w:val="5084660D"/>
    <w:rsid w:val="50962F12"/>
    <w:rsid w:val="510F2848"/>
    <w:rsid w:val="513F5357"/>
    <w:rsid w:val="51786CE4"/>
    <w:rsid w:val="518C687F"/>
    <w:rsid w:val="519B6306"/>
    <w:rsid w:val="522551DC"/>
    <w:rsid w:val="52686602"/>
    <w:rsid w:val="52955DB2"/>
    <w:rsid w:val="52C8312A"/>
    <w:rsid w:val="530E3233"/>
    <w:rsid w:val="53193986"/>
    <w:rsid w:val="534851C2"/>
    <w:rsid w:val="53A05E55"/>
    <w:rsid w:val="53A44DA4"/>
    <w:rsid w:val="53BA0CC5"/>
    <w:rsid w:val="53FD1217"/>
    <w:rsid w:val="5479292E"/>
    <w:rsid w:val="548E50B1"/>
    <w:rsid w:val="54C87A3C"/>
    <w:rsid w:val="55094F55"/>
    <w:rsid w:val="55570917"/>
    <w:rsid w:val="55A15289"/>
    <w:rsid w:val="55CE2806"/>
    <w:rsid w:val="5668404C"/>
    <w:rsid w:val="56796ABF"/>
    <w:rsid w:val="568B2D64"/>
    <w:rsid w:val="56A95021"/>
    <w:rsid w:val="56B5263B"/>
    <w:rsid w:val="56E01510"/>
    <w:rsid w:val="56FF0A48"/>
    <w:rsid w:val="570F1328"/>
    <w:rsid w:val="572A46D5"/>
    <w:rsid w:val="573050F9"/>
    <w:rsid w:val="579927C7"/>
    <w:rsid w:val="57D60097"/>
    <w:rsid w:val="57FB4891"/>
    <w:rsid w:val="583F13D4"/>
    <w:rsid w:val="585B5DD0"/>
    <w:rsid w:val="58692CBA"/>
    <w:rsid w:val="588E06BC"/>
    <w:rsid w:val="589715D5"/>
    <w:rsid w:val="58FE1654"/>
    <w:rsid w:val="59510FB5"/>
    <w:rsid w:val="59E940B2"/>
    <w:rsid w:val="5A157CD6"/>
    <w:rsid w:val="5A3C33AE"/>
    <w:rsid w:val="5A522F08"/>
    <w:rsid w:val="5A693FDA"/>
    <w:rsid w:val="5A702DFA"/>
    <w:rsid w:val="5A736BAA"/>
    <w:rsid w:val="5AA04BD7"/>
    <w:rsid w:val="5AA314BD"/>
    <w:rsid w:val="5AE930A7"/>
    <w:rsid w:val="5AEC4DDF"/>
    <w:rsid w:val="5AEF04D8"/>
    <w:rsid w:val="5B242EC8"/>
    <w:rsid w:val="5B49125D"/>
    <w:rsid w:val="5B7200D7"/>
    <w:rsid w:val="5B79457C"/>
    <w:rsid w:val="5B90052D"/>
    <w:rsid w:val="5B97302A"/>
    <w:rsid w:val="5BAA35EF"/>
    <w:rsid w:val="5BDB7004"/>
    <w:rsid w:val="5BDC5041"/>
    <w:rsid w:val="5C49419B"/>
    <w:rsid w:val="5C4B3703"/>
    <w:rsid w:val="5C564462"/>
    <w:rsid w:val="5CB149B1"/>
    <w:rsid w:val="5CE25D24"/>
    <w:rsid w:val="5D163B46"/>
    <w:rsid w:val="5D3E5D08"/>
    <w:rsid w:val="5D403AD8"/>
    <w:rsid w:val="5D5C103F"/>
    <w:rsid w:val="5D7F0CC9"/>
    <w:rsid w:val="5DA00227"/>
    <w:rsid w:val="5DBA7B13"/>
    <w:rsid w:val="5DD961EC"/>
    <w:rsid w:val="5E6F40D7"/>
    <w:rsid w:val="5EBC1CF9"/>
    <w:rsid w:val="5F261904"/>
    <w:rsid w:val="5F2E3949"/>
    <w:rsid w:val="5F802EF2"/>
    <w:rsid w:val="5F952235"/>
    <w:rsid w:val="5F9D2832"/>
    <w:rsid w:val="5FA568C3"/>
    <w:rsid w:val="5FA83510"/>
    <w:rsid w:val="5FD73AC0"/>
    <w:rsid w:val="5FDC7055"/>
    <w:rsid w:val="600F3F91"/>
    <w:rsid w:val="60321AA9"/>
    <w:rsid w:val="606E670A"/>
    <w:rsid w:val="608210E3"/>
    <w:rsid w:val="60B90BF4"/>
    <w:rsid w:val="611A0EA3"/>
    <w:rsid w:val="613A56C5"/>
    <w:rsid w:val="61934CA4"/>
    <w:rsid w:val="61B56F70"/>
    <w:rsid w:val="61C6027E"/>
    <w:rsid w:val="61DC19A6"/>
    <w:rsid w:val="61EE673E"/>
    <w:rsid w:val="6208709F"/>
    <w:rsid w:val="62780D32"/>
    <w:rsid w:val="62BD2580"/>
    <w:rsid w:val="62CA25A7"/>
    <w:rsid w:val="62DD22DA"/>
    <w:rsid w:val="62EE2993"/>
    <w:rsid w:val="632B74E9"/>
    <w:rsid w:val="634C56B2"/>
    <w:rsid w:val="63615A0A"/>
    <w:rsid w:val="6380341F"/>
    <w:rsid w:val="63B86661"/>
    <w:rsid w:val="63BE65AF"/>
    <w:rsid w:val="64952D13"/>
    <w:rsid w:val="64EC2CA8"/>
    <w:rsid w:val="65082C9C"/>
    <w:rsid w:val="651915C4"/>
    <w:rsid w:val="6558733B"/>
    <w:rsid w:val="656C48C9"/>
    <w:rsid w:val="65BE4E7A"/>
    <w:rsid w:val="65DF4A7E"/>
    <w:rsid w:val="65E34D93"/>
    <w:rsid w:val="660D514E"/>
    <w:rsid w:val="662C66AE"/>
    <w:rsid w:val="665B5EF5"/>
    <w:rsid w:val="66743F27"/>
    <w:rsid w:val="66BB2407"/>
    <w:rsid w:val="66C96BA8"/>
    <w:rsid w:val="673F5550"/>
    <w:rsid w:val="67955334"/>
    <w:rsid w:val="67CF5646"/>
    <w:rsid w:val="67DA1624"/>
    <w:rsid w:val="680644CC"/>
    <w:rsid w:val="68197B67"/>
    <w:rsid w:val="68751AA8"/>
    <w:rsid w:val="688E2261"/>
    <w:rsid w:val="68D1407C"/>
    <w:rsid w:val="696857DB"/>
    <w:rsid w:val="697138A5"/>
    <w:rsid w:val="697B0A9F"/>
    <w:rsid w:val="699B2742"/>
    <w:rsid w:val="6A4C5F97"/>
    <w:rsid w:val="6B0C1AF2"/>
    <w:rsid w:val="6B1C3BBC"/>
    <w:rsid w:val="6B6006A3"/>
    <w:rsid w:val="6B6F17F0"/>
    <w:rsid w:val="6B89603B"/>
    <w:rsid w:val="6B9570A0"/>
    <w:rsid w:val="6BF75619"/>
    <w:rsid w:val="6C4504B1"/>
    <w:rsid w:val="6C79285C"/>
    <w:rsid w:val="6D36583B"/>
    <w:rsid w:val="6D412C4F"/>
    <w:rsid w:val="6D6A0900"/>
    <w:rsid w:val="6DDD7E95"/>
    <w:rsid w:val="6DED7F0C"/>
    <w:rsid w:val="6E8968AB"/>
    <w:rsid w:val="6EDB13EF"/>
    <w:rsid w:val="6F424458"/>
    <w:rsid w:val="6F51684F"/>
    <w:rsid w:val="6F770292"/>
    <w:rsid w:val="6F917C18"/>
    <w:rsid w:val="6FA128E1"/>
    <w:rsid w:val="6FE07E43"/>
    <w:rsid w:val="701F5AB8"/>
    <w:rsid w:val="70996E44"/>
    <w:rsid w:val="70D93433"/>
    <w:rsid w:val="70FF2F8F"/>
    <w:rsid w:val="7151294A"/>
    <w:rsid w:val="7172232C"/>
    <w:rsid w:val="71C76DE6"/>
    <w:rsid w:val="71C805F9"/>
    <w:rsid w:val="71EE1250"/>
    <w:rsid w:val="721B4612"/>
    <w:rsid w:val="72273530"/>
    <w:rsid w:val="722D077C"/>
    <w:rsid w:val="72456EB1"/>
    <w:rsid w:val="72543BC8"/>
    <w:rsid w:val="72D26BF9"/>
    <w:rsid w:val="72E35DA1"/>
    <w:rsid w:val="72ED672C"/>
    <w:rsid w:val="733D0B73"/>
    <w:rsid w:val="739B6209"/>
    <w:rsid w:val="7402235F"/>
    <w:rsid w:val="74862FA0"/>
    <w:rsid w:val="74974DD6"/>
    <w:rsid w:val="74A40EAA"/>
    <w:rsid w:val="74BF42E4"/>
    <w:rsid w:val="74DE29E2"/>
    <w:rsid w:val="74FB1F0E"/>
    <w:rsid w:val="759E1430"/>
    <w:rsid w:val="75BA6FE1"/>
    <w:rsid w:val="760847E6"/>
    <w:rsid w:val="76DD4B47"/>
    <w:rsid w:val="76EA59A7"/>
    <w:rsid w:val="77703384"/>
    <w:rsid w:val="77AD4FDD"/>
    <w:rsid w:val="77B96808"/>
    <w:rsid w:val="78177BE5"/>
    <w:rsid w:val="78183C24"/>
    <w:rsid w:val="78AD18CD"/>
    <w:rsid w:val="78AE000A"/>
    <w:rsid w:val="78C736F6"/>
    <w:rsid w:val="79083A3B"/>
    <w:rsid w:val="791E6A83"/>
    <w:rsid w:val="79520BA4"/>
    <w:rsid w:val="798B0086"/>
    <w:rsid w:val="79B3393D"/>
    <w:rsid w:val="79BF322E"/>
    <w:rsid w:val="79EB37FE"/>
    <w:rsid w:val="7A4939F2"/>
    <w:rsid w:val="7A622A67"/>
    <w:rsid w:val="7AD46261"/>
    <w:rsid w:val="7ADA324A"/>
    <w:rsid w:val="7ADD22C2"/>
    <w:rsid w:val="7B1A27DF"/>
    <w:rsid w:val="7B1D19B6"/>
    <w:rsid w:val="7B87288A"/>
    <w:rsid w:val="7C084243"/>
    <w:rsid w:val="7C3B087B"/>
    <w:rsid w:val="7C716B68"/>
    <w:rsid w:val="7C9B6AAB"/>
    <w:rsid w:val="7CB564A2"/>
    <w:rsid w:val="7CD74E20"/>
    <w:rsid w:val="7D1D43C4"/>
    <w:rsid w:val="7D7D498E"/>
    <w:rsid w:val="7D7F0077"/>
    <w:rsid w:val="7DB44FF6"/>
    <w:rsid w:val="7DBD5B7F"/>
    <w:rsid w:val="7E552C38"/>
    <w:rsid w:val="7E8E6727"/>
    <w:rsid w:val="7EA426D4"/>
    <w:rsid w:val="7F007624"/>
    <w:rsid w:val="7F280B18"/>
    <w:rsid w:val="7F436576"/>
    <w:rsid w:val="7F683717"/>
    <w:rsid w:val="7F8E2BA0"/>
    <w:rsid w:val="7F9322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exact"/>
      <w:ind w:firstLine="720" w:firstLineChars="200"/>
      <w:jc w:val="both"/>
    </w:pPr>
    <w:rPr>
      <w:rFonts w:ascii="Calibri" w:hAnsi="Calibri" w:eastAsia="宋体" w:cs="Calibri"/>
      <w:kern w:val="2"/>
      <w:sz w:val="21"/>
      <w:szCs w:val="21"/>
      <w:lang w:val="en-US" w:eastAsia="zh-CN" w:bidi="ar-SA"/>
    </w:rPr>
  </w:style>
  <w:style w:type="paragraph" w:styleId="2">
    <w:name w:val="heading 1"/>
    <w:basedOn w:val="1"/>
    <w:next w:val="1"/>
    <w:qFormat/>
    <w:uiPriority w:val="0"/>
    <w:pPr>
      <w:keepNext/>
      <w:keepLines/>
      <w:numPr>
        <w:ilvl w:val="0"/>
        <w:numId w:val="1"/>
      </w:numPr>
      <w:spacing w:before="180" w:after="180" w:line="720" w:lineRule="exact"/>
      <w:ind w:left="0" w:firstLine="0" w:firstLineChars="0"/>
      <w:outlineLvl w:val="0"/>
    </w:pPr>
    <w:rPr>
      <w:b/>
      <w:bCs/>
      <w:kern w:val="44"/>
      <w:sz w:val="36"/>
      <w:szCs w:val="44"/>
    </w:rPr>
  </w:style>
  <w:style w:type="paragraph" w:styleId="3">
    <w:name w:val="heading 2"/>
    <w:basedOn w:val="1"/>
    <w:next w:val="1"/>
    <w:link w:val="69"/>
    <w:qFormat/>
    <w:uiPriority w:val="0"/>
    <w:pPr>
      <w:keepNext/>
      <w:keepLines/>
      <w:numPr>
        <w:ilvl w:val="1"/>
        <w:numId w:val="1"/>
      </w:numPr>
      <w:spacing w:before="120" w:after="120" w:line="560" w:lineRule="exact"/>
      <w:ind w:left="0" w:firstLine="0" w:firstLineChars="0"/>
      <w:outlineLvl w:val="1"/>
    </w:pPr>
    <w:rPr>
      <w:b/>
      <w:bCs/>
      <w:sz w:val="32"/>
      <w:szCs w:val="32"/>
    </w:rPr>
  </w:style>
  <w:style w:type="paragraph" w:styleId="4">
    <w:name w:val="heading 3"/>
    <w:basedOn w:val="1"/>
    <w:next w:val="1"/>
    <w:link w:val="70"/>
    <w:qFormat/>
    <w:uiPriority w:val="0"/>
    <w:pPr>
      <w:keepNext/>
      <w:keepLines/>
      <w:numPr>
        <w:ilvl w:val="2"/>
        <w:numId w:val="1"/>
      </w:numPr>
      <w:spacing w:before="60" w:after="60" w:line="480" w:lineRule="exact"/>
      <w:ind w:left="0" w:firstLine="0" w:firstLineChars="0"/>
      <w:outlineLvl w:val="2"/>
    </w:pPr>
    <w:rPr>
      <w:b/>
      <w:bCs/>
      <w:sz w:val="30"/>
      <w:szCs w:val="32"/>
    </w:rPr>
  </w:style>
  <w:style w:type="paragraph" w:styleId="5">
    <w:name w:val="heading 4"/>
    <w:basedOn w:val="1"/>
    <w:next w:val="1"/>
    <w:qFormat/>
    <w:uiPriority w:val="0"/>
    <w:pPr>
      <w:keepNext/>
      <w:keepLines/>
      <w:spacing w:before="60" w:after="60" w:line="480" w:lineRule="exact"/>
      <w:outlineLvl w:val="3"/>
    </w:pPr>
    <w:rPr>
      <w:rFonts w:ascii="Times New Roman" w:hAnsi="Times New Roman" w:eastAsia="宋体"/>
      <w:b/>
      <w:bCs/>
      <w:sz w:val="24"/>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574" w:firstLineChars="200"/>
      <w:jc w:val="left"/>
    </w:pPr>
    <w:rPr>
      <w:rFonts w:ascii="宋体" w:hAnsi="宋体" w:cs="宋体"/>
      <w:kern w:val="0"/>
      <w:sz w:val="28"/>
      <w:szCs w:val="20"/>
    </w:rPr>
  </w:style>
  <w:style w:type="paragraph" w:styleId="7">
    <w:name w:val="caption"/>
    <w:basedOn w:val="1"/>
    <w:next w:val="1"/>
    <w:qFormat/>
    <w:uiPriority w:val="0"/>
    <w:pPr>
      <w:adjustRightInd w:val="0"/>
      <w:snapToGrid w:val="0"/>
      <w:jc w:val="right"/>
    </w:pPr>
    <w:rPr>
      <w:rFonts w:cs="Arial"/>
    </w:rPr>
  </w:style>
  <w:style w:type="paragraph" w:styleId="8">
    <w:name w:val="annotation text"/>
    <w:basedOn w:val="1"/>
    <w:qFormat/>
    <w:uiPriority w:val="0"/>
    <w:pPr>
      <w:jc w:val="left"/>
    </w:pPr>
  </w:style>
  <w:style w:type="paragraph" w:styleId="9">
    <w:name w:val="Body Text"/>
    <w:basedOn w:val="1"/>
    <w:qFormat/>
    <w:uiPriority w:val="0"/>
    <w:pPr>
      <w:widowControl/>
      <w:spacing w:after="120"/>
      <w:jc w:val="left"/>
    </w:pPr>
    <w:rPr>
      <w:rFonts w:ascii="宋体" w:hAnsi="宋体" w:cs="宋体"/>
      <w:kern w:val="0"/>
      <w:sz w:val="24"/>
    </w:rPr>
  </w:style>
  <w:style w:type="paragraph" w:styleId="10">
    <w:name w:val="Body Text Indent"/>
    <w:basedOn w:val="1"/>
    <w:next w:val="11"/>
    <w:qFormat/>
    <w:uiPriority w:val="0"/>
    <w:pPr>
      <w:widowControl/>
      <w:ind w:firstLine="560" w:firstLineChars="200"/>
      <w:jc w:val="left"/>
    </w:pPr>
    <w:rPr>
      <w:rFonts w:ascii="仿宋_GB2312" w:hAnsi="宋体" w:eastAsia="仿宋_GB2312" w:cs="宋体"/>
      <w:kern w:val="0"/>
      <w:sz w:val="28"/>
    </w:rPr>
  </w:style>
  <w:style w:type="paragraph" w:styleId="11">
    <w:name w:val="Body Text First Indent 2"/>
    <w:basedOn w:val="10"/>
    <w:next w:val="12"/>
    <w:qFormat/>
    <w:uiPriority w:val="0"/>
    <w:pPr>
      <w:spacing w:after="120"/>
      <w:ind w:left="420" w:leftChars="200" w:firstLine="420"/>
    </w:pPr>
    <w:rPr>
      <w:rFonts w:ascii="Times New Roman" w:eastAsia="宋体"/>
      <w:sz w:val="21"/>
    </w:rPr>
  </w:style>
  <w:style w:type="paragraph" w:styleId="12">
    <w:name w:val="List Continue 4"/>
    <w:basedOn w:val="1"/>
    <w:next w:val="1"/>
    <w:qFormat/>
    <w:uiPriority w:val="0"/>
    <w:pPr>
      <w:spacing w:after="120"/>
      <w:ind w:left="1680" w:firstLine="480"/>
    </w:pPr>
    <w:rPr>
      <w:rFonts w:ascii="宋体"/>
      <w:sz w:val="24"/>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Body Text Indent 3"/>
    <w:basedOn w:val="1"/>
    <w:qFormat/>
    <w:uiPriority w:val="0"/>
    <w:pPr>
      <w:spacing w:after="120"/>
      <w:ind w:left="420" w:leftChars="200"/>
    </w:pPr>
    <w:rPr>
      <w:sz w:val="16"/>
      <w:szCs w:val="16"/>
    </w:rPr>
  </w:style>
  <w:style w:type="paragraph" w:styleId="17">
    <w:name w:val="toc 2"/>
    <w:basedOn w:val="1"/>
    <w:next w:val="1"/>
    <w:qFormat/>
    <w:uiPriority w:val="0"/>
    <w:pPr>
      <w:ind w:left="420" w:leftChars="200"/>
    </w:pPr>
  </w:style>
  <w:style w:type="paragraph" w:styleId="18">
    <w:name w:val="Body Text 2"/>
    <w:basedOn w:val="1"/>
    <w:qFormat/>
    <w:uiPriority w:val="0"/>
    <w:pPr>
      <w:widowControl/>
      <w:spacing w:after="120" w:line="480" w:lineRule="auto"/>
      <w:jc w:val="left"/>
    </w:pPr>
    <w:rPr>
      <w:rFonts w:ascii="宋体" w:hAnsi="宋体" w:cs="宋体"/>
      <w:kern w:val="0"/>
      <w:sz w:val="28"/>
      <w:szCs w:val="20"/>
    </w:rPr>
  </w:style>
  <w:style w:type="paragraph" w:styleId="19">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20">
    <w:name w:val="Body Text First Indent"/>
    <w:basedOn w:val="1"/>
    <w:next w:val="11"/>
    <w:unhideWhenUsed/>
    <w:qFormat/>
    <w:uiPriority w:val="99"/>
    <w:pPr>
      <w:spacing w:line="240" w:lineRule="auto"/>
      <w:ind w:firstLine="420" w:firstLineChars="100"/>
    </w:pPr>
    <w:rPr>
      <w:rFonts w:ascii="Calibri" w:hAnsi="Calibri" w:eastAsia="宋体"/>
      <w:sz w:val="21"/>
      <w:szCs w:val="22"/>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Emphasis"/>
    <w:basedOn w:val="23"/>
    <w:qFormat/>
    <w:uiPriority w:val="0"/>
    <w:rPr>
      <w:i/>
    </w:rPr>
  </w:style>
  <w:style w:type="character" w:styleId="26">
    <w:name w:val="Hyperlink"/>
    <w:basedOn w:val="23"/>
    <w:qFormat/>
    <w:uiPriority w:val="0"/>
    <w:rPr>
      <w:color w:val="0000FF"/>
      <w:u w:val="single"/>
    </w:rPr>
  </w:style>
  <w:style w:type="paragraph" w:customStyle="1" w:styleId="27">
    <w:name w:val="xl27"/>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b/>
      <w:bCs/>
      <w:kern w:val="0"/>
      <w:sz w:val="36"/>
      <w:szCs w:val="36"/>
    </w:rPr>
  </w:style>
  <w:style w:type="paragraph" w:customStyle="1" w:styleId="28">
    <w:name w:val="无间隔1"/>
    <w:qFormat/>
    <w:uiPriority w:val="99"/>
    <w:pPr>
      <w:widowControl w:val="0"/>
      <w:spacing w:before="120" w:after="120"/>
      <w:jc w:val="center"/>
    </w:pPr>
    <w:rPr>
      <w:rFonts w:ascii="Calibri" w:hAnsi="Calibri" w:eastAsia="宋体" w:cs="Calibri"/>
      <w:kern w:val="2"/>
      <w:sz w:val="21"/>
      <w:szCs w:val="21"/>
      <w:lang w:val="en-US" w:eastAsia="zh-CN" w:bidi="ar-SA"/>
    </w:rPr>
  </w:style>
  <w:style w:type="paragraph" w:customStyle="1" w:styleId="29">
    <w:name w:val="评价报告正文"/>
    <w:basedOn w:val="1"/>
    <w:qFormat/>
    <w:uiPriority w:val="0"/>
    <w:pPr>
      <w:spacing w:line="360" w:lineRule="auto"/>
      <w:ind w:firstLine="560"/>
    </w:pPr>
    <w:rPr>
      <w:rFonts w:ascii="Times New Roman" w:hAnsi="Times New Roman"/>
      <w:sz w:val="28"/>
      <w:szCs w:val="28"/>
    </w:rPr>
  </w:style>
  <w:style w:type="paragraph" w:customStyle="1" w:styleId="30">
    <w:name w:val="Table Text"/>
    <w:basedOn w:val="1"/>
    <w:semiHidden/>
    <w:qFormat/>
    <w:uiPriority w:val="0"/>
    <w:rPr>
      <w:rFonts w:ascii="宋体" w:hAnsi="宋体" w:eastAsia="宋体" w:cs="宋体"/>
      <w:sz w:val="21"/>
      <w:szCs w:val="21"/>
      <w:lang w:val="en-US" w:eastAsia="en-US" w:bidi="ar-SA"/>
    </w:rPr>
  </w:style>
  <w:style w:type="table" w:customStyle="1" w:styleId="31">
    <w:name w:val="Table Normal"/>
    <w:unhideWhenUsed/>
    <w:qFormat/>
    <w:uiPriority w:val="2"/>
    <w:rPr>
      <w:lang w:val="en-US" w:eastAsia="zh-CN" w:bidi="ar-SA"/>
    </w:rPr>
    <w:tblPr>
      <w:tblCellMar>
        <w:top w:w="0" w:type="dxa"/>
        <w:left w:w="0" w:type="dxa"/>
        <w:bottom w:w="0" w:type="dxa"/>
        <w:right w:w="0" w:type="dxa"/>
      </w:tblCellMar>
    </w:tblPr>
  </w:style>
  <w:style w:type="paragraph" w:customStyle="1" w:styleId="32">
    <w:name w:val="Table Paragraph"/>
    <w:basedOn w:val="1"/>
    <w:qFormat/>
    <w:uiPriority w:val="0"/>
    <w:pPr>
      <w:spacing w:before="100" w:beforeAutospacing="1"/>
      <w:jc w:val="left"/>
    </w:pPr>
    <w:rPr>
      <w:rFonts w:ascii="Calibri" w:hAnsi="Calibri"/>
      <w:kern w:val="0"/>
      <w:sz w:val="22"/>
      <w:szCs w:val="22"/>
    </w:rPr>
  </w:style>
  <w:style w:type="paragraph" w:customStyle="1" w:styleId="33">
    <w:name w:val="表格内容"/>
    <w:basedOn w:val="1"/>
    <w:qFormat/>
    <w:uiPriority w:val="0"/>
    <w:pPr>
      <w:autoSpaceDE w:val="0"/>
      <w:autoSpaceDN w:val="0"/>
      <w:adjustRightInd w:val="0"/>
      <w:snapToGrid w:val="0"/>
      <w:spacing w:line="240" w:lineRule="auto"/>
      <w:ind w:firstLine="0" w:firstLineChars="0"/>
      <w:jc w:val="center"/>
    </w:pPr>
    <w:rPr>
      <w:kern w:val="0"/>
      <w:sz w:val="21"/>
    </w:rPr>
  </w:style>
  <w:style w:type="paragraph" w:customStyle="1" w:styleId="34">
    <w:name w:val="正文(首行缩进)"/>
    <w:basedOn w:val="1"/>
    <w:qFormat/>
    <w:uiPriority w:val="0"/>
    <w:pPr>
      <w:widowControl/>
      <w:adjustRightInd w:val="0"/>
      <w:spacing w:line="360" w:lineRule="auto"/>
      <w:ind w:firstLine="540" w:firstLineChars="225"/>
      <w:jc w:val="left"/>
      <w:textAlignment w:val="baseline"/>
    </w:pPr>
    <w:rPr>
      <w:rFonts w:ascii="宋体" w:hAnsi="宋体" w:cs="宋体"/>
      <w:color w:val="000000"/>
      <w:kern w:val="0"/>
      <w:sz w:val="24"/>
    </w:rPr>
  </w:style>
  <w:style w:type="paragraph" w:customStyle="1" w:styleId="35">
    <w:name w:val="正文2002"/>
    <w:basedOn w:val="1"/>
    <w:qFormat/>
    <w:uiPriority w:val="0"/>
    <w:pPr>
      <w:spacing w:line="340" w:lineRule="exact"/>
      <w:ind w:firstLine="0" w:firstLineChars="0"/>
      <w:jc w:val="center"/>
    </w:pPr>
    <w:rPr>
      <w:sz w:val="21"/>
    </w:rPr>
  </w:style>
  <w:style w:type="paragraph" w:customStyle="1" w:styleId="36">
    <w:name w:val="表格内"/>
    <w:basedOn w:val="1"/>
    <w:qFormat/>
    <w:uiPriority w:val="0"/>
    <w:pPr>
      <w:widowControl/>
      <w:adjustRightInd w:val="0"/>
      <w:snapToGrid w:val="0"/>
      <w:spacing w:after="200" w:line="360" w:lineRule="exact"/>
      <w:jc w:val="center"/>
    </w:pPr>
    <w:rPr>
      <w:rFonts w:eastAsia="微软雅黑"/>
      <w:snapToGrid w:val="0"/>
      <w:kern w:val="0"/>
      <w:sz w:val="22"/>
      <w:szCs w:val="21"/>
    </w:rPr>
  </w:style>
  <w:style w:type="character" w:customStyle="1" w:styleId="37">
    <w:name w:val="font51"/>
    <w:basedOn w:val="23"/>
    <w:qFormat/>
    <w:uiPriority w:val="0"/>
    <w:rPr>
      <w:rFonts w:hint="default" w:ascii="Times New Roman" w:hAnsi="Times New Roman" w:cs="Times New Roman"/>
      <w:color w:val="000000"/>
      <w:sz w:val="20"/>
      <w:szCs w:val="20"/>
      <w:u w:val="none"/>
    </w:rPr>
  </w:style>
  <w:style w:type="paragraph" w:customStyle="1" w:styleId="38">
    <w:name w:val="正文 楷体"/>
    <w:basedOn w:val="1"/>
    <w:qFormat/>
    <w:uiPriority w:val="0"/>
    <w:pPr>
      <w:spacing w:line="500" w:lineRule="exact"/>
      <w:ind w:firstLine="200" w:firstLineChars="200"/>
      <w:jc w:val="left"/>
    </w:pPr>
    <w:rPr>
      <w:rFonts w:ascii="华文仿宋" w:hAnsi="华文仿宋" w:eastAsia="华文仿宋" w:cs="宋体"/>
      <w:sz w:val="24"/>
    </w:rPr>
  </w:style>
  <w:style w:type="paragraph" w:customStyle="1" w:styleId="39">
    <w:name w:val="02表格文字-环评报告"/>
    <w:basedOn w:val="1"/>
    <w:autoRedefine/>
    <w:qFormat/>
    <w:uiPriority w:val="0"/>
    <w:pPr>
      <w:adjustRightInd w:val="0"/>
      <w:snapToGrid w:val="0"/>
      <w:spacing w:line="240" w:lineRule="auto"/>
      <w:ind w:firstLine="0" w:firstLineChars="0"/>
      <w:jc w:val="center"/>
    </w:pPr>
    <w:rPr>
      <w:sz w:val="21"/>
      <w:szCs w:val="21"/>
    </w:rPr>
  </w:style>
  <w:style w:type="table" w:customStyle="1" w:styleId="40">
    <w:name w:val="环评报告表格样式1"/>
    <w:basedOn w:val="21"/>
    <w:autoRedefine/>
    <w:qFormat/>
    <w:uiPriority w:val="99"/>
    <w:pPr>
      <w:jc w:val="center"/>
    </w:pPr>
    <w:rPr>
      <w:rFonts w:ascii="Times New Roman" w:hAnsi="Times New Roman" w:eastAsia="宋体"/>
      <w:szCs w:val="24"/>
    </w:rPr>
    <w:tblPr>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
    <w:trPr>
      <w:jc w:val="center"/>
    </w:trPr>
    <w:tcPr>
      <w:vAlign w:val="center"/>
    </w:tcPr>
  </w:style>
  <w:style w:type="paragraph" w:customStyle="1" w:styleId="41">
    <w:name w:val=" Char"/>
    <w:basedOn w:val="1"/>
    <w:next w:val="1"/>
    <w:qFormat/>
    <w:uiPriority w:val="0"/>
    <w:pPr>
      <w:widowControl/>
      <w:spacing w:line="360" w:lineRule="auto"/>
      <w:ind w:firstLine="200" w:firstLineChars="200"/>
      <w:jc w:val="left"/>
    </w:pPr>
    <w:rPr>
      <w:rFonts w:ascii="宋体" w:hAnsi="宋体" w:cs="宋体"/>
      <w:kern w:val="0"/>
      <w:sz w:val="24"/>
    </w:rPr>
  </w:style>
  <w:style w:type="paragraph" w:customStyle="1" w:styleId="42">
    <w:name w:val="表格文字"/>
    <w:basedOn w:val="9"/>
    <w:next w:val="1"/>
    <w:qFormat/>
    <w:uiPriority w:val="0"/>
    <w:pPr>
      <w:widowControl/>
      <w:tabs>
        <w:tab w:val="left" w:pos="360"/>
        <w:tab w:val="left" w:pos="1620"/>
      </w:tabs>
      <w:snapToGrid w:val="0"/>
      <w:spacing w:line="460" w:lineRule="exact"/>
      <w:jc w:val="center"/>
    </w:pPr>
    <w:rPr>
      <w:rFonts w:ascii="宋体" w:hAnsi="宋体" w:cs="宋体"/>
      <w:kern w:val="0"/>
      <w:sz w:val="24"/>
      <w:szCs w:val="20"/>
    </w:rPr>
  </w:style>
  <w:style w:type="paragraph" w:customStyle="1" w:styleId="43">
    <w:name w:val="表格"/>
    <w:basedOn w:val="6"/>
    <w:next w:val="1"/>
    <w:qFormat/>
    <w:uiPriority w:val="0"/>
    <w:pPr>
      <w:widowControl/>
      <w:jc w:val="center"/>
    </w:pPr>
    <w:rPr>
      <w:rFonts w:ascii="宋体" w:hAnsi="宋体" w:cs="宋体"/>
      <w:kern w:val="0"/>
      <w:sz w:val="24"/>
      <w:szCs w:val="21"/>
    </w:rPr>
  </w:style>
  <w:style w:type="paragraph" w:customStyle="1" w:styleId="44">
    <w:name w:val="正文A"/>
    <w:autoRedefine/>
    <w:qFormat/>
    <w:uiPriority w:val="0"/>
    <w:pPr>
      <w:widowControl w:val="0"/>
      <w:tabs>
        <w:tab w:val="left" w:pos="0"/>
      </w:tabs>
      <w:adjustRightInd w:val="0"/>
      <w:spacing w:line="360" w:lineRule="auto"/>
      <w:ind w:firstLine="200" w:firstLineChars="200"/>
      <w:jc w:val="both"/>
      <w:textAlignment w:val="baseline"/>
    </w:pPr>
    <w:rPr>
      <w:rFonts w:ascii="??" w:hAnsi="??" w:eastAsia="華康中楷體" w:cs="??"/>
      <w:sz w:val="24"/>
      <w:lang w:val="en-US" w:eastAsia="zh-CN" w:bidi="ar-SA"/>
    </w:rPr>
  </w:style>
  <w:style w:type="paragraph" w:customStyle="1" w:styleId="45">
    <w:name w:val="Other|1"/>
    <w:basedOn w:val="1"/>
    <w:autoRedefine/>
    <w:qFormat/>
    <w:uiPriority w:val="0"/>
    <w:pPr>
      <w:jc w:val="left"/>
    </w:pPr>
    <w:rPr>
      <w:rFonts w:ascii="宋体" w:hAnsi="宋体" w:cs="宋体"/>
      <w:sz w:val="20"/>
      <w:szCs w:val="20"/>
      <w:lang w:val="zh-TW" w:eastAsia="zh-TW" w:bidi="zh-TW"/>
    </w:rPr>
  </w:style>
  <w:style w:type="paragraph" w:customStyle="1" w:styleId="46">
    <w:name w:val="表头！！！！！！！！！！"/>
    <w:basedOn w:val="6"/>
    <w:qFormat/>
    <w:uiPriority w:val="0"/>
    <w:pPr>
      <w:autoSpaceDE w:val="0"/>
      <w:autoSpaceDN w:val="0"/>
      <w:adjustRightInd w:val="0"/>
      <w:spacing w:line="500" w:lineRule="exact"/>
      <w:jc w:val="center"/>
      <w:textAlignment w:val="baseline"/>
    </w:pPr>
    <w:rPr>
      <w:rFonts w:ascii="楷体_GB2312" w:eastAsia="楷体_GB2312"/>
      <w:b/>
      <w:snapToGrid w:val="0"/>
      <w:kern w:val="0"/>
      <w:sz w:val="24"/>
    </w:rPr>
  </w:style>
  <w:style w:type="paragraph" w:customStyle="1" w:styleId="4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8">
    <w:name w:val="表文字"/>
    <w:basedOn w:val="1"/>
    <w:autoRedefine/>
    <w:qFormat/>
    <w:uiPriority w:val="0"/>
    <w:pPr>
      <w:widowControl/>
      <w:tabs>
        <w:tab w:val="left" w:pos="3600"/>
      </w:tabs>
      <w:snapToGrid w:val="0"/>
      <w:spacing w:line="240" w:lineRule="exact"/>
      <w:jc w:val="center"/>
    </w:pPr>
    <w:rPr>
      <w:rFonts w:ascii="宋体" w:hAnsi="宋体"/>
      <w:spacing w:val="-6"/>
      <w:szCs w:val="21"/>
    </w:rPr>
  </w:style>
  <w:style w:type="paragraph" w:customStyle="1" w:styleId="49">
    <w:name w:val="简单回函地址"/>
    <w:basedOn w:val="1"/>
    <w:autoRedefine/>
    <w:qFormat/>
    <w:uiPriority w:val="0"/>
  </w:style>
  <w:style w:type="paragraph" w:customStyle="1" w:styleId="50">
    <w:name w:val="歪正文"/>
    <w:basedOn w:val="51"/>
    <w:qFormat/>
    <w:uiPriority w:val="0"/>
    <w:pPr>
      <w:textAlignment w:val="top"/>
    </w:pPr>
  </w:style>
  <w:style w:type="paragraph" w:customStyle="1" w:styleId="51">
    <w:name w:val="样式 样式 宋体 四号 首行缩进:  11.3 毫米 + 首行缩进:  2 字符"/>
    <w:basedOn w:val="52"/>
    <w:qFormat/>
    <w:uiPriority w:val="0"/>
    <w:pPr>
      <w:spacing w:line="560" w:lineRule="exact"/>
    </w:pPr>
    <w:rPr>
      <w:rFonts w:ascii="Times New Roman" w:hAnsi="Times New Roman"/>
    </w:rPr>
  </w:style>
  <w:style w:type="paragraph" w:customStyle="1" w:styleId="52">
    <w:name w:val="样式 宋体 四号 首行缩进:  11.3 毫米"/>
    <w:basedOn w:val="1"/>
    <w:qFormat/>
    <w:uiPriority w:val="0"/>
    <w:pPr>
      <w:ind w:firstLine="200" w:firstLineChars="200"/>
    </w:pPr>
    <w:rPr>
      <w:rFonts w:ascii="宋体" w:hAnsi="宋体" w:cs="宋体"/>
      <w:sz w:val="28"/>
      <w:szCs w:val="20"/>
    </w:rPr>
  </w:style>
  <w:style w:type="paragraph" w:customStyle="1" w:styleId="53">
    <w:name w:val="标准正文"/>
    <w:basedOn w:val="1"/>
    <w:qFormat/>
    <w:uiPriority w:val="0"/>
    <w:pPr>
      <w:spacing w:line="360" w:lineRule="auto"/>
      <w:ind w:firstLine="480" w:firstLineChars="200"/>
      <w:jc w:val="left"/>
    </w:pPr>
    <w:rPr>
      <w:rFonts w:ascii="宋体"/>
      <w:sz w:val="28"/>
      <w:szCs w:val="22"/>
    </w:rPr>
  </w:style>
  <w:style w:type="paragraph" w:customStyle="1" w:styleId="54">
    <w:name w:val="正文26-5.21"/>
    <w:basedOn w:val="1"/>
    <w:qFormat/>
    <w:uiPriority w:val="0"/>
    <w:pPr>
      <w:adjustRightInd w:val="0"/>
      <w:snapToGrid w:val="0"/>
      <w:spacing w:line="520" w:lineRule="exact"/>
      <w:ind w:firstLine="480" w:firstLineChars="200"/>
      <w:textAlignment w:val="baseline"/>
    </w:pPr>
    <w:rPr>
      <w:rFonts w:ascii="Times New Roman" w:hAnsi="Times New Roman" w:eastAsia="宋体" w:cs="宋体"/>
      <w:snapToGrid w:val="0"/>
      <w:sz w:val="24"/>
    </w:rPr>
  </w:style>
  <w:style w:type="paragraph" w:customStyle="1" w:styleId="55">
    <w:name w:val="表格正文"/>
    <w:basedOn w:val="1"/>
    <w:next w:val="1"/>
    <w:qFormat/>
    <w:uiPriority w:val="0"/>
    <w:pPr>
      <w:pBdr>
        <w:top w:val="none" w:color="auto" w:sz="0" w:space="1"/>
        <w:left w:val="none" w:color="auto" w:sz="0" w:space="4"/>
        <w:bottom w:val="none" w:color="auto" w:sz="0" w:space="1"/>
        <w:right w:val="none" w:color="auto" w:sz="0" w:space="4"/>
      </w:pBdr>
      <w:topLinePunct/>
      <w:spacing w:line="320" w:lineRule="exact"/>
      <w:jc w:val="center"/>
    </w:pPr>
    <w:rPr>
      <w:sz w:val="20"/>
      <w:szCs w:val="21"/>
      <w:lang w:val="zh-CN"/>
    </w:rPr>
  </w:style>
  <w:style w:type="paragraph" w:customStyle="1" w:styleId="56">
    <w:name w:val="任表格文字"/>
    <w:next w:val="1"/>
    <w:autoRedefine/>
    <w:qFormat/>
    <w:uiPriority w:val="0"/>
    <w:pPr>
      <w:tabs>
        <w:tab w:val="left" w:pos="1119"/>
      </w:tabs>
      <w:spacing w:line="360" w:lineRule="exact"/>
      <w:jc w:val="center"/>
    </w:pPr>
    <w:rPr>
      <w:rFonts w:ascii="Times New Roman" w:hAnsi="Times New Roman" w:eastAsia="宋体" w:cs="Times New Roman"/>
      <w:snapToGrid w:val="0"/>
      <w:color w:val="000000"/>
      <w:sz w:val="21"/>
      <w:szCs w:val="18"/>
      <w:lang w:val="en-US" w:eastAsia="zh-CN" w:bidi="ar-SA"/>
    </w:rPr>
  </w:style>
  <w:style w:type="paragraph" w:customStyle="1" w:styleId="57">
    <w:name w:val="表头标题"/>
    <w:basedOn w:val="1"/>
    <w:qFormat/>
    <w:uiPriority w:val="0"/>
    <w:pPr>
      <w:tabs>
        <w:tab w:val="left" w:pos="905"/>
      </w:tabs>
      <w:snapToGrid w:val="0"/>
      <w:jc w:val="center"/>
    </w:pPr>
    <w:rPr>
      <w:rFonts w:ascii="黑体" w:eastAsia="黑体"/>
      <w:bCs/>
      <w:color w:val="FF0000"/>
      <w:kern w:val="0"/>
      <w:sz w:val="20"/>
      <w:szCs w:val="21"/>
      <w:lang w:val="zh-CN"/>
    </w:rPr>
  </w:style>
  <w:style w:type="paragraph" w:customStyle="1" w:styleId="58">
    <w:name w:val="List Paragraph"/>
    <w:basedOn w:val="1"/>
    <w:qFormat/>
    <w:uiPriority w:val="1"/>
    <w:pPr>
      <w:ind w:left="1721" w:hanging="601"/>
    </w:pPr>
    <w:rPr>
      <w:rFonts w:ascii="宋体" w:hAnsi="宋体" w:eastAsia="宋体" w:cs="宋体"/>
      <w:lang w:val="zh-CN" w:eastAsia="zh-CN" w:bidi="zh-CN"/>
    </w:rPr>
  </w:style>
  <w:style w:type="paragraph" w:customStyle="1" w:styleId="59">
    <w:name w:val="我"/>
    <w:basedOn w:val="1"/>
    <w:qFormat/>
    <w:uiPriority w:val="0"/>
    <w:pPr>
      <w:spacing w:line="360" w:lineRule="auto"/>
      <w:ind w:firstLine="640" w:firstLineChars="200"/>
    </w:pPr>
    <w:rPr>
      <w:sz w:val="24"/>
    </w:rPr>
  </w:style>
  <w:style w:type="paragraph" w:customStyle="1" w:styleId="60">
    <w:name w:val="环评正文"/>
    <w:basedOn w:val="1"/>
    <w:qFormat/>
    <w:uiPriority w:val="0"/>
    <w:pPr>
      <w:spacing w:line="360" w:lineRule="auto"/>
      <w:ind w:firstLine="200" w:firstLineChars="200"/>
    </w:pPr>
    <w:rPr>
      <w:rFonts w:ascii="仿宋_GB2312" w:hAnsi="仿宋_GB2312" w:eastAsia="仿宋_GB2312"/>
      <w:sz w:val="24"/>
      <w:szCs w:val="20"/>
    </w:rPr>
  </w:style>
  <w:style w:type="paragraph" w:customStyle="1" w:styleId="61">
    <w:name w:val="报告正文小四"/>
    <w:basedOn w:val="1"/>
    <w:qFormat/>
    <w:uiPriority w:val="0"/>
    <w:pPr>
      <w:adjustRightInd w:val="0"/>
      <w:snapToGrid w:val="0"/>
      <w:spacing w:before="120" w:line="420" w:lineRule="atLeast"/>
      <w:ind w:firstLine="510"/>
    </w:pPr>
    <w:rPr>
      <w:kern w:val="0"/>
      <w:sz w:val="24"/>
      <w:szCs w:val="20"/>
    </w:rPr>
  </w:style>
  <w:style w:type="paragraph" w:customStyle="1" w:styleId="62">
    <w:name w:val="样式 首行缩进:  2 字符"/>
    <w:basedOn w:val="1"/>
    <w:qFormat/>
    <w:uiPriority w:val="0"/>
    <w:pPr>
      <w:spacing w:line="500" w:lineRule="exact"/>
      <w:ind w:firstLine="480" w:firstLineChars="200"/>
    </w:pPr>
    <w:rPr>
      <w:rFonts w:ascii="宋体" w:hAnsi="宋体"/>
      <w:sz w:val="24"/>
      <w:szCs w:val="20"/>
    </w:rPr>
  </w:style>
  <w:style w:type="paragraph" w:customStyle="1" w:styleId="63">
    <w:name w:val="正文（缩进）"/>
    <w:basedOn w:val="1"/>
    <w:qFormat/>
    <w:uiPriority w:val="99"/>
    <w:pPr>
      <w:spacing w:line="360" w:lineRule="auto"/>
      <w:ind w:firstLine="480" w:firstLineChars="200"/>
    </w:pPr>
    <w:rPr>
      <w:rFonts w:ascii="Times New Roman" w:hAnsi="Times New Roman" w:cs="Times New Roman"/>
      <w:sz w:val="24"/>
      <w:szCs w:val="24"/>
    </w:rPr>
  </w:style>
  <w:style w:type="paragraph" w:customStyle="1" w:styleId="64">
    <w:name w:val="段落"/>
    <w:basedOn w:val="1"/>
    <w:autoRedefine/>
    <w:qFormat/>
    <w:uiPriority w:val="99"/>
    <w:pPr>
      <w:spacing w:line="360" w:lineRule="auto"/>
      <w:ind w:firstLine="480" w:firstLineChars="200"/>
    </w:pPr>
    <w:rPr>
      <w:rFonts w:ascii="Cambria Math" w:hAnsi="Cambria Math" w:eastAsia="華康中楷體" w:cs="??"/>
      <w:sz w:val="24"/>
      <w:szCs w:val="20"/>
    </w:rPr>
  </w:style>
  <w:style w:type="paragraph" w:customStyle="1" w:styleId="65">
    <w:name w:val="1正文段落"/>
    <w:basedOn w:val="1"/>
    <w:qFormat/>
    <w:uiPriority w:val="0"/>
    <w:pPr>
      <w:spacing w:line="360" w:lineRule="auto"/>
      <w:ind w:firstLine="480"/>
      <w:jc w:val="left"/>
    </w:pPr>
    <w:rPr>
      <w:rFonts w:eastAsia="宋体"/>
      <w:snapToGrid w:val="0"/>
      <w:sz w:val="24"/>
      <w:szCs w:val="24"/>
    </w:rPr>
  </w:style>
  <w:style w:type="paragraph" w:customStyle="1" w:styleId="66">
    <w:name w:val="表 头"/>
    <w:basedOn w:val="1"/>
    <w:qFormat/>
    <w:uiPriority w:val="0"/>
    <w:pPr>
      <w:adjustRightInd w:val="0"/>
      <w:spacing w:before="120" w:after="120" w:line="360" w:lineRule="atLeast"/>
      <w:jc w:val="center"/>
    </w:pPr>
    <w:rPr>
      <w:rFonts w:eastAsia="黑体"/>
      <w:spacing w:val="10"/>
      <w:kern w:val="0"/>
      <w:sz w:val="24"/>
      <w:szCs w:val="20"/>
    </w:rPr>
  </w:style>
  <w:style w:type="paragraph" w:customStyle="1" w:styleId="67">
    <w:name w:val="表头"/>
    <w:basedOn w:val="68"/>
    <w:next w:val="1"/>
    <w:qFormat/>
    <w:uiPriority w:val="0"/>
    <w:pPr>
      <w:spacing w:before="0" w:beforeLines="0" w:after="0" w:afterLines="0"/>
      <w:ind w:firstLine="0" w:firstLineChars="0"/>
      <w:jc w:val="center"/>
    </w:pPr>
    <w:rPr>
      <w:b/>
    </w:rPr>
  </w:style>
  <w:style w:type="paragraph" w:customStyle="1" w:styleId="68">
    <w:name w:val="正文1"/>
    <w:basedOn w:val="6"/>
    <w:next w:val="6"/>
    <w:qFormat/>
    <w:uiPriority w:val="0"/>
    <w:pPr>
      <w:spacing w:before="78" w:beforeLines="25" w:after="78" w:afterLines="25" w:line="360" w:lineRule="auto"/>
      <w:ind w:firstLine="480" w:firstLineChars="200"/>
    </w:pPr>
    <w:rPr>
      <w:sz w:val="24"/>
    </w:rPr>
  </w:style>
  <w:style w:type="character" w:customStyle="1" w:styleId="69">
    <w:name w:val="标题 2 Char"/>
    <w:link w:val="3"/>
    <w:qFormat/>
    <w:uiPriority w:val="0"/>
    <w:rPr>
      <w:b/>
      <w:bCs/>
      <w:sz w:val="32"/>
      <w:szCs w:val="32"/>
    </w:rPr>
  </w:style>
  <w:style w:type="character" w:customStyle="1" w:styleId="70">
    <w:name w:val="标题 3 Char"/>
    <w:link w:val="4"/>
    <w:qFormat/>
    <w:uiPriority w:val="0"/>
    <w:rPr>
      <w:b/>
      <w:bCs/>
      <w:sz w:val="30"/>
      <w:szCs w:val="32"/>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1.bin"/><Relationship Id="rId98" Type="http://schemas.openxmlformats.org/officeDocument/2006/relationships/image" Target="media/image24.wmf"/><Relationship Id="rId97" Type="http://schemas.openxmlformats.org/officeDocument/2006/relationships/oleObject" Target="embeddings/oleObject20.bin"/><Relationship Id="rId96" Type="http://schemas.openxmlformats.org/officeDocument/2006/relationships/image" Target="media/image23.wmf"/><Relationship Id="rId95" Type="http://schemas.openxmlformats.org/officeDocument/2006/relationships/oleObject" Target="embeddings/oleObject19.bin"/><Relationship Id="rId94" Type="http://schemas.openxmlformats.org/officeDocument/2006/relationships/image" Target="media/image22.wmf"/><Relationship Id="rId93" Type="http://schemas.openxmlformats.org/officeDocument/2006/relationships/oleObject" Target="embeddings/oleObject18.bin"/><Relationship Id="rId92" Type="http://schemas.openxmlformats.org/officeDocument/2006/relationships/image" Target="media/image21.wmf"/><Relationship Id="rId91" Type="http://schemas.openxmlformats.org/officeDocument/2006/relationships/oleObject" Target="embeddings/oleObject17.bin"/><Relationship Id="rId90" Type="http://schemas.openxmlformats.org/officeDocument/2006/relationships/image" Target="media/image20.wmf"/><Relationship Id="rId9" Type="http://schemas.openxmlformats.org/officeDocument/2006/relationships/footer" Target="footer2.xml"/><Relationship Id="rId89" Type="http://schemas.openxmlformats.org/officeDocument/2006/relationships/oleObject" Target="embeddings/oleObject16.bin"/><Relationship Id="rId88" Type="http://schemas.openxmlformats.org/officeDocument/2006/relationships/image" Target="media/image19.wmf"/><Relationship Id="rId87" Type="http://schemas.openxmlformats.org/officeDocument/2006/relationships/oleObject" Target="embeddings/oleObject15.bin"/><Relationship Id="rId86" Type="http://schemas.openxmlformats.org/officeDocument/2006/relationships/image" Target="media/image18.wmf"/><Relationship Id="rId85" Type="http://schemas.openxmlformats.org/officeDocument/2006/relationships/oleObject" Target="embeddings/oleObject14.bin"/><Relationship Id="rId84" Type="http://schemas.openxmlformats.org/officeDocument/2006/relationships/image" Target="media/image17.wmf"/><Relationship Id="rId83" Type="http://schemas.openxmlformats.org/officeDocument/2006/relationships/oleObject" Target="embeddings/oleObject13.bin"/><Relationship Id="rId82" Type="http://schemas.openxmlformats.org/officeDocument/2006/relationships/oleObject" Target="embeddings/oleObject12.bin"/><Relationship Id="rId81" Type="http://schemas.openxmlformats.org/officeDocument/2006/relationships/image" Target="media/image16.wmf"/><Relationship Id="rId80" Type="http://schemas.openxmlformats.org/officeDocument/2006/relationships/oleObject" Target="embeddings/oleObject11.bin"/><Relationship Id="rId8" Type="http://schemas.openxmlformats.org/officeDocument/2006/relationships/footer" Target="footer1.xml"/><Relationship Id="rId79" Type="http://schemas.openxmlformats.org/officeDocument/2006/relationships/image" Target="media/image15.wmf"/><Relationship Id="rId78" Type="http://schemas.openxmlformats.org/officeDocument/2006/relationships/oleObject" Target="embeddings/oleObject10.bin"/><Relationship Id="rId77" Type="http://schemas.openxmlformats.org/officeDocument/2006/relationships/image" Target="media/image14.wmf"/><Relationship Id="rId76" Type="http://schemas.openxmlformats.org/officeDocument/2006/relationships/oleObject" Target="embeddings/oleObject9.bin"/><Relationship Id="rId75" Type="http://schemas.openxmlformats.org/officeDocument/2006/relationships/image" Target="media/image13.wmf"/><Relationship Id="rId74" Type="http://schemas.openxmlformats.org/officeDocument/2006/relationships/oleObject" Target="embeddings/oleObject8.bin"/><Relationship Id="rId73" Type="http://schemas.openxmlformats.org/officeDocument/2006/relationships/image" Target="media/image12.png"/><Relationship Id="rId72" Type="http://schemas.openxmlformats.org/officeDocument/2006/relationships/image" Target="media/image11.png"/><Relationship Id="rId71" Type="http://schemas.openxmlformats.org/officeDocument/2006/relationships/image" Target="media/image10.png"/><Relationship Id="rId70" Type="http://schemas.openxmlformats.org/officeDocument/2006/relationships/image" Target="media/image9.png"/><Relationship Id="rId7" Type="http://schemas.openxmlformats.org/officeDocument/2006/relationships/header" Target="header3.xml"/><Relationship Id="rId69" Type="http://schemas.openxmlformats.org/officeDocument/2006/relationships/image" Target="media/image8.wmf"/><Relationship Id="rId68" Type="http://schemas.openxmlformats.org/officeDocument/2006/relationships/oleObject" Target="embeddings/oleObject7.bin"/><Relationship Id="rId67" Type="http://schemas.openxmlformats.org/officeDocument/2006/relationships/image" Target="media/image7.wmf"/><Relationship Id="rId66" Type="http://schemas.openxmlformats.org/officeDocument/2006/relationships/oleObject" Target="embeddings/oleObject6.bin"/><Relationship Id="rId65" Type="http://schemas.openxmlformats.org/officeDocument/2006/relationships/image" Target="media/image6.wmf"/><Relationship Id="rId64" Type="http://schemas.openxmlformats.org/officeDocument/2006/relationships/oleObject" Target="embeddings/oleObject5.bin"/><Relationship Id="rId63" Type="http://schemas.openxmlformats.org/officeDocument/2006/relationships/image" Target="media/image5.wmf"/><Relationship Id="rId62" Type="http://schemas.openxmlformats.org/officeDocument/2006/relationships/oleObject" Target="embeddings/oleObject4.bin"/><Relationship Id="rId61" Type="http://schemas.openxmlformats.org/officeDocument/2006/relationships/image" Target="media/image4.wmf"/><Relationship Id="rId60" Type="http://schemas.openxmlformats.org/officeDocument/2006/relationships/oleObject" Target="embeddings/oleObject3.bin"/><Relationship Id="rId6" Type="http://schemas.openxmlformats.org/officeDocument/2006/relationships/header" Target="header2.xml"/><Relationship Id="rId59" Type="http://schemas.openxmlformats.org/officeDocument/2006/relationships/image" Target="media/image3.emf"/><Relationship Id="rId58" Type="http://schemas.openxmlformats.org/officeDocument/2006/relationships/oleObject" Target="embeddings/oleObject2.bin"/><Relationship Id="rId57" Type="http://schemas.openxmlformats.org/officeDocument/2006/relationships/image" Target="media/image2.emf"/><Relationship Id="rId56" Type="http://schemas.openxmlformats.org/officeDocument/2006/relationships/oleObject" Target="embeddings/oleObject1.bin"/><Relationship Id="rId55" Type="http://schemas.openxmlformats.org/officeDocument/2006/relationships/image" Target="media/image1.png"/><Relationship Id="rId54" Type="http://schemas.openxmlformats.org/officeDocument/2006/relationships/theme" Target="theme/theme1.xml"/><Relationship Id="rId53" Type="http://schemas.openxmlformats.org/officeDocument/2006/relationships/footer" Target="footer29.xml"/><Relationship Id="rId52" Type="http://schemas.openxmlformats.org/officeDocument/2006/relationships/header" Target="header20.xml"/><Relationship Id="rId51" Type="http://schemas.openxmlformats.org/officeDocument/2006/relationships/footer" Target="footer28.xml"/><Relationship Id="rId50" Type="http://schemas.openxmlformats.org/officeDocument/2006/relationships/footer" Target="footer27.xml"/><Relationship Id="rId5" Type="http://schemas.openxmlformats.org/officeDocument/2006/relationships/header" Target="header1.xml"/><Relationship Id="rId49" Type="http://schemas.openxmlformats.org/officeDocument/2006/relationships/header" Target="header19.xml"/><Relationship Id="rId48" Type="http://schemas.openxmlformats.org/officeDocument/2006/relationships/footer" Target="footer26.xml"/><Relationship Id="rId47" Type="http://schemas.openxmlformats.org/officeDocument/2006/relationships/header" Target="header18.xml"/><Relationship Id="rId46" Type="http://schemas.openxmlformats.org/officeDocument/2006/relationships/footer" Target="footer25.xml"/><Relationship Id="rId45" Type="http://schemas.openxmlformats.org/officeDocument/2006/relationships/footer" Target="footer24.xml"/><Relationship Id="rId44" Type="http://schemas.openxmlformats.org/officeDocument/2006/relationships/header" Target="header17.xml"/><Relationship Id="rId43" Type="http://schemas.openxmlformats.org/officeDocument/2006/relationships/footer" Target="footer23.xml"/><Relationship Id="rId42" Type="http://schemas.openxmlformats.org/officeDocument/2006/relationships/header" Target="header16.xml"/><Relationship Id="rId41" Type="http://schemas.openxmlformats.org/officeDocument/2006/relationships/footer" Target="footer22.xml"/><Relationship Id="rId40" Type="http://schemas.openxmlformats.org/officeDocument/2006/relationships/footer" Target="footer21.xml"/><Relationship Id="rId4" Type="http://schemas.openxmlformats.org/officeDocument/2006/relationships/endnotes" Target="endnotes.xml"/><Relationship Id="rId39" Type="http://schemas.openxmlformats.org/officeDocument/2006/relationships/footer" Target="footer20.xml"/><Relationship Id="rId38" Type="http://schemas.openxmlformats.org/officeDocument/2006/relationships/header" Target="header15.xml"/><Relationship Id="rId37" Type="http://schemas.openxmlformats.org/officeDocument/2006/relationships/header" Target="header14.xml"/><Relationship Id="rId36" Type="http://schemas.openxmlformats.org/officeDocument/2006/relationships/footer" Target="footer19.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header" Target="header13.xml"/><Relationship Id="rId31" Type="http://schemas.openxmlformats.org/officeDocument/2006/relationships/header" Target="header12.xml"/><Relationship Id="rId30" Type="http://schemas.openxmlformats.org/officeDocument/2006/relationships/footer" Target="footer15.xml"/><Relationship Id="rId3" Type="http://schemas.openxmlformats.org/officeDocument/2006/relationships/footnotes" Target="footnotes.xml"/><Relationship Id="rId29" Type="http://schemas.openxmlformats.org/officeDocument/2006/relationships/header" Target="header11.xml"/><Relationship Id="rId28" Type="http://schemas.openxmlformats.org/officeDocument/2006/relationships/footer" Target="footer14.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4" Type="http://schemas.openxmlformats.org/officeDocument/2006/relationships/fontTable" Target="fontTable.xml"/><Relationship Id="rId123" Type="http://schemas.openxmlformats.org/officeDocument/2006/relationships/customXml" Target="../customXml/item2.xml"/><Relationship Id="rId122" Type="http://schemas.openxmlformats.org/officeDocument/2006/relationships/numbering" Target="numbering.xml"/><Relationship Id="rId121" Type="http://schemas.openxmlformats.org/officeDocument/2006/relationships/customXml" Target="../customXml/item1.xml"/><Relationship Id="rId120" Type="http://schemas.openxmlformats.org/officeDocument/2006/relationships/image" Target="media/image37.wmf"/><Relationship Id="rId12" Type="http://schemas.openxmlformats.org/officeDocument/2006/relationships/header" Target="header4.xml"/><Relationship Id="rId119" Type="http://schemas.openxmlformats.org/officeDocument/2006/relationships/oleObject" Target="embeddings/oleObject29.bin"/><Relationship Id="rId118" Type="http://schemas.openxmlformats.org/officeDocument/2006/relationships/image" Target="media/image36.emf"/><Relationship Id="rId117" Type="http://schemas.openxmlformats.org/officeDocument/2006/relationships/oleObject" Target="embeddings/oleObject28.bin"/><Relationship Id="rId116" Type="http://schemas.openxmlformats.org/officeDocument/2006/relationships/image" Target="media/image35.png"/><Relationship Id="rId115" Type="http://schemas.openxmlformats.org/officeDocument/2006/relationships/image" Target="media/image34.png"/><Relationship Id="rId114" Type="http://schemas.openxmlformats.org/officeDocument/2006/relationships/image" Target="media/image33.png"/><Relationship Id="rId113" Type="http://schemas.openxmlformats.org/officeDocument/2006/relationships/image" Target="media/image32.png"/><Relationship Id="rId112" Type="http://schemas.openxmlformats.org/officeDocument/2006/relationships/image" Target="media/image31.wmf"/><Relationship Id="rId111" Type="http://schemas.openxmlformats.org/officeDocument/2006/relationships/oleObject" Target="embeddings/oleObject27.bin"/><Relationship Id="rId110" Type="http://schemas.openxmlformats.org/officeDocument/2006/relationships/image" Target="media/image30.wmf"/><Relationship Id="rId11" Type="http://schemas.openxmlformats.org/officeDocument/2006/relationships/footer" Target="footer4.xml"/><Relationship Id="rId109" Type="http://schemas.openxmlformats.org/officeDocument/2006/relationships/oleObject" Target="embeddings/oleObject26.bin"/><Relationship Id="rId108" Type="http://schemas.openxmlformats.org/officeDocument/2006/relationships/image" Target="media/image29.wmf"/><Relationship Id="rId107" Type="http://schemas.openxmlformats.org/officeDocument/2006/relationships/oleObject" Target="embeddings/oleObject25.bin"/><Relationship Id="rId106" Type="http://schemas.openxmlformats.org/officeDocument/2006/relationships/image" Target="media/image28.wmf"/><Relationship Id="rId105" Type="http://schemas.openxmlformats.org/officeDocument/2006/relationships/oleObject" Target="embeddings/oleObject24.bin"/><Relationship Id="rId104" Type="http://schemas.openxmlformats.org/officeDocument/2006/relationships/image" Target="media/image27.wmf"/><Relationship Id="rId103" Type="http://schemas.openxmlformats.org/officeDocument/2006/relationships/oleObject" Target="embeddings/oleObject23.bin"/><Relationship Id="rId102" Type="http://schemas.openxmlformats.org/officeDocument/2006/relationships/image" Target="media/image26.wmf"/><Relationship Id="rId101" Type="http://schemas.openxmlformats.org/officeDocument/2006/relationships/oleObject" Target="embeddings/oleObject22.bin"/><Relationship Id="rId100" Type="http://schemas.openxmlformats.org/officeDocument/2006/relationships/image" Target="media/image25.w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Exts>
</s:customData>
</file>

<file path=customXml/item2.xml><?xml version="1.0" encoding="utf-8"?>
<contractReview xmlns="http://schemas.wps.cn/vas-ai-hub/contract-review">
  <reviewItems>
    <reviewItem>
      <errorID>4857ff85-e641-47a0-95a9-496718559bb2</errorID>
      <errorWord>〔2014〕第003号</errorWord>
      <group>L1_Knowledge</group>
      <groupName>知识性问题</groupName>
      <ability>L2_Knowledge</ability>
      <abilityName>其他知识</abilityName>
      <candidateList>
        <item>〔2014〕3号</item>
      </candidateList>
      <explain>发文字号格式错误。</explain>
      <paraID>1F3ED250</paraID>
      <start>100</start>
      <end>111</end>
      <status>ignored</status>
      <modifiedWord/>
      <trackRevisions>false</trackRevisions>
    </reviewItem>
    <reviewItem>
      <errorID>03a70836-0c6b-4368-8d13-a868700f2951</errorID>
      <errorWord>制</errorWord>
      <group>L1_Word</group>
      <groupName>字词问题</groupName>
      <ability>L2_Typo</ability>
      <abilityName>字词错误</abilityName>
      <candidateList>
        <item>制度</item>
      </candidateList>
      <explain/>
      <paraID>4EF891F0</paraID>
      <start>17</start>
      <end>18</end>
      <status>ignored</status>
      <modifiedWord/>
      <trackRevisions>false</trackRevisions>
    </reviewItem>
    <reviewItem>
      <errorID>3e599fad-5e6b-48b0-8fd6-1ad8f43b6a03</errorID>
      <errorWord>》</errorWord>
      <group>L1_Punc</group>
      <groupName>标点问题</groupName>
      <ability>L2_Punc_CN</ability>
      <abilityName>标点符号问题</abilityName>
      <candidateList/>
      <explain/>
      <paraID> 2EB00AB</paraID>
      <start>0</start>
      <end>1</end>
      <status>ignored</status>
      <modifiedWord/>
      <trackRevisions>false</trackRevisions>
    </reviewItem>
    <reviewItem>
      <errorID>528b68dd-1704-4461-9953-b8d5b41eb98c</errorID>
      <errorWord>运营期</errorWord>
      <group>L1_Word</group>
      <groupName>字词问题</groupName>
      <ability>L2_Typo</ability>
      <abilityName>字词错误</abilityName>
      <candidateList>
        <item>运营</item>
      </candidateList>
      <explain/>
      <paraID>7F371AF1</paraID>
      <start>24</start>
      <end>26</end>
      <status>modified</status>
      <modifiedWord>运营</modifiedWord>
      <trackRevisions>false</trackRevisions>
    </reviewItem>
    <reviewItem>
      <errorID>6531659b-2684-4751-a4df-3f469136d857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7F82817</paraID>
      <start>0</start>
      <end>2</end>
      <status>ignored</status>
      <modifiedWord/>
      <trackRevisions>false</trackRevisions>
    </reviewItem>
    <reviewItem>
      <errorID>f4ddeb71-4f95-4867-9101-b94a54e0b6bb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A2D8029</paraID>
      <start>0</start>
      <end>2</end>
      <status>ignored</status>
      <modifiedWord/>
      <trackRevisions>false</trackRevisions>
    </reviewItem>
    <reviewItem>
      <errorID>a9272664-7a39-48a6-984e-37747a87ffc7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3BBEBCC8</paraID>
      <start>0</start>
      <end>2</end>
      <status>ignored</status>
      <modifiedWord/>
      <trackRevisions>false</trackRevisions>
    </reviewItem>
    <reviewItem>
      <errorID>bd903b08-63f6-4acb-8711-d6bffe072ef2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33C2A146</paraID>
      <start>0</start>
      <end>2</end>
      <status>ignored</status>
      <modifiedWord/>
      <trackRevisions>false</trackRevisions>
    </reviewItem>
    <reviewItem>
      <errorID>11553ec3-9e2b-45e7-a7f3-91af9ffaea27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1494A296</paraID>
      <start>0</start>
      <end>2</end>
      <status>ignored</status>
      <modifiedWord/>
      <trackRevisions>false</trackRevisions>
    </reviewItem>
    <reviewItem>
      <errorID>217c0c94-5d0f-4e5f-92de-849e0c6c84f9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1B45DFD3</paraID>
      <start>0</start>
      <end>2</end>
      <status>ignored</status>
      <modifiedWord/>
      <trackRevisions>false</trackRevisions>
    </reviewItem>
    <reviewItem>
      <errorID>53a8da07-2d35-45c1-bf1f-f7769e0e9ed1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316EA1E6</paraID>
      <start>0</start>
      <end>2</end>
      <status>ignored</status>
      <modifiedWord/>
      <trackRevisions>false</trackRevisions>
    </reviewItem>
    <reviewItem>
      <errorID>208acd01-cd16-414a-96be-a7051d975d86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6F72F6D1</paraID>
      <start>0</start>
      <end>2</end>
      <status>ignored</status>
      <modifiedWord/>
      <trackRevisions>false</trackRevisions>
    </reviewItem>
    <reviewItem>
      <errorID>42eb15da-f77f-4d65-a6f7-fbd64bfbc16d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F841516</paraID>
      <start>0</start>
      <end>2</end>
      <status>ignored</status>
      <modifiedWord/>
      <trackRevisions>false</trackRevisions>
    </reviewItem>
    <reviewItem>
      <errorID>8d8223ea-0ef1-4f60-8704-2a7d6442c15e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7724EA0F</paraID>
      <start>0</start>
      <end>2</end>
      <status>ignored</status>
      <modifiedWord/>
      <trackRevisions>false</trackRevisions>
    </reviewItem>
    <reviewItem>
      <errorID>29e197ee-a7f1-4433-8bf1-81226ec59f12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7F846EE</paraID>
      <start>0</start>
      <end>2</end>
      <status>ignored</status>
      <modifiedWord/>
      <trackRevisions>false</trackRevisions>
    </reviewItem>
    <reviewItem>
      <errorID>919aa61b-a3ea-4705-9481-64675ec35cc4</errorID>
      <errorWord>海拔高度</errorWord>
      <group>L1_Word</group>
      <groupName>字词问题</groupName>
      <ability>L2_Typo</ability>
      <abilityName>字词错误</abilityName>
      <candidateList>
        <item>海拔</item>
      </candidateList>
      <explain/>
      <paraID>31C41844</paraID>
      <start>2</start>
      <end>6</end>
      <status>ignored</status>
      <modifiedWord/>
      <trackRevisions>false</trackRevisions>
    </reviewItem>
    <reviewItem>
      <errorID>cf1d4413-1638-4d7d-abe9-766e139d5c0e</errorID>
      <errorWord>47、</errorWord>
      <group>L1_Format</group>
      <groupName>格式问题</groupName>
      <ability>L2_Ordinal</ability>
      <abilityName>序号格式</abilityName>
      <candidateList>
        <item>47.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39DCE99F</paraID>
      <start>0</start>
      <end>3</end>
      <status>ignored</status>
      <modifiedWord/>
      <trackRevisions>false</trackRevisions>
    </reviewItem>
    <reviewItem>
      <errorID>668c0a4b-7163-4a17-9cd1-977ecdebf0ed</errorID>
      <errorWord>II类</errorWord>
      <group>L1_Knowledge</group>
      <groupName>知识性问题</groupName>
      <ability>L2_Knowledge</ability>
      <abilityName>其他知识</abilityName>
      <candidateList>
        <item>Ⅱ类</item>
      </candidateList>
      <explain>中文环境下罗马数字格式错误。</explain>
      <paraID>4D5D3FDC</paraID>
      <start>13</start>
      <end>15</end>
      <status>modified</status>
      <modifiedWord>Ⅱ类</modifiedWord>
      <trackRevisions>false</trackRevisions>
    </reviewItem>
    <reviewItem>
      <errorID>2c0f69a7-a85c-430f-a3d4-27b9babc1610</errorID>
      <errorWord>III类</errorWord>
      <group>L1_Knowledge</group>
      <groupName>知识性问题</groupName>
      <ability>L2_Knowledge</ability>
      <abilityName>其他知识</abilityName>
      <candidateList>
        <item>Ⅲ类</item>
      </candidateList>
      <explain>中文环境下罗马数字格式错误。</explain>
      <paraID>4D5D3FDC</paraID>
      <start>18</start>
      <end>20</end>
      <status>modified</status>
      <modifiedWord>Ⅲ类</modifiedWord>
      <trackRevisions>false</trackRevisions>
    </reviewItem>
    <reviewItem>
      <errorID>993bf72f-922b-4adc-97b1-fff6ac745965</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 31D0E73</paraID>
      <start>139</start>
      <end>144</end>
      <status>ignored</status>
      <modifiedWord/>
      <trackRevisions>false</trackRevisions>
    </reviewItem>
    <reviewItem>
      <errorID>34f9e311-23dc-4ec1-91de-fc3449a45dd2</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47461578</paraID>
      <start>72</start>
      <end>77</end>
      <status>ignored</status>
      <modifiedWord/>
      <trackRevisions>false</trackRevisions>
    </reviewItem>
    <reviewItem>
      <errorID>c66a67e1-ecc4-41f6-a69e-eeb72f56c4d2</errorID>
      <errorWord>影响型</errorWord>
      <group>L1_Word</group>
      <groupName>字词问题</groupName>
      <ability>L2_Typo</ability>
      <abilityName>字词错误</abilityName>
      <candidateList>
        <item>影响</item>
      </candidateList>
      <explain/>
      <paraID>251801EB</paraID>
      <start>150</start>
      <end>153</end>
      <status>ignored</status>
      <modifiedWord/>
      <trackRevisions>false</trackRevisions>
    </reviewItem>
    <reviewItem>
      <errorID>83f86be6-bbb9-4444-b305-48ba255be8be</errorID>
      <errorWord>IV</errorWord>
      <group>L1_Knowledge</group>
      <groupName>知识性问题</groupName>
      <ability>L2_Knowledge</ability>
      <abilityName>其他知识</abilityName>
      <candidateList>
        <item>Ⅳ</item>
      </candidateList>
      <explain>中文环境下罗马数字格式错误。</explain>
      <paraID>7147915E</paraID>
      <start>0</start>
      <end>1</end>
      <status>modified</status>
      <modifiedWord>Ⅳ</modifiedWord>
      <trackRevisions>false</trackRevisions>
    </reviewItem>
    <reviewItem>
      <errorID>c2709400-32af-422c-b16b-7e9b555c929f</errorID>
      <errorWord>III</errorWord>
      <group>L1_Word</group>
      <groupName>字词问题</groupName>
      <ability>L2_Typo</ability>
      <abilityName>字词错误</abilityName>
      <candidateList>
        <item>Ⅲ</item>
      </candidateList>
      <explain/>
      <paraID>4E3C8947</paraID>
      <start>0</start>
      <end>1</end>
      <status>modified</status>
      <modifiedWord>Ⅲ</modifiedWord>
      <trackRevisions>false</trackRevisions>
    </reviewItem>
    <reviewItem>
      <errorID>f7fc54e8-4ae4-45b5-a8f5-2915e37804a9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758F4C28</paraID>
      <start>38</start>
      <end>39</end>
      <status>ignored</status>
      <modifiedWord/>
      <trackRevisions>false</trackRevisions>
    </reviewItem>
    <reviewItem>
      <errorID>8741f47b-2d0a-4ef6-a325-7e1ba31579fa</errorID>
      <errorWord>~</errorWord>
      <group>L1_Format</group>
      <groupName>格式问题</groupName>
      <ability>L2_HalfPunc_CN</ability>
      <abilityName>全半角问题</abilityName>
      <candidateList>
        <item>～</item>
      </candidateList>
      <explain>文本全半角错误。</explain>
      <paraID>758F4C28</paraID>
      <start>83</start>
      <end>84</end>
      <status>ignored</status>
      <modifiedWord/>
      <trackRevisions>false</trackRevisions>
    </reviewItem>
    <reviewItem>
      <errorID>ac7d1051-e137-4427-9a2a-208012904d35</errorID>
      <errorWord>〔2013〕031号</errorWord>
      <group>L1_Knowledge</group>
      <groupName>知识性问题</groupName>
      <ability>L2_Knowledge</ability>
      <abilityName>其他知识</abilityName>
      <candidateList>
        <item>〔2013〕31号</item>
      </candidateList>
      <explain>发文字号格式错误。</explain>
      <paraID> A53FDC2</paraID>
      <start>262</start>
      <end>272</end>
      <status>ignored</status>
      <modifiedWord/>
      <trackRevisions>false</trackRevisions>
    </reviewItem>
    <reviewItem>
      <errorID>506da293-e515-478c-8be6-be4b08a28b00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679BB131</paraID>
      <start>0</start>
      <end>2</end>
      <status>ignored</status>
      <modifiedWord/>
      <trackRevisions>false</trackRevisions>
    </reviewItem>
    <reviewItem>
      <errorID>cad6b739-8b1e-4965-87f4-3269e70e2df4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5553EEC5</paraID>
      <start>0</start>
      <end>2</end>
      <status>ignored</status>
      <modifiedWord/>
      <trackRevisions>false</trackRevisions>
    </reviewItem>
    <reviewItem>
      <errorID>4c914ba5-04d5-4501-b7c6-1820533d5c55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721BA1E1</paraID>
      <start>0</start>
      <end>2</end>
      <status>ignored</status>
      <modifiedWord/>
      <trackRevisions>false</trackRevisions>
    </reviewItem>
    <reviewItem>
      <errorID>0a3b740d-b2dc-44b1-bffa-5ad7d59f6064</errorID>
      <errorWord>做为</errorWord>
      <group>L1_Word</group>
      <groupName>字词问题</groupName>
      <ability>L2_Typo</ability>
      <abilityName>字词错误</abilityName>
      <candidateList>
        <item>作为</item>
      </candidateList>
      <explain/>
      <paraID>4267BF99</paraID>
      <start>26</start>
      <end>28</end>
      <status>modified</status>
      <modifiedWord>作为</modifiedWord>
      <trackRevisions>false</trackRevisions>
    </reviewItem>
    <reviewItem>
      <errorID>8ad503ee-8fa2-4741-aae4-d0977fc66067</errorID>
      <errorWord>、</errorWord>
      <group>L1_Punc</group>
      <groupName>标点问题</groupName>
      <ability>L2_Punc_CN</ability>
      <abilityName>标点符号问题</abilityName>
      <candidateList>
        <item>.</item>
      </candidateList>
      <explain/>
      <paraID>33F0DC4D</paraID>
      <start>1</start>
      <end>2</end>
      <status>ignored</status>
      <modifiedWord/>
      <trackRevisions>false</trackRevisions>
    </reviewItem>
    <reviewItem>
      <errorID>6cf51c97-f6e0-4fd2-b189-9a98a114d1d4</errorID>
      <errorWord>IV</errorWord>
      <group>L1_Knowledge</group>
      <groupName>知识性问题</groupName>
      <ability>L2_Knowledge</ability>
      <abilityName>其他知识</abilityName>
      <candidateList>
        <item>Ⅳ</item>
      </candidateList>
      <explain>中文环境下罗马数字格式错误。</explain>
      <paraID>1219A8E4</paraID>
      <start>0</start>
      <end>1</end>
      <status>modified</status>
      <modifiedWord>Ⅳ</modifiedWord>
      <trackRevisions>false</trackRevisions>
    </reviewItem>
    <reviewItem>
      <errorID>53ba0dcc-87ed-4927-897d-13c1649ad1a3</errorID>
      <errorWord>IV</errorWord>
      <group>L1_Knowledge</group>
      <groupName>知识性问题</groupName>
      <ability>L2_Knowledge</ability>
      <abilityName>其他知识</abilityName>
      <candidateList>
        <item>Ⅳ</item>
      </candidateList>
      <explain>中文环境下罗马数字格式错误。</explain>
      <paraID>4C1ECE8F</paraID>
      <start>0</start>
      <end>1</end>
      <status>modified</status>
      <modifiedWord>Ⅳ</modifiedWord>
      <trackRevisions>false</trackRevisions>
    </reviewItem>
    <reviewItem>
      <errorID>780025af-472d-444d-ab80-8fbc2964de05</errorID>
      <errorWord>应按</errorWord>
      <group>L1_Word</group>
      <groupName>字词问题</groupName>
      <ability>L2_Typo</ability>
      <abilityName>字词错误</abilityName>
      <candidateList>
        <item>应</item>
      </candidateList>
      <explain/>
      <paraID>23D3E5E6</paraID>
      <start>71</start>
      <end>72</end>
      <status>modified</status>
      <modifiedWord>应</modifiedWord>
      <trackRevisions>false</trackRevisions>
    </reviewItem>
    <reviewItem>
      <errorID>e25f08c3-8d1b-42d5-ac01-28766a6bac88</errorID>
      <errorWord>两部份</errorWord>
      <group>L1_Word</group>
      <groupName>字词问题</groupName>
      <ability>L2_Variant</ability>
      <abilityName>异形词</abilityName>
      <candidateList>
        <item>两部分</item>
      </candidateList>
      <explain>词汇[两部份]的规范词形写作[两部分]。</explain>
      <paraID>5A4A13BC</paraID>
      <start>6</start>
      <end>9</end>
      <status>modified</status>
      <modifiedWord>两部分</modifiedWord>
      <trackRevisions>false</trackRevisions>
    </reviewItem>
    <reviewItem>
      <errorID>45594333-64f2-44b4-aca5-c8b86dc96d13</errorID>
      <errorWord>标</errorWord>
      <group>L1_Word</group>
      <groupName>字词问题</groupName>
      <ability>L2_Typo</ability>
      <abilityName>字词错误</abilityName>
      <candidateList>
        <item>表</item>
      </candidateList>
      <explain>存在发音相同字词的误用。</explain>
      <paraID>400087CD</paraID>
      <start>9</start>
      <end>10</end>
      <status>modified</status>
      <modifiedWord>表</modifiedWord>
      <trackRevisions>false</trackRevisions>
    </reviewItem>
    <reviewItem>
      <errorID>0e0b062e-81bc-48f2-a861-4f267da6845c</errorID>
      <errorWord>、</errorWord>
      <group>L1_Punc</group>
      <groupName>标点问题</groupName>
      <ability>L2_Punc_CN</ability>
      <abilityName>标点符号问题</abilityName>
      <candidateList>
        <item>.</item>
      </candidateList>
      <explain/>
      <paraID>1D7EA107</paraID>
      <start>1</start>
      <end>2</end>
      <status>ignored</status>
      <modifiedWord/>
      <trackRevisions>false</trackRevisions>
    </reviewItem>
    <reviewItem>
      <errorID>3c401f24-e902-4da8-bac4-552517478ce4</errorID>
      <errorWord>、</errorWord>
      <group>L1_Punc</group>
      <groupName>标点问题</groupName>
      <ability>L2_Punc_CN</ability>
      <abilityName>标点符号问题</abilityName>
      <candidateList>
        <item>.</item>
      </candidateList>
      <explain/>
      <paraID>279C4F49</paraID>
      <start>1</start>
      <end>2</end>
      <status>ignored</status>
      <modifiedWord/>
      <trackRevisions>false</trackRevisions>
    </reviewItem>
    <reviewItem>
      <errorID>d8c772bc-bc52-44e8-afdb-d83515449dea</errorID>
      <errorWord>;</errorWord>
      <group>L1_Format</group>
      <groupName>格式问题</groupName>
      <ability>L2_HalfPunc_CN</ability>
      <abilityName>全半角问题</abilityName>
      <candidateList>
        <item>；</item>
      </candidateList>
      <explain>文本全半角错误。</explain>
      <paraID>6D587863</paraID>
      <start>12</start>
      <end>13</end>
      <status>modified</status>
      <modifiedWord>；</modifiedWord>
      <trackRevisions>false</trackRevisions>
    </reviewItem>
    <reviewItem>
      <errorID>3fe47012-ab3c-4d7d-a27a-c0ba5437900b</errorID>
      <errorWord>分层</errorWord>
      <group>L1_Word</group>
      <groupName>字词问题</groupName>
      <ability>L2_Typo</ability>
      <abilityName>字词错误</abilityName>
      <candidateList>
        <item>层</item>
      </candidateList>
      <explain/>
      <paraID>4E510782</paraID>
      <start>6</start>
      <end>8</end>
      <status>ignored</status>
      <modifiedWord/>
      <trackRevisions>false</trackRevisions>
    </reviewItem>
    <reviewItem>
      <errorID>1f0f605a-2f6f-42d4-bee3-f77247419103</errorID>
      <errorWord>送入至</errorWord>
      <group>L1_Word</group>
      <groupName>字词问题</groupName>
      <ability>L2_Typo</ability>
      <abilityName>字词错误</abilityName>
      <candidateList>
        <item>送入</item>
      </candidateList>
      <explain/>
      <paraID>590BEABB</paraID>
      <start>34</start>
      <end>37</end>
      <status>ignored</status>
      <modifiedWord/>
      <trackRevisions>false</trackRevisions>
    </reviewItem>
    <reviewItem>
      <errorID>c54406b9-d887-4882-89d0-98493f86066c</errorID>
      <errorWord>达至</errorWord>
      <group>L1_Word</group>
      <groupName>字词问题</groupName>
      <ability>L2_Typo</ability>
      <abilityName>字词错误</abilityName>
      <candidateList>
        <item>达</item>
      </candidateList>
      <explain/>
      <paraID>743B6EF9</paraID>
      <start>121</start>
      <end>122</end>
      <status>modified</status>
      <modifiedWord>达</modifiedWord>
      <trackRevisions>false</trackRevisions>
    </reviewItem>
    <reviewItem>
      <errorID>cfac5d9e-8b76-4139-a58d-588e172ec960</errorID>
      <errorWord>做为</errorWord>
      <group>L1_Word</group>
      <groupName>字词问题</groupName>
      <ability>L2_Typo</ability>
      <abilityName>字词错误</abilityName>
      <candidateList>
        <item>作为</item>
      </candidateList>
      <explain/>
      <paraID>5A798ECF</paraID>
      <start>86</start>
      <end>88</end>
      <status>modified</status>
      <modifiedWord>作为</modifiedWord>
      <trackRevisions>false</trackRevisions>
    </reviewItem>
    <reviewItem>
      <errorID>cf1c0ef7-8150-41f0-86f0-80d0124380ca</errorID>
      <errorWord>天</errorWord>
      <group>L1_Knowledge</group>
      <groupName>知识性问题</groupName>
      <ability>L2_Knowledge</ability>
      <abilityName>其他知识</abilityName>
      <candidateList>
        <item>个</item>
      </candidateList>
      <explain/>
      <paraID>5E27B970</paraID>
      <start>33</start>
      <end>34</end>
      <status>modified</status>
      <modifiedWord>个</modifiedWord>
      <trackRevisions>false</trackRevisions>
    </reviewItem>
    <reviewItem>
      <errorID>ac33786c-5c31-4611-9d7b-58b9624c4f7e</errorID>
      <errorWord>预计年</errorWord>
      <group>L1_Word</group>
      <groupName>字词问题</groupName>
      <ability>L2_Typo</ability>
      <abilityName>字词错误</abilityName>
      <candidateList>
        <item>预计</item>
      </candidateList>
      <explain/>
      <paraID>344AAFCE</paraID>
      <start>12</start>
      <end>14</end>
      <status>modified</status>
      <modifiedWord>预计</modifiedWord>
      <trackRevisions>false</trackRevisions>
    </reviewItem>
    <reviewItem>
      <errorID>2f5da251-33cf-4c19-91c3-7a3665d02ab5</errorID>
      <errorWord>计</errorWord>
      <group>L1_Word</group>
      <groupName>字词问题</groupName>
      <ability>L2_Typo</ability>
      <abilityName>字词错误</abilityName>
      <candidateList>
        <item>计算</item>
      </candidateList>
      <explain/>
      <paraID>344AAFCE</paraID>
      <start>38</start>
      <end>39</end>
      <status>ignored</status>
      <modifiedWord/>
      <trackRevisions>false</trackRevisions>
    </reviewItem>
    <reviewItem>
      <errorID>2c087182-8a75-4740-84e6-11ab9c507ea5</errorID>
      <errorWord>的</errorWord>
      <group>L1_Word</group>
      <groupName>字词问题</groupName>
      <ability>L2_DDD</ability>
      <abilityName>的地得用法</abilityName>
      <candidateList>
        <item>地</item>
      </candidateList>
      <explain/>
      <paraID>4482C931</paraID>
      <start>111</start>
      <end>112</end>
      <status>modified</status>
      <modifiedWord>地</modifiedWord>
      <trackRevisions>false</trackRevisions>
    </reviewItem>
    <reviewItem>
      <errorID>24b967ec-65b5-46a9-a2c1-2c5c74c7930a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3901A9F0</paraID>
      <start>0</start>
      <end>2</end>
      <status>ignored</status>
      <modifiedWord/>
      <trackRevisions>false</trackRevisions>
    </reviewItem>
    <reviewItem>
      <errorID>275a27f6-bf29-4a2e-b4c5-6e4f03d89071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4EAFE0B8</paraID>
      <start>0</start>
      <end>2</end>
      <status>ignored</status>
      <modifiedWord/>
      <trackRevisions>false</trackRevisions>
    </reviewItem>
    <reviewItem>
      <errorID>45fc2bbb-19fe-49f7-b20d-502e46b7c14d</errorID>
      <errorWord>/d</errorWord>
      <group>L1_Word</group>
      <groupName>字词问题</groupName>
      <ability>L2_Typo</ability>
      <abilityName>字词错误</abilityName>
      <candidateList>
        <item>/</item>
      </candidateList>
      <explain/>
      <paraID>43243EC3</paraID>
      <start>44</start>
      <end>46</end>
      <status>ignored</status>
      <modifiedWord/>
      <trackRevisions>false</trackRevisions>
    </reviewItem>
    <reviewItem>
      <errorID>e674c749-3dd2-417a-b5c4-8c737c71ca75</errorID>
      <errorWord>交有</errorWord>
      <group>L1_Word</group>
      <groupName>字词问题</groupName>
      <ability>L2_Typo</ability>
      <abilityName>字词错误</abilityName>
      <candidateList>
        <item>交由</item>
      </candidateList>
      <explain/>
      <paraID>4570F2D5</paraID>
      <start>2</start>
      <end>4</end>
      <status>modified</status>
      <modifiedWord>交由</modifiedWord>
      <trackRevisions>false</trackRevisions>
    </reviewItem>
    <reviewItem>
      <errorID>4336a6c8-8415-4fd9-9c44-0f33baba29c8</errorID>
      <errorWord>交有</errorWord>
      <group>L1_Word</group>
      <groupName>字词问题</groupName>
      <ability>L2_Typo</ability>
      <abilityName>字词错误</abilityName>
      <candidateList>
        <item>交由</item>
      </candidateList>
      <explain/>
      <paraID>7C26627E</paraID>
      <start>2</start>
      <end>4</end>
      <status>modified</status>
      <modifiedWord>交由</modifiedWord>
      <trackRevisions>false</trackRevisions>
    </reviewItem>
    <reviewItem>
      <errorID>c66c41ab-efaf-4eca-9168-fa038d27a873</errorID>
      <errorWord>II级</errorWord>
      <group>L1_Knowledge</group>
      <groupName>知识性问题</groupName>
      <ability>L2_Knowledge</ability>
      <abilityName>其他知识</abilityName>
      <candidateList>
        <item>Ⅱ级</item>
      </candidateList>
      <explain>中文环境下罗马数字格式错误。</explain>
      <paraID> 346C21E</paraID>
      <start>0</start>
      <end>2</end>
      <status>modified</status>
      <modifiedWord>Ⅱ级</modifiedWord>
      <trackRevisions>false</trackRevisions>
    </reviewItem>
    <reviewItem>
      <errorID>88e1be3c-80b8-4fc1-965d-1dac4d5fe700</errorID>
      <errorWord>III级</errorWord>
      <group>L1_Knowledge</group>
      <groupName>知识性问题</groupName>
      <ability>L2_Knowledge</ability>
      <abilityName>其他知识</abilityName>
      <candidateList>
        <item>Ⅲ级</item>
      </candidateList>
      <explain>中文环境下罗马数字格式错误。</explain>
      <paraID> 1892831</paraID>
      <start>0</start>
      <end>2</end>
      <status>modified</status>
      <modifiedWord>Ⅲ级</modifiedWord>
      <trackRevisions>false</trackRevisions>
    </reviewItem>
    <reviewItem>
      <errorID>587c02a8-c8b3-4a41-a5f7-f663e728865e</errorID>
      <errorWord>&lt;</errorWord>
      <group>L1_Format</group>
      <groupName>格式问题</groupName>
      <ability>L2_HalfPunc_CN</ability>
      <abilityName>全半角问题</abilityName>
      <candidateList>
        <item>〈</item>
      </candidateList>
      <explain>文本全半角错误。</explain>
      <paraID>55E4A7C3</paraID>
      <start>6</start>
      <end>7</end>
      <status>modified</status>
      <modifiedWord>〈</modifiedWord>
      <trackRevisions>false</trackRevisions>
    </reviewItem>
    <reviewItem>
      <errorID>812e624c-5a7c-4654-8d86-19771edd8f1b</errorID>
      <errorWord>管埋</errorWord>
      <group>L1_Word</group>
      <groupName>字词问题</groupName>
      <ability>L2_Typo</ability>
      <abilityName>字词错误</abilityName>
      <candidateList>
        <item>管理</item>
      </candidateList>
      <explain/>
      <paraID>2F48AC35</paraID>
      <start>109</start>
      <end>111</end>
      <status>modified</status>
      <modifiedWord>管理</modifiedWord>
      <trackRevisions>false</trackRevisions>
    </reviewItem>
    <reviewItem>
      <errorID>679a72f9-4a15-4229-a780-e70f863a08e3</errorID>
      <errorWord>准</errorWord>
      <group>L1_Word</group>
      <groupName>字词问题</groupName>
      <ability>L2_Typo</ability>
      <abilityName>字词错误</abilityName>
      <candidateList>
        <item>准和</item>
      </candidateList>
      <explain/>
      <paraID>3BDF4933</paraID>
      <start>62</start>
      <end>64</end>
      <status>modified</status>
      <modifiedWord>准和</modifiedWord>
      <trackRevisions>false</trackRevisions>
    </reviewItem>
    <reviewItem>
      <errorID>1566c8fd-b4a8-4a7f-bbee-ab47354d7aec</errorID>
      <errorWord>“十五五” 时期</errorWord>
      <group>L1_Political</group>
      <groupName>政治性问题</groupName>
      <ability>L2_Keyword</ability>
      <abilityName>固定表述</abilityName>
      <candidateList>
        <item>“十五五”时期</item>
      </candidateList>
      <explain>词汇““十五五”时期”在特定场景下为固定表述形式，请确认此处的““十五五” 时期”是否存在不当。</explain>
      <paraID>42E037A1</paraID>
      <start>47</start>
      <end>54</end>
      <status>modified</status>
      <modifiedWord>“十五五”时期</modifiedWord>
      <trackRevisions>false</trackRevisions>
    </reviewItem>
    <reviewItem>
      <errorID>17e7985c-635d-42ce-bef3-f48cf3c41acd</errorID>
      <errorWord>战略性铜矿产资源</errorWord>
      <group>L1_Political</group>
      <groupName>政治性问题</groupName>
      <ability>L2_Keyword</ability>
      <abilityName>固定表述</abilityName>
      <candidateList>
        <item>战略性矿产资源</item>
      </candidateList>
      <explain>词汇“战略性矿产资源”在特定场景下为固定表述形式，请确认此处的“战略性铜矿产资源”是否存在不当。</explain>
      <paraID> 4F57358</paraID>
      <start>35</start>
      <end>43</end>
      <status>unmodified</status>
      <modifiedWord/>
      <trackRevisions>false</trackRevisions>
    </reviewItem>
    <reviewItem>
      <errorID>c5b29d90-b731-4e67-879d-67d91f975f5e</errorID>
      <errorWord>“十五五” 规划纲要</errorWord>
      <group>L1_Political</group>
      <groupName>政治性问题</groupName>
      <ability>L2_Keyword</ability>
      <abilityName>固定表述</abilityName>
      <candidateList>
        <item>“十五五”规划纲要</item>
      </candidateList>
      <explain>词汇““十五五”规划纲要”在特定场景下为固定表述形式，请确认此处的““十五五” 规划纲要”是否存在不当。</explain>
      <paraID> 4F57358</paraID>
      <start>336</start>
      <end>345</end>
      <status>modified</status>
      <modifiedWord>“十五五”规划纲要</modifiedWord>
      <trackRevisions>false</trackRevisions>
    </reviewItem>
    <reviewItem>
      <errorID>23665c9b-f2e3-402a-8bd6-0ebbba7d7bf3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7815B701</paraID>
      <start>30</start>
      <end>31</end>
      <status>ignored</status>
      <modifiedWord/>
      <trackRevisions>false</trackRevisions>
    </reviewItem>
    <reviewItem>
      <errorID>3dcc0cb0-fa1b-49e9-94a6-011363a35d10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5F212054</paraID>
      <start>24</start>
      <end>25</end>
      <status>ignored</status>
      <modifiedWord/>
      <trackRevisions>false</trackRevisions>
    </reviewItem>
    <reviewItem>
      <errorID>a517ee23-005d-4b5d-9ca9-5d126fc36fc4</errorID>
      <errorWord>文化自然遗产</errorWord>
      <group>L1_Knowledge</group>
      <groupName>知识性问题</groupName>
      <ability>L2_Knowledge</ability>
      <abilityName>其他知识</abilityName>
      <candidateList>
        <item>文化和自然遗产</item>
      </candidateList>
      <explain/>
      <paraID>350DEC38</paraID>
      <start>84</start>
      <end>90</end>
      <status>ignored</status>
      <modifiedWord/>
      <trackRevisions>false</trackRevisions>
    </reviewItem>
    <reviewItem>
      <errorID>f51abd47-4257-47e4-a2ca-5cb883bdb2d6</errorID>
      <errorWord>评估对</errorWord>
      <group>L1_Word</group>
      <groupName>字词问题</groupName>
      <ability>L2_Typo</ability>
      <abilityName>字词错误</abilityName>
      <candidateList>
        <item>评估</item>
      </candidateList>
      <explain/>
      <paraID>311CB69C</paraID>
      <start>306</start>
      <end>309</end>
      <status>ignored</status>
      <modifiedWord/>
      <trackRevisions>false</trackRevisions>
    </reviewItem>
    <reviewItem>
      <errorID>8be8dc74-e40e-45db-8c51-f6d63d3e44e3</errorID>
      <errorWord>式</errorWord>
      <group>L1_Word</group>
      <groupName>字词问题</groupName>
      <ability>L2_Typo</ability>
      <abilityName>字词错误</abilityName>
      <candidateList>
        <item>式为</item>
      </candidateList>
      <explain/>
      <paraID>663EF8BE</paraID>
      <start>14</start>
      <end>16</end>
      <status>modified</status>
      <modifiedWord>式为</modifiedWord>
      <trackRevisions>false</trackRevisions>
    </reviewItem>
    <reviewItem>
      <errorID>e6f40f45-d0f1-49db-8cb7-3d8fbe63cae3</errorID>
      <errorWord>月1日实施</errorWord>
      <group>L1_Word</group>
      <groupName>字词问题</groupName>
      <ability>L2_Typo</ability>
      <abilityName>字词错误</abilityName>
      <candidateList>
        <item>月1日起实施</item>
      </candidateList>
      <explain/>
      <paraID>70AF567F</paraID>
      <start>27</start>
      <end>32</end>
      <status>ignored</status>
      <modifiedWord/>
      <trackRevisions>false</trackRevisions>
    </reviewItem>
    <reviewItem>
      <errorID>cc4a7101-1daa-4572-9f0f-d4a387c4e894</errorID>
      <errorWord>月1日实施</errorWord>
      <group>L1_Word</group>
      <groupName>字词问题</groupName>
      <ability>L2_Typo</ability>
      <abilityName>字词错误</abilityName>
      <candidateList>
        <item>月1日起实施</item>
      </candidateList>
      <explain/>
      <paraID>31618666</paraID>
      <start>42</start>
      <end>47</end>
      <status>ignored</status>
      <modifiedWord/>
      <trackRevisions>false</trackRevisions>
    </reviewItem>
    <reviewItem>
      <errorID>9883d140-6d30-416a-8900-5ac4f9497a89</errorID>
      <errorWord>》中</errorWord>
      <group>L1_Word</group>
      <groupName>字词问题</groupName>
      <ability>L2_Typo</ability>
      <abilityName>字词错误</abilityName>
      <candidateList>
        <item>》</item>
      </candidateList>
      <explain/>
      <paraID>5F47E577</paraID>
      <start>19</start>
      <end>21</end>
      <status>unmodified</status>
      <modifiedWord/>
      <trackRevisions>false</trackRevisions>
    </reviewItem>
    <reviewItem>
      <errorID>044826a3-28e1-4407-9aff-0191fdd897c5</errorID>
      <errorWord>制定出</errorWord>
      <group>L1_Word</group>
      <groupName>字词问题</groupName>
      <ability>L2_Typo</ability>
      <abilityName>字词错误</abilityName>
      <candidateList>
        <item>制定</item>
      </candidateList>
      <explain/>
      <paraID>7AB5BA6E</paraID>
      <start>81</start>
      <end>84</end>
      <status>unmodified</status>
      <modifiedWord/>
      <trackRevisions>false</trackRevisions>
    </reviewItem>
    <reviewItem>
      <errorID>ae4342f9-8fb9-4a31-8ff9-64e82a092fee</errorID>
      <errorWord>》</errorWord>
      <group>L1_Word</group>
      <groupName>字词问题</groupName>
      <ability>L2_Typo</ability>
      <abilityName>字词错误</abilityName>
      <candidateList>
        <item>》中</item>
      </candidateList>
      <explain/>
      <paraID> 7EEC85E</paraID>
      <start>50</start>
      <end>51</end>
      <status>unmodified</status>
      <modifiedWord/>
      <trackRevisions>false</trackRevisions>
    </reviewItem>
    <reviewItem>
      <errorID>edbb9eec-4a77-4b61-8a4e-1d94e4561b9d</errorID>
      <errorWord>生态红线</errorWord>
      <group>L1_Political</group>
      <groupName>政治性问题</groupName>
      <ability>L2_Unpolitical</ability>
      <abilityName>政治敏感错误</abilityName>
      <candidateList>
        <item>生态保护红线</item>
      </candidateList>
      <explain/>
      <paraID>163F3DE3</paraID>
      <start>98</start>
      <end>102</end>
      <status>unmodified</status>
      <modifiedWord/>
      <trackRevisions>false</trackRevisions>
    </reviewItem>
    <reviewItem>
      <errorID>563486d7-f10a-4f8e-85f8-09fb436f0713</errorID>
      <errorWord>联防联动机制</errorWord>
      <group>L1_Word</group>
      <groupName>字词问题</groupName>
      <ability>L2_Typo</ability>
      <abilityName>字词错误</abilityName>
      <candidateList>
        <item>联防联控机制</item>
      </candidateList>
      <explain/>
      <paraID>4786AB6B</paraID>
      <start>66</start>
      <end>72</end>
      <status>unmodified</status>
      <modifiedWord/>
      <trackRevisions>false</trackRevisions>
    </reviewItem>
    <reviewItem>
      <errorID>2aa10ec3-5e88-4d9f-881e-609a177c8112</errorID>
      <errorWord>万元国内生产总值能耗</errorWord>
      <group>L1_Political</group>
      <groupName>政治性问题</groupName>
      <ability>L2_Keyword</ability>
      <abilityName>固定表述</abilityName>
      <candidateList>
        <item>万元地区生产总值能耗</item>
      </candidateList>
      <explain>词汇“万元地区生产总值能耗”在特定场景下为固定表述形式，请确认此处的“万元国内生产总值能耗”是否存在不当。</explain>
      <paraID> 76A9F4E</paraID>
      <start>18</start>
      <end>28</end>
      <status>unmodified</status>
      <modifiedWord/>
      <trackRevisions>false</trackRevisions>
    </reviewItem>
    <reviewItem>
      <errorID>f9920940-c4d4-45f4-baf6-2ed5d6dd318f</errorID>
      <errorWord>上线</errorWord>
      <group>L1_Word</group>
      <groupName>字词问题</groupName>
      <ability>L2_Typo</ability>
      <abilityName>字词错误</abilityName>
      <candidateList>
        <item>上限</item>
      </candidateList>
      <explain>存在发音相同字词的误用。</explain>
      <paraID>76C41473</paraID>
      <start>5</start>
      <end>7</end>
      <status>unmodified</status>
      <modifiedWord/>
      <trackRevisions>false</trackRevisions>
    </reviewItem>
    <reviewItem>
      <errorID>4af387fe-19aa-4384-8098-6275d8c5e5b1</errorID>
      <errorWord>天数的</errorWord>
      <group>L1_Word</group>
      <groupName>字词问题</groupName>
      <ability>L2_Typo</ability>
      <abilityName>字词错误</abilityName>
      <candidateList>
        <item>天数</item>
      </candidateList>
      <explain/>
      <paraID>66BD33C7</paraID>
      <start>68</start>
      <end>71</end>
      <status>unmodified</status>
      <modifiedWord/>
      <trackRevisions>false</trackRevisions>
    </reviewItem>
    <reviewItem>
      <errorID>635716c8-8af1-4546-886d-b6698417ac5a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282790E7</paraID>
      <start>0</start>
      <end>2</end>
      <status>ignored</status>
      <modifiedWord/>
      <trackRevisions>false</trackRevisions>
    </reviewItem>
    <reviewItem>
      <errorID>0feb8873-8288-467b-80cc-c9907111d435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52B24593</paraID>
      <start>0</start>
      <end>2</end>
      <status>ignored</status>
      <modifiedWord/>
      <trackRevisions>false</trackRevisions>
    </reviewItem>
    <reviewItem>
      <errorID>d67e7400-d5dc-41c9-9504-407397ca421e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6EB333F3</paraID>
      <start>0</start>
      <end>2</end>
      <status>ignored</status>
      <modifiedWord/>
      <trackRevisions>false</trackRevisions>
    </reviewItem>
    <reviewItem>
      <errorID>b926f669-b586-4c55-a34f-abe75ec04ba9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4095E7C6</paraID>
      <start>0</start>
      <end>2</end>
      <status>ignored</status>
      <modifiedWord/>
      <trackRevisions>false</trackRevisions>
    </reviewItem>
    <reviewItem>
      <errorID>b26ee931-40b8-426d-b6a4-64945e014504</errorID>
      <errorWord>“X”型</errorWord>
      <group>L1_Word</group>
      <groupName>字词问题</groupName>
      <ability>L2_Typo</ability>
      <abilityName>字词错误</abilityName>
      <candidateList>
        <item>“X”形</item>
      </candidateList>
      <explain/>
      <paraID>2D17310D</paraID>
      <start>120</start>
      <end>124</end>
      <status>unmodified</status>
      <modifiedWord/>
      <trackRevisions>false</trackRevisions>
    </reviewItem>
    <reviewItem>
      <errorID>5f883f7d-decc-4219-8507-d8ea1d8361bd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495D5FD7</paraID>
      <start>0</start>
      <end>2</end>
      <status>ignored</status>
      <modifiedWord/>
      <trackRevisions>false</trackRevisions>
    </reviewItem>
    <reviewItem>
      <errorID>78350e25-837e-40f4-89be-0a5ad51886f8</errorID>
      <errorWord>:</errorWord>
      <group>L1_Format</group>
      <groupName>格式问题</groupName>
      <ability>L2_HalfPunc_CN</ability>
      <abilityName>全半角问题</abilityName>
      <candidateList>
        <item>：</item>
      </candidateList>
      <explain>文本全半角错误。</explain>
      <paraID>495D5FD7</paraID>
      <start>14</start>
      <end>15</end>
      <status>modified</status>
      <modifiedWord>：</modifiedWord>
      <trackRevisions>false</trackRevisions>
    </reviewItem>
    <reviewItem>
      <errorID>007e0f43-1289-47bd-9b98-c3e3894c3213</errorID>
      <errorWord>行</errorWord>
      <group>L1_Word</group>
      <groupName>字词问题</groupName>
      <ability>L2_Typo</ability>
      <abilityName>字词错误</abilityName>
      <candidateList>
        <item>形</item>
      </candidateList>
      <explain>存在发音相同字词的误用。</explain>
      <paraID>5CFBBFDB</paraID>
      <start>64</start>
      <end>65</end>
      <status>modified</status>
      <modifiedWord>形</modifiedWord>
      <trackRevisions>false</trackRevisions>
    </reviewItem>
    <reviewItem>
      <errorID>87f31984-a2c2-40fb-b46c-4750a093439c</errorID>
      <errorWord>、且</errorWord>
      <group>L1_Word</group>
      <groupName>字词问题</groupName>
      <ability>L2_Typo</ability>
      <abilityName>字词错误</abilityName>
      <candidateList>
        <item>且</item>
      </candidateList>
      <explain/>
      <paraID>5CFBBFDB</paraID>
      <start>91</start>
      <end>92</end>
      <status>modified</status>
      <modifiedWord>且</modifiedWord>
      <trackRevisions>false</trackRevisions>
    </reviewItem>
    <reviewItem>
      <errorID>7b030bfd-07ac-4704-9dfa-a70399d8b5e8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35E27E4</paraID>
      <start>0</start>
      <end>2</end>
      <status>ignored</status>
      <modifiedWord/>
      <trackRevisions>false</trackRevisions>
    </reviewItem>
    <reviewItem>
      <errorID>633e1358-db42-4f26-9954-95f4542a42af</errorID>
      <errorWord>形</errorWord>
      <group>L1_Word</group>
      <groupName>字词问题</groupName>
      <ability>L2_Typo</ability>
      <abilityName>字词错误</abilityName>
      <candidateList>
        <item>呈</item>
      </candidateList>
      <explain/>
      <paraID> 35E27E4</paraID>
      <start>466</start>
      <end>467</end>
      <status>modified</status>
      <modifiedWord>呈</modifiedWord>
      <trackRevisions>false</trackRevisions>
    </reviewItem>
    <reviewItem>
      <errorID>3a5981c9-88b9-47e2-b6e9-4acf8c9367c2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4F9020C</paraID>
      <start>0</start>
      <end>2</end>
      <status>unmodified</status>
      <modifiedWord/>
      <trackRevisions>false</trackRevisions>
    </reviewItem>
    <reviewItem>
      <errorID>4e5f88f8-ef3b-4504-8ea5-9537d57cacf2</errorID>
      <errorWord>形</errorWord>
      <group>L1_Word</group>
      <groupName>字词问题</groupName>
      <ability>L2_Typo</ability>
      <abilityName>字词错误</abilityName>
      <candidateList>
        <item>呈</item>
      </candidateList>
      <explain/>
      <paraID> 4F9020C</paraID>
      <start>512</start>
      <end>513</end>
      <status>unmodified</status>
      <modifiedWord/>
      <trackRevisions>false</trackRevisions>
    </reviewItem>
    <reviewItem>
      <errorID>2142dc3e-04d7-4551-8fa1-df8d708035b9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17C53B4D</paraID>
      <start>0</start>
      <end>2</end>
      <status>unmodified</status>
      <modifiedWord/>
      <trackRevisions>false</trackRevisions>
    </reviewItem>
    <reviewItem>
      <errorID>4a49ba89-9360-4c21-b754-35ff84010d20</errorID>
      <errorWord>年均</errorWord>
      <group>L1_Word</group>
      <groupName>字词问题</groupName>
      <ability>L2_Typo</ability>
      <abilityName>字词错误</abilityName>
      <candidateList>
        <item>平均</item>
      </candidateList>
      <explain>存在字形相近字词的误用。</explain>
      <paraID>2E66E6ED</paraID>
      <start>25</start>
      <end>27</end>
      <status>unmodified</status>
      <modifiedWord/>
      <trackRevisions>false</trackRevisions>
    </reviewItem>
    <reviewItem>
      <errorID>b9bd1c83-e526-458e-b73c-0999f5528730</errorID>
      <errorWord>国家质量监督检验检疫总局</errorWord>
      <group>L1_Knowledge</group>
      <groupName>知识性问题</groupName>
      <ability>L2_Organization</ability>
      <abilityName>机构检查</abilityName>
      <candidateList/>
      <explain>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50171F48</paraID>
      <start>2</start>
      <end>14</end>
      <status>unmodified</status>
      <modifiedWord/>
      <trackRevisions>false</trackRevisions>
    </reviewItem>
    <reviewItem>
      <errorID>fb5100f3-2f65-4a87-9fad-250a08686a37</errorID>
      <errorWord>日至2026年</errorWord>
      <group>L1_Word</group>
      <groupName>字词问题</groupName>
      <ability>L2_Typo</ability>
      <abilityName>字词错误</abilityName>
      <candidateList>
        <item>日起至2026年</item>
      </candidateList>
      <explain/>
      <paraID>3512DCEC</paraID>
      <start>44</start>
      <end>51</end>
      <status>unmodified</status>
      <modifiedWord/>
      <trackRevisions>false</trackRevisions>
    </reviewItem>
    <reviewItem>
      <errorID>57853a36-267f-4361-a539-b588dab3ee78</errorID>
      <errorWord>检测</errorWord>
      <group>L1_Word</group>
      <groupName>字词问题</groupName>
      <ability>L2_Typo</ability>
      <abilityName>字词错误</abilityName>
      <candidateList>
        <item>监测</item>
      </candidateList>
      <explain/>
      <paraID>4A38F8B8</paraID>
      <start>17</start>
      <end>19</end>
      <status>unmodified</status>
      <modifiedWord/>
      <trackRevisions>false</trackRevisions>
    </reviewItem>
    <reviewItem>
      <errorID>82f58c3a-b750-4dbf-97d4-9c9bab336bb6</errorID>
      <errorWord>、共2</errorWord>
      <group>L1_Punc</group>
      <groupName>标点问题</groupName>
      <ability>L2_Punc_CN</ability>
      <abilityName>标点符号问题</abilityName>
      <candidateList>
        <item>共2</item>
      </candidateList>
      <explain/>
      <paraID>2897CA56</paraID>
      <start>73</start>
      <end>76</end>
      <status>unmodified</status>
      <modifiedWord/>
      <trackRevisions>false</trackRevisions>
    </reviewItem>
    <reviewItem>
      <errorID>32db58c8-6c0b-48b4-9632-d44f28488bad</errorID>
      <errorWord>~</errorWord>
      <group>L1_Format</group>
      <groupName>格式问题</groupName>
      <ability>L2_HalfPunc_CN</ability>
      <abilityName>全半角问题</abilityName>
      <candidateList>
        <item>～</item>
      </candidateList>
      <explain>文本全半角错误。</explain>
      <paraID>587D0105</paraID>
      <start>44</start>
      <end>45</end>
      <status>ignored</status>
      <modifiedWord/>
      <trackRevisions>false</trackRevisions>
    </reviewItem>
    <reviewItem>
      <errorID>58e2bdaa-2d1a-48c6-ab4a-d6c3519bbde6</errorID>
      <errorWord>~</errorWord>
      <group>L1_Format</group>
      <groupName>格式问题</groupName>
      <ability>L2_HalfPunc_CN</ability>
      <abilityName>全半角问题</abilityName>
      <candidateList>
        <item>～</item>
      </candidateList>
      <explain>文本全半角错误。</explain>
      <paraID>587D0105</paraID>
      <start>53</start>
      <end>54</end>
      <status>ignored</status>
      <modifiedWord/>
      <trackRevisions>false</trackRevisions>
    </reviewItem>
    <reviewItem>
      <errorID>e3361394-8d08-4dbc-8e3a-7acb696a6a12</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5FD11EF6</paraID>
      <start>92</start>
      <end>99</end>
      <status>unmodified</status>
      <modifiedWord/>
      <trackRevisions>false</trackRevisions>
    </reviewItem>
    <reviewItem>
      <errorID>fcb505bc-7841-42f6-a596-84069b489f3b</errorID>
      <errorWord>层对</errorWord>
      <group>L1_Word</group>
      <groupName>字词问题</groupName>
      <ability>L2_Typo</ability>
      <abilityName>字词错误</abilityName>
      <candidateList>
        <item>层</item>
      </candidateList>
      <explain/>
      <paraID>51D6773E</paraID>
      <start>99</start>
      <end>101</end>
      <status>unmodified</status>
      <modifiedWord/>
      <trackRevisions>false</trackRevisions>
    </reviewItem>
    <reviewItem>
      <errorID>76bd61ff-e6ab-436d-a6b1-8d66fe8684e2</errorID>
      <errorWord>海拔高度</errorWord>
      <group>L1_Word</group>
      <groupName>字词问题</groupName>
      <ability>L2_Typo</ability>
      <abilityName>字词错误</abilityName>
      <candidateList>
        <item>海拔</item>
      </candidateList>
      <explain/>
      <paraID>345831A9</paraID>
      <start>0</start>
      <end>4</end>
      <status>ignored</status>
      <modifiedWord/>
      <trackRevisions>false</trackRevisions>
    </reviewItem>
    <reviewItem>
      <errorID>fae1fece-e54c-4b01-9c1f-c6f2768cd485</errorID>
      <errorWord>"</errorWord>
      <group>L1_Format</group>
      <groupName>格式问题</groupName>
      <ability>L2_HalfPunc_CN</ability>
      <abilityName>全半角问题</abilityName>
      <candidateList/>
      <explain>文本全半角错误。</explain>
      <paraID>73ABA3B2</paraID>
      <start>15</start>
      <end>16</end>
      <status>unmodified</status>
      <modifiedWord/>
      <trackRevisions>false</trackRevisions>
    </reviewItem>
    <reviewItem>
      <errorID>52d3d31e-63c4-4da3-9631-65eaf19a9a2d</errorID>
      <errorWord>海拔高度</errorWord>
      <group>L1_Word</group>
      <groupName>字词问题</groupName>
      <ability>L2_Typo</ability>
      <abilityName>字词错误</abilityName>
      <candidateList>
        <item>海拔</item>
      </candidateList>
      <explain/>
      <paraID>702366F5</paraID>
      <start>0</start>
      <end>4</end>
      <status>ignored</status>
      <modifiedWord/>
      <trackRevisions>false</trackRevisions>
    </reviewItem>
    <reviewItem>
      <errorID>c96e114d-0945-413c-b4c3-a78560976cbb</errorID>
      <errorWord>"</errorWord>
      <group>L1_Format</group>
      <groupName>格式问题</groupName>
      <ability>L2_HalfPunc_CN</ability>
      <abilityName>全半角问题</abilityName>
      <candidateList/>
      <explain>文本全半角错误。</explain>
      <paraID>18EA58E6</paraID>
      <start>15</start>
      <end>16</end>
      <status>unmodified</status>
      <modifiedWord/>
      <trackRevisions>false</trackRevisions>
    </reviewItem>
    <reviewItem>
      <errorID>ed41ab73-bf74-453a-a4c0-721330d6fce0</errorID>
      <errorWord>海拔高度</errorWord>
      <group>L1_Word</group>
      <groupName>字词问题</groupName>
      <ability>L2_Typo</ability>
      <abilityName>字词错误</abilityName>
      <candidateList>
        <item>海拔</item>
      </candidateList>
      <explain/>
      <paraID>4892E8F7</paraID>
      <start>0</start>
      <end>4</end>
      <status>ignored</status>
      <modifiedWord/>
      <trackRevisions>false</trackRevisions>
    </reviewItem>
    <reviewItem>
      <errorID>6d26e098-8cbf-4389-8bf0-6b115c4e3f4f</errorID>
      <errorWord>"</errorWord>
      <group>L1_Format</group>
      <groupName>格式问题</groupName>
      <ability>L2_HalfPunc_CN</ability>
      <abilityName>全半角问题</abilityName>
      <candidateList/>
      <explain>文本全半角错误。</explain>
      <paraID>7CC79224</paraID>
      <start>15</start>
      <end>16</end>
      <status>unmodified</status>
      <modifiedWord/>
      <trackRevisions>false</trackRevisions>
    </reviewItem>
    <reviewItem>
      <errorID>f3a12613-7547-4ef9-b770-c991814e526e</errorID>
      <errorWord>~</errorWord>
      <group>L1_Format</group>
      <groupName>格式问题</groupName>
      <ability>L2_HalfPunc_CN</ability>
      <abilityName>全半角问题</abilityName>
      <candidateList>
        <item>～</item>
      </candidateList>
      <explain>文本全半角错误。</explain>
      <paraID>4802855F</paraID>
      <start>80</start>
      <end>81</end>
      <status>ignored</status>
      <modifiedWord/>
      <trackRevisions>false</trackRevisions>
    </reviewItem>
    <reviewItem>
      <errorID>271f9390-7c7e-4dd1-b4c4-5ccfc9745e01</errorID>
      <errorWord>新疆山</errorWord>
      <group>L1_Word</group>
      <groupName>字词问题</groupName>
      <ability>L2_Typo</ability>
      <abilityName>字词错误</abilityName>
      <candidateList>
        <item>新疆</item>
      </candidateList>
      <explain/>
      <paraID>  5963FE</paraID>
      <start>25</start>
      <end>27</end>
      <status>modified</status>
      <modifiedWord>新疆</modifiedWord>
      <trackRevisions>false</trackRevisions>
    </reviewItem>
    <reviewItem>
      <errorID>1fdeb520-fc6c-467d-9d19-3ff61e533d06</errorID>
      <errorWord>作必要</errorWord>
      <group>L1_Word</group>
      <groupName>字词问题</groupName>
      <ability>L2_Typo</ability>
      <abilityName>字词错误</abilityName>
      <candidateList>
        <item>做必要</item>
      </candidateList>
      <explain/>
      <paraID>  5963FE</paraID>
      <start>109</start>
      <end>112</end>
      <status>unmodified</status>
      <modifiedWord/>
      <trackRevisions>false</trackRevisions>
    </reviewItem>
    <reviewItem>
      <errorID>2ba7c050-b3ca-4c08-8102-6eef9c32cbbe</errorID>
      <errorWord>、或者</errorWord>
      <group>L1_Word</group>
      <groupName>字词问题</groupName>
      <ability>L2_Typo</ability>
      <abilityName>字词错误</abilityName>
      <candidateList>
        <item>，或者</item>
      </candidateList>
      <explain/>
      <paraID>50DE678B</paraID>
      <start>51</start>
      <end>54</end>
      <status>modified</status>
      <modifiedWord>，或者</modifiedWord>
      <trackRevisions>false</trackRevisions>
    </reviewItem>
    <reviewItem>
      <errorID>e38a6923-02a3-424b-84ce-418500d4e09e</errorID>
      <errorWord>、运输、和</errorWord>
      <group>L1_Word</group>
      <groupName>字词问题</groupName>
      <ability>L2_Typo</ability>
      <abilityName>字词错误</abilityName>
      <candidateList>
        <item>、运输和</item>
      </candidateList>
      <explain/>
      <paraID>1EE635FE</paraID>
      <start>42</start>
      <end>46</end>
      <status>modified</status>
      <modifiedWord>、运输和</modifiedWord>
      <trackRevisions>false</trackRevisions>
    </reviewItem>
    <reviewItem>
      <errorID>65e92495-ff48-44c7-8c1d-ae54ff31610f</errorID>
      <errorWord>散状</errorWord>
      <group>L1_Word</group>
      <groupName>字词问题</groupName>
      <ability>L2_Typo</ability>
      <abilityName>字词错误</abilityName>
      <candidateList>
        <item>散装</item>
      </candidateList>
      <explain/>
      <paraID>73896D99</paraID>
      <start>0</start>
      <end>2</end>
      <status>unmodified</status>
      <modifiedWord/>
      <trackRevisions>false</trackRevisions>
    </reviewItem>
    <reviewItem>
      <errorID>079d1c1a-0e9e-474c-916e-642ce31483b9</errorID>
      <errorWord>用做</errorWord>
      <group>L1_Word</group>
      <groupName>字词问题</groupName>
      <ability>L2_Typo</ability>
      <abilityName>字词错误</abilityName>
      <candidateList>
        <item>用作</item>
      </candidateList>
      <explain/>
      <paraID>7593B8A9</paraID>
      <start>26</start>
      <end>28</end>
      <status>unmodified</status>
      <modifiedWord/>
      <trackRevisions>false</trackRevisions>
    </reviewItem>
    <reviewItem>
      <errorID>43a3e00f-0016-47f3-8fec-3af28cf76641</errorID>
      <errorWord>期</errorWord>
      <group>L1_Word</group>
      <groupName>字词问题</groupName>
      <ability>L2_Typo</ability>
      <abilityName>字词错误</abilityName>
      <candidateList>
        <item>期间</item>
      </candidateList>
      <explain/>
      <paraID>322AA25F</paraID>
      <start>39</start>
      <end>40</end>
      <status>unmodified</status>
      <modifiedWord/>
      <trackRevisions>false</trackRevisions>
    </reviewItem>
    <reviewItem>
      <errorID>9e068b00-7343-4ecc-b2dd-ff24bd0e0719</errorID>
      <errorWord>的</errorWord>
      <group>L1_Word</group>
      <groupName>字词问题</groupName>
      <ability>L2_DDD</ability>
      <abilityName>的地得用法</abilityName>
      <candidateList>
        <item>地</item>
      </candidateList>
      <explain/>
      <paraID>322AA25F</paraID>
      <start>119</start>
      <end>120</end>
      <status>unmodified</status>
      <modifiedWord/>
      <trackRevisions>false</trackRevisions>
    </reviewItem>
    <reviewItem>
      <errorID>6127aeeb-15e7-46e8-8bdd-ce5a5f0b020b</errorID>
      <errorWord>程</errorWord>
      <group>L1_Word</group>
      <groupName>字词问题</groupName>
      <ability>L2_Typo</ability>
      <abilityName>字词错误</abilityName>
      <candidateList>
        <item>程中</item>
      </candidateList>
      <explain/>
      <paraID>1FF2CD7B</paraID>
      <start>11</start>
      <end>12</end>
      <status>unmodified</status>
      <modifiedWord/>
      <trackRevisions>false</trackRevisions>
    </reviewItem>
    <reviewItem>
      <errorID>f092ef64-c302-444b-9cd0-efcef473c5c9</errorID>
      <errorWord>计</errorWord>
      <group>L1_Word</group>
      <groupName>字词问题</groupName>
      <ability>L2_Typo</ability>
      <abilityName>字词错误</abilityName>
      <candidateList>
        <item>计算</item>
      </candidateList>
      <explain/>
      <paraID>77F330E1</paraID>
      <start>39</start>
      <end>40</end>
      <status>ignored</status>
      <modifiedWord/>
      <trackRevisions>false</trackRevisions>
    </reviewItem>
    <reviewItem>
      <errorID>0e7c228d-7b2f-42ed-9748-643d1854270e</errorID>
      <errorWord>是</errorWord>
      <group>L1_Word</group>
      <groupName>字词问题</groupName>
      <ability>L2_Typo</ability>
      <abilityName>字词错误</abilityName>
      <candidateList>
        <item>受</item>
      </candidateList>
      <explain/>
      <paraID>77EDD557</paraID>
      <start>9</start>
      <end>10</end>
      <status>unmodified</status>
      <modifiedWord/>
      <trackRevisions>false</trackRevisions>
    </reviewItem>
    <reviewItem>
      <errorID>73ebe54a-9e23-42ba-8652-cb284fbb6e37</errorID>
      <errorWord>随</errorWord>
      <group>L1_Word</group>
      <groupName>字词问题</groupName>
      <ability>L2_Typo</ability>
      <abilityName>字词错误</abilityName>
      <candidateList>
        <item>随着</item>
      </candidateList>
      <explain/>
      <paraID>7248CBC9</paraID>
      <start>52</start>
      <end>53</end>
      <status>unmodified</status>
      <modifiedWord/>
      <trackRevisions>false</trackRevisions>
    </reviewItem>
    <reviewItem>
      <errorID>f1cf443d-dcec-4387-832a-ba88311b6a24</errorID>
      <errorWord>场区</errorWord>
      <group>L1_Word</group>
      <groupName>字词问题</groupName>
      <ability>L2_Typo</ability>
      <abilityName>字词错误</abilityName>
      <candidateList>
        <item>厂区</item>
      </candidateList>
      <explain/>
      <paraID>577A0842</paraID>
      <start>4</start>
      <end>6</end>
      <status>unmodified</status>
      <modifiedWord/>
      <trackRevisions>false</trackRevisions>
    </reviewItem>
    <reviewItem>
      <errorID>06ef404a-7c2f-424e-bf78-43a8cb0a4f29</errorID>
      <errorWord>的</errorWord>
      <group>L1_Word</group>
      <groupName>字词问题</groupName>
      <ability>L2_DDD</ability>
      <abilityName>的地得用法</abilityName>
      <candidateList>
        <item>地</item>
      </candidateList>
      <explain/>
      <paraID>3BBA8CEA</paraID>
      <start>22</start>
      <end>23</end>
      <status>unmodified</status>
      <modifiedWord/>
      <trackRevisions>false</trackRevisions>
    </reviewItem>
    <reviewItem>
      <errorID>03b8cb8f-3415-4552-ba81-8c66a03d65e9</errorID>
      <errorWord>程</errorWord>
      <group>L1_Word</group>
      <groupName>字词问题</groupName>
      <ability>L2_Typo</ability>
      <abilityName>字词错误</abilityName>
      <candidateList>
        <item>程中</item>
      </candidateList>
      <explain/>
      <paraID> CE29F09</paraID>
      <start>6</start>
      <end>7</end>
      <status>unmodified</status>
      <modifiedWord/>
      <trackRevisions>false</trackRevisions>
    </reviewItem>
    <reviewItem>
      <errorID>8f5fac10-ea9e-4744-a96f-14d2e5cae718</errorID>
      <errorWord>工地</errorWord>
      <group>L1_Word</group>
      <groupName>字词问题</groupName>
      <ability>L2_Typo</ability>
      <abilityName>字词错误</abilityName>
      <candidateList>
        <item>场地</item>
      </candidateList>
      <explain/>
      <paraID>40B9B6A5</paraID>
      <start>5</start>
      <end>7</end>
      <status>unmodified</status>
      <modifiedWord/>
      <trackRevisions>false</trackRevisions>
    </reviewItem>
    <reviewItem>
      <errorID>46e383e9-64df-4f01-9f05-095303ea4211</errorID>
      <errorWord>作</errorWord>
      <group>L1_Word</group>
      <groupName>字词问题</groupName>
      <ability>L2_Typo</ability>
      <abilityName>字词错误</abilityName>
      <candidateList>
        <item>做</item>
      </candidateList>
      <explain>存在发音相同字词的误用。</explain>
      <paraID>13DFE343</paraID>
      <start>24</start>
      <end>25</end>
      <status>unmodified</status>
      <modifiedWord/>
      <trackRevisions>false</trackRevisions>
    </reviewItem>
    <reviewItem>
      <errorID>d9e7caeb-3eae-4534-8d21-5af5ac209938</errorID>
      <errorWord>~</errorWord>
      <group>L1_Format</group>
      <groupName>格式问题</groupName>
      <ability>L2_HalfPunc_CN</ability>
      <abilityName>全半角问题</abilityName>
      <candidateList>
        <item>～</item>
      </candidateList>
      <explain>文本全半角错误。</explain>
      <paraID>1F5FE692</paraID>
      <start>3</start>
      <end>4</end>
      <status>ignored</status>
      <modifiedWord/>
      <trackRevisions>false</trackRevisions>
    </reviewItem>
    <reviewItem>
      <errorID>453f113a-4ad4-4ec7-8414-d7da41c744a8</errorID>
      <errorWord>做为</errorWord>
      <group>L1_Word</group>
      <groupName>字词问题</groupName>
      <ability>L2_Typo</ability>
      <abilityName>字词错误</abilityName>
      <candidateList>
        <item>作为</item>
      </candidateList>
      <explain>存在发音相同字词的误用。</explain>
      <paraID> 297444E</paraID>
      <start>26</start>
      <end>28</end>
      <status>modified</status>
      <modifiedWord>作为</modifiedWord>
      <trackRevisions>false</trackRevisions>
    </reviewItem>
    <reviewItem>
      <errorID>f0575326-f1ff-4e2c-8ca0-4d2523a7e4eb</errorID>
      <errorWord>的</errorWord>
      <group>L1_Word</group>
      <groupName>字词问题</groupName>
      <ability>L2_DDD</ability>
      <abilityName>的地得用法</abilityName>
      <candidateList>
        <item>地</item>
      </candidateList>
      <explain/>
      <paraID>2871E0A6</paraID>
      <start>64</start>
      <end>65</end>
      <status>unmodified</status>
      <modifiedWord/>
      <trackRevisions>false</trackRevisions>
    </reviewItem>
    <reviewItem>
      <errorID>bf276293-1947-4b0c-b8a7-e2bac5b3fd91</errorID>
      <errorWord>测</errorWord>
      <group>L1_Word</group>
      <groupName>字词问题</groupName>
      <ability>L2_Typo</ability>
      <abilityName>字词错误</abilityName>
      <candidateList>
        <item>的</item>
      </candidateList>
      <explain/>
      <paraID> 48924CB</paraID>
      <start>0</start>
      <end>1</end>
      <status>unmodified</status>
      <modifiedWord/>
      <trackRevisions>false</trackRevisions>
    </reviewItem>
    <reviewItem>
      <errorID>c2c698bb-5c68-40d5-983b-b9cb882eeddd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13BE3278</paraID>
      <start>0</start>
      <end>2</end>
      <status>ignored</status>
      <modifiedWord/>
      <trackRevisions>false</trackRevisions>
    </reviewItem>
    <reviewItem>
      <errorID>536d5f02-7ab6-48e1-9f97-1535dd6ce1cd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3B3DA6EC</paraID>
      <start>0</start>
      <end>2</end>
      <status>ignored</status>
      <modifiedWord/>
      <trackRevisions>false</trackRevisions>
    </reviewItem>
    <reviewItem>
      <errorID>d33ed1d2-b94e-4a22-aac1-481a74a7868e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25A41A03</paraID>
      <start>0</start>
      <end>2</end>
      <status>unmodified</status>
      <modifiedWord/>
      <trackRevisions>false</trackRevisions>
    </reviewItem>
    <reviewItem>
      <errorID>11f75272-93a0-4496-8549-2310a52fee58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4507A706</paraID>
      <start>0</start>
      <end>2</end>
      <status>unmodified</status>
      <modifiedWord/>
      <trackRevisions>false</trackRevisions>
    </reviewItem>
    <reviewItem>
      <errorID>51411e12-de2c-4f2c-89c9-cca5ef5b4e32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20D6CA0A</paraID>
      <start>0</start>
      <end>2</end>
      <status>ignored</status>
      <modifiedWord/>
      <trackRevisions>false</trackRevisions>
    </reviewItem>
    <reviewItem>
      <errorID>2548e6cf-ca3f-4a80-b760-a9ba17fe1f46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CD8A35A</paraID>
      <start>0</start>
      <end>2</end>
      <status>ignored</status>
      <modifiedWord/>
      <trackRevisions>false</trackRevisions>
    </reviewItem>
    <reviewItem>
      <errorID>039dccd9-cb31-4e64-9ea4-100fb2db45fe</errorID>
      <errorWord>“X”型</errorWord>
      <group>L1_Word</group>
      <groupName>字词问题</groupName>
      <ability>L2_Typo</ability>
      <abilityName>字词错误</abilityName>
      <candidateList>
        <item>“X”形</item>
      </candidateList>
      <explain/>
      <paraID>527E2004</paraID>
      <start>120</start>
      <end>124</end>
      <status>unmodified</status>
      <modifiedWord/>
      <trackRevisions>false</trackRevisions>
    </reviewItem>
    <reviewItem>
      <errorID>c83b5b2b-6ee8-4957-a409-d7548dccd2ab</errorID>
      <errorWord>“X”型</errorWord>
      <group>L1_Word</group>
      <groupName>字词问题</groupName>
      <ability>L2_Typo</ability>
      <abilityName>字词错误</abilityName>
      <candidateList>
        <item>“X”形</item>
      </candidateList>
      <explain/>
      <paraID>33601DFA</paraID>
      <start>55</start>
      <end>59</end>
      <status>unmodified</status>
      <modifiedWord/>
      <trackRevisions>false</trackRevisions>
    </reviewItem>
    <reviewItem>
      <errorID>f1fa1af4-c8c3-4c68-8160-ca19d4612fb0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46076DCB</paraID>
      <start>0</start>
      <end>2</end>
      <status>ignored</status>
      <modifiedWord/>
      <trackRevisions>false</trackRevisions>
    </reviewItem>
    <reviewItem>
      <errorID>db92a8fd-d6d5-4ef3-bfa3-7f8c5180a563</errorID>
      <errorWord>有利</errorWord>
      <group>L1_Word</group>
      <groupName>字词问题</groupName>
      <ability>L2_Typo</ability>
      <abilityName>字词错误</abilityName>
      <candidateList>
        <item>有力</item>
      </candidateList>
      <explain/>
      <paraID> 3E9C174</paraID>
      <start>127</start>
      <end>129</end>
      <status>unmodified</status>
      <modifiedWord/>
      <trackRevisions>false</trackRevisions>
    </reviewItem>
    <reviewItem>
      <errorID>07b72eaf-0352-419f-9463-d1080ac4c636</errorID>
      <errorWord>产生的</errorWord>
      <group>L1_Word</group>
      <groupName>字词问题</groupName>
      <ability>L2_Typo</ability>
      <abilityName>字词错误</abilityName>
      <candidateList>
        <item>产生</item>
      </candidateList>
      <explain/>
      <paraID> 3E9C174</paraID>
      <start>141</start>
      <end>144</end>
      <status>unmodified</status>
      <modifiedWord/>
      <trackRevisions>false</trackRevisions>
    </reviewItem>
    <reviewItem>
      <errorID>4a69c156-3a5a-40eb-9b70-62a8cdaa91c7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1BA5A4A8</paraID>
      <start>0</start>
      <end>2</end>
      <status>ignored</status>
      <modifiedWord/>
      <trackRevisions>false</trackRevisions>
    </reviewItem>
    <reviewItem>
      <errorID>4e314937-61cb-4e3f-9d20-3610aa158e44</errorID>
      <errorWord>“X”型</errorWord>
      <group>L1_Word</group>
      <groupName>字词问题</groupName>
      <ability>L2_Typo</ability>
      <abilityName>字词错误</abilityName>
      <candidateList>
        <item>“X”形</item>
      </candidateList>
      <explain/>
      <paraID>2E9F8759</paraID>
      <start>98</start>
      <end>102</end>
      <status>unmodified</status>
      <modifiedWord/>
      <trackRevisions>false</trackRevisions>
    </reviewItem>
    <reviewItem>
      <errorID>a9845fe3-ed2e-4ab0-9874-4a9a316cbb1a</errorID>
      <errorWord>聚积</errorWord>
      <group>L1_Word</group>
      <groupName>字词问题</groupName>
      <ability>L2_Typo</ability>
      <abilityName>字词错误</abilityName>
      <candidateList>
        <item>聚集</item>
      </candidateList>
      <explain/>
      <paraID>75A0CB7E</paraID>
      <start>123</start>
      <end>125</end>
      <status>unmodified</status>
      <modifiedWord/>
      <trackRevisions>false</trackRevisions>
    </reviewItem>
    <reviewItem>
      <errorID>f2969ee9-6734-432d-8ae7-1c4a2c481260</errorID>
      <errorWord>致关重要</errorWord>
      <group>L1_Word</group>
      <groupName>字词问题</groupName>
      <ability>L2_Typo</ability>
      <abilityName>字词错误</abilityName>
      <candidateList>
        <item>至关重要</item>
      </candidateList>
      <explain/>
      <paraID>4171AAE2</paraID>
      <start>224</start>
      <end>228</end>
      <status>modified</status>
      <modifiedWord>至关重要</modifiedWord>
      <trackRevisions>false</trackRevisions>
    </reviewItem>
    <reviewItem>
      <errorID>86675724-1f70-4f83-b264-5239d29d911d</errorID>
      <errorWord>做为</errorWord>
      <group>L1_Word</group>
      <groupName>字词问题</groupName>
      <ability>L2_Typo</ability>
      <abilityName>字词错误</abilityName>
      <candidateList>
        <item>作为</item>
      </candidateList>
      <explain>存在发音相同字词的误用。</explain>
      <paraID>6A7929FE</paraID>
      <start>31</start>
      <end>33</end>
      <status>modified</status>
      <modifiedWord>作为</modifiedWord>
      <trackRevisions>false</trackRevisions>
    </reviewItem>
    <reviewItem>
      <errorID>45a3ef51-6d0c-468a-9f3c-27c8784a9814</errorID>
      <errorWord>不含水层</errorWord>
      <group>L1_Knowledge</group>
      <groupName>知识性问题</groupName>
      <ability>L2_Term</ability>
      <abilityName>专业术语</abilityName>
      <candidateList>
        <item>不透水层</item>
      </candidateList>
      <explain/>
      <paraID>1BDB4191</paraID>
      <start>26</start>
      <end>30</end>
      <status>unmodified</status>
      <modifiedWord/>
      <trackRevisions>false</trackRevisions>
    </reviewItem>
    <reviewItem>
      <errorID>fbf3a212-e802-44d6-b4a9-10ecada130a5</errorID>
      <errorWord>也是</errorWord>
      <group>L1_Word</group>
      <groupName>字词问题</groupName>
      <ability>L2_Typo</ability>
      <abilityName>字词错误</abilityName>
      <candidateList>
        <item>也</item>
      </candidateList>
      <explain/>
      <paraID>1BDB4191</paraID>
      <start>120</start>
      <end>122</end>
      <status>unmodified</status>
      <modifiedWord/>
      <trackRevisions>false</trackRevisions>
    </reviewItem>
    <reviewItem>
      <errorID>1c279c93-397e-4807-9e87-1841ae8392c7</errorID>
      <errorWord>解吸</errorWord>
      <group>L1_Word</group>
      <groupName>字词问题</groupName>
      <ability>L2_Typo</ability>
      <abilityName>字词错误</abilityName>
      <candidateList>
        <item>解析</item>
      </candidateList>
      <explain/>
      <paraID> 91213AE</paraID>
      <start>33</start>
      <end>35</end>
      <status>unmodified</status>
      <modifiedWord/>
      <trackRevisions>false</trackRevisions>
    </reviewItem>
    <reviewItem>
      <errorID>2ea666c8-1b22-4af0-9f7a-7be7a40fb156</errorID>
      <errorWord>~</errorWord>
      <group>L1_Format</group>
      <groupName>格式问题</groupName>
      <ability>L2_HalfPunc_CN</ability>
      <abilityName>全半角问题</abilityName>
      <candidateList>
        <item>～</item>
      </candidateList>
      <explain>文本全半角错误。</explain>
      <paraID> 9117A70</paraID>
      <start>85</start>
      <end>86</end>
      <status>ignored</status>
      <modifiedWord/>
      <trackRevisions>false</trackRevisions>
    </reviewItem>
    <reviewItem>
      <errorID>584c1c6e-51dd-4f29-b2d8-482a56b29dd8</errorID>
      <errorWord>污染晕</errorWord>
      <group>L1_Word</group>
      <groupName>字词问题</groupName>
      <ability>L2_Typo</ability>
      <abilityName>字词错误</abilityName>
      <candidateList>
        <item>污染源</item>
      </candidateList>
      <explain>存在发音相近字词的误用。</explain>
      <paraID>5632FBE2</paraID>
      <start>95</start>
      <end>98</end>
      <status>unmodified</status>
      <modifiedWord/>
      <trackRevisions>false</trackRevisions>
    </reviewItem>
    <reviewItem>
      <errorID>43a76c8f-817c-43b3-a3f8-595b9514c400</errorID>
      <errorWord>污染晕</errorWord>
      <group>L1_Word</group>
      <groupName>字词问题</groupName>
      <ability>L2_Typo</ability>
      <abilityName>字词错误</abilityName>
      <candidateList>
        <item>污染</item>
      </candidateList>
      <explain/>
      <paraID>2C8975DC</paraID>
      <start>115</start>
      <end>118</end>
      <status>unmodified</status>
      <modifiedWord/>
      <trackRevisions>false</trackRevisions>
    </reviewItem>
    <reviewItem>
      <errorID>fe4ef765-55cc-4dd8-8cba-ff5e6c6435e3</errorID>
      <errorWord>程</errorWord>
      <group>L1_Word</group>
      <groupName>字词问题</groupName>
      <ability>L2_Typo</ability>
      <abilityName>字词错误</abilityName>
      <candidateList>
        <item>程中</item>
      </candidateList>
      <explain/>
      <paraID>24A8C081</paraID>
      <start>45</start>
      <end>46</end>
      <status>unmodified</status>
      <modifiedWord/>
      <trackRevisions>false</trackRevisions>
    </reviewItem>
    <reviewItem>
      <errorID>baff10d0-ce08-4d40-b7a8-caaa88a536b1</errorID>
      <errorWord>机</errorWord>
      <group>L1_Word</group>
      <groupName>字词问题</groupName>
      <ability>L2_Typo</ability>
      <abilityName>字词错误</abilityName>
      <candidateList>
        <item>及</item>
      </candidateList>
      <explain>存在发音相同字词的误用。</explain>
      <paraID>4C228C66</paraID>
      <start>128</start>
      <end>129</end>
      <status>unmodified</status>
      <modifiedWord/>
      <trackRevisions>false</trackRevisions>
    </reviewItem>
    <reviewItem>
      <errorID>4f32896b-f547-4720-8dbf-a57570c031e4</errorID>
      <errorWord>》</errorWord>
      <group>L1_Word</group>
      <groupName>字词问题</groupName>
      <ability>L2_Typo</ability>
      <abilityName>字词错误</abilityName>
      <candidateList>
        <item>》和</item>
      </candidateList>
      <explain/>
      <paraID> 96D4B75</paraID>
      <start>140</start>
      <end>141</end>
      <status>unmodified</status>
      <modifiedWord/>
      <trackRevisions>false</trackRevisions>
    </reviewItem>
    <reviewItem>
      <errorID>980fe28f-4017-4e61-af11-018ec8182105</errorID>
      <errorWord>制订</errorWord>
      <group>L1_Word</group>
      <groupName>字词问题</groupName>
      <ability>L2_Typo</ability>
      <abilityName>字词错误</abilityName>
      <candidateList>
        <item>制定</item>
      </candidateList>
      <explain>存在发音相同字词的误用。</explain>
      <paraID> 12805B3</paraID>
      <start>16</start>
      <end>18</end>
      <status>unmodified</status>
      <modifiedWord/>
      <trackRevisions>false</trackRevisions>
    </reviewItem>
    <reviewItem>
      <errorID>4f4b7ff0-97d2-4ef1-bba8-458eff56aacc</errorID>
      <errorWord>在第一时间内</errorWord>
      <group>L1_Word</group>
      <groupName>字词问题</groupName>
      <ability>L2_Typo</ability>
      <abilityName>字词错误</abilityName>
      <candidateList>
        <item>在第一时间</item>
      </candidateList>
      <explain/>
      <paraID>5E514719</paraID>
      <start>28</start>
      <end>34</end>
      <status>unmodified</status>
      <modifiedWord/>
      <trackRevisions>false</trackRevisions>
    </reviewItem>
    <reviewItem>
      <errorID>50702362-33fe-42bb-bb6f-574efe80a3ae</errorID>
      <errorWord>正常积水位</errorWord>
      <group>L1_Knowledge</group>
      <groupName>知识性问题</groupName>
      <ability>L2_Term</ability>
      <abilityName>专业术语</abilityName>
      <candidateList>
        <item>正常蓄水位</item>
      </candidateList>
      <explain/>
      <paraID>6ABEE839</paraID>
      <start>38</start>
      <end>43</end>
      <status>unmodified</status>
      <modifiedWord/>
      <trackRevisions>false</trackRevisions>
    </reviewItem>
    <reviewItem>
      <errorID>9c3851d3-4faa-4359-9635-4e8ef179b4d5</errorID>
      <errorWord>设</errorWord>
      <group>L1_Word</group>
      <groupName>字词问题</groupName>
      <ability>L2_Typo</ability>
      <abilityName>字词错误</abilityName>
      <candidateList>
        <item>设置</item>
      </candidateList>
      <explain/>
      <paraID>4E3E392F</paraID>
      <start>26</start>
      <end>28</end>
      <status>modified</status>
      <modifiedWord>设置</modifiedWord>
      <trackRevisions>false</trackRevisions>
    </reviewItem>
    <reviewItem>
      <errorID>b3efbf0f-7850-408d-a4f0-7e63243bc107</errorID>
      <errorWord>污染晕</errorWord>
      <group>L1_Word</group>
      <groupName>字词问题</groupName>
      <ability>L2_Typo</ability>
      <abilityName>字词错误</abilityName>
      <candidateList>
        <item>污染</item>
      </candidateList>
      <explain/>
      <paraID>4D14B237</paraID>
      <start>125</start>
      <end>127</end>
      <status>modified</status>
      <modifiedWord>污染</modifiedWord>
      <trackRevisions>false</trackRevisions>
    </reviewItem>
    <reviewItem>
      <errorID>f36c21a1-40d7-427b-b872-0389cad73c1f</errorID>
      <errorWord>机</errorWord>
      <group>L1_Word</group>
      <groupName>字词问题</groupName>
      <ability>L2_Typo</ability>
      <abilityName>字词错误</abilityName>
      <candidateList>
        <item>及</item>
      </candidateList>
      <explain>存在发音相同字词的误用。</explain>
      <paraID>5D761B5A</paraID>
      <start>39</start>
      <end>40</end>
      <status>unmodified</status>
      <modifiedWord/>
      <trackRevisions>false</trackRevisions>
    </reviewItem>
    <reviewItem>
      <errorID>822ad665-d2ba-4d3a-96aa-479463c394df</errorID>
      <errorWord>鄂</errorWord>
      <group>L1_Word</group>
      <groupName>字词问题</groupName>
      <ability>L2_Typo</ability>
      <abilityName>字词错误</abilityName>
      <candidateList>
        <item>颚</item>
      </candidateList>
      <explain/>
      <paraID> AEDEE7F</paraID>
      <start>0</start>
      <end>1</end>
      <status>modified</status>
      <modifiedWord>颚</modifiedWord>
      <trackRevisions>false</trackRevisions>
    </reviewItem>
    <reviewItem>
      <errorID>85f30b9e-9b4e-4e04-a151-4add947ff1a2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3D1B7CF3</paraID>
      <start>0</start>
      <end>2</end>
      <status>ignored</status>
      <modifiedWord/>
      <trackRevisions>false</trackRevisions>
    </reviewItem>
    <reviewItem>
      <errorID>c8da0e28-a8ea-4599-87d6-81761944c40c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55266139</paraID>
      <start>0</start>
      <end>2</end>
      <status>ignored</status>
      <modifiedWord/>
      <trackRevisions>false</trackRevisions>
    </reviewItem>
    <reviewItem>
      <errorID>c122db9a-e8c7-4950-96aa-ce778cb3d19b</errorID>
      <errorWord>场</errorWord>
      <group>L1_Word</group>
      <groupName>字词问题</groupName>
      <ability>L2_Typo</ability>
      <abilityName>字词错误</abilityName>
      <candidateList>
        <item>厂</item>
      </candidateList>
      <explain/>
      <paraID>26A8CA3B</paraID>
      <start>2</start>
      <end>3</end>
      <status>modified</status>
      <modifiedWord>厂</modifiedWord>
      <trackRevisions>false</trackRevisions>
    </reviewItem>
    <reviewItem>
      <errorID>820fa10b-ab19-489c-bfd9-7ce1e529b57c</errorID>
      <errorWord>地振</errorWord>
      <group>L1_Word</group>
      <groupName>字词问题</groupName>
      <ability>L2_Typo</ability>
      <abilityName>字词错误</abilityName>
      <candidateList>
        <item>地震</item>
      </candidateList>
      <explain/>
      <paraID>33215A61</paraID>
      <start>6</start>
      <end>8</end>
      <status>modified</status>
      <modifiedWord>地震</modifiedWord>
      <trackRevisions>false</trackRevisions>
    </reviewItem>
    <reviewItem>
      <errorID>3055337f-afc7-4782-bb9d-d48abee7de40</errorID>
      <errorWord>、</errorWord>
      <group>L1_Punc</group>
      <groupName>标点问题</groupName>
      <ability>L2_Punc_CN</ability>
      <abilityName>标点符号问题</abilityName>
      <candidateList>
        <item>.</item>
      </candidateList>
      <explain/>
      <paraID>611BAE73</paraID>
      <start>1</start>
      <end>2</end>
      <status>ignored</status>
      <modifiedWord/>
      <trackRevisions>false</trackRevisions>
    </reviewItem>
    <reviewItem>
      <errorID>70e8a312-aa0a-4d2c-bdb0-bc6ccbd0022b</errorID>
      <errorWord>少</errorWord>
      <group>L1_Word</group>
      <groupName>字词问题</groupName>
      <ability>L2_Typo</ability>
      <abilityName>字词错误</abilityName>
      <candidateList>
        <item>小</item>
      </candidateList>
      <explain>存在字形相近字词的误用。</explain>
      <paraID>27795019</paraID>
      <start>58</start>
      <end>59</end>
      <status>modified</status>
      <modifiedWord>小</modifiedWord>
      <trackRevisions>false</trackRevisions>
    </reviewItem>
    <reviewItem>
      <errorID>a0396c2f-03d5-4cb1-9fff-9251b317a195</errorID>
      <errorWord>分捡</errorWord>
      <group>L1_Word</group>
      <groupName>字词问题</groupName>
      <ability>L2_Typo</ability>
      <abilityName>字词错误</abilityName>
      <candidateList>
        <item>分拣</item>
      </candidateList>
      <explain/>
      <paraID>7582E04C</paraID>
      <start>64</start>
      <end>66</end>
      <status>modified</status>
      <modifiedWord>分拣</modifiedWord>
      <trackRevisions>false</trackRevisions>
    </reviewItem>
    <reviewItem>
      <errorID>004a7360-1c0a-41d7-bc63-60da00170e4d</errorID>
      <errorWord>少</errorWord>
      <group>L1_Word</group>
      <groupName>字词问题</groupName>
      <ability>L2_Typo</ability>
      <abilityName>字词错误</abilityName>
      <candidateList>
        <item>小</item>
      </candidateList>
      <explain>存在字形相近字词的误用。</explain>
      <paraID>1FCC7C1B</paraID>
      <start>58</start>
      <end>59</end>
      <status>modified</status>
      <modifiedWord>小</modifiedWord>
      <trackRevisions>false</trackRevisions>
    </reviewItem>
    <reviewItem>
      <errorID>d6c89b40-43e3-4196-ad79-34af8e34a34a</errorID>
      <errorWord>正产</errorWord>
      <group>L1_Word</group>
      <groupName>字词问题</groupName>
      <ability>L2_Typo</ability>
      <abilityName>字词错误</abilityName>
      <candidateList>
        <item>正常</item>
      </candidateList>
      <explain/>
      <paraID>2CD044A0</paraID>
      <start>3</start>
      <end>5</end>
      <status>modified</status>
      <modifiedWord>正常</modifiedWord>
      <trackRevisions>false</trackRevisions>
    </reviewItem>
    <reviewItem>
      <errorID>6b53a015-73a0-4cd4-8f3e-7a62c715ddc5</errorID>
      <errorWord>泄露</errorWord>
      <group>L1_Word</group>
      <groupName>字词问题</groupName>
      <ability>L2_Typo</ability>
      <abilityName>字词错误</abilityName>
      <candidateList>
        <item>泄漏</item>
      </candidateList>
      <explain>存在发音相同字词的误用。</explain>
      <paraID>554E6B27</paraID>
      <start>46</start>
      <end>48</end>
      <status>modified</status>
      <modifiedWord>泄漏</modifiedWord>
      <trackRevisions>false</trackRevisions>
    </reviewItem>
    <reviewItem>
      <errorID>b3bee4a7-5442-4a61-80fa-21f58ca6542d</errorID>
      <errorWord>参数带入公式</errorWord>
      <group>L1_Word</group>
      <groupName>字词问题</groupName>
      <ability>L2_Typo</ability>
      <abilityName>字词错误</abilityName>
      <candidateList>
        <item>参数代入公式</item>
      </candidateList>
      <explain/>
      <paraID>5EE292CA</paraID>
      <start>3</start>
      <end>9</end>
      <status>unmodified</status>
      <modifiedWord/>
      <trackRevisions>false</trackRevisions>
    </reviewItem>
    <reviewItem>
      <errorID>09497adf-f052-44cd-88f4-0ec61a510f8f</errorID>
      <errorWord>累计</errorWord>
      <group>L1_Word</group>
      <groupName>字词问题</groupName>
      <ability>L2_Typo</ability>
      <abilityName>字词错误</abilityName>
      <candidateList>
        <item>累积</item>
      </candidateList>
      <explain/>
      <paraID> 14634D9</paraID>
      <start>35</start>
      <end>37</end>
      <status>modified</status>
      <modifiedWord>累积</modifiedWord>
      <trackRevisions>false</trackRevisions>
    </reviewItem>
    <reviewItem>
      <errorID>015fb611-1166-4807-ba29-881621fbdbfc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4FB3A561</paraID>
      <start>15</start>
      <end>18</end>
      <status>unmodified</status>
      <modifiedWord/>
      <trackRevisions>false</trackRevisions>
    </reviewItem>
    <reviewItem>
      <errorID>be69be6d-67a3-462a-b200-cfc7131a0c13</errorID>
      <errorWord>测</errorWord>
      <group>L1_Word</group>
      <groupName>字词问题</groupName>
      <ability>L2_Typo</ability>
      <abilityName>字词错误</abilityName>
      <candidateList>
        <item>的</item>
      </candidateList>
      <explain/>
      <paraID>504A2447</paraID>
      <start>0</start>
      <end>1</end>
      <status>unmodified</status>
      <modifiedWord/>
      <trackRevisions>false</trackRevisions>
    </reviewItem>
    <reviewItem>
      <errorID>7940390b-cac1-4edb-b8fa-100130813e5d</errorID>
      <errorWord>从而将</errorWord>
      <group>L1_Word</group>
      <groupName>字词问题</groupName>
      <ability>L2_Typo</ability>
      <abilityName>字词错误</abilityName>
      <candidateList>
        <item>从而</item>
      </candidateList>
      <explain/>
      <paraID>3339CA6F</paraID>
      <start>137</start>
      <end>139</end>
      <status>modified</status>
      <modifiedWord>从而</modifiedWord>
      <trackRevisions>false</trackRevisions>
    </reviewItem>
    <reviewItem>
      <errorID>80f51bc8-bf98-496e-9e60-86408429acd1</errorID>
      <errorWord>变为了</errorWord>
      <group>L1_Word</group>
      <groupName>字词问题</groupName>
      <ability>L2_Typo</ability>
      <abilityName>字词错误</abilityName>
      <candidateList>
        <item>变为</item>
      </candidateList>
      <explain/>
      <paraID>66FF2888</paraID>
      <start>30</start>
      <end>32</end>
      <status>modified</status>
      <modifiedWord>变为</modifiedWord>
      <trackRevisions>false</trackRevisions>
    </reviewItem>
    <reviewItem>
      <errorID>000d9df7-d3dd-4eea-b156-0467e49eb766</errorID>
      <errorWord>kpa</errorWord>
      <group>L1_English</group>
      <groupName>英文问题</groupName>
      <ability>L2_Case</ability>
      <abilityName>大小写问题</abilityName>
      <candidateList>
        <item>kPa</item>
      </candidateList>
      <explain>疑似单词大小写错误，建议将kpa修改为kPa</explain>
      <paraID>4FD1A6B9</paraID>
      <start>6</start>
      <end>9</end>
      <status>modified</status>
      <modifiedWord>kPa</modifiedWord>
      <trackRevisions>false</trackRevisions>
    </reviewItem>
    <reviewItem>
      <errorID>ed3c7e97-049f-484d-b70b-5a597627d94f</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48DA9DE0</paraID>
      <start>71</start>
      <end>74</end>
      <status>modified</status>
      <modifiedWord>刺激征</modifiedWord>
      <trackRevisions>false</trackRevisions>
    </reviewItem>
    <reviewItem>
      <errorID>69c68c52-f9e0-4a23-bff6-c58c25bb90fc</errorID>
      <errorWord>波及到</errorWord>
      <group>L1_Grammar</group>
      <groupName>语法问题</groupName>
      <ability>L2_Grammar</ability>
      <abilityName>语法错误</abilityName>
      <candidateList>
        <item>波及</item>
      </candidateList>
      <explain>该表达中的“波及到”存在语义重复。【词汇解析】波及：指牵连、影响或扩散到。包含了“到”的意思。</explain>
      <paraID>76A51E8E</paraID>
      <start>43</start>
      <end>45</end>
      <status>modified</status>
      <modifiedWord>波及</modifiedWord>
      <trackRevisions>false</trackRevisions>
    </reviewItem>
    <reviewItem>
      <errorID>3b1a1c23-eb54-4f31-8a07-dab6e5bbbb1a</errorID>
      <errorWord>环境影线</errorWord>
      <group>L1_Word</group>
      <groupName>字词问题</groupName>
      <ability>L2_Typo</ability>
      <abilityName>字词错误</abilityName>
      <candidateList>
        <item>环境影响</item>
      </candidateList>
      <explain/>
      <paraID>3A10B1F7</paraID>
      <start>24</start>
      <end>28</end>
      <status>modified</status>
      <modifiedWord>环境影响</modifiedWord>
      <trackRevisions>false</trackRevisions>
    </reviewItem>
    <reviewItem>
      <errorID>62034889-2ca7-4840-9ff4-b0e873897483</errorID>
      <errorWord>~</errorWord>
      <group>L1_Format</group>
      <groupName>格式问题</groupName>
      <ability>L2_HalfPunc_CN</ability>
      <abilityName>全半角问题</abilityName>
      <candidateList>
        <item>～</item>
      </candidateList>
      <explain>文本全半角错误。</explain>
      <paraID>77255561</paraID>
      <start>14</start>
      <end>15</end>
      <status>ignored</status>
      <modifiedWord/>
      <trackRevisions>false</trackRevisions>
    </reviewItem>
    <reviewItem>
      <errorID>caad5cf4-15b5-412b-a5fd-a17f3312a6cb</errorID>
      <errorWord>骨</errorWord>
      <group>L1_Word</group>
      <groupName>字词问题</groupName>
      <ability>L2_Typo</ability>
      <abilityName>字词错误</abilityName>
      <candidateList>
        <item>不</item>
      </candidateList>
      <explain>存在发音相近字词的误用。</explain>
      <paraID>113E6192</paraID>
      <start>86</start>
      <end>87</end>
      <status>unmodified</status>
      <modifiedWord/>
      <trackRevisions>false</trackRevisions>
    </reviewItem>
    <reviewItem>
      <errorID>1189db77-a9f0-48e0-a27f-9ec7c1556042</errorID>
      <errorWord>须</errorWord>
      <group>L1_Word</group>
      <groupName>字词问题</groupName>
      <ability>L2_Typo</ability>
      <abilityName>字词错误</abilityName>
      <candidateList>
        <item>需</item>
      </candidateList>
      <explain>存在发音相同字词的误用。</explain>
      <paraID> 784EE07</paraID>
      <start>17</start>
      <end>18</end>
      <status>unmodified</status>
      <modifiedWord/>
      <trackRevisions>false</trackRevisions>
    </reviewItem>
    <reviewItem>
      <errorID>fbcceb45-72aa-4532-a5ed-40dbbec6eaa9</errorID>
      <errorWord>陷阱</errorWord>
      <group>L1_Word</group>
      <groupName>字词问题</groupName>
      <ability>L2_Typo</ability>
      <abilityName>字词错误</abilityName>
      <candidateList>
        <item>陷</item>
      </candidateList>
      <explain/>
      <paraID>700BD6AE</paraID>
      <start>14</start>
      <end>16</end>
      <status>unmodified</status>
      <modifiedWord/>
      <trackRevisions>false</trackRevisions>
    </reviewItem>
    <reviewItem>
      <errorID>7e7bd5c9-da7d-4178-862b-046a320ac98f</errorID>
      <errorWord>须</errorWord>
      <group>L1_Word</group>
      <groupName>字词问题</groupName>
      <ability>L2_Typo</ability>
      <abilityName>字词错误</abilityName>
      <candidateList>
        <item>需</item>
      </candidateList>
      <explain>存在发音相同字词的误用。</explain>
      <paraID>15B0DCD1</paraID>
      <start>17</start>
      <end>18</end>
      <status>modified</status>
      <modifiedWord>需</modifiedWord>
      <trackRevisions>false</trackRevisions>
    </reviewItem>
    <reviewItem>
      <errorID>ca6a7137-d9bb-4b60-be02-cde47912b072</errorID>
      <errorWord>等的</errorWord>
      <group>L1_Word</group>
      <groupName>字词问题</groupName>
      <ability>L2_Typo</ability>
      <abilityName>字词错误</abilityName>
      <candidateList>
        <item>等</item>
      </candidateList>
      <explain/>
      <paraID>4CCBD970</paraID>
      <start>18</start>
      <end>19</end>
      <status>modified</status>
      <modifiedWord>等</modifiedWord>
      <trackRevisions>false</trackRevisions>
    </reviewItem>
    <reviewItem>
      <errorID>1df0b2cc-ed48-4888-a06f-3e4167767d8b</errorID>
      <errorWord>车</errorWord>
      <group>L1_Word</group>
      <groupName>字词问题</groupName>
      <ability>L2_Typo</ability>
      <abilityName>字词错误</abilityName>
      <candidateList>
        <item>车辆</item>
      </candidateList>
      <explain/>
      <paraID>1C37580C</paraID>
      <start>33</start>
      <end>35</end>
      <status>modified</status>
      <modifiedWord>车辆</modifiedWord>
      <trackRevisions>false</trackRevisions>
    </reviewItem>
    <reviewItem>
      <errorID>452240a2-3c01-4aef-9416-cee707399b73</errorID>
      <errorWord>联接</errorWord>
      <group>L1_Word</group>
      <groupName>字词问题</groupName>
      <ability>L2_Typo</ability>
      <abilityName>字词错误</abilityName>
      <candidateList>
        <item>连接</item>
      </candidateList>
      <explain>存在发音相同字词的误用。</explain>
      <paraID>60AF97D0</paraID>
      <start>19</start>
      <end>21</end>
      <status>modified</status>
      <modifiedWord>连接</modifiedWord>
      <trackRevisions>false</trackRevisions>
    </reviewItem>
    <reviewItem>
      <errorID>318f39e6-1fbc-4ac9-87e8-3adad423a624</errorID>
      <errorWord>设</errorWord>
      <group>L1_Word</group>
      <groupName>字词问题</groupName>
      <ability>L2_Typo</ability>
      <abilityName>字词错误</abilityName>
      <candidateList>
        <item>设置</item>
      </candidateList>
      <explain/>
      <paraID> D515AA4</paraID>
      <start>7</start>
      <end>9</end>
      <status>modified</status>
      <modifiedWord>设置</modifiedWord>
      <trackRevisions>false</trackRevisions>
    </reviewItem>
    <reviewItem>
      <errorID>3fc8a13c-6d78-445b-ba33-27ece28d5096</errorID>
      <errorWord>防洪水</errorWord>
      <group>L1_Word</group>
      <groupName>字词问题</groupName>
      <ability>L2_Typo</ability>
      <abilityName>字词错误</abilityName>
      <candidateList>
        <item>防洪</item>
      </candidateList>
      <explain/>
      <paraID>5D387E7E</paraID>
      <start>5</start>
      <end>7</end>
      <status>modified</status>
      <modifiedWord>防洪</modifiedWord>
      <trackRevisions>false</trackRevisions>
    </reviewItem>
    <reviewItem>
      <errorID>6b130d22-0da9-44ef-8f75-5edb12a13caa</errorID>
      <errorWord>勘查</errorWord>
      <group>L1_Word</group>
      <groupName>字词问题</groupName>
      <ability>L2_Typo</ability>
      <abilityName>字词错误</abilityName>
      <candidateList>
        <item>勘察</item>
      </candidateList>
      <explain>存在发音相同字词的误用。</explain>
      <paraID>6887761B</paraID>
      <start>69</start>
      <end>71</end>
      <status>modified</status>
      <modifiedWord>勘察</modifiedWord>
      <trackRevisions>false</trackRevisions>
    </reviewItem>
    <reviewItem>
      <errorID>395af86a-549a-45a1-b1fe-064a6da72016</errorID>
      <errorWord>完成对</errorWord>
      <group>L1_Word</group>
      <groupName>字词问题</groupName>
      <ability>L2_Typo</ability>
      <abilityName>字词错误</abilityName>
      <candidateList>
        <item>完成</item>
      </candidateList>
      <explain/>
      <paraID>3ABDCA33</paraID>
      <start>102</start>
      <end>104</end>
      <status>modified</status>
      <modifiedWord>完成</modifiedWord>
      <trackRevisions>false</trackRevisions>
    </reviewItem>
    <reviewItem>
      <errorID>f77324e9-53b0-4d31-ba55-be8281b21486</errorID>
      <errorWord>存在着</errorWord>
      <group>L1_Word</group>
      <groupName>字词问题</groupName>
      <ability>L2_Typo</ability>
      <abilityName>字词错误</abilityName>
      <candidateList>
        <item>存在</item>
      </candidateList>
      <explain/>
      <paraID>42B7461B</paraID>
      <start>37</start>
      <end>39</end>
      <status>modified</status>
      <modifiedWord>存在</modifiedWord>
      <trackRevisions>false</trackRevisions>
    </reviewItem>
    <reviewItem>
      <errorID>f63c99e1-2c02-47b3-b786-eb44df6e60aa</errorID>
      <errorWord>作好</errorWord>
      <group>L1_Grammar</group>
      <groupName>语法问题</groupName>
      <ability>L2_Grammar</ability>
      <abilityName>语法错误</abilityName>
      <candidateList>
        <item>做好</item>
      </candidateList>
      <explain>“作好～工作”搭配不当，建议修改为“做好～工作”。</explain>
      <paraID>539AB8CC</paraID>
      <start>3</start>
      <end>5</end>
      <status>modified</status>
      <modifiedWord>做好</modifiedWord>
      <trackRevisions>false</trackRevisions>
    </reviewItem>
    <reviewItem>
      <errorID>e328ff41-f4b4-40c4-b1e5-e2911a382b50</errorID>
      <errorWord>堆放地</errorWord>
      <group>L1_Word</group>
      <groupName>字词问题</groupName>
      <ability>L2_Typo</ability>
      <abilityName>字词错误</abilityName>
      <candidateList>
        <item>堆放</item>
      </candidateList>
      <explain/>
      <paraID>539AB8CC</paraID>
      <start>46</start>
      <end>48</end>
      <status>modified</status>
      <modifiedWord>堆放</modifiedWord>
      <trackRevisions>false</trackRevisions>
    </reviewItem>
    <reviewItem>
      <errorID>c023086f-9476-4f4b-97d7-259ead4c2201</errorID>
      <errorWord>上到</errorWord>
      <group>L1_Word</group>
      <groupName>字词问题</groupName>
      <ability>L2_Typo</ability>
      <abilityName>字词错误</abilityName>
      <candidateList>
        <item>上</item>
      </candidateList>
      <explain/>
      <paraID>65EC2200</paraID>
      <start>22</start>
      <end>23</end>
      <status>modified</status>
      <modifiedWord>上</modifiedWord>
      <trackRevisions>false</trackRevisions>
    </reviewItem>
    <reviewItem>
      <errorID>55ba5a02-c61f-45d8-8aea-288fe0f5d6ff</errorID>
      <errorWord>减小</errorWord>
      <group>L1_Word</group>
      <groupName>字词问题</groupName>
      <ability>L2_Typo</ability>
      <abilityName>字词错误</abilityName>
      <candidateList>
        <item>减少</item>
      </candidateList>
      <explain/>
      <paraID>65EC2200</paraID>
      <start>73</start>
      <end>75</end>
      <status>modified</status>
      <modifiedWord>减少</modifiedWord>
      <trackRevisions>false</trackRevisions>
    </reviewItem>
    <reviewItem>
      <errorID>5619c419-9755-4b4e-b228-bd945c78e444</errorID>
      <errorWord>浄化器</errorWord>
      <group>L1_Word</group>
      <groupName>字词问题</groupName>
      <ability>L2_Typo</ability>
      <abilityName>字词错误</abilityName>
      <candidateList>
        <item>净化器</item>
      </candidateList>
      <explain/>
      <paraID> 2F10CE2</paraID>
      <start>76</start>
      <end>79</end>
      <status>modified</status>
      <modifiedWord>净化器</modifiedWord>
      <trackRevisions>false</trackRevisions>
    </reviewItem>
    <reviewItem>
      <errorID>78f3acf5-2c9e-4879-bf90-bd9df1e5fde7</errorID>
      <errorWord>的</errorWord>
      <group>L1_Word</group>
      <groupName>字词问题</groupName>
      <ability>L2_DDD</ability>
      <abilityName>的地得用法</abilityName>
      <candidateList>
        <item>地</item>
      </candidateList>
      <explain/>
      <paraID>572E5ABC</paraID>
      <start>17</start>
      <end>18</end>
      <status>modified</status>
      <modifiedWord>地</modifiedWord>
      <trackRevisions>false</trackRevisions>
    </reviewItem>
    <reviewItem>
      <errorID>04960ca6-e187-4c6d-a73a-f019e8036add</errorID>
      <errorWord>程</errorWord>
      <group>L1_Word</group>
      <groupName>字词问题</groupName>
      <ability>L2_Typo</ability>
      <abilityName>字词错误</abilityName>
      <candidateList>
        <item>程中</item>
      </candidateList>
      <explain/>
      <paraID>6D5C75F8</paraID>
      <start>9</start>
      <end>11</end>
      <status>modified</status>
      <modifiedWord>程中</modifiedWord>
      <trackRevisions>false</trackRevisions>
    </reviewItem>
    <reviewItem>
      <errorID>f6cb9520-f897-4aae-b47c-d11fe3877305</errorID>
      <errorWord>针对</errorWord>
      <group>L1_Word</group>
      <groupName>字词问题</groupName>
      <ability>L2_Typo</ability>
      <abilityName>字词错误</abilityName>
      <candidateList>
        <item>对</item>
      </candidateList>
      <explain/>
      <paraID>396CAFF4</paraID>
      <start>3</start>
      <end>4</end>
      <status>modified</status>
      <modifiedWord>对</modifiedWord>
      <trackRevisions>false</trackRevisions>
    </reviewItem>
    <reviewItem>
      <errorID>fb964425-b667-407a-be33-03d2a7550dd9</errorID>
      <errorWord>增强</errorWord>
      <group>L1_Grammar</group>
      <groupName>语法问题</groupName>
      <ability>L2_Grammar</ability>
      <abilityName>语法错误</abilityName>
      <candidateList>
        <item>加深</item>
      </candidateList>
      <explain>“增强～认识”搭配不当，建议修改为“加深～认识”。</explain>
      <paraID>13E2F4A8</paraID>
      <start>47</start>
      <end>49</end>
      <status>modified</status>
      <modifiedWord>加深</modifiedWord>
      <trackRevisions>false</trackRevisions>
    </reviewItem>
    <reviewItem>
      <errorID>145a8389-e08a-412b-9cdc-1d473731488b</errorID>
      <errorWord>表面要</errorWord>
      <group>L1_Word</group>
      <groupName>字词问题</groupName>
      <ability>L2_Typo</ability>
      <abilityName>字词错误</abilityName>
      <candidateList>
        <item>表面</item>
      </candidateList>
      <explain/>
      <paraID>42139449</paraID>
      <start>26</start>
      <end>28</end>
      <status>modified</status>
      <modifiedWord>表面</modifiedWord>
      <trackRevisions>false</trackRevisions>
    </reviewItem>
    <reviewItem>
      <errorID>de40259e-3e30-4a10-906f-1f2c720e1d75</errorID>
      <errorWord>制定出</errorWord>
      <group>L1_Word</group>
      <groupName>字词问题</groupName>
      <ability>L2_Typo</ability>
      <abilityName>字词错误</abilityName>
      <candidateList>
        <item>制定</item>
      </candidateList>
      <explain/>
      <paraID>474EB6C4</paraID>
      <start>8</start>
      <end>10</end>
      <status>modified</status>
      <modifiedWord>制定</modifiedWord>
      <trackRevisions>false</trackRevisions>
    </reviewItem>
    <reviewItem>
      <errorID>214079f3-21e0-401c-b241-292b1e22577a</errorID>
      <errorWord>制定出</errorWord>
      <group>L1_Word</group>
      <groupName>字词问题</groupName>
      <ability>L2_Typo</ability>
      <abilityName>字词错误</abilityName>
      <candidateList>
        <item>制定</item>
      </candidateList>
      <explain/>
      <paraID>36215930</paraID>
      <start>45</start>
      <end>47</end>
      <status>modified</status>
      <modifiedWord>制定</modifiedWord>
      <trackRevisions>false</trackRevisions>
    </reviewItem>
    <reviewItem>
      <errorID>66ef3ed5-ec39-48d7-b1cf-85a9e731c94c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1329767A</paraID>
      <start>0</start>
      <end>2</end>
      <status>ignored</status>
      <modifiedWord/>
      <trackRevisions>false</trackRevisions>
    </reviewItem>
    <reviewItem>
      <errorID>2d414524-b540-464d-ad03-5711b481983e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3DA67F97</paraID>
      <start>0</start>
      <end>2</end>
      <status>ignored</status>
      <modifiedWord/>
      <trackRevisions>false</trackRevisions>
    </reviewItem>
    <reviewItem>
      <errorID>19c4f43d-033e-4c1e-a90e-9a3e64eba61e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57ECE6BD</paraID>
      <start>0</start>
      <end>2</end>
      <status>unmodified</status>
      <modifiedWord/>
      <trackRevisions>false</trackRevisions>
    </reviewItem>
    <reviewItem>
      <errorID>d40cf88e-e73a-4eff-9b4a-ed8adb5f0b58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7744A7A</paraID>
      <start>0</start>
      <end>2</end>
      <status>unmodified</status>
      <modifiedWord/>
      <trackRevisions>false</trackRevisions>
    </reviewItem>
    <reviewItem>
      <errorID>24c826e3-4f3a-44be-94ed-218cecd99844</errorID>
      <errorWord>道路及</errorWord>
      <group>L1_Word</group>
      <groupName>字词问题</groupName>
      <ability>L2_Typo</ability>
      <abilityName>字词错误</abilityName>
      <candidateList>
        <item>道路</item>
      </candidateList>
      <explain/>
      <paraID>5142620F</paraID>
      <start>64</start>
      <end>67</end>
      <status>unmodified</status>
      <modifiedWord/>
      <trackRevisions>false</trackRevisions>
    </reviewItem>
    <reviewItem>
      <errorID>1d7ef5ac-6457-4100-b8ed-48a4ef45b0b6</errorID>
      <errorWord>须</errorWord>
      <group>L1_Word</group>
      <groupName>字词问题</groupName>
      <ability>L2_Typo</ability>
      <abilityName>字词错误</abilityName>
      <candidateList>
        <item>需</item>
      </candidateList>
      <explain>存在发音相同字词的误用。</explain>
      <paraID>291A8018</paraID>
      <start>50</start>
      <end>51</end>
      <status>unmodified</status>
      <modifiedWord/>
      <trackRevisions>false</trackRevisions>
    </reviewItem>
    <reviewItem>
      <errorID>8cef649e-b6ff-4651-9498-95aa6e8105c0</errorID>
      <errorWord>~</errorWord>
      <group>L1_Format</group>
      <groupName>格式问题</groupName>
      <ability>L2_HalfPunc_CN</ability>
      <abilityName>全半角问题</abilityName>
      <candidateList>
        <item>～</item>
      </candidateList>
      <explain>文本全半角错误。</explain>
      <paraID>291A8018</paraID>
      <start>93</start>
      <end>94</end>
      <status>ignored</status>
      <modifiedWord/>
      <trackRevisions>false</trackRevisions>
    </reviewItem>
    <reviewItem>
      <errorID>0d8c66ed-5df3-4e5d-8d00-0082399cbd9e</errorID>
      <errorWord>气体的</errorWord>
      <group>L1_Word</group>
      <groupName>字词问题</groupName>
      <ability>L2_Typo</ability>
      <abilityName>字词错误</abilityName>
      <candidateList>
        <item>气体</item>
      </candidateList>
      <explain/>
      <paraID>60B02551</paraID>
      <start>88</start>
      <end>91</end>
      <status>unmodified</status>
      <modifiedWord/>
      <trackRevisions>false</trackRevisions>
    </reviewItem>
    <reviewItem>
      <errorID>08472e56-b27e-4b0a-885a-f36c45ebc573</errorID>
      <errorWord>效率高</errorWord>
      <group>L1_Word</group>
      <groupName>字词问题</groupName>
      <ability>L2_Typo</ability>
      <abilityName>字词错误</abilityName>
      <candidateList>
        <item>效率</item>
      </candidateList>
      <explain/>
      <paraID>60B02551</paraID>
      <start>171</start>
      <end>174</end>
      <status>unmodified</status>
      <modifiedWord/>
      <trackRevisions>false</trackRevisions>
    </reviewItem>
    <reviewItem>
      <errorID>8f924967-ae11-49ab-bd4f-5015fabfd190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392AFDE1</paraID>
      <start>17</start>
      <end>20</end>
      <status>unmodified</status>
      <modifiedWord/>
      <trackRevisions>false</trackRevisions>
    </reviewItem>
    <reviewItem>
      <errorID>e1c6ab7b-5d9f-442a-89f3-34553edb9846</errorID>
      <errorWord>轻扫</errorWord>
      <group>L1_Word</group>
      <groupName>字词问题</groupName>
      <ability>L2_Typo</ability>
      <abilityName>字词错误</abilityName>
      <candidateList>
        <item>清扫</item>
      </candidateList>
      <explain/>
      <paraID>7767AEAA</paraID>
      <start>59</start>
      <end>61</end>
      <status>unmodified</status>
      <modifiedWord/>
      <trackRevisions>false</trackRevisions>
    </reviewItem>
    <reviewItem>
      <errorID>f29e342c-ee31-4ff5-b465-668c503aed41</errorID>
      <errorWord>尽量要</errorWord>
      <group>L1_Word</group>
      <groupName>字词问题</groupName>
      <ability>L2_Typo</ability>
      <abilityName>字词错误</abilityName>
      <candidateList>
        <item>尽量</item>
      </candidateList>
      <explain/>
      <paraID>41BB4E50</paraID>
      <start>35</start>
      <end>38</end>
      <status>unmodified</status>
      <modifiedWord/>
      <trackRevisions>false</trackRevisions>
    </reviewItem>
    <reviewItem>
      <errorID>48a3503b-ae1d-4855-9b1f-ce21e77560af</errorID>
      <errorWord>浄</errorWord>
      <group>L1_Word</group>
      <groupName>字词问题</groupName>
      <ability>L2_Typo</ability>
      <abilityName>字词错误</abilityName>
      <candidateList>
        <item>净</item>
      </candidateList>
      <explain/>
      <paraID> A9FD0C8</paraID>
      <start>93</start>
      <end>94</end>
      <status>unmodified</status>
      <modifiedWord/>
      <trackRevisions>false</trackRevisions>
    </reviewItem>
    <reviewItem>
      <errorID>14c5ae92-dc6e-4376-9ee8-5bd75c5be005</errorID>
      <errorWord>保持着</errorWord>
      <group>L1_Word</group>
      <groupName>字词问题</groupName>
      <ability>L2_Typo</ability>
      <abilityName>字词错误</abilityName>
      <candidateList>
        <item>保持</item>
      </candidateList>
      <explain/>
      <paraID> A9FD0C8</paraID>
      <start>352</start>
      <end>355</end>
      <status>unmodified</status>
      <modifiedWord/>
      <trackRevisions>false</trackRevisions>
    </reviewItem>
    <reviewItem>
      <errorID>560a56a7-0ff4-49c9-a450-8f80284ddb28</errorID>
      <errorWord>程</errorWord>
      <group>L1_Word</group>
      <groupName>字词问题</groupName>
      <ability>L2_Typo</ability>
      <abilityName>字词错误</abilityName>
      <candidateList>
        <item>程中</item>
      </candidateList>
      <explain/>
      <paraID>6081A61B</paraID>
      <start>43</start>
      <end>44</end>
      <status>unmodified</status>
      <modifiedWord/>
      <trackRevisions>false</trackRevisions>
    </reviewItem>
    <reviewItem>
      <errorID>4c8c66b3-e60b-4fa6-acfd-aa7be585e46a</errorID>
      <errorWord>呜笛</errorWord>
      <group>L1_Word</group>
      <groupName>字词问题</groupName>
      <ability>L2_Typo</ability>
      <abilityName>字词错误</abilityName>
      <candidateList>
        <item>鸣笛</item>
      </candidateList>
      <explain/>
      <paraID>4D79AF09</paraID>
      <start>33</start>
      <end>35</end>
      <status>unmodified</status>
      <modifiedWord/>
      <trackRevisions>false</trackRevisions>
    </reviewItem>
    <reviewItem>
      <errorID>4e71eeac-97d2-4ca8-aca6-5ee4e1ce1b44</errorID>
      <errorWord>接受</errorWord>
      <group>L1_Word</group>
      <groupName>字词问题</groupName>
      <ability>L2_Typo</ability>
      <abilityName>字词错误</abilityName>
      <candidateList>
        <item>接收</item>
      </candidateList>
      <explain>存在发音相同字词的误用。</explain>
      <paraID>1308524C</paraID>
      <start>45</start>
      <end>47</end>
      <status>unmodified</status>
      <modifiedWord/>
      <trackRevisions>false</trackRevisions>
    </reviewItem>
    <reviewItem>
      <errorID>bfee5898-5b63-433f-9512-563974c828a1</errorID>
      <errorWord>制定出</errorWord>
      <group>L1_Word</group>
      <groupName>字词问题</groupName>
      <ability>L2_Typo</ability>
      <abilityName>字词错误</abilityName>
      <candidateList>
        <item>制定</item>
      </candidateList>
      <explain/>
      <paraID>6E9DC52C</paraID>
      <start>62</start>
      <end>65</end>
      <status>unmodified</status>
      <modifiedWord/>
      <trackRevisions>false</trackRevisions>
    </reviewItem>
    <reviewItem>
      <errorID>27b7d001-81a2-4978-b7cf-df0c60bc2d3a</errorID>
      <errorWord>核审</errorWord>
      <group>L1_Word</group>
      <groupName>字词问题</groupName>
      <ability>L2_Typo</ability>
      <abilityName>字词错误</abilityName>
      <candidateList>
        <item>审核</item>
      </candidateList>
      <explain/>
      <paraID>4FA686BA</paraID>
      <start>75</start>
      <end>77</end>
      <status>modified</status>
      <modifiedWord>审核</modifiedWord>
      <trackRevisions>false</trackRevisions>
    </reviewItem>
    <reviewItem>
      <errorID>dfddb44a-c6d9-4cc7-935a-64a634cab702</errorID>
      <errorWord>管理人员能</errorWord>
      <group>L1_Word</group>
      <groupName>字词问题</groupName>
      <ability>L2_Typo</ability>
      <abilityName>字词错误</abilityName>
      <candidateList>
        <item>管理人员</item>
      </candidateList>
      <explain/>
      <paraID>26262E08</paraID>
      <start>14</start>
      <end>18</end>
      <status>modified</status>
      <modifiedWord>管理人员</modifiedWord>
      <trackRevisions>false</trackRevisions>
    </reviewItem>
    <reviewItem>
      <errorID>a0f56a22-711d-4f9d-823e-4066cd43599f</errorID>
      <errorWord>指定</errorWord>
      <group>L1_Word</group>
      <groupName>字词问题</groupName>
      <ability>L2_Typo</ability>
      <abilityName>字词错误</abilityName>
      <candidateList>
        <item>制定</item>
      </candidateList>
      <explain/>
      <paraID>6FD04507</paraID>
      <start>144</start>
      <end>146</end>
      <status>modified</status>
      <modifiedWord>制定</modifiedWord>
      <trackRevisions>false</trackRevisions>
    </reviewItem>
    <reviewItem>
      <errorID>3ef6235b-0c24-40d3-a1e4-f50b40b04122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1494D493</paraID>
      <start>0</start>
      <end>2</end>
      <status>ignored</status>
      <modifiedWord/>
      <trackRevisions>false</trackRevisions>
    </reviewItem>
    <reviewItem>
      <errorID>1e40ab3f-394a-4e40-acfe-d0d9905f55c5</errorID>
      <errorWord>要</errorWord>
      <group>L1_Word</group>
      <groupName>字词问题</groupName>
      <ability>L2_Typo</ability>
      <abilityName>字词错误</abilityName>
      <candidateList>
        <item>要求</item>
      </candidateList>
      <explain/>
      <paraID> B9BC102</paraID>
      <start>53</start>
      <end>55</end>
      <status>modified</status>
      <modifiedWord>要求</modifiedWord>
      <trackRevisions>false</trackRevisions>
    </reviewItem>
    <reviewItem>
      <errorID>d6a34c85-5bcb-44c9-8425-0826b025af08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1B88634</paraID>
      <start>0</start>
      <end>2</end>
      <status>ignored</status>
      <modifiedWord/>
      <trackRevisions>false</trackRevisions>
    </reviewItem>
    <reviewItem>
      <errorID>4e8a06d9-526b-467e-9674-b329657d374a</errorID>
      <errorWord>产</errorWord>
      <group>L1_Word</group>
      <groupName>字词问题</groupName>
      <ability>L2_Typo</ability>
      <abilityName>字词错误</abilityName>
      <candidateList>
        <item>产和</item>
      </candidateList>
      <explain/>
      <paraID>3194213A</paraID>
      <start>48</start>
      <end>50</end>
      <status>modified</status>
      <modifiedWord>产和</modifiedWord>
      <trackRevisions>false</trackRevisions>
    </reviewItem>
    <reviewItem>
      <errorID>04c398ab-e983-48db-ac9f-af7088fea90c</errorID>
      <errorWord>制</errorWord>
      <group>L1_Word</group>
      <groupName>字词问题</groupName>
      <ability>L2_Typo</ability>
      <abilityName>字词错误</abilityName>
      <candidateList>
        <item>制和</item>
      </candidateList>
      <explain/>
      <paraID>4C02D53B</paraID>
      <start>22</start>
      <end>24</end>
      <status>modified</status>
      <modifiedWord>制和</modifiedWord>
      <trackRevisions>false</trackRevisions>
    </reviewItem>
    <reviewItem>
      <errorID>069f09ad-5bf2-457e-9c44-9fdf10e68cfa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70AC914C</paraID>
      <start>0</start>
      <end>2</end>
      <status>ignored</status>
      <modifiedWord/>
      <trackRevisions>false</trackRevisions>
    </reviewItem>
    <reviewItem>
      <errorID>9d9b202a-72e2-4b3b-9e49-a4b81be093a1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49F25FE1</paraID>
      <start>0</start>
      <end>2</end>
      <status>ignored</status>
      <modifiedWord/>
      <trackRevisions>false</trackRevisions>
    </reviewItem>
    <reviewItem>
      <errorID>6220f7d6-ede0-4f2a-8f11-90e9b89a0d38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5A024133</paraID>
      <start>0</start>
      <end>2</end>
      <status>unmodified</status>
      <modifiedWord/>
      <trackRevisions>false</trackRevisions>
    </reviewItem>
    <reviewItem>
      <errorID>a0ab70f5-b6d4-4c7a-b57a-73fd65ba7a98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413AA0E5</paraID>
      <start>0</start>
      <end>2</end>
      <status>ignored</status>
      <modifiedWord/>
      <trackRevisions>false</trackRevisions>
    </reviewItem>
    <reviewItem>
      <errorID>8187a455-7ae1-4d52-88f3-c5f545287a5f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7E418B8D</paraID>
      <start>0</start>
      <end>2</end>
      <status>ignored</status>
      <modifiedWord/>
      <trackRevisions>false</trackRevisions>
    </reviewItem>
    <reviewItem>
      <errorID>94f5afed-4df4-485c-affa-3aa491df2afd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164AD928</paraID>
      <start>0</start>
      <end>2</end>
      <status>unmodified</status>
      <modifiedWord/>
      <trackRevisions>false</trackRevisions>
    </reviewItem>
    <reviewItem>
      <errorID>5e25b544-71d9-47b9-b9a9-7f974043661b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D312899</paraID>
      <start>0</start>
      <end>2</end>
      <status>unmodified</status>
      <modifiedWord/>
      <trackRevisions>false</trackRevisions>
    </reviewItem>
    <reviewItem>
      <errorID>493c7580-ab15-4d08-87af-eab0eaca14c2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73225E84</paraID>
      <start>0</start>
      <end>2</end>
      <status>unmodified</status>
      <modifiedWord/>
      <trackRevisions>false</trackRevisions>
    </reviewItem>
    <reviewItem>
      <errorID>645c2c7c-78a8-43fc-9a3d-e6ea550d941b</errorID>
      <errorWord>场</errorWord>
      <group>L1_Word</group>
      <groupName>字词问题</groupName>
      <ability>L2_Typo</ability>
      <abilityName>字词错误</abilityName>
      <candidateList>
        <item>厂</item>
      </candidateList>
      <explain>存在发音相同字词的误用。</explain>
      <paraID>12885005</paraID>
      <start>0</start>
      <end>1</end>
      <status>unmodified</status>
      <modifiedWord/>
      <trackRevisions>false</trackRevisions>
    </reviewItem>
    <reviewItem>
      <errorID>d638a8a5-dd4f-4b6a-a3e0-883ffdcd1ed2</errorID>
      <errorWord>矿山生态恢复</errorWord>
      <group>L1_Political</group>
      <groupName>政治性问题</groupName>
      <ability>L2_Keyword</ability>
      <abilityName>固定表述</abilityName>
      <candidateList>
        <item>矿山生态修复</item>
      </candidateList>
      <explain>词汇“矿山生态修复”在特定场景下为固定表述形式，请确认此处的“矿山生态恢复”是否存在不当。</explain>
      <paraID>66C918D3</paraID>
      <start>97</start>
      <end>103</end>
      <status>modified</status>
      <modifiedWord>矿山生态修复</modifiedWord>
      <trackRevisions>false</trackRevisions>
    </reviewItem>
    <reviewItem>
      <errorID>2b741775-e98c-4b66-94c3-c38d144214be</errorID>
      <errorWord>外点</errorWord>
      <group>L1_Word</group>
      <groupName>字词问题</groupName>
      <ability>L2_Typo</ability>
      <abilityName>字词错误</abilityName>
      <candidateList>
        <item>外</item>
      </candidateList>
      <explain/>
      <paraID>19A10C7F</paraID>
      <start>10</start>
      <end>11</end>
      <status>modified</status>
      <modifiedWord>外</modifiedWord>
      <trackRevisions>false</trackRevisions>
    </reviewItem>
    <reviewItem>
      <errorID>02badf00-8b3d-4019-a41d-f3a5d38dd50a</errorID>
      <errorWord>作</errorWord>
      <group>L1_Word</group>
      <groupName>字词问题</groupName>
      <ability>L2_Typo</ability>
      <abilityName>字词错误</abilityName>
      <candidateList>
        <item>做</item>
      </candidateList>
      <explain>存在发音相同字词的误用。</explain>
      <paraID> 5E60CBC</paraID>
      <start>7</start>
      <end>8</end>
      <status>modified</status>
      <modifiedWord>做</modifiedWord>
      <trackRevisions>false</trackRevisions>
    </reviewItem>
    <reviewItem>
      <errorID>ffdbe057-673a-44e3-ad89-a8c3a8234022</errorID>
      <errorWord>利利</errorWord>
      <group>L1_Word</group>
      <groupName>字词问题</groupName>
      <ability>L2_Typo</ability>
      <abilityName>字词错误</abilityName>
      <candidateList>
        <item>利</item>
      </candidateList>
      <explain/>
      <paraID>6F4100E1</paraID>
      <start>15</start>
      <end>16</end>
      <status>modified</status>
      <modifiedWord>利</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b902b-2ab6-4bb2-9cb5-e02785a1bb09}">
  <ds:schemaRefs/>
</ds:datastoreItem>
</file>

<file path=docProps/app.xml><?xml version="1.0" encoding="utf-8"?>
<Properties xmlns="http://schemas.openxmlformats.org/officeDocument/2006/extended-properties" xmlns:vt="http://schemas.openxmlformats.org/officeDocument/2006/docPropsVTypes">
  <Template>Normal.dotm</Template>
  <Pages>281</Pages>
  <Words>10281</Words>
  <Characters>12502</Characters>
  <Lines>0</Lines>
  <Paragraphs>0</Paragraphs>
  <TotalTime>108</TotalTime>
  <ScaleCrop>false</ScaleCrop>
  <LinksUpToDate>false</LinksUpToDate>
  <CharactersWithSpaces>12813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2026-06-08T05:10:00Z</dcterms:created>
  <dc:creator>WPS_1647100001</dc:creator>
  <cp:lastModifiedBy>WPS_1647100001</cp:lastModifiedBy>
  <dcterms:modified xsi:type="dcterms:W3CDTF">2026-10-12T11:34:49Z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49147AFA0C554C6B8628BC37129FBBAF_11</vt:lpwstr>
  </property>
  <property fmtid="{D5CDD505-2E9C-101B-9397-08002B2CF9AE}" pid="4" name="KSOTemplateDocerSaveRecord">
    <vt:lpwstr>eyJoZGlkIjoiNzQzMjA5MmJjOGE5NTMxNzNiM2RkOGU2ODI4M2NhYzkiLCJ1c2VySWQiOiIxMzQzNjQzNTk4In0=</vt:lpwstr>
  </property>
</Properties>
</file>