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CBA66">
      <w:pPr>
        <w:pStyle w:val="7"/>
        <w:spacing w:line="249" w:lineRule="auto"/>
        <w:rPr>
          <w:rFonts w:hint="default" w:ascii="Times New Roman" w:hAnsi="Times New Roman" w:cs="Times New Roman"/>
        </w:rPr>
      </w:pPr>
      <w:bookmarkStart w:id="0" w:name="OLE_LINK9"/>
    </w:p>
    <w:p w14:paraId="7672137A">
      <w:pPr>
        <w:pStyle w:val="7"/>
        <w:spacing w:line="249" w:lineRule="auto"/>
        <w:rPr>
          <w:rFonts w:hint="default" w:ascii="Times New Roman" w:hAnsi="Times New Roman" w:cs="Times New Roman"/>
        </w:rPr>
      </w:pPr>
    </w:p>
    <w:p w14:paraId="0731FD9B">
      <w:pPr>
        <w:pStyle w:val="7"/>
        <w:spacing w:line="249" w:lineRule="auto"/>
        <w:rPr>
          <w:rFonts w:hint="default" w:ascii="Times New Roman" w:hAnsi="Times New Roman" w:cs="Times New Roman"/>
        </w:rPr>
      </w:pPr>
    </w:p>
    <w:p w14:paraId="1375E51B">
      <w:pPr>
        <w:pStyle w:val="7"/>
        <w:spacing w:line="249" w:lineRule="auto"/>
        <w:rPr>
          <w:rFonts w:hint="default" w:ascii="Times New Roman" w:hAnsi="Times New Roman" w:cs="Times New Roman"/>
        </w:rPr>
      </w:pPr>
    </w:p>
    <w:p w14:paraId="49061E66">
      <w:pPr>
        <w:pStyle w:val="7"/>
        <w:spacing w:line="249" w:lineRule="auto"/>
        <w:rPr>
          <w:rFonts w:hint="default" w:ascii="Times New Roman" w:hAnsi="Times New Roman" w:cs="Times New Roman"/>
        </w:rPr>
      </w:pPr>
    </w:p>
    <w:p w14:paraId="282F85BC">
      <w:pPr>
        <w:pStyle w:val="7"/>
        <w:spacing w:line="249" w:lineRule="auto"/>
        <w:rPr>
          <w:rFonts w:hint="default" w:ascii="Times New Roman" w:hAnsi="Times New Roman" w:cs="Times New Roman"/>
        </w:rPr>
      </w:pPr>
    </w:p>
    <w:p w14:paraId="0A36FCA1">
      <w:pPr>
        <w:pStyle w:val="7"/>
        <w:spacing w:line="249" w:lineRule="auto"/>
        <w:rPr>
          <w:rFonts w:hint="default" w:ascii="Times New Roman" w:hAnsi="Times New Roman" w:cs="Times New Roman"/>
        </w:rPr>
      </w:pPr>
    </w:p>
    <w:p w14:paraId="7E74D64D">
      <w:pPr>
        <w:pStyle w:val="7"/>
        <w:spacing w:line="249" w:lineRule="auto"/>
        <w:rPr>
          <w:rFonts w:hint="default" w:ascii="Times New Roman" w:hAnsi="Times New Roman" w:cs="Times New Roman"/>
        </w:rPr>
      </w:pPr>
    </w:p>
    <w:p w14:paraId="45FCCEF0">
      <w:pPr>
        <w:spacing w:before="169" w:line="275" w:lineRule="auto"/>
        <w:ind w:right="719"/>
        <w:jc w:val="center"/>
        <w:outlineLvl w:val="9"/>
        <w:rPr>
          <w:rFonts w:hint="default" w:ascii="Times New Roman" w:hAnsi="Times New Roman" w:eastAsia="宋体" w:cs="Times New Roman"/>
          <w:b/>
          <w:bCs/>
          <w:color w:val="000000" w:themeColor="text1"/>
          <w:spacing w:val="-6"/>
          <w:sz w:val="44"/>
          <w:szCs w:val="44"/>
          <w14:textFill>
            <w14:solidFill>
              <w14:schemeClr w14:val="tx1"/>
            </w14:solidFill>
          </w14:textFill>
        </w:rPr>
      </w:pPr>
      <w:bookmarkStart w:id="1" w:name="_Toc6922"/>
      <w:bookmarkStart w:id="2" w:name="_Toc23054"/>
      <w:r>
        <w:rPr>
          <w:rFonts w:hint="default" w:ascii="Times New Roman" w:hAnsi="Times New Roman" w:eastAsia="宋体" w:cs="Times New Roman"/>
          <w:b/>
          <w:bCs/>
          <w:spacing w:val="-16"/>
          <w:sz w:val="44"/>
          <w:szCs w:val="44"/>
        </w:rPr>
        <w:t>G315线喀什至托帕</w:t>
      </w:r>
      <w:r>
        <w:rPr>
          <w:rFonts w:hint="eastAsia" w:ascii="Times New Roman" w:hAnsi="Times New Roman" w:cs="Times New Roman"/>
          <w:b/>
          <w:bCs/>
          <w:spacing w:val="-16"/>
          <w:sz w:val="44"/>
          <w:szCs w:val="44"/>
          <w:lang w:val="en-US" w:eastAsia="zh-CN"/>
        </w:rPr>
        <w:t>生态</w:t>
      </w:r>
      <w:r>
        <w:rPr>
          <w:rFonts w:hint="default" w:ascii="Times New Roman" w:hAnsi="Times New Roman" w:eastAsia="宋体" w:cs="Times New Roman"/>
          <w:b/>
          <w:bCs/>
          <w:color w:val="000000" w:themeColor="text1"/>
          <w:spacing w:val="-6"/>
          <w:sz w:val="44"/>
          <w:szCs w:val="44"/>
          <w14:textFill>
            <w14:solidFill>
              <w14:schemeClr w14:val="tx1"/>
            </w14:solidFill>
          </w14:textFill>
        </w:rPr>
        <w:t>环境影响评价</w:t>
      </w:r>
    </w:p>
    <w:p w14:paraId="35DCD26D">
      <w:pPr>
        <w:spacing w:before="169" w:line="275" w:lineRule="auto"/>
        <w:ind w:right="719"/>
        <w:jc w:val="center"/>
        <w:outlineLvl w:val="9"/>
        <w:rPr>
          <w:rFonts w:hint="default" w:ascii="Times New Roman" w:hAnsi="Times New Roman" w:eastAsia="宋体" w:cs="Times New Roman"/>
          <w:color w:val="000000" w:themeColor="text1"/>
          <w:sz w:val="44"/>
          <w:szCs w:val="44"/>
          <w14:textFill>
            <w14:solidFill>
              <w14:schemeClr w14:val="tx1"/>
            </w14:solidFill>
          </w14:textFill>
        </w:rPr>
      </w:pPr>
      <w:r>
        <w:rPr>
          <w:rFonts w:hint="default" w:ascii="Times New Roman" w:hAnsi="Times New Roman" w:eastAsia="宋体" w:cs="Times New Roman"/>
          <w:b/>
          <w:bCs/>
          <w:color w:val="000000" w:themeColor="text1"/>
          <w:spacing w:val="-6"/>
          <w:sz w:val="44"/>
          <w:szCs w:val="44"/>
          <w14:textFill>
            <w14:solidFill>
              <w14:schemeClr w14:val="tx1"/>
            </w14:solidFill>
          </w14:textFill>
        </w:rPr>
        <w:t>公众参与说明</w:t>
      </w:r>
      <w:bookmarkEnd w:id="1"/>
      <w:bookmarkEnd w:id="2"/>
    </w:p>
    <w:p w14:paraId="3BDD44C0">
      <w:pPr>
        <w:pStyle w:val="7"/>
        <w:spacing w:line="247" w:lineRule="auto"/>
        <w:rPr>
          <w:rFonts w:hint="default" w:ascii="Times New Roman" w:hAnsi="Times New Roman" w:cs="Times New Roman"/>
          <w:color w:val="000000" w:themeColor="text1"/>
          <w14:textFill>
            <w14:solidFill>
              <w14:schemeClr w14:val="tx1"/>
            </w14:solidFill>
          </w14:textFill>
        </w:rPr>
      </w:pPr>
    </w:p>
    <w:p w14:paraId="04687111">
      <w:pPr>
        <w:pStyle w:val="7"/>
        <w:spacing w:line="247" w:lineRule="auto"/>
        <w:rPr>
          <w:rFonts w:hint="default" w:ascii="Times New Roman" w:hAnsi="Times New Roman" w:cs="Times New Roman"/>
          <w:color w:val="000000" w:themeColor="text1"/>
          <w14:textFill>
            <w14:solidFill>
              <w14:schemeClr w14:val="tx1"/>
            </w14:solidFill>
          </w14:textFill>
        </w:rPr>
      </w:pPr>
    </w:p>
    <w:p w14:paraId="05343491">
      <w:pPr>
        <w:pStyle w:val="7"/>
        <w:spacing w:line="247" w:lineRule="auto"/>
        <w:rPr>
          <w:rFonts w:hint="default" w:ascii="Times New Roman" w:hAnsi="Times New Roman" w:cs="Times New Roman"/>
          <w:color w:val="000000" w:themeColor="text1"/>
          <w14:textFill>
            <w14:solidFill>
              <w14:schemeClr w14:val="tx1"/>
            </w14:solidFill>
          </w14:textFill>
        </w:rPr>
      </w:pPr>
    </w:p>
    <w:p w14:paraId="26B0745B">
      <w:pPr>
        <w:pStyle w:val="7"/>
        <w:spacing w:line="247" w:lineRule="auto"/>
        <w:rPr>
          <w:rFonts w:hint="default" w:ascii="Times New Roman" w:hAnsi="Times New Roman" w:cs="Times New Roman"/>
          <w:color w:val="000000" w:themeColor="text1"/>
          <w14:textFill>
            <w14:solidFill>
              <w14:schemeClr w14:val="tx1"/>
            </w14:solidFill>
          </w14:textFill>
        </w:rPr>
      </w:pPr>
    </w:p>
    <w:p w14:paraId="0C8CE19E">
      <w:pPr>
        <w:pStyle w:val="7"/>
        <w:spacing w:line="247" w:lineRule="auto"/>
        <w:rPr>
          <w:rFonts w:hint="default" w:ascii="Times New Roman" w:hAnsi="Times New Roman" w:cs="Times New Roman"/>
          <w:color w:val="000000" w:themeColor="text1"/>
          <w14:textFill>
            <w14:solidFill>
              <w14:schemeClr w14:val="tx1"/>
            </w14:solidFill>
          </w14:textFill>
        </w:rPr>
      </w:pPr>
    </w:p>
    <w:p w14:paraId="202E2A9A">
      <w:pPr>
        <w:pStyle w:val="7"/>
        <w:spacing w:line="247" w:lineRule="auto"/>
        <w:rPr>
          <w:rFonts w:hint="default" w:ascii="Times New Roman" w:hAnsi="Times New Roman" w:cs="Times New Roman"/>
          <w:color w:val="000000" w:themeColor="text1"/>
          <w14:textFill>
            <w14:solidFill>
              <w14:schemeClr w14:val="tx1"/>
            </w14:solidFill>
          </w14:textFill>
        </w:rPr>
      </w:pPr>
    </w:p>
    <w:p w14:paraId="73C60B88">
      <w:pPr>
        <w:pStyle w:val="7"/>
        <w:spacing w:line="247" w:lineRule="auto"/>
        <w:rPr>
          <w:rFonts w:hint="default" w:ascii="Times New Roman" w:hAnsi="Times New Roman" w:cs="Times New Roman"/>
          <w:color w:val="000000" w:themeColor="text1"/>
          <w14:textFill>
            <w14:solidFill>
              <w14:schemeClr w14:val="tx1"/>
            </w14:solidFill>
          </w14:textFill>
        </w:rPr>
      </w:pPr>
    </w:p>
    <w:p w14:paraId="20A7DF98">
      <w:pPr>
        <w:pStyle w:val="7"/>
        <w:spacing w:line="247" w:lineRule="auto"/>
        <w:rPr>
          <w:rFonts w:hint="default" w:ascii="Times New Roman" w:hAnsi="Times New Roman" w:cs="Times New Roman"/>
          <w:color w:val="000000" w:themeColor="text1"/>
          <w14:textFill>
            <w14:solidFill>
              <w14:schemeClr w14:val="tx1"/>
            </w14:solidFill>
          </w14:textFill>
        </w:rPr>
      </w:pPr>
    </w:p>
    <w:p w14:paraId="0D52C1DC">
      <w:pPr>
        <w:pStyle w:val="7"/>
        <w:spacing w:line="247" w:lineRule="auto"/>
        <w:rPr>
          <w:rFonts w:hint="default" w:ascii="Times New Roman" w:hAnsi="Times New Roman" w:cs="Times New Roman"/>
          <w:color w:val="000000" w:themeColor="text1"/>
          <w14:textFill>
            <w14:solidFill>
              <w14:schemeClr w14:val="tx1"/>
            </w14:solidFill>
          </w14:textFill>
        </w:rPr>
      </w:pPr>
    </w:p>
    <w:p w14:paraId="6C12E96C">
      <w:pPr>
        <w:pStyle w:val="7"/>
        <w:spacing w:line="247" w:lineRule="auto"/>
        <w:rPr>
          <w:rFonts w:hint="default" w:ascii="Times New Roman" w:hAnsi="Times New Roman" w:cs="Times New Roman"/>
          <w:color w:val="000000" w:themeColor="text1"/>
          <w14:textFill>
            <w14:solidFill>
              <w14:schemeClr w14:val="tx1"/>
            </w14:solidFill>
          </w14:textFill>
        </w:rPr>
      </w:pPr>
    </w:p>
    <w:p w14:paraId="704DC196">
      <w:pPr>
        <w:pStyle w:val="7"/>
        <w:spacing w:line="247" w:lineRule="auto"/>
        <w:rPr>
          <w:rFonts w:hint="default" w:ascii="Times New Roman" w:hAnsi="Times New Roman" w:cs="Times New Roman"/>
          <w:color w:val="000000" w:themeColor="text1"/>
          <w14:textFill>
            <w14:solidFill>
              <w14:schemeClr w14:val="tx1"/>
            </w14:solidFill>
          </w14:textFill>
        </w:rPr>
      </w:pPr>
    </w:p>
    <w:p w14:paraId="5B02A986">
      <w:pPr>
        <w:pStyle w:val="7"/>
        <w:spacing w:line="247" w:lineRule="auto"/>
        <w:rPr>
          <w:rFonts w:hint="default" w:ascii="Times New Roman" w:hAnsi="Times New Roman" w:cs="Times New Roman"/>
          <w:color w:val="000000" w:themeColor="text1"/>
          <w14:textFill>
            <w14:solidFill>
              <w14:schemeClr w14:val="tx1"/>
            </w14:solidFill>
          </w14:textFill>
        </w:rPr>
      </w:pPr>
    </w:p>
    <w:p w14:paraId="4AA50BC9">
      <w:pPr>
        <w:pStyle w:val="7"/>
        <w:spacing w:line="247" w:lineRule="auto"/>
        <w:rPr>
          <w:rFonts w:hint="default" w:ascii="Times New Roman" w:hAnsi="Times New Roman" w:cs="Times New Roman"/>
          <w:color w:val="000000" w:themeColor="text1"/>
          <w14:textFill>
            <w14:solidFill>
              <w14:schemeClr w14:val="tx1"/>
            </w14:solidFill>
          </w14:textFill>
        </w:rPr>
      </w:pPr>
    </w:p>
    <w:p w14:paraId="19F12FDF">
      <w:pPr>
        <w:pStyle w:val="7"/>
        <w:spacing w:line="247" w:lineRule="auto"/>
        <w:rPr>
          <w:rFonts w:hint="default" w:ascii="Times New Roman" w:hAnsi="Times New Roman" w:cs="Times New Roman"/>
          <w:color w:val="000000" w:themeColor="text1"/>
          <w14:textFill>
            <w14:solidFill>
              <w14:schemeClr w14:val="tx1"/>
            </w14:solidFill>
          </w14:textFill>
        </w:rPr>
      </w:pPr>
    </w:p>
    <w:p w14:paraId="14D56E65">
      <w:pPr>
        <w:pStyle w:val="7"/>
        <w:spacing w:line="247" w:lineRule="auto"/>
        <w:rPr>
          <w:rFonts w:hint="default" w:ascii="Times New Roman" w:hAnsi="Times New Roman" w:cs="Times New Roman"/>
          <w:color w:val="000000" w:themeColor="text1"/>
          <w14:textFill>
            <w14:solidFill>
              <w14:schemeClr w14:val="tx1"/>
            </w14:solidFill>
          </w14:textFill>
        </w:rPr>
      </w:pPr>
    </w:p>
    <w:p w14:paraId="7B57C479">
      <w:pPr>
        <w:pStyle w:val="7"/>
        <w:spacing w:line="247" w:lineRule="auto"/>
        <w:rPr>
          <w:rFonts w:hint="default" w:ascii="Times New Roman" w:hAnsi="Times New Roman" w:cs="Times New Roman"/>
          <w:color w:val="000000" w:themeColor="text1"/>
          <w14:textFill>
            <w14:solidFill>
              <w14:schemeClr w14:val="tx1"/>
            </w14:solidFill>
          </w14:textFill>
        </w:rPr>
      </w:pPr>
    </w:p>
    <w:p w14:paraId="10A80D79">
      <w:pPr>
        <w:pStyle w:val="7"/>
        <w:spacing w:line="247" w:lineRule="auto"/>
        <w:rPr>
          <w:rFonts w:hint="default" w:ascii="Times New Roman" w:hAnsi="Times New Roman" w:cs="Times New Roman"/>
          <w:color w:val="000000" w:themeColor="text1"/>
          <w14:textFill>
            <w14:solidFill>
              <w14:schemeClr w14:val="tx1"/>
            </w14:solidFill>
          </w14:textFill>
        </w:rPr>
      </w:pPr>
    </w:p>
    <w:p w14:paraId="6F395546">
      <w:pPr>
        <w:pStyle w:val="7"/>
        <w:spacing w:line="247" w:lineRule="auto"/>
        <w:rPr>
          <w:rFonts w:hint="default" w:ascii="Times New Roman" w:hAnsi="Times New Roman" w:cs="Times New Roman"/>
          <w:color w:val="000000" w:themeColor="text1"/>
          <w14:textFill>
            <w14:solidFill>
              <w14:schemeClr w14:val="tx1"/>
            </w14:solidFill>
          </w14:textFill>
        </w:rPr>
      </w:pPr>
    </w:p>
    <w:p w14:paraId="56E90742">
      <w:pPr>
        <w:pStyle w:val="7"/>
        <w:spacing w:line="247" w:lineRule="auto"/>
        <w:rPr>
          <w:rFonts w:hint="default" w:ascii="Times New Roman" w:hAnsi="Times New Roman" w:cs="Times New Roman"/>
          <w:color w:val="000000" w:themeColor="text1"/>
          <w14:textFill>
            <w14:solidFill>
              <w14:schemeClr w14:val="tx1"/>
            </w14:solidFill>
          </w14:textFill>
        </w:rPr>
      </w:pPr>
    </w:p>
    <w:p w14:paraId="7011BA8C">
      <w:pPr>
        <w:pStyle w:val="7"/>
        <w:spacing w:line="247" w:lineRule="auto"/>
        <w:rPr>
          <w:rFonts w:hint="default" w:ascii="Times New Roman" w:hAnsi="Times New Roman" w:cs="Times New Roman"/>
          <w:color w:val="000000" w:themeColor="text1"/>
          <w14:textFill>
            <w14:solidFill>
              <w14:schemeClr w14:val="tx1"/>
            </w14:solidFill>
          </w14:textFill>
        </w:rPr>
      </w:pPr>
    </w:p>
    <w:p w14:paraId="7DFB3924">
      <w:pPr>
        <w:pStyle w:val="7"/>
        <w:spacing w:line="247" w:lineRule="auto"/>
        <w:rPr>
          <w:rFonts w:hint="default" w:ascii="Times New Roman" w:hAnsi="Times New Roman" w:cs="Times New Roman"/>
          <w:color w:val="000000" w:themeColor="text1"/>
          <w14:textFill>
            <w14:solidFill>
              <w14:schemeClr w14:val="tx1"/>
            </w14:solidFill>
          </w14:textFill>
        </w:rPr>
      </w:pPr>
    </w:p>
    <w:p w14:paraId="0221D4E9">
      <w:pPr>
        <w:pStyle w:val="7"/>
        <w:spacing w:line="247" w:lineRule="auto"/>
        <w:rPr>
          <w:rFonts w:hint="default" w:ascii="Times New Roman" w:hAnsi="Times New Roman" w:eastAsia="宋体" w:cs="Times New Roman"/>
          <w:color w:val="000000" w:themeColor="text1"/>
          <w:lang w:eastAsia="zh-CN"/>
          <w14:textFill>
            <w14:solidFill>
              <w14:schemeClr w14:val="tx1"/>
            </w14:solidFill>
          </w14:textFill>
        </w:rPr>
      </w:pPr>
    </w:p>
    <w:p w14:paraId="35B285AC">
      <w:pPr>
        <w:pStyle w:val="7"/>
        <w:spacing w:line="247" w:lineRule="auto"/>
        <w:rPr>
          <w:rFonts w:hint="default" w:ascii="Times New Roman" w:hAnsi="Times New Roman" w:cs="Times New Roman"/>
          <w:color w:val="000000" w:themeColor="text1"/>
          <w14:textFill>
            <w14:solidFill>
              <w14:schemeClr w14:val="tx1"/>
            </w14:solidFill>
          </w14:textFill>
        </w:rPr>
      </w:pPr>
    </w:p>
    <w:p w14:paraId="52CAC47E">
      <w:pPr>
        <w:pStyle w:val="7"/>
        <w:spacing w:line="247" w:lineRule="auto"/>
        <w:rPr>
          <w:rFonts w:hint="default" w:ascii="Times New Roman" w:hAnsi="Times New Roman" w:cs="Times New Roman"/>
          <w:color w:val="000000" w:themeColor="text1"/>
          <w14:textFill>
            <w14:solidFill>
              <w14:schemeClr w14:val="tx1"/>
            </w14:solidFill>
          </w14:textFill>
        </w:rPr>
      </w:pPr>
    </w:p>
    <w:p w14:paraId="65DA6B5E">
      <w:pPr>
        <w:pStyle w:val="7"/>
        <w:spacing w:line="247" w:lineRule="auto"/>
        <w:rPr>
          <w:rFonts w:hint="default" w:ascii="Times New Roman" w:hAnsi="Times New Roman" w:cs="Times New Roman"/>
          <w:color w:val="000000" w:themeColor="text1"/>
          <w14:textFill>
            <w14:solidFill>
              <w14:schemeClr w14:val="tx1"/>
            </w14:solidFill>
          </w14:textFill>
        </w:rPr>
      </w:pPr>
    </w:p>
    <w:p w14:paraId="411F413B">
      <w:pPr>
        <w:pStyle w:val="7"/>
        <w:spacing w:line="247" w:lineRule="auto"/>
        <w:rPr>
          <w:rFonts w:hint="default" w:ascii="Times New Roman" w:hAnsi="Times New Roman" w:cs="Times New Roman"/>
          <w:color w:val="000000" w:themeColor="text1"/>
          <w14:textFill>
            <w14:solidFill>
              <w14:schemeClr w14:val="tx1"/>
            </w14:solidFill>
          </w14:textFill>
        </w:rPr>
      </w:pPr>
    </w:p>
    <w:p w14:paraId="5CBA1607">
      <w:pPr>
        <w:pStyle w:val="7"/>
        <w:spacing w:line="247" w:lineRule="auto"/>
        <w:rPr>
          <w:rFonts w:hint="default" w:ascii="Times New Roman" w:hAnsi="Times New Roman" w:cs="Times New Roman"/>
          <w:color w:val="000000" w:themeColor="text1"/>
          <w14:textFill>
            <w14:solidFill>
              <w14:schemeClr w14:val="tx1"/>
            </w14:solidFill>
          </w14:textFill>
        </w:rPr>
      </w:pPr>
    </w:p>
    <w:p w14:paraId="41288116">
      <w:pPr>
        <w:pStyle w:val="7"/>
        <w:spacing w:line="247" w:lineRule="auto"/>
        <w:rPr>
          <w:rFonts w:hint="default" w:ascii="Times New Roman" w:hAnsi="Times New Roman" w:cs="Times New Roman"/>
          <w:color w:val="000000" w:themeColor="text1"/>
          <w14:textFill>
            <w14:solidFill>
              <w14:schemeClr w14:val="tx1"/>
            </w14:solidFill>
          </w14:textFill>
        </w:rPr>
      </w:pPr>
    </w:p>
    <w:p w14:paraId="616837AC">
      <w:pPr>
        <w:pStyle w:val="7"/>
        <w:spacing w:line="247" w:lineRule="auto"/>
        <w:rPr>
          <w:rFonts w:hint="default" w:ascii="Times New Roman" w:hAnsi="Times New Roman" w:cs="Times New Roman"/>
          <w:color w:val="000000" w:themeColor="text1"/>
          <w14:textFill>
            <w14:solidFill>
              <w14:schemeClr w14:val="tx1"/>
            </w14:solidFill>
          </w14:textFill>
        </w:rPr>
      </w:pPr>
    </w:p>
    <w:p w14:paraId="3326B647">
      <w:pPr>
        <w:pStyle w:val="7"/>
        <w:spacing w:line="248" w:lineRule="auto"/>
        <w:rPr>
          <w:rFonts w:hint="default" w:ascii="Times New Roman" w:hAnsi="Times New Roman" w:cs="Times New Roman"/>
          <w:color w:val="000000" w:themeColor="text1"/>
          <w14:textFill>
            <w14:solidFill>
              <w14:schemeClr w14:val="tx1"/>
            </w14:solidFill>
          </w14:textFill>
        </w:rPr>
      </w:pPr>
    </w:p>
    <w:p w14:paraId="6DF693BF">
      <w:pPr>
        <w:pStyle w:val="7"/>
        <w:spacing w:line="248" w:lineRule="auto"/>
        <w:rPr>
          <w:rFonts w:hint="default" w:ascii="Times New Roman" w:hAnsi="Times New Roman" w:cs="Times New Roman"/>
          <w:color w:val="000000" w:themeColor="text1"/>
          <w14:textFill>
            <w14:solidFill>
              <w14:schemeClr w14:val="tx1"/>
            </w14:solidFill>
          </w14:textFill>
        </w:rPr>
      </w:pPr>
    </w:p>
    <w:p w14:paraId="1C569FAE">
      <w:pPr>
        <w:pStyle w:val="7"/>
        <w:spacing w:line="248" w:lineRule="auto"/>
        <w:rPr>
          <w:rFonts w:hint="default" w:ascii="Times New Roman" w:hAnsi="Times New Roman" w:cs="Times New Roman"/>
          <w:color w:val="000000" w:themeColor="text1"/>
          <w14:textFill>
            <w14:solidFill>
              <w14:schemeClr w14:val="tx1"/>
            </w14:solidFill>
          </w14:textFill>
        </w:rPr>
      </w:pPr>
    </w:p>
    <w:p w14:paraId="56F89A95">
      <w:pPr>
        <w:spacing w:before="1" w:line="219" w:lineRule="auto"/>
        <w:jc w:val="center"/>
        <w:outlineLvl w:val="9"/>
        <w:rPr>
          <w:rFonts w:hint="default" w:ascii="Times New Roman" w:hAnsi="Times New Roman" w:eastAsia="宋体" w:cs="Times New Roman"/>
          <w:b/>
          <w:bCs/>
          <w:color w:val="000000" w:themeColor="text1"/>
          <w:spacing w:val="-4"/>
          <w:position w:val="26"/>
          <w:sz w:val="28"/>
          <w:szCs w:val="28"/>
          <w:highlight w:val="none"/>
          <w:lang w:eastAsia="zh-CN"/>
          <w14:textFill>
            <w14:solidFill>
              <w14:schemeClr w14:val="tx1"/>
            </w14:solidFill>
          </w14:textFill>
        </w:rPr>
      </w:pPr>
      <w:bookmarkStart w:id="3" w:name="_Toc12341"/>
      <w:bookmarkStart w:id="4" w:name="_Toc2161"/>
      <w:r>
        <w:rPr>
          <w:rFonts w:hint="default" w:ascii="Times New Roman" w:hAnsi="Times New Roman" w:eastAsia="宋体" w:cs="Times New Roman"/>
          <w:b/>
          <w:bCs/>
          <w:color w:val="000000" w:themeColor="text1"/>
          <w:spacing w:val="-4"/>
          <w:position w:val="26"/>
          <w:sz w:val="28"/>
          <w:szCs w:val="28"/>
          <w:highlight w:val="none"/>
          <w:lang w:eastAsia="zh-CN"/>
          <w14:textFill>
            <w14:solidFill>
              <w14:schemeClr w14:val="tx1"/>
            </w14:solidFill>
          </w14:textFill>
        </w:rPr>
        <w:t>新疆维吾尔自治区喀什地区交通运输局</w:t>
      </w:r>
    </w:p>
    <w:p w14:paraId="6E5215CB">
      <w:pPr>
        <w:spacing w:before="1" w:line="219" w:lineRule="auto"/>
        <w:jc w:val="center"/>
        <w:outlineLvl w:val="9"/>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Times New Roman" w:cs="Times New Roman"/>
          <w:b/>
          <w:bCs/>
          <w:color w:val="000000" w:themeColor="text1"/>
          <w:spacing w:val="-3"/>
          <w:sz w:val="28"/>
          <w:szCs w:val="28"/>
          <w14:textFill>
            <w14:solidFill>
              <w14:schemeClr w14:val="tx1"/>
            </w14:solidFill>
          </w14:textFill>
        </w:rPr>
        <w:t>202</w:t>
      </w:r>
      <w:r>
        <w:rPr>
          <w:rFonts w:hint="eastAsia" w:ascii="Times New Roman" w:hAnsi="Times New Roman" w:cs="Times New Roman"/>
          <w:b/>
          <w:bCs/>
          <w:color w:val="000000" w:themeColor="text1"/>
          <w:spacing w:val="-3"/>
          <w:sz w:val="28"/>
          <w:szCs w:val="28"/>
          <w:lang w:val="en-US" w:eastAsia="zh-CN"/>
          <w14:textFill>
            <w14:solidFill>
              <w14:schemeClr w14:val="tx1"/>
            </w14:solidFill>
          </w14:textFill>
        </w:rPr>
        <w:t>6</w:t>
      </w:r>
      <w:r>
        <w:rPr>
          <w:rFonts w:hint="default" w:ascii="Times New Roman" w:hAnsi="Times New Roman" w:eastAsia="宋体" w:cs="Times New Roman"/>
          <w:b/>
          <w:bCs/>
          <w:color w:val="000000" w:themeColor="text1"/>
          <w:spacing w:val="-3"/>
          <w:sz w:val="28"/>
          <w:szCs w:val="28"/>
          <w14:textFill>
            <w14:solidFill>
              <w14:schemeClr w14:val="tx1"/>
            </w14:solidFill>
          </w14:textFill>
        </w:rPr>
        <w:t>年</w:t>
      </w:r>
      <w:r>
        <w:rPr>
          <w:rFonts w:hint="default" w:ascii="Times New Roman" w:hAnsi="Times New Roman" w:eastAsia="宋体" w:cs="Times New Roman"/>
          <w:color w:val="000000" w:themeColor="text1"/>
          <w:spacing w:val="-60"/>
          <w:sz w:val="28"/>
          <w:szCs w:val="28"/>
          <w14:textFill>
            <w14:solidFill>
              <w14:schemeClr w14:val="tx1"/>
            </w14:solidFill>
          </w14:textFill>
        </w:rPr>
        <w:t xml:space="preserve"> </w:t>
      </w:r>
      <w:r>
        <w:rPr>
          <w:rFonts w:hint="eastAsia" w:ascii="Times New Roman" w:hAnsi="Times New Roman" w:cs="Times New Roman"/>
          <w:b/>
          <w:bCs/>
          <w:color w:val="000000" w:themeColor="text1"/>
          <w:spacing w:val="-3"/>
          <w:sz w:val="28"/>
          <w:szCs w:val="28"/>
          <w:lang w:val="en-US" w:eastAsia="zh-CN"/>
          <w14:textFill>
            <w14:solidFill>
              <w14:schemeClr w14:val="tx1"/>
            </w14:solidFill>
          </w14:textFill>
        </w:rPr>
        <w:t>8</w:t>
      </w:r>
      <w:r>
        <w:rPr>
          <w:rFonts w:hint="default" w:ascii="Times New Roman" w:hAnsi="Times New Roman" w:eastAsia="宋体" w:cs="Times New Roman"/>
          <w:b/>
          <w:bCs/>
          <w:color w:val="000000" w:themeColor="text1"/>
          <w:spacing w:val="-3"/>
          <w:sz w:val="28"/>
          <w:szCs w:val="28"/>
          <w14:textFill>
            <w14:solidFill>
              <w14:schemeClr w14:val="tx1"/>
            </w14:solidFill>
          </w14:textFill>
        </w:rPr>
        <w:t>月</w:t>
      </w:r>
      <w:bookmarkEnd w:id="3"/>
      <w:bookmarkEnd w:id="4"/>
    </w:p>
    <w:p w14:paraId="6E154517">
      <w:pPr>
        <w:spacing w:line="219" w:lineRule="auto"/>
        <w:rPr>
          <w:rFonts w:hint="default" w:ascii="Times New Roman" w:hAnsi="Times New Roman" w:eastAsia="宋体" w:cs="Times New Roman"/>
          <w:color w:val="000000" w:themeColor="text1"/>
          <w:sz w:val="28"/>
          <w:szCs w:val="28"/>
          <w14:textFill>
            <w14:solidFill>
              <w14:schemeClr w14:val="tx1"/>
            </w14:solidFill>
          </w14:textFill>
        </w:rPr>
        <w:sectPr>
          <w:pgSz w:w="11906" w:h="16839"/>
          <w:pgMar w:top="1431" w:right="1785" w:bottom="0" w:left="1785" w:header="0" w:footer="0" w:gutter="0"/>
          <w:cols w:space="720" w:num="1"/>
        </w:sectPr>
      </w:pPr>
    </w:p>
    <w:bookmarkEnd w:id="0"/>
    <w:p w14:paraId="1128FE91">
      <w:pPr>
        <w:pStyle w:val="7"/>
        <w:spacing w:line="335" w:lineRule="auto"/>
        <w:rPr>
          <w:rFonts w:hint="default" w:ascii="Times New Roman" w:hAnsi="Times New Roman" w:cs="Times New Roman"/>
          <w:color w:val="000000" w:themeColor="text1"/>
          <w14:textFill>
            <w14:solidFill>
              <w14:schemeClr w14:val="tx1"/>
            </w14:solidFill>
          </w14:textFill>
        </w:rPr>
      </w:pPr>
    </w:p>
    <w:sdt>
      <w:sdtPr>
        <w:rPr>
          <w:rFonts w:hint="default" w:ascii="Times New Roman" w:hAnsi="Times New Roman" w:eastAsia="宋体" w:cs="Times New Roman"/>
          <w:b/>
          <w:bCs/>
          <w:snapToGrid w:val="0"/>
          <w:color w:val="000000" w:themeColor="text1"/>
          <w:kern w:val="0"/>
          <w:sz w:val="36"/>
          <w:szCs w:val="36"/>
          <w:lang w:val="en-US" w:eastAsia="zh-CN"/>
          <w14:textFill>
            <w14:solidFill>
              <w14:schemeClr w14:val="tx1"/>
            </w14:solidFill>
          </w14:textFill>
        </w:rPr>
        <w:id w:val="147472320"/>
        <w15:color w:val="DBDBDB"/>
        <w:docPartObj>
          <w:docPartGallery w:val="Table of Contents"/>
          <w:docPartUnique/>
        </w:docPartObj>
      </w:sdtPr>
      <w:sdtEndPr>
        <w:rPr>
          <w:rFonts w:hint="default" w:ascii="Times New Roman" w:hAnsi="Times New Roman" w:eastAsia="宋体" w:cs="Times New Roman"/>
          <w:b/>
          <w:bCs/>
          <w:snapToGrid w:val="0"/>
          <w:color w:val="000000" w:themeColor="text1"/>
          <w:kern w:val="0"/>
          <w:sz w:val="24"/>
          <w:szCs w:val="24"/>
          <w:lang w:val="en-US" w:eastAsia="zh-CN"/>
          <w14:textFill>
            <w14:solidFill>
              <w14:schemeClr w14:val="tx1"/>
            </w14:solidFill>
          </w14:textFill>
        </w:rPr>
      </w:sdtEndPr>
      <w:sdtContent>
        <w:p w14:paraId="7BB0286C">
          <w:pPr>
            <w:widowControl/>
            <w:kinsoku w:val="0"/>
            <w:autoSpaceDE w:val="0"/>
            <w:autoSpaceDN w:val="0"/>
            <w:adjustRightInd w:val="0"/>
            <w:snapToGrid w:val="0"/>
            <w:spacing w:before="0" w:beforeLines="0" w:after="0" w:afterLines="0" w:line="240" w:lineRule="auto"/>
            <w:ind w:left="0" w:leftChars="0" w:right="0" w:rightChars="0" w:firstLine="0" w:firstLineChars="0"/>
            <w:jc w:val="center"/>
            <w:textAlignment w:val="baseline"/>
            <w:rPr>
              <w:rFonts w:hint="default" w:ascii="Times New Roman" w:hAnsi="Times New Roman" w:eastAsia="宋体" w:cs="Times New Roman"/>
              <w:b/>
              <w:bCs/>
              <w:snapToGrid w:val="0"/>
              <w:color w:val="000000" w:themeColor="text1"/>
              <w:kern w:val="0"/>
              <w:sz w:val="36"/>
              <w:szCs w:val="36"/>
              <w:lang w:val="en-US" w:eastAsia="zh-CN"/>
              <w14:textFill>
                <w14:solidFill>
                  <w14:schemeClr w14:val="tx1"/>
                </w14:solidFill>
              </w14:textFill>
            </w:rPr>
          </w:pPr>
        </w:p>
        <w:p w14:paraId="2BE300EB">
          <w:pPr>
            <w:widowControl/>
            <w:kinsoku w:val="0"/>
            <w:autoSpaceDE w:val="0"/>
            <w:autoSpaceDN w:val="0"/>
            <w:adjustRightInd w:val="0"/>
            <w:snapToGrid w:val="0"/>
            <w:spacing w:before="0" w:beforeLines="0" w:after="0" w:afterLines="0" w:line="240" w:lineRule="auto"/>
            <w:ind w:left="0" w:leftChars="0" w:right="0" w:rightChars="0" w:firstLine="0" w:firstLineChars="0"/>
            <w:jc w:val="center"/>
            <w:textAlignment w:val="baseline"/>
            <w:rPr>
              <w:rFonts w:hint="default" w:ascii="Times New Roman" w:hAnsi="Times New Roman" w:eastAsia="宋体" w:cs="Times New Roman"/>
              <w:b/>
              <w:bCs/>
              <w:snapToGrid w:val="0"/>
              <w:color w:val="000000" w:themeColor="text1"/>
              <w:kern w:val="0"/>
              <w:sz w:val="36"/>
              <w:szCs w:val="36"/>
              <w:lang w:eastAsia="en-US"/>
              <w14:textFill>
                <w14:solidFill>
                  <w14:schemeClr w14:val="tx1"/>
                </w14:solidFill>
              </w14:textFill>
            </w:rPr>
          </w:pPr>
          <w:r>
            <w:rPr>
              <w:rFonts w:hint="default" w:ascii="Times New Roman" w:hAnsi="Times New Roman" w:eastAsia="宋体" w:cs="Times New Roman"/>
              <w:b/>
              <w:bCs/>
              <w:snapToGrid w:val="0"/>
              <w:color w:val="000000" w:themeColor="text1"/>
              <w:kern w:val="0"/>
              <w:sz w:val="36"/>
              <w:szCs w:val="36"/>
              <w:lang w:eastAsia="en-US"/>
              <w14:textFill>
                <w14:solidFill>
                  <w14:schemeClr w14:val="tx1"/>
                </w14:solidFill>
              </w14:textFill>
            </w:rPr>
            <w:t>目</w:t>
          </w:r>
          <w:r>
            <w:rPr>
              <w:rFonts w:hint="default" w:ascii="Times New Roman" w:hAnsi="Times New Roman" w:eastAsia="宋体" w:cs="Times New Roman"/>
              <w:b/>
              <w:bCs/>
              <w:snapToGrid w:val="0"/>
              <w:color w:val="000000" w:themeColor="text1"/>
              <w:kern w:val="0"/>
              <w:sz w:val="36"/>
              <w:szCs w:val="36"/>
              <w:lang w:val="en-US" w:eastAsia="zh-CN"/>
              <w14:textFill>
                <w14:solidFill>
                  <w14:schemeClr w14:val="tx1"/>
                </w14:solidFill>
              </w14:textFill>
            </w:rPr>
            <w:t xml:space="preserve">  </w:t>
          </w:r>
          <w:r>
            <w:rPr>
              <w:rFonts w:hint="default" w:ascii="Times New Roman" w:hAnsi="Times New Roman" w:eastAsia="宋体" w:cs="Times New Roman"/>
              <w:b/>
              <w:bCs/>
              <w:snapToGrid w:val="0"/>
              <w:color w:val="000000" w:themeColor="text1"/>
              <w:kern w:val="0"/>
              <w:sz w:val="36"/>
              <w:szCs w:val="36"/>
              <w:lang w:eastAsia="en-US"/>
              <w14:textFill>
                <w14:solidFill>
                  <w14:schemeClr w14:val="tx1"/>
                </w14:solidFill>
              </w14:textFill>
            </w:rPr>
            <w:t>录</w:t>
          </w:r>
        </w:p>
        <w:p w14:paraId="4269AA39">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fldChar w:fldCharType="begin"/>
          </w:r>
          <w:r>
            <w:rPr>
              <w:rFonts w:hint="default" w:ascii="Times New Roman" w:hAnsi="Times New Roman" w:eastAsia="宋体" w:cs="Times New Roman"/>
              <w:color w:val="000000" w:themeColor="text1"/>
              <w:sz w:val="24"/>
              <w:szCs w:val="24"/>
              <w14:textFill>
                <w14:solidFill>
                  <w14:schemeClr w14:val="tx1"/>
                </w14:solidFill>
              </w14:textFill>
            </w:rPr>
            <w:instrText xml:space="preserve">TOC \o "1-2" \h \u </w:instrText>
          </w:r>
          <w:r>
            <w:rPr>
              <w:rFonts w:hint="default" w:ascii="Times New Roman" w:hAnsi="Times New Roman" w:eastAsia="宋体" w:cs="Times New Roman"/>
              <w:color w:val="000000" w:themeColor="text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_Toc8645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 概述</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_Toc8645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0C0B68F7">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_Toc22806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2 首次环境影响评价信息公开情况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_Toc22806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73454A1F">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_Toc23337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2.1 公开内容及日期</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_Toc23337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06EED387">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_Toc31947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2.2 公开方式</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_Toc31947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0899746F">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_Toc134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2.3 公众意见情况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_Toc134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4</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35351DB1">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_Toc23266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3 征求意见稿公示情况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_Toc23266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4</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1FE14202">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_Toc31959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3.1 公示内容及时限</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_Toc31959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4</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4EC4EC89">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_Toc7883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3.2 公示方式</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_Toc7883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5</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7329A3B4">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_Toc4266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3.3查阅情况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_Toc4266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9</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0414BCA6">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_Toc9807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3.4公众提出意见情况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_Toc9807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9</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626D72D1">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_Toc3145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4其他公众参与情况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_Toc3145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9</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6013D15C">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_Toc27536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5 公众意见处理情况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_Toc27536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10</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6F0515C2">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_Toc18506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eastAsia" w:ascii="Times New Roman" w:hAnsi="Times New Roman" w:eastAsia="宋体" w:cs="Times New Roman"/>
              <w:color w:val="000000" w:themeColor="text1"/>
              <w:sz w:val="28"/>
              <w:szCs w:val="28"/>
              <w14:textFill>
                <w14:solidFill>
                  <w14:schemeClr w14:val="tx1"/>
                </w14:solidFill>
              </w14:textFill>
            </w:rPr>
            <w:t>5.1 公众意见概述和分析</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_Toc18506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10</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4AEAC916">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_Toc30687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eastAsia" w:ascii="Times New Roman" w:hAnsi="Times New Roman" w:eastAsia="宋体" w:cs="Times New Roman"/>
              <w:color w:val="000000" w:themeColor="text1"/>
              <w:sz w:val="28"/>
              <w:szCs w:val="28"/>
              <w14:textFill>
                <w14:solidFill>
                  <w14:schemeClr w14:val="tx1"/>
                </w14:solidFill>
              </w14:textFill>
            </w:rPr>
            <w:t>5.2 公众意见采纳情况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_Toc30687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10</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0F834CD0">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_Toc14212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eastAsia" w:ascii="Times New Roman" w:hAnsi="Times New Roman" w:eastAsia="宋体" w:cs="Times New Roman"/>
              <w:color w:val="000000" w:themeColor="text1"/>
              <w:sz w:val="28"/>
              <w:szCs w:val="28"/>
              <w14:textFill>
                <w14:solidFill>
                  <w14:schemeClr w14:val="tx1"/>
                </w14:solidFill>
              </w14:textFill>
            </w:rPr>
            <w:t>5.3 公众意见未采纳情况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_Toc14212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10</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3713D839">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_Toc28251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14:textFill>
                <w14:solidFill>
                  <w14:schemeClr w14:val="tx1"/>
                </w14:solidFill>
              </w14:textFill>
            </w:rPr>
            <w:t xml:space="preserve"> 报批前公开情况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_Toc28251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10</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1A8CD31D">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_Toc1460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6.1 公开内容及日期</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_Toc1460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10</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167E03BA">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ind w:firstLine="280" w:firstLineChars="1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_Toc29818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6.2 公开方式</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_Toc29818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10</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33BEC68C">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_Toc4195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7</w:t>
          </w:r>
          <w:r>
            <w:rPr>
              <w:rFonts w:hint="default" w:ascii="Times New Roman" w:hAnsi="Times New Roman" w:eastAsia="宋体" w:cs="Times New Roman"/>
              <w:color w:val="000000" w:themeColor="text1"/>
              <w:sz w:val="28"/>
              <w:szCs w:val="28"/>
              <w14:textFill>
                <w14:solidFill>
                  <w14:schemeClr w14:val="tx1"/>
                </w14:solidFill>
              </w14:textFill>
            </w:rPr>
            <w:t>其他</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_Toc4195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11</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4D7F39EE">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_Toc12267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8</w:t>
          </w:r>
          <w:r>
            <w:rPr>
              <w:rFonts w:hint="default" w:ascii="Times New Roman" w:hAnsi="Times New Roman" w:eastAsia="宋体" w:cs="Times New Roman"/>
              <w:color w:val="000000" w:themeColor="text1"/>
              <w:sz w:val="28"/>
              <w:szCs w:val="28"/>
              <w14:textFill>
                <w14:solidFill>
                  <w14:schemeClr w14:val="tx1"/>
                </w14:solidFill>
              </w14:textFill>
            </w:rPr>
            <w:t xml:space="preserve"> 诚信承诺</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_Toc12267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12</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2D57AEF2">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fldChar w:fldCharType="end"/>
          </w:r>
        </w:p>
      </w:sdtContent>
    </w:sdt>
    <w:p w14:paraId="157DE20B">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bCs/>
          <w:color w:val="000000" w:themeColor="text1"/>
          <w:sz w:val="24"/>
          <w:szCs w:val="24"/>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772FD9AF">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仿宋_GB2312" w:cs="Times New Roman"/>
          <w:color w:val="000000" w:themeColor="text1"/>
          <w:sz w:val="32"/>
          <w:szCs w:val="32"/>
          <w14:textFill>
            <w14:solidFill>
              <w14:schemeClr w14:val="tx1"/>
            </w14:solidFill>
          </w14:textFill>
        </w:rPr>
      </w:pPr>
      <w:bookmarkStart w:id="5" w:name="_Toc8645"/>
      <w:r>
        <w:rPr>
          <w:rFonts w:hint="default" w:ascii="Times New Roman" w:hAnsi="Times New Roman" w:eastAsia="仿宋_GB2312" w:cs="Times New Roman"/>
          <w:b/>
          <w:bCs/>
          <w:color w:val="000000" w:themeColor="text1"/>
          <w:sz w:val="32"/>
          <w:szCs w:val="32"/>
          <w14:textFill>
            <w14:solidFill>
              <w14:schemeClr w14:val="tx1"/>
            </w14:solidFill>
          </w14:textFill>
        </w:rPr>
        <w:t>1 概述</w:t>
      </w:r>
      <w:bookmarkEnd w:id="5"/>
    </w:p>
    <w:p w14:paraId="4975D71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公众参与是建设项目环境影响评价的重要组成部分，是实现决策有效性和项目可行性的一种重要方法，其目的是让项目所在地群众能够充分、全面地了解建设项目的基本情况和其可能带来的有利和不利影响。</w:t>
      </w:r>
      <w:bookmarkStart w:id="33" w:name="_GoBack"/>
      <w:bookmarkEnd w:id="33"/>
      <w:r>
        <w:rPr>
          <w:rFonts w:hint="default" w:ascii="Times New Roman" w:hAnsi="Times New Roman" w:eastAsia="仿宋_GB2312" w:cs="Times New Roman"/>
          <w:color w:val="000000" w:themeColor="text1"/>
          <w:sz w:val="32"/>
          <w:szCs w:val="32"/>
          <w14:textFill>
            <w14:solidFill>
              <w14:schemeClr w14:val="tx1"/>
            </w14:solidFill>
          </w14:textFill>
        </w:rPr>
        <w:t>在开发建设项目的环境影响评价过程中实施公众参与，可以推进政府决策的民主化和科学化，使得社会各方面的利益和看法在决策过程中能够得到充分的考虑，事先化解不良环境影响可能带来的社会矛盾。通过公众参与，可以维护公众合法的环境权益，在环境影响评价中体现以人为本的原则；可以更全面的了解环境背景信息，发现潜在环境问题，提高环境影响评价的科学性和针对性；可以提出经济有效并切实可行的减缓不利社会环境影响的措施，使建设项目的规划、设计、生产更完善和合理，有利于区域的环境保护。</w:t>
      </w:r>
    </w:p>
    <w:p w14:paraId="1A5715B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2026年4月30日</w:t>
      </w:r>
      <w:r>
        <w:rPr>
          <w:rFonts w:hint="default" w:ascii="Times New Roman" w:hAnsi="Times New Roman" w:eastAsia="仿宋_GB2312" w:cs="Times New Roman"/>
          <w:color w:val="000000" w:themeColor="text1"/>
          <w:sz w:val="32"/>
          <w:szCs w:val="32"/>
          <w14:textFill>
            <w14:solidFill>
              <w14:schemeClr w14:val="tx1"/>
            </w14:solidFill>
          </w14:textFill>
        </w:rPr>
        <w:t>，新疆维吾尔自治区喀什地区交通运输局委托新疆天合环境技术咨询有限公司承担了</w:t>
      </w:r>
      <w:bookmarkStart w:id="6" w:name="OLE_LINK1"/>
      <w:r>
        <w:rPr>
          <w:rFonts w:hint="default" w:ascii="Times New Roman" w:hAnsi="Times New Roman" w:eastAsia="仿宋_GB2312" w:cs="Times New Roman"/>
          <w:color w:val="000000" w:themeColor="text1"/>
          <w:sz w:val="32"/>
          <w:szCs w:val="32"/>
          <w14:textFill>
            <w14:solidFill>
              <w14:schemeClr w14:val="tx1"/>
            </w14:solidFill>
          </w14:textFill>
        </w:rPr>
        <w:t>《G315线喀什至托帕公路建设项目》</w:t>
      </w:r>
      <w:bookmarkEnd w:id="6"/>
      <w:r>
        <w:rPr>
          <w:rFonts w:hint="default" w:ascii="Times New Roman" w:hAnsi="Times New Roman" w:eastAsia="仿宋_GB2312" w:cs="Times New Roman"/>
          <w:color w:val="000000" w:themeColor="text1"/>
          <w:sz w:val="32"/>
          <w:szCs w:val="32"/>
          <w14:textFill>
            <w14:solidFill>
              <w14:schemeClr w14:val="tx1"/>
            </w14:solidFill>
          </w14:textFill>
        </w:rPr>
        <w:t>的环境影响评价工作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根据《中华人民共和国生态环境法典》、《建设项目环境保护管理条例》、《环境影响评价公众参与办法》（</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生态环境部</w:t>
      </w:r>
      <w:r>
        <w:rPr>
          <w:rFonts w:hint="default" w:ascii="Times New Roman" w:hAnsi="Times New Roman" w:eastAsia="仿宋_GB2312" w:cs="Times New Roman"/>
          <w:color w:val="000000" w:themeColor="text1"/>
          <w:sz w:val="32"/>
          <w:szCs w:val="32"/>
          <w14:textFill>
            <w14:solidFill>
              <w14:schemeClr w14:val="tx1"/>
            </w14:solidFill>
          </w14:textFill>
        </w:rPr>
        <w:t>部令第4号）等文件规定，建设单位完成了本项目环评第一次公示和第二次公示（征求意见稿公示）。</w:t>
      </w:r>
    </w:p>
    <w:p w14:paraId="4FE8A60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日，新疆维吾尔自治区喀什地区交通运输局在新疆维吾尔自治区生态环境保护产业协会网站进行了第一次网上公示，公示时间为10个工作日，公示主要内容为项目概况、环境影响评价工作程序及主要工作内容、征求公众意见的主要事项、公众提出意见主要方式、建设单位和环评单位信息及联系方式等。</w:t>
      </w:r>
    </w:p>
    <w:p w14:paraId="138EE91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7" w:name="OLE_LINK2"/>
      <w:r>
        <w:rPr>
          <w:rFonts w:hint="default" w:ascii="Times New Roman" w:hAnsi="Times New Roman" w:eastAsia="仿宋_GB2312" w:cs="Times New Roman"/>
          <w:color w:val="000000" w:themeColor="text1"/>
          <w:sz w:val="32"/>
          <w:szCs w:val="32"/>
          <w:highlight w:val="none"/>
          <w14:textFill>
            <w14:solidFill>
              <w14:schemeClr w14:val="tx1"/>
            </w14:solidFill>
          </w14:textFill>
        </w:rPr>
        <w:t>202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bookmarkEnd w:id="7"/>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生态</w:t>
      </w:r>
      <w:r>
        <w:rPr>
          <w:rFonts w:hint="default" w:ascii="Times New Roman" w:hAnsi="Times New Roman" w:eastAsia="仿宋_GB2312" w:cs="Times New Roman"/>
          <w:color w:val="000000" w:themeColor="text1"/>
          <w:sz w:val="32"/>
          <w:szCs w:val="32"/>
          <w14:textFill>
            <w14:solidFill>
              <w14:schemeClr w14:val="tx1"/>
            </w14:solidFill>
          </w14:textFill>
        </w:rPr>
        <w:t>环境影响报告书主要内容编制完成后，新疆维吾尔自治区喀什地区交通运输局在新疆维吾尔自治区生态环境保护产业协会网站进行了环境影响评价第二次公示（征求意见稿公示），公示主要内容为建设项目概要、主要影响、防治措施、初步结论、征求意见范围和事项等，公示有效期为10个工作日。</w:t>
      </w:r>
    </w:p>
    <w:p w14:paraId="6D41A68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2026年8月21日项目名称变更为</w:t>
      </w:r>
      <w:r>
        <w:rPr>
          <w:rFonts w:hint="default" w:ascii="Times New Roman" w:hAnsi="Times New Roman" w:eastAsia="仿宋_GB2312" w:cs="Times New Roman"/>
          <w:color w:val="000000" w:themeColor="text1"/>
          <w:sz w:val="32"/>
          <w:szCs w:val="32"/>
          <w14:textFill>
            <w14:solidFill>
              <w14:schemeClr w14:val="tx1"/>
            </w14:solidFill>
          </w14:textFill>
        </w:rPr>
        <w:t>G315线喀什至托帕</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5FE8BC1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在网络公示期间，我公司通过报纸、张贴公告的形式对本项目环境影响报告书进行同步公示。</w:t>
      </w:r>
    </w:p>
    <w:p w14:paraId="72ED8B7D">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8" w:name="_Toc22806"/>
      <w:r>
        <w:rPr>
          <w:rFonts w:hint="default" w:ascii="Times New Roman" w:hAnsi="Times New Roman" w:eastAsia="仿宋_GB2312" w:cs="Times New Roman"/>
          <w:b/>
          <w:bCs/>
          <w:color w:val="000000" w:themeColor="text1"/>
          <w:sz w:val="32"/>
          <w:szCs w:val="32"/>
          <w14:textFill>
            <w14:solidFill>
              <w14:schemeClr w14:val="tx1"/>
            </w14:solidFill>
          </w14:textFill>
        </w:rPr>
        <w:t>2 首次环境影响评价信息公开情况</w:t>
      </w:r>
      <w:bookmarkEnd w:id="8"/>
    </w:p>
    <w:p w14:paraId="4D254617">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9" w:name="_Toc23337"/>
      <w:r>
        <w:rPr>
          <w:rFonts w:hint="default" w:ascii="Times New Roman" w:hAnsi="Times New Roman" w:eastAsia="仿宋_GB2312" w:cs="Times New Roman"/>
          <w:b/>
          <w:bCs/>
          <w:color w:val="000000" w:themeColor="text1"/>
          <w:sz w:val="32"/>
          <w:szCs w:val="32"/>
          <w14:textFill>
            <w14:solidFill>
              <w14:schemeClr w14:val="tx1"/>
            </w14:solidFill>
          </w14:textFill>
        </w:rPr>
        <w:t>2.1 公开内容及日期</w:t>
      </w:r>
      <w:bookmarkEnd w:id="9"/>
    </w:p>
    <w:p w14:paraId="40CF47C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建设单位于202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30</w:t>
      </w:r>
      <w:r>
        <w:rPr>
          <w:rFonts w:hint="default" w:ascii="Times New Roman" w:hAnsi="Times New Roman" w:eastAsia="仿宋_GB2312" w:cs="Times New Roman"/>
          <w:color w:val="000000" w:themeColor="text1"/>
          <w:sz w:val="32"/>
          <w:szCs w:val="32"/>
          <w14:textFill>
            <w14:solidFill>
              <w14:schemeClr w14:val="tx1"/>
            </w14:solidFill>
          </w14:textFill>
        </w:rPr>
        <w:t>日与新疆天合环境技术咨询有限公司签订环境影响评价工作委托协议，确定新疆天合环境技术咨询有限公司为环境影响报告书编制单位，委托开展项目环评工作7日内，</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新疆维吾尔自治区喀什地区交通运输局</w:t>
      </w:r>
      <w:r>
        <w:rPr>
          <w:rFonts w:hint="default" w:ascii="Times New Roman" w:hAnsi="Times New Roman" w:eastAsia="仿宋_GB2312" w:cs="Times New Roman"/>
          <w:color w:val="000000" w:themeColor="text1"/>
          <w:sz w:val="32"/>
          <w:szCs w:val="32"/>
          <w14:textFill>
            <w14:solidFill>
              <w14:schemeClr w14:val="tx1"/>
            </w14:solidFill>
          </w14:textFill>
        </w:rPr>
        <w:t>于202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日开展第一次网络公示。</w:t>
      </w:r>
    </w:p>
    <w:p w14:paraId="0ABDB5C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首次公示公开的内容主要包括：</w:t>
      </w:r>
    </w:p>
    <w:p w14:paraId="1A4278C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（1）建设项目名称、建设内容等基本情况；</w:t>
      </w:r>
    </w:p>
    <w:p w14:paraId="06F12D4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（2）建设项目的建设单位名称和联系方式；</w:t>
      </w:r>
    </w:p>
    <w:p w14:paraId="252AE14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（3）承担评价工作的环境影响评价机构名称和联系方式；</w:t>
      </w:r>
    </w:p>
    <w:p w14:paraId="16949C8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（4）公众意见表的网络链接；</w:t>
      </w:r>
    </w:p>
    <w:p w14:paraId="68F4752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（5）提交公众意见表的方式和途经。</w:t>
      </w:r>
    </w:p>
    <w:p w14:paraId="6D00048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本项目首次环境影响评价信息符合《环境影响评价公众参与办法》要求。</w:t>
      </w:r>
    </w:p>
    <w:p w14:paraId="505B40C7">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10" w:name="_Toc31947"/>
      <w:r>
        <w:rPr>
          <w:rFonts w:hint="default" w:ascii="Times New Roman" w:hAnsi="Times New Roman" w:eastAsia="仿宋_GB2312" w:cs="Times New Roman"/>
          <w:b/>
          <w:bCs/>
          <w:color w:val="000000" w:themeColor="text1"/>
          <w:sz w:val="32"/>
          <w:szCs w:val="32"/>
          <w14:textFill>
            <w14:solidFill>
              <w14:schemeClr w14:val="tx1"/>
            </w14:solidFill>
          </w14:textFill>
        </w:rPr>
        <w:t>2.2 公开方式</w:t>
      </w:r>
      <w:bookmarkEnd w:id="10"/>
    </w:p>
    <w:p w14:paraId="6A9B29A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2.2.1 网络</w:t>
      </w:r>
    </w:p>
    <w:p w14:paraId="5926ABC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kern w:val="2"/>
          <w:sz w:val="32"/>
          <w:szCs w:val="32"/>
          <w:highlight w:val="none"/>
          <w:lang w:val="en-US" w:eastAsia="zh-CN" w:bidi="ar-SA"/>
        </w:rPr>
        <w:t>新疆维吾尔自治区喀什地区交通运输局</w:t>
      </w:r>
      <w:r>
        <w:rPr>
          <w:rFonts w:hint="default" w:ascii="Times New Roman" w:hAnsi="Times New Roman" w:eastAsia="仿宋_GB2312" w:cs="Times New Roman"/>
          <w:color w:val="000000" w:themeColor="text1"/>
          <w:sz w:val="32"/>
          <w:szCs w:val="32"/>
          <w14:textFill>
            <w14:solidFill>
              <w14:schemeClr w14:val="tx1"/>
            </w14:solidFill>
          </w14:textFill>
        </w:rPr>
        <w:t>于202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日在新疆维吾尔自治区生态环境保护产业协会（http://www.xjhbcy.cn）上进行了第一次网络公示，向公众告知本项目的建设情况。</w:t>
      </w:r>
    </w:p>
    <w:p w14:paraId="5A64549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kern w:val="2"/>
          <w:sz w:val="32"/>
          <w:szCs w:val="32"/>
          <w:highlight w:val="none"/>
          <w:lang w:val="en-US" w:eastAsia="zh-CN" w:bidi="ar-SA"/>
        </w:rPr>
        <w:t>新疆维吾尔自治区喀什地区交通运输局</w:t>
      </w:r>
      <w:r>
        <w:rPr>
          <w:rFonts w:hint="default" w:ascii="Times New Roman" w:hAnsi="Times New Roman" w:eastAsia="仿宋_GB2312" w:cs="Times New Roman"/>
          <w:color w:val="000000" w:themeColor="text1"/>
          <w:sz w:val="32"/>
          <w:szCs w:val="32"/>
          <w14:textFill>
            <w14:solidFill>
              <w14:schemeClr w14:val="tx1"/>
            </w14:solidFill>
          </w14:textFill>
        </w:rPr>
        <w:t>在新疆维吾尔自治区生态环境保护产业协会网站开展网络公示，载体选择符合《环境影响评价公众参与办法》要求。公示链接：</w:t>
      </w:r>
      <w:r>
        <w:rPr>
          <w:rFonts w:hint="default" w:ascii="Times New Roman" w:hAnsi="Times New Roman" w:eastAsia="仿宋_GB2312" w:cs="Times New Roman"/>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color w:val="000000" w:themeColor="text1"/>
          <w:sz w:val="32"/>
          <w:szCs w:val="32"/>
          <w14:textFill>
            <w14:solidFill>
              <w14:schemeClr w14:val="tx1"/>
            </w14:solidFill>
          </w14:textFill>
        </w:rPr>
        <w:instrText xml:space="preserve"> HYPERLINK "http://www.xjhbcy.cn/articles/show/14332，网络公示截图见图2.2-1。" </w:instrText>
      </w:r>
      <w:r>
        <w:rPr>
          <w:rFonts w:hint="default" w:ascii="Times New Roman" w:hAnsi="Times New Roman" w:eastAsia="仿宋_GB2312" w:cs="Times New Roman"/>
          <w:color w:val="000000" w:themeColor="text1"/>
          <w:sz w:val="32"/>
          <w:szCs w:val="32"/>
          <w14:textFill>
            <w14:solidFill>
              <w14:schemeClr w14:val="tx1"/>
            </w14:solidFill>
          </w14:textFill>
        </w:rPr>
        <w:fldChar w:fldCharType="separate"/>
      </w:r>
      <w:r>
        <w:rPr>
          <w:rFonts w:hint="default" w:ascii="Times New Roman" w:hAnsi="Times New Roman" w:eastAsia="仿宋_GB2312" w:cs="Times New Roman"/>
          <w:color w:val="000000" w:themeColor="text1"/>
          <w:sz w:val="32"/>
          <w:szCs w:val="32"/>
          <w14:textFill>
            <w14:solidFill>
              <w14:schemeClr w14:val="tx1"/>
            </w14:solidFill>
          </w14:textFill>
        </w:rPr>
        <w:t>http://www.xjhbcy.cn/articles/show/17400，网络公示截图见图2.2-1。</w:t>
      </w:r>
      <w:r>
        <w:rPr>
          <w:rFonts w:hint="default" w:ascii="Times New Roman" w:hAnsi="Times New Roman" w:eastAsia="仿宋_GB2312" w:cs="Times New Roman"/>
          <w:color w:val="000000" w:themeColor="text1"/>
          <w:sz w:val="32"/>
          <w:szCs w:val="32"/>
          <w14:textFill>
            <w14:solidFill>
              <w14:schemeClr w14:val="tx1"/>
            </w14:solidFill>
          </w14:textFill>
        </w:rPr>
        <w:fldChar w:fldCharType="end"/>
      </w:r>
    </w:p>
    <w:p w14:paraId="73CDDC9A">
      <w:pPr>
        <w:pStyle w:val="11"/>
        <w:rPr>
          <w:rFonts w:hint="default" w:ascii="Times New Roman" w:hAnsi="Times New Roman" w:cs="Times New Roman"/>
          <w:color w:val="000000" w:themeColor="text1"/>
          <w14:textFill>
            <w14:solidFill>
              <w14:schemeClr w14:val="tx1"/>
            </w14:solidFill>
          </w14:textFill>
        </w:rPr>
      </w:pPr>
    </w:p>
    <w:p w14:paraId="2CE63518">
      <w:pPr>
        <w:pStyle w:val="12"/>
        <w:keepNext w:val="0"/>
        <w:keepLines w:val="0"/>
        <w:pageBreakBefore w:val="0"/>
        <w:wordWrap/>
        <w:overflowPunct/>
        <w:topLinePunct w:val="0"/>
        <w:bidi w:val="0"/>
        <w:adjustRightInd w:val="0"/>
        <w:snapToGrid w:val="0"/>
        <w:spacing w:line="240" w:lineRule="auto"/>
        <w:rPr>
          <w:rFonts w:hint="eastAsia" w:ascii="Times New Roman" w:hAnsi="Times New Roman" w:eastAsia="宋体" w:cs="Times New Roman"/>
          <w:color w:val="000000" w:themeColor="text1"/>
          <w:lang w:eastAsia="zh-CN"/>
          <w14:textFill>
            <w14:solidFill>
              <w14:schemeClr w14:val="tx1"/>
            </w14:solidFill>
          </w14:textFill>
        </w:rPr>
      </w:pPr>
      <w:r>
        <w:drawing>
          <wp:inline distT="0" distB="0" distL="114300" distR="114300">
            <wp:extent cx="5268595" cy="2945130"/>
            <wp:effectExtent l="0" t="0" r="8255" b="762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5268595" cy="2945130"/>
                    </a:xfrm>
                    <a:prstGeom prst="rect">
                      <a:avLst/>
                    </a:prstGeom>
                    <a:noFill/>
                    <a:ln>
                      <a:noFill/>
                    </a:ln>
                  </pic:spPr>
                </pic:pic>
              </a:graphicData>
            </a:graphic>
          </wp:inline>
        </w:drawing>
      </w:r>
    </w:p>
    <w:p w14:paraId="1B64EE8B">
      <w:pPr>
        <w:keepNext w:val="0"/>
        <w:keepLines w:val="0"/>
        <w:pageBreakBefore w:val="0"/>
        <w:widowControl/>
        <w:kinsoku w:val="0"/>
        <w:wordWrap/>
        <w:overflowPunct/>
        <w:topLinePunct w:val="0"/>
        <w:autoSpaceDE w:val="0"/>
        <w:autoSpaceDN w:val="0"/>
        <w:bidi w:val="0"/>
        <w:adjustRightInd w:val="0"/>
        <w:snapToGrid w:val="0"/>
        <w:spacing w:line="240" w:lineRule="auto"/>
        <w:ind w:right="13"/>
        <w:jc w:val="center"/>
        <w:textAlignment w:val="baseline"/>
        <w:rPr>
          <w:rFonts w:hint="default" w:ascii="Times New Roman" w:hAnsi="Times New Roman" w:eastAsia="黑体" w:cs="Times New Roman"/>
          <w:color w:val="000000" w:themeColor="text1"/>
          <w:sz w:val="24"/>
          <w:szCs w:val="24"/>
          <w14:textFill>
            <w14:solidFill>
              <w14:schemeClr w14:val="tx1"/>
            </w14:solidFill>
          </w14:textFill>
        </w:rPr>
      </w:pPr>
      <w:r>
        <w:rPr>
          <w:rFonts w:hint="default" w:ascii="Times New Roman" w:hAnsi="Times New Roman" w:eastAsia="黑体" w:cs="Times New Roman"/>
          <w:color w:val="000000" w:themeColor="text1"/>
          <w:sz w:val="24"/>
          <w:szCs w:val="24"/>
          <w14:textFill>
            <w14:solidFill>
              <w14:schemeClr w14:val="tx1"/>
            </w14:solidFill>
          </w14:textFill>
        </w:rPr>
        <w:t>图2.2-1</w:t>
      </w:r>
      <w:r>
        <w:rPr>
          <w:rFonts w:hint="eastAsia" w:ascii="Times New Roman" w:hAnsi="Times New Roman" w:eastAsia="黑体" w:cs="Times New Roman"/>
          <w:b/>
          <w:bCs/>
          <w:color w:val="000000" w:themeColor="text1"/>
          <w:spacing w:val="-4"/>
          <w:sz w:val="24"/>
          <w:szCs w:val="24"/>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pacing w:val="-4"/>
          <w:sz w:val="24"/>
          <w:szCs w:val="24"/>
          <w14:textFill>
            <w14:solidFill>
              <w14:schemeClr w14:val="tx1"/>
            </w14:solidFill>
          </w14:textFill>
        </w:rPr>
        <w:t>本项目第一次网络公示截图</w:t>
      </w:r>
    </w:p>
    <w:p w14:paraId="3D63AE3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2.2.2其他</w:t>
      </w:r>
    </w:p>
    <w:p w14:paraId="66565E2F">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第一次公示期间，未采取其他公示方式。</w:t>
      </w:r>
    </w:p>
    <w:p w14:paraId="73D401BC">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1"/>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11" w:name="_Toc134"/>
      <w:r>
        <w:rPr>
          <w:rFonts w:hint="default" w:ascii="Times New Roman" w:hAnsi="Times New Roman" w:eastAsia="仿宋_GB2312" w:cs="Times New Roman"/>
          <w:b/>
          <w:bCs/>
          <w:color w:val="000000" w:themeColor="text1"/>
          <w:sz w:val="32"/>
          <w:szCs w:val="32"/>
          <w14:textFill>
            <w14:solidFill>
              <w14:schemeClr w14:val="tx1"/>
            </w14:solidFill>
          </w14:textFill>
        </w:rPr>
        <w:t>2.3 公众意见情况</w:t>
      </w:r>
      <w:bookmarkEnd w:id="11"/>
    </w:p>
    <w:p w14:paraId="4EA6EAD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公示期间公示信息处于公开状态，公示公开期间未收到反对意见。</w:t>
      </w:r>
    </w:p>
    <w:p w14:paraId="5250FAF8">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0"/>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12" w:name="_Toc23266"/>
      <w:r>
        <w:rPr>
          <w:rFonts w:hint="default" w:ascii="Times New Roman" w:hAnsi="Times New Roman" w:eastAsia="仿宋_GB2312" w:cs="Times New Roman"/>
          <w:b/>
          <w:bCs/>
          <w:color w:val="000000" w:themeColor="text1"/>
          <w:sz w:val="32"/>
          <w:szCs w:val="32"/>
          <w14:textFill>
            <w14:solidFill>
              <w14:schemeClr w14:val="tx1"/>
            </w14:solidFill>
          </w14:textFill>
        </w:rPr>
        <w:t>3 征求意见稿公示情况</w:t>
      </w:r>
      <w:bookmarkEnd w:id="12"/>
    </w:p>
    <w:p w14:paraId="07873344">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1"/>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13" w:name="_Toc31959"/>
      <w:r>
        <w:rPr>
          <w:rFonts w:hint="default" w:ascii="Times New Roman" w:hAnsi="Times New Roman" w:eastAsia="仿宋_GB2312" w:cs="Times New Roman"/>
          <w:b/>
          <w:bCs/>
          <w:color w:val="000000" w:themeColor="text1"/>
          <w:sz w:val="32"/>
          <w:szCs w:val="32"/>
          <w14:textFill>
            <w14:solidFill>
              <w14:schemeClr w14:val="tx1"/>
            </w14:solidFill>
          </w14:textFill>
        </w:rPr>
        <w:t>3.1 公示内容及时限</w:t>
      </w:r>
      <w:bookmarkEnd w:id="13"/>
    </w:p>
    <w:p w14:paraId="0E6BD84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根据《环境影响评价公众参与办法》（生态环境部 部令第4号）的相关要求，本项目</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生态</w:t>
      </w:r>
      <w:r>
        <w:rPr>
          <w:rFonts w:hint="default" w:ascii="Times New Roman" w:hAnsi="Times New Roman" w:eastAsia="仿宋_GB2312" w:cs="Times New Roman"/>
          <w:color w:val="000000" w:themeColor="text1"/>
          <w:sz w:val="32"/>
          <w:szCs w:val="32"/>
          <w14:textFill>
            <w14:solidFill>
              <w14:schemeClr w14:val="tx1"/>
            </w14:solidFill>
          </w14:textFill>
        </w:rPr>
        <w:t>环境影响报告书征求意见稿完</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成后于202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日（公示时间10个工作日）在新疆维吾尔自治区生态环境保护产业协会进行二次公示，并于202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日在</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新疆法治</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报进行两次报纸公示。202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月在项目所在地张贴了环境影响评价公告。</w:t>
      </w:r>
    </w:p>
    <w:p w14:paraId="62EB512A">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第二次网络公示具体内容为：</w:t>
      </w:r>
    </w:p>
    <w:p w14:paraId="145D262E">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生态</w:t>
      </w:r>
      <w:r>
        <w:rPr>
          <w:rFonts w:hint="default" w:ascii="Times New Roman" w:hAnsi="Times New Roman" w:eastAsia="仿宋_GB2312" w:cs="Times New Roman"/>
          <w:color w:val="000000" w:themeColor="text1"/>
          <w:sz w:val="32"/>
          <w:szCs w:val="32"/>
          <w14:textFill>
            <w14:solidFill>
              <w14:schemeClr w14:val="tx1"/>
            </w14:solidFill>
          </w14:textFill>
        </w:rPr>
        <w:t>环境影响报告书征求意见稿全文的网络链接及查阅纸质报告书的方式和途径；</w:t>
      </w:r>
    </w:p>
    <w:p w14:paraId="3D899A40">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（2）征求意见的公众范围；</w:t>
      </w:r>
    </w:p>
    <w:p w14:paraId="4EE24D65">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（3）公众意见表的网络链接；</w:t>
      </w:r>
    </w:p>
    <w:p w14:paraId="3E4B3008">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（4）公众提出意见的方式和途径；</w:t>
      </w:r>
    </w:p>
    <w:p w14:paraId="4B535BA6">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（5）本项目建设单位的名称和联系方式；</w:t>
      </w:r>
    </w:p>
    <w:p w14:paraId="32B68A81">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（6）环评单位的名称和联系方式；</w:t>
      </w:r>
    </w:p>
    <w:p w14:paraId="407E173F">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（7）公众提出意见的起止时间；</w:t>
      </w:r>
    </w:p>
    <w:p w14:paraId="75710AA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公示时限为10个工作日。</w:t>
      </w:r>
    </w:p>
    <w:p w14:paraId="7B92969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项目</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生态</w:t>
      </w:r>
      <w:r>
        <w:rPr>
          <w:rFonts w:hint="default" w:ascii="Times New Roman" w:hAnsi="Times New Roman" w:eastAsia="仿宋_GB2312" w:cs="Times New Roman"/>
          <w:color w:val="000000" w:themeColor="text1"/>
          <w:sz w:val="32"/>
          <w:szCs w:val="32"/>
          <w14:textFill>
            <w14:solidFill>
              <w14:schemeClr w14:val="tx1"/>
            </w14:solidFill>
          </w14:textFill>
        </w:rPr>
        <w:t>环境影响报告书的征求意见稿的主要内容基本完成，公示的主要内容及时限符合《环境影响评价公众参与办法》要求。</w:t>
      </w:r>
    </w:p>
    <w:p w14:paraId="2EAC6947">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1"/>
        <w:rPr>
          <w:rFonts w:hint="default" w:ascii="Times New Roman" w:hAnsi="Times New Roman" w:eastAsia="仿宋_GB2312" w:cs="Times New Roman"/>
          <w:color w:val="000000" w:themeColor="text1"/>
          <w:sz w:val="32"/>
          <w:szCs w:val="32"/>
          <w14:textFill>
            <w14:solidFill>
              <w14:schemeClr w14:val="tx1"/>
            </w14:solidFill>
          </w14:textFill>
        </w:rPr>
      </w:pPr>
      <w:bookmarkStart w:id="14" w:name="_Toc7883"/>
      <w:r>
        <w:rPr>
          <w:rFonts w:hint="default" w:ascii="Times New Roman" w:hAnsi="Times New Roman" w:eastAsia="仿宋_GB2312" w:cs="Times New Roman"/>
          <w:b/>
          <w:bCs/>
          <w:color w:val="000000" w:themeColor="text1"/>
          <w:sz w:val="32"/>
          <w:szCs w:val="32"/>
          <w14:textFill>
            <w14:solidFill>
              <w14:schemeClr w14:val="tx1"/>
            </w14:solidFill>
          </w14:textFill>
        </w:rPr>
        <w:t>3.2 公示方式</w:t>
      </w:r>
      <w:bookmarkEnd w:id="14"/>
    </w:p>
    <w:p w14:paraId="761BCAB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3.2.1 网络</w:t>
      </w:r>
    </w:p>
    <w:p w14:paraId="07852ABC">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新疆维吾尔自治区喀什地区交通运输局于202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w:t>
      </w:r>
      <w:r>
        <w:rPr>
          <w:rFonts w:hint="default" w:ascii="Times New Roman" w:hAnsi="Times New Roman" w:eastAsia="仿宋_GB2312" w:cs="Times New Roman"/>
          <w:color w:val="000000" w:themeColor="text1"/>
          <w:sz w:val="32"/>
          <w:szCs w:val="32"/>
          <w14:textFill>
            <w14:solidFill>
              <w14:schemeClr w14:val="tx1"/>
            </w14:solidFill>
          </w14:textFill>
        </w:rPr>
        <w:t>在新疆维吾尔自治区生态环境保护产业协会网站（http://www.xjhbcy.cn）上开展环境影响评价第二次网络公示，向公众告知征求意见稿及其网络公众意见调查表的相关信息。公告网址：</w:t>
      </w:r>
      <w:r>
        <w:rPr>
          <w:rFonts w:hint="default" w:ascii="Times New Roman" w:hAnsi="Times New Roman" w:eastAsia="仿宋_GB2312" w:cs="Times New Roman"/>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color w:val="000000" w:themeColor="text1"/>
          <w:sz w:val="32"/>
          <w:szCs w:val="32"/>
          <w14:textFill>
            <w14:solidFill>
              <w14:schemeClr w14:val="tx1"/>
            </w14:solidFill>
          </w14:textFill>
        </w:rPr>
        <w:instrText xml:space="preserve"> HYPERLINK "http://www.xjhbcy.cn/blog/article/12984，载体选择符合《环境影响评价公众参与办法》要求。征求意见稿网络公示截图见图3.2-1。" </w:instrText>
      </w:r>
      <w:r>
        <w:rPr>
          <w:rFonts w:hint="default" w:ascii="Times New Roman" w:hAnsi="Times New Roman" w:eastAsia="仿宋_GB2312" w:cs="Times New Roman"/>
          <w:color w:val="000000" w:themeColor="text1"/>
          <w:sz w:val="32"/>
          <w:szCs w:val="32"/>
          <w14:textFill>
            <w14:solidFill>
              <w14:schemeClr w14:val="tx1"/>
            </w14:solidFill>
          </w14:textFill>
        </w:rPr>
        <w:fldChar w:fldCharType="separate"/>
      </w:r>
      <w:r>
        <w:rPr>
          <w:rFonts w:hint="default" w:ascii="Times New Roman" w:hAnsi="Times New Roman" w:eastAsia="仿宋_GB2312" w:cs="Times New Roman"/>
          <w:color w:val="000000" w:themeColor="text1"/>
          <w:sz w:val="32"/>
          <w:szCs w:val="32"/>
          <w14:textFill>
            <w14:solidFill>
              <w14:schemeClr w14:val="tx1"/>
            </w14:solidFill>
          </w14:textFill>
        </w:rPr>
        <w:t>http://www.xjhbcy.cn/articles/show/17870，载体选择符合《环境影响评价公众参与办法》要求。征求意见稿网络公示截图见图3.2-1</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fldChar w:fldCharType="end"/>
      </w:r>
    </w:p>
    <w:p w14:paraId="3CF748FC">
      <w:pPr>
        <w:pStyle w:val="11"/>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lang w:eastAsia="zh-CN"/>
          <w14:textFill>
            <w14:solidFill>
              <w14:schemeClr w14:val="tx1"/>
            </w14:solidFill>
          </w14:textFill>
        </w:rPr>
      </w:pPr>
      <w:r>
        <w:drawing>
          <wp:inline distT="0" distB="0" distL="114300" distR="114300">
            <wp:extent cx="5268595" cy="2924175"/>
            <wp:effectExtent l="0" t="0" r="8255" b="952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5268595" cy="2924175"/>
                    </a:xfrm>
                    <a:prstGeom prst="rect">
                      <a:avLst/>
                    </a:prstGeom>
                    <a:noFill/>
                    <a:ln>
                      <a:noFill/>
                    </a:ln>
                  </pic:spPr>
                </pic:pic>
              </a:graphicData>
            </a:graphic>
          </wp:inline>
        </w:drawing>
      </w:r>
    </w:p>
    <w:p w14:paraId="10090567">
      <w:pPr>
        <w:pStyle w:val="1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eastAsia="黑体" w:cs="Times New Roman"/>
          <w:color w:val="000000" w:themeColor="text1"/>
          <w:spacing w:val="-2"/>
          <w:sz w:val="24"/>
          <w:szCs w:val="24"/>
          <w:highlight w:val="none"/>
          <w14:textFill>
            <w14:solidFill>
              <w14:schemeClr w14:val="tx1"/>
            </w14:solidFill>
          </w14:textFill>
        </w:rPr>
        <w:t>图3.2-1</w:t>
      </w:r>
      <w:r>
        <w:rPr>
          <w:rFonts w:hint="eastAsia"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pacing w:val="-2"/>
          <w:sz w:val="24"/>
          <w:szCs w:val="24"/>
          <w:highlight w:val="none"/>
          <w14:textFill>
            <w14:solidFill>
              <w14:schemeClr w14:val="tx1"/>
            </w14:solidFill>
          </w14:textFill>
        </w:rPr>
        <w:t>本项目征求意见稿网络公示截图</w:t>
      </w:r>
    </w:p>
    <w:p w14:paraId="28EA124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3.2.2 报纸</w:t>
      </w:r>
    </w:p>
    <w:p w14:paraId="7DB6BB75">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新疆维吾尔自治区喀什地区交通运输局分别于</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202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日及202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w:t>
      </w:r>
      <w:r>
        <w:rPr>
          <w:rFonts w:hint="default" w:ascii="Times New Roman" w:hAnsi="Times New Roman" w:eastAsia="仿宋_GB2312" w:cs="Times New Roman"/>
          <w:color w:val="000000" w:themeColor="text1"/>
          <w:sz w:val="32"/>
          <w:szCs w:val="32"/>
          <w14:textFill>
            <w14:solidFill>
              <w14:schemeClr w14:val="tx1"/>
            </w14:solidFill>
          </w14:textFill>
        </w:rPr>
        <w:t>在项目所在地的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新疆法治</w:t>
      </w:r>
      <w:r>
        <w:rPr>
          <w:rFonts w:hint="default" w:ascii="Times New Roman" w:hAnsi="Times New Roman" w:eastAsia="仿宋_GB2312" w:cs="Times New Roman"/>
          <w:color w:val="000000" w:themeColor="text1"/>
          <w:sz w:val="32"/>
          <w:szCs w:val="32"/>
          <w14:textFill>
            <w14:solidFill>
              <w14:schemeClr w14:val="tx1"/>
            </w14:solidFill>
          </w14:textFill>
        </w:rPr>
        <w:t>报对项目的环境影响评价信息进行了两次公告。载体选择符合《环境影响评价公众参与办法》要求。</w:t>
      </w:r>
    </w:p>
    <w:p w14:paraId="732FE10F">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征求意见稿两次报纸公示截图见图3.2-2及图3.2-3</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1E585B6E">
      <w:pPr>
        <w:pStyle w:val="1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黑体" w:cs="Times New Roman"/>
          <w:color w:val="000000" w:themeColor="text1"/>
          <w:spacing w:val="-3"/>
          <w:sz w:val="24"/>
          <w:szCs w:val="24"/>
          <w:highlight w:val="none"/>
          <w14:textFill>
            <w14:solidFill>
              <w14:schemeClr w14:val="tx1"/>
            </w14:solidFill>
          </w14:textFill>
        </w:rPr>
      </w:pPr>
    </w:p>
    <w:p w14:paraId="7373DDD8">
      <w:pPr>
        <w:pStyle w:val="1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黑体" w:cs="Times New Roman"/>
          <w:color w:val="000000" w:themeColor="text1"/>
          <w:spacing w:val="-3"/>
          <w:sz w:val="24"/>
          <w:szCs w:val="24"/>
          <w:highlight w:val="none"/>
          <w14:textFill>
            <w14:solidFill>
              <w14:schemeClr w14:val="tx1"/>
            </w14:solidFill>
          </w14:textFill>
        </w:rPr>
      </w:pPr>
      <w:r>
        <w:rPr>
          <w:rFonts w:hint="default" w:ascii="Times New Roman" w:hAnsi="Times New Roman" w:eastAsia="黑体" w:cs="Times New Roman"/>
          <w:color w:val="000000" w:themeColor="text1"/>
          <w:spacing w:val="-3"/>
          <w:sz w:val="24"/>
          <w:szCs w:val="24"/>
          <w:highlight w:val="none"/>
          <w14:textFill>
            <w14:solidFill>
              <w14:schemeClr w14:val="tx1"/>
            </w14:solidFill>
          </w14:textFill>
        </w:rPr>
        <w:drawing>
          <wp:inline distT="0" distB="0" distL="114300" distR="114300">
            <wp:extent cx="5269230" cy="6896100"/>
            <wp:effectExtent l="0" t="0" r="0" b="0"/>
            <wp:docPr id="5" name="图片 5" descr="报纸公示20260803-G315线喀什至托帕公路建设项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报纸公示20260803-G315线喀什至托帕公路建设项目_01"/>
                    <pic:cNvPicPr>
                      <a:picLocks noChangeAspect="1"/>
                    </pic:cNvPicPr>
                  </pic:nvPicPr>
                  <pic:blipFill>
                    <a:blip r:embed="rId8"/>
                    <a:srcRect b="7464"/>
                    <a:stretch>
                      <a:fillRect/>
                    </a:stretch>
                  </pic:blipFill>
                  <pic:spPr>
                    <a:xfrm>
                      <a:off x="0" y="0"/>
                      <a:ext cx="5269230" cy="6896100"/>
                    </a:xfrm>
                    <a:prstGeom prst="rect">
                      <a:avLst/>
                    </a:prstGeom>
                  </pic:spPr>
                </pic:pic>
              </a:graphicData>
            </a:graphic>
          </wp:inline>
        </w:drawing>
      </w:r>
      <w:r>
        <w:rPr>
          <w:rFonts w:hint="default" w:ascii="Times New Roman" w:hAnsi="Times New Roman" w:eastAsia="黑体" w:cs="Times New Roman"/>
          <w:color w:val="000000" w:themeColor="text1"/>
          <w:spacing w:val="-3"/>
          <w:sz w:val="24"/>
          <w:szCs w:val="24"/>
          <w:highlight w:val="none"/>
          <w14:textFill>
            <w14:solidFill>
              <w14:schemeClr w14:val="tx1"/>
            </w14:solidFill>
          </w14:textFill>
        </w:rPr>
        <w:t>图</w:t>
      </w:r>
      <w:r>
        <w:rPr>
          <w:rFonts w:hint="default" w:ascii="Times New Roman" w:hAnsi="Times New Roman" w:eastAsia="黑体" w:cs="Times New Roman"/>
          <w:color w:val="000000" w:themeColor="text1"/>
          <w:spacing w:val="-37"/>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pacing w:val="-3"/>
          <w:sz w:val="24"/>
          <w:szCs w:val="24"/>
          <w:highlight w:val="none"/>
          <w14:textFill>
            <w14:solidFill>
              <w14:schemeClr w14:val="tx1"/>
            </w14:solidFill>
          </w14:textFill>
        </w:rPr>
        <w:t>3.2-2</w:t>
      </w:r>
      <w:r>
        <w:rPr>
          <w:rFonts w:hint="eastAsia" w:ascii="Times New Roman" w:hAnsi="Times New Roman" w:cs="Times New Roman"/>
          <w:color w:val="000000" w:themeColor="text1"/>
          <w:spacing w:val="-3"/>
          <w:sz w:val="24"/>
          <w:szCs w:val="24"/>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pacing w:val="-3"/>
          <w:sz w:val="24"/>
          <w:szCs w:val="24"/>
          <w:highlight w:val="none"/>
          <w14:textFill>
            <w14:solidFill>
              <w14:schemeClr w14:val="tx1"/>
            </w14:solidFill>
          </w14:textFill>
        </w:rPr>
        <w:t>本项目第一次报纸公示照片</w:t>
      </w:r>
    </w:p>
    <w:p w14:paraId="0DD0C55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黑体" w:cs="Times New Roman"/>
          <w:color w:val="000000" w:themeColor="text1"/>
          <w:spacing w:val="-3"/>
          <w:sz w:val="24"/>
          <w:szCs w:val="24"/>
          <w:highlight w:val="none"/>
          <w:lang w:eastAsia="zh-CN"/>
          <w14:textFill>
            <w14:solidFill>
              <w14:schemeClr w14:val="tx1"/>
            </w14:solidFill>
          </w14:textFill>
        </w:rPr>
      </w:pPr>
    </w:p>
    <w:p w14:paraId="73C1BE0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黑体" w:cs="Times New Roman"/>
          <w:color w:val="000000" w:themeColor="text1"/>
          <w:spacing w:val="-3"/>
          <w:sz w:val="24"/>
          <w:szCs w:val="24"/>
          <w:highlight w:val="none"/>
          <w:lang w:eastAsia="zh-CN"/>
          <w14:textFill>
            <w14:solidFill>
              <w14:schemeClr w14:val="tx1"/>
            </w14:solidFill>
          </w14:textFill>
        </w:rPr>
      </w:pPr>
      <w:r>
        <w:rPr>
          <w:rFonts w:hint="eastAsia" w:ascii="Times New Roman" w:hAnsi="Times New Roman" w:eastAsia="黑体" w:cs="Times New Roman"/>
          <w:color w:val="000000" w:themeColor="text1"/>
          <w:spacing w:val="-3"/>
          <w:sz w:val="24"/>
          <w:szCs w:val="24"/>
          <w:highlight w:val="none"/>
          <w:lang w:eastAsia="zh-CN"/>
          <w14:textFill>
            <w14:solidFill>
              <w14:schemeClr w14:val="tx1"/>
            </w14:solidFill>
          </w14:textFill>
        </w:rPr>
        <w:drawing>
          <wp:inline distT="0" distB="0" distL="114300" distR="114300">
            <wp:extent cx="5269230" cy="6917055"/>
            <wp:effectExtent l="0" t="0" r="0" b="0"/>
            <wp:docPr id="6" name="图片 6" descr="报纸公示20260804-G315线喀什至托帕公路建设项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报纸公示20260804-G315线喀什至托帕公路建设项目_01"/>
                    <pic:cNvPicPr>
                      <a:picLocks noChangeAspect="1"/>
                    </pic:cNvPicPr>
                  </pic:nvPicPr>
                  <pic:blipFill>
                    <a:blip r:embed="rId9"/>
                    <a:srcRect b="7183"/>
                    <a:stretch>
                      <a:fillRect/>
                    </a:stretch>
                  </pic:blipFill>
                  <pic:spPr>
                    <a:xfrm>
                      <a:off x="0" y="0"/>
                      <a:ext cx="5269230" cy="6917055"/>
                    </a:xfrm>
                    <a:prstGeom prst="rect">
                      <a:avLst/>
                    </a:prstGeom>
                  </pic:spPr>
                </pic:pic>
              </a:graphicData>
            </a:graphic>
          </wp:inline>
        </w:drawing>
      </w:r>
    </w:p>
    <w:p w14:paraId="61CA5A49">
      <w:pPr>
        <w:pStyle w:val="11"/>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eastAsia="黑体" w:cs="Times New Roman"/>
          <w:color w:val="000000" w:themeColor="text1"/>
          <w:spacing w:val="-2"/>
          <w:sz w:val="24"/>
          <w:szCs w:val="24"/>
          <w:highlight w:val="none"/>
          <w14:textFill>
            <w14:solidFill>
              <w14:schemeClr w14:val="tx1"/>
            </w14:solidFill>
          </w14:textFill>
        </w:rPr>
        <w:t>图</w:t>
      </w:r>
      <w:r>
        <w:rPr>
          <w:rFonts w:hint="default" w:ascii="Times New Roman" w:hAnsi="Times New Roman" w:eastAsia="黑体" w:cs="Times New Roman"/>
          <w:color w:val="000000" w:themeColor="text1"/>
          <w:spacing w:val="-49"/>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pacing w:val="-2"/>
          <w:sz w:val="24"/>
          <w:szCs w:val="24"/>
          <w:highlight w:val="none"/>
          <w14:textFill>
            <w14:solidFill>
              <w14:schemeClr w14:val="tx1"/>
            </w14:solidFill>
          </w14:textFill>
        </w:rPr>
        <w:t>3.2-</w:t>
      </w:r>
      <w:r>
        <w:rPr>
          <w:rFonts w:hint="default"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3</w:t>
      </w:r>
      <w:r>
        <w:rPr>
          <w:rFonts w:hint="eastAsia" w:ascii="Times New Roman" w:hAnsi="Times New Roman" w:cs="Times New Roman"/>
          <w:color w:val="000000" w:themeColor="text1"/>
          <w:spacing w:val="-2"/>
          <w:sz w:val="24"/>
          <w:szCs w:val="24"/>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pacing w:val="-2"/>
          <w:sz w:val="24"/>
          <w:szCs w:val="24"/>
          <w:highlight w:val="none"/>
          <w14:textFill>
            <w14:solidFill>
              <w14:schemeClr w14:val="tx1"/>
            </w14:solidFill>
          </w14:textFill>
        </w:rPr>
        <w:t>本项目第二次报纸公示照片</w:t>
      </w:r>
    </w:p>
    <w:p w14:paraId="4F89EC8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3F7EEBA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3.2.3 张贴</w:t>
      </w:r>
    </w:p>
    <w:p w14:paraId="49D2B955">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在第二次公示期间，本项目在项目所在地公示栏进行了张贴公示，载体选择符合《环境影响评价公众参与办法》要求。张贴公示照片见图3.2-4。</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14:paraId="5E787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05EA8B81">
            <w:pPr>
              <w:pStyle w:val="11"/>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color w:val="000000" w:themeColor="text1"/>
                <w:sz w:val="32"/>
                <w:szCs w:val="32"/>
                <w:highlight w:val="none"/>
                <w:vertAlign w:val="baseli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vertAlign w:val="baseline"/>
                <w:lang w:eastAsia="zh-CN"/>
                <w14:textFill>
                  <w14:solidFill>
                    <w14:schemeClr w14:val="tx1"/>
                  </w14:solidFill>
                </w14:textFill>
              </w:rPr>
              <w:drawing>
                <wp:inline distT="0" distB="0" distL="114300" distR="114300">
                  <wp:extent cx="2560320" cy="1706880"/>
                  <wp:effectExtent l="0" t="0" r="11430" b="7620"/>
                  <wp:docPr id="2" name="图片 2" descr="微信图片_20260831102215_2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831102215_25_1"/>
                          <pic:cNvPicPr>
                            <a:picLocks noChangeAspect="1"/>
                          </pic:cNvPicPr>
                        </pic:nvPicPr>
                        <pic:blipFill>
                          <a:blip r:embed="rId10"/>
                          <a:stretch>
                            <a:fillRect/>
                          </a:stretch>
                        </pic:blipFill>
                        <pic:spPr>
                          <a:xfrm>
                            <a:off x="0" y="0"/>
                            <a:ext cx="2560320" cy="1706880"/>
                          </a:xfrm>
                          <a:prstGeom prst="rect">
                            <a:avLst/>
                          </a:prstGeom>
                        </pic:spPr>
                      </pic:pic>
                    </a:graphicData>
                  </a:graphic>
                </wp:inline>
              </w:drawing>
            </w:r>
          </w:p>
        </w:tc>
        <w:tc>
          <w:tcPr>
            <w:tcW w:w="4261" w:type="dxa"/>
          </w:tcPr>
          <w:p w14:paraId="1653890D">
            <w:pPr>
              <w:pStyle w:val="11"/>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color w:val="000000" w:themeColor="text1"/>
                <w:sz w:val="32"/>
                <w:szCs w:val="32"/>
                <w:highlight w:val="none"/>
                <w:vertAlign w:val="baseli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vertAlign w:val="baseline"/>
                <w:lang w:eastAsia="zh-CN"/>
                <w14:textFill>
                  <w14:solidFill>
                    <w14:schemeClr w14:val="tx1"/>
                  </w14:solidFill>
                </w14:textFill>
              </w:rPr>
              <w:drawing>
                <wp:inline distT="0" distB="0" distL="114300" distR="114300">
                  <wp:extent cx="2564765" cy="1710055"/>
                  <wp:effectExtent l="0" t="0" r="6985" b="4445"/>
                  <wp:docPr id="8" name="图片 8" descr="微信图片_20260831102209_2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831102209_23_1"/>
                          <pic:cNvPicPr>
                            <a:picLocks noChangeAspect="1"/>
                          </pic:cNvPicPr>
                        </pic:nvPicPr>
                        <pic:blipFill>
                          <a:blip r:embed="rId11"/>
                          <a:stretch>
                            <a:fillRect/>
                          </a:stretch>
                        </pic:blipFill>
                        <pic:spPr>
                          <a:xfrm>
                            <a:off x="0" y="0"/>
                            <a:ext cx="2564765" cy="1710055"/>
                          </a:xfrm>
                          <a:prstGeom prst="rect">
                            <a:avLst/>
                          </a:prstGeom>
                        </pic:spPr>
                      </pic:pic>
                    </a:graphicData>
                  </a:graphic>
                </wp:inline>
              </w:drawing>
            </w:r>
          </w:p>
        </w:tc>
      </w:tr>
    </w:tbl>
    <w:p w14:paraId="0EF00025">
      <w:pPr>
        <w:pStyle w:val="1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highlight w:val="red"/>
          <w14:textFill>
            <w14:solidFill>
              <w14:schemeClr w14:val="tx1"/>
            </w14:solidFill>
          </w14:textFill>
        </w:rPr>
      </w:pPr>
      <w:r>
        <w:rPr>
          <w:rFonts w:hint="default" w:ascii="Times New Roman" w:hAnsi="Times New Roman" w:eastAsia="黑体" w:cs="Times New Roman"/>
          <w:color w:val="000000" w:themeColor="text1"/>
          <w:sz w:val="24"/>
          <w:highlight w:val="none"/>
          <w14:textFill>
            <w14:solidFill>
              <w14:schemeClr w14:val="tx1"/>
            </w14:solidFill>
          </w14:textFill>
        </w:rPr>
        <w:t>图3.2-4</w:t>
      </w:r>
      <w:r>
        <w:rPr>
          <w:rFonts w:hint="eastAsia" w:ascii="Times New Roman" w:hAnsi="Times New Roman" w:eastAsia="黑体"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4"/>
          <w:highlight w:val="none"/>
          <w14:textFill>
            <w14:solidFill>
              <w14:schemeClr w14:val="tx1"/>
            </w14:solidFill>
          </w14:textFill>
        </w:rPr>
        <w:t>本项目张贴公示栏照片</w:t>
      </w:r>
    </w:p>
    <w:p w14:paraId="688E324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3.2.4其他</w:t>
      </w:r>
    </w:p>
    <w:p w14:paraId="0945378E">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征求意见稿公示期间，公示信息处于公开状态，新疆维吾尔自治区喀什地区交通运输局公示公开期间未收到公众通过现场、网络、电话及书信等方式提出的意见。</w:t>
      </w:r>
    </w:p>
    <w:p w14:paraId="382CA26D">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1"/>
        <w:rPr>
          <w:rFonts w:hint="default" w:ascii="Times New Roman" w:hAnsi="Times New Roman" w:eastAsia="仿宋_GB2312" w:cs="Times New Roman"/>
          <w:color w:val="000000" w:themeColor="text1"/>
          <w:sz w:val="32"/>
          <w:szCs w:val="32"/>
          <w14:textFill>
            <w14:solidFill>
              <w14:schemeClr w14:val="tx1"/>
            </w14:solidFill>
          </w14:textFill>
        </w:rPr>
      </w:pPr>
      <w:bookmarkStart w:id="15" w:name="_Toc4266"/>
      <w:r>
        <w:rPr>
          <w:rFonts w:hint="default" w:ascii="Times New Roman" w:hAnsi="Times New Roman" w:eastAsia="仿宋_GB2312" w:cs="Times New Roman"/>
          <w:b/>
          <w:bCs/>
          <w:color w:val="000000" w:themeColor="text1"/>
          <w:sz w:val="32"/>
          <w:szCs w:val="32"/>
          <w14:textFill>
            <w14:solidFill>
              <w14:schemeClr w14:val="tx1"/>
            </w14:solidFill>
          </w14:textFill>
        </w:rPr>
        <w:t>3.3查阅情况</w:t>
      </w:r>
      <w:bookmarkEnd w:id="15"/>
    </w:p>
    <w:p w14:paraId="0B297CBE">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新疆维吾尔自治区喀什地区交通运输局在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项目</w:t>
      </w:r>
      <w:r>
        <w:rPr>
          <w:rFonts w:hint="default" w:ascii="Times New Roman" w:hAnsi="Times New Roman" w:eastAsia="仿宋_GB2312" w:cs="Times New Roman"/>
          <w:color w:val="000000" w:themeColor="text1"/>
          <w:sz w:val="32"/>
          <w:szCs w:val="32"/>
          <w14:textFill>
            <w14:solidFill>
              <w14:schemeClr w14:val="tx1"/>
            </w14:solidFill>
          </w14:textFill>
        </w:rPr>
        <w:t>所在地设置征求意见稿查阅场所并提供纸质版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生态</w:t>
      </w:r>
      <w:r>
        <w:rPr>
          <w:rFonts w:hint="default" w:ascii="Times New Roman" w:hAnsi="Times New Roman" w:eastAsia="仿宋_GB2312" w:cs="Times New Roman"/>
          <w:color w:val="000000" w:themeColor="text1"/>
          <w:sz w:val="32"/>
          <w:szCs w:val="32"/>
          <w14:textFill>
            <w14:solidFill>
              <w14:schemeClr w14:val="tx1"/>
            </w14:solidFill>
          </w14:textFill>
        </w:rPr>
        <w:t>环境影响报告书征求意见稿。无公众前来索取或查阅征求意见稿。</w:t>
      </w:r>
    </w:p>
    <w:p w14:paraId="203F9415">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1"/>
        <w:rPr>
          <w:rFonts w:hint="default" w:ascii="Times New Roman" w:hAnsi="Times New Roman" w:eastAsia="仿宋_GB2312" w:cs="Times New Roman"/>
          <w:color w:val="000000" w:themeColor="text1"/>
          <w:sz w:val="32"/>
          <w:szCs w:val="32"/>
          <w14:textFill>
            <w14:solidFill>
              <w14:schemeClr w14:val="tx1"/>
            </w14:solidFill>
          </w14:textFill>
        </w:rPr>
      </w:pPr>
      <w:bookmarkStart w:id="16" w:name="_Toc9807"/>
      <w:r>
        <w:rPr>
          <w:rFonts w:hint="default" w:ascii="Times New Roman" w:hAnsi="Times New Roman" w:eastAsia="仿宋_GB2312" w:cs="Times New Roman"/>
          <w:b/>
          <w:bCs/>
          <w:color w:val="000000" w:themeColor="text1"/>
          <w:sz w:val="32"/>
          <w:szCs w:val="32"/>
          <w14:textFill>
            <w14:solidFill>
              <w14:schemeClr w14:val="tx1"/>
            </w14:solidFill>
          </w14:textFill>
        </w:rPr>
        <w:t>3.4公众提出意见情况</w:t>
      </w:r>
      <w:bookmarkEnd w:id="16"/>
    </w:p>
    <w:p w14:paraId="66828904">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征求意见稿公示期间，公示信息处于公开状态，公示公开期间未收到公众通过现场、网络、电话及书信等方式提出的意见。</w:t>
      </w:r>
    </w:p>
    <w:p w14:paraId="29B0F395">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0"/>
        <w:rPr>
          <w:rFonts w:hint="default" w:ascii="Times New Roman" w:hAnsi="Times New Roman" w:eastAsia="仿宋_GB2312" w:cs="Times New Roman"/>
          <w:color w:val="000000" w:themeColor="text1"/>
          <w:sz w:val="32"/>
          <w:szCs w:val="32"/>
          <w14:textFill>
            <w14:solidFill>
              <w14:schemeClr w14:val="tx1"/>
            </w14:solidFill>
          </w14:textFill>
        </w:rPr>
      </w:pPr>
      <w:bookmarkStart w:id="17" w:name="_Toc3145"/>
      <w:r>
        <w:rPr>
          <w:rFonts w:hint="default" w:ascii="Times New Roman" w:hAnsi="Times New Roman" w:eastAsia="仿宋_GB2312" w:cs="Times New Roman"/>
          <w:b/>
          <w:bCs/>
          <w:color w:val="000000" w:themeColor="text1"/>
          <w:sz w:val="32"/>
          <w:szCs w:val="32"/>
          <w14:textFill>
            <w14:solidFill>
              <w14:schemeClr w14:val="tx1"/>
            </w14:solidFill>
          </w14:textFill>
        </w:rPr>
        <w:t>4其他公众参与情况</w:t>
      </w:r>
      <w:bookmarkEnd w:id="17"/>
    </w:p>
    <w:p w14:paraId="69CB5B0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由于本项目未收到公众对环境影响方面提出的反馈意见，故未开展公众座谈会、听证会、专家论证会等深度公众参与，符合《环境影响评价公众参与办法》要求。</w:t>
      </w:r>
    </w:p>
    <w:p w14:paraId="32BACFD6">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0"/>
        <w:rPr>
          <w:rFonts w:hint="default" w:ascii="Times New Roman" w:hAnsi="Times New Roman" w:eastAsia="仿宋_GB2312" w:cs="Times New Roman"/>
          <w:color w:val="000000" w:themeColor="text1"/>
          <w:sz w:val="32"/>
          <w:szCs w:val="32"/>
          <w14:textFill>
            <w14:solidFill>
              <w14:schemeClr w14:val="tx1"/>
            </w14:solidFill>
          </w14:textFill>
        </w:rPr>
      </w:pPr>
      <w:bookmarkStart w:id="18" w:name="_Toc27536"/>
      <w:r>
        <w:rPr>
          <w:rFonts w:hint="default" w:ascii="Times New Roman" w:hAnsi="Times New Roman" w:eastAsia="仿宋_GB2312" w:cs="Times New Roman"/>
          <w:b/>
          <w:bCs/>
          <w:color w:val="000000" w:themeColor="text1"/>
          <w:sz w:val="32"/>
          <w:szCs w:val="32"/>
          <w14:textFill>
            <w14:solidFill>
              <w14:schemeClr w14:val="tx1"/>
            </w14:solidFill>
          </w14:textFill>
        </w:rPr>
        <w:t>5 公众意见处理情况</w:t>
      </w:r>
      <w:bookmarkEnd w:id="18"/>
    </w:p>
    <w:p w14:paraId="1B7FCD3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新疆维吾尔自治区喀什地区交通运输局未收到公众通过网络、电话及书信等方式提出的意见。</w:t>
      </w:r>
    </w:p>
    <w:p w14:paraId="2BCEACEA">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1"/>
        <w:rPr>
          <w:rFonts w:hint="eastAsia" w:ascii="Times New Roman" w:hAnsi="Times New Roman" w:eastAsia="仿宋_GB2312" w:cs="Times New Roman"/>
          <w:b/>
          <w:bCs/>
          <w:color w:val="000000" w:themeColor="text1"/>
          <w:sz w:val="32"/>
          <w:szCs w:val="32"/>
          <w14:textFill>
            <w14:solidFill>
              <w14:schemeClr w14:val="tx1"/>
            </w14:solidFill>
          </w14:textFill>
        </w:rPr>
      </w:pPr>
      <w:bookmarkStart w:id="19" w:name="_Toc18506"/>
      <w:r>
        <w:rPr>
          <w:rFonts w:hint="eastAsia" w:ascii="Times New Roman" w:hAnsi="Times New Roman" w:eastAsia="仿宋_GB2312" w:cs="Times New Roman"/>
          <w:b/>
          <w:bCs/>
          <w:color w:val="000000" w:themeColor="text1"/>
          <w:sz w:val="32"/>
          <w:szCs w:val="32"/>
          <w14:textFill>
            <w14:solidFill>
              <w14:schemeClr w14:val="tx1"/>
            </w14:solidFill>
          </w14:textFill>
        </w:rPr>
        <w:t>5.1 公众意见概述和分析</w:t>
      </w:r>
      <w:bookmarkEnd w:id="19"/>
    </w:p>
    <w:p w14:paraId="3AD35D28">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本次公众参与调查在公参调查期间未收到与本环评相关的意见。</w:t>
      </w:r>
    </w:p>
    <w:p w14:paraId="41F0B35E">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1"/>
        <w:rPr>
          <w:rFonts w:hint="eastAsia" w:ascii="Times New Roman" w:hAnsi="Times New Roman" w:eastAsia="仿宋_GB2312" w:cs="Times New Roman"/>
          <w:b/>
          <w:bCs/>
          <w:color w:val="000000" w:themeColor="text1"/>
          <w:sz w:val="32"/>
          <w:szCs w:val="32"/>
          <w14:textFill>
            <w14:solidFill>
              <w14:schemeClr w14:val="tx1"/>
            </w14:solidFill>
          </w14:textFill>
        </w:rPr>
      </w:pPr>
      <w:bookmarkStart w:id="20" w:name="_Toc30687"/>
      <w:r>
        <w:rPr>
          <w:rFonts w:hint="eastAsia" w:ascii="Times New Roman" w:hAnsi="Times New Roman" w:eastAsia="仿宋_GB2312" w:cs="Times New Roman"/>
          <w:b/>
          <w:bCs/>
          <w:color w:val="000000" w:themeColor="text1"/>
          <w:sz w:val="32"/>
          <w:szCs w:val="32"/>
          <w14:textFill>
            <w14:solidFill>
              <w14:schemeClr w14:val="tx1"/>
            </w14:solidFill>
          </w14:textFill>
        </w:rPr>
        <w:t>5.2 公众意见采纳情况</w:t>
      </w:r>
      <w:bookmarkEnd w:id="20"/>
    </w:p>
    <w:p w14:paraId="28D7C080">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本次公众参与调查在公参调查期间未收到与本环评相关的意见。</w:t>
      </w:r>
    </w:p>
    <w:p w14:paraId="40888335">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1"/>
        <w:rPr>
          <w:rFonts w:hint="eastAsia" w:ascii="Times New Roman" w:hAnsi="Times New Roman" w:eastAsia="仿宋_GB2312" w:cs="Times New Roman"/>
          <w:b/>
          <w:bCs/>
          <w:color w:val="000000" w:themeColor="text1"/>
          <w:sz w:val="32"/>
          <w:szCs w:val="32"/>
          <w14:textFill>
            <w14:solidFill>
              <w14:schemeClr w14:val="tx1"/>
            </w14:solidFill>
          </w14:textFill>
        </w:rPr>
      </w:pPr>
      <w:bookmarkStart w:id="21" w:name="_Toc14212"/>
      <w:r>
        <w:rPr>
          <w:rFonts w:hint="eastAsia" w:ascii="Times New Roman" w:hAnsi="Times New Roman" w:eastAsia="仿宋_GB2312" w:cs="Times New Roman"/>
          <w:b/>
          <w:bCs/>
          <w:color w:val="000000" w:themeColor="text1"/>
          <w:sz w:val="32"/>
          <w:szCs w:val="32"/>
          <w14:textFill>
            <w14:solidFill>
              <w14:schemeClr w14:val="tx1"/>
            </w14:solidFill>
          </w14:textFill>
        </w:rPr>
        <w:t>5.3 公众意见未采纳情况</w:t>
      </w:r>
      <w:bookmarkEnd w:id="21"/>
    </w:p>
    <w:p w14:paraId="03253BB7">
      <w:pPr>
        <w:pStyle w:val="11"/>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本次公众参与调查在公参调查期间未收到与本环评相关的意见。</w:t>
      </w:r>
    </w:p>
    <w:p w14:paraId="06EE61A6">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0"/>
        <w:rPr>
          <w:rFonts w:hint="default" w:ascii="Times New Roman" w:hAnsi="Times New Roman" w:eastAsia="仿宋_GB2312" w:cs="Times New Roman"/>
          <w:b/>
          <w:bCs/>
          <w:sz w:val="32"/>
          <w:szCs w:val="32"/>
          <w:highlight w:val="none"/>
        </w:rPr>
      </w:pPr>
      <w:bookmarkStart w:id="22" w:name="_Toc29181"/>
      <w:bookmarkStart w:id="23" w:name="_Toc28251"/>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 xml:space="preserve"> </w:t>
      </w:r>
      <w:r>
        <w:rPr>
          <w:rFonts w:hint="default" w:ascii="Times New Roman" w:hAnsi="Times New Roman" w:eastAsia="仿宋_GB2312" w:cs="Times New Roman"/>
          <w:b/>
          <w:bCs/>
          <w:sz w:val="32"/>
          <w:szCs w:val="32"/>
          <w:highlight w:val="none"/>
        </w:rPr>
        <w:t>报批前公开情况</w:t>
      </w:r>
      <w:bookmarkEnd w:id="22"/>
      <w:bookmarkEnd w:id="23"/>
    </w:p>
    <w:p w14:paraId="3848538E">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1"/>
        <w:rPr>
          <w:rFonts w:hint="default" w:ascii="Times New Roman" w:hAnsi="Times New Roman" w:eastAsia="仿宋_GB2312" w:cs="Times New Roman"/>
          <w:b/>
          <w:bCs/>
          <w:sz w:val="32"/>
          <w:szCs w:val="32"/>
          <w:highlight w:val="none"/>
        </w:rPr>
      </w:pPr>
      <w:bookmarkStart w:id="24" w:name="_Toc12967"/>
      <w:bookmarkStart w:id="25" w:name="_Toc10693"/>
      <w:bookmarkStart w:id="26" w:name="_Toc1460"/>
      <w:r>
        <w:rPr>
          <w:rFonts w:hint="default" w:ascii="Times New Roman" w:hAnsi="Times New Roman" w:eastAsia="仿宋_GB2312" w:cs="Times New Roman"/>
          <w:b/>
          <w:bCs/>
          <w:sz w:val="32"/>
          <w:szCs w:val="32"/>
          <w:highlight w:val="none"/>
        </w:rPr>
        <w:t>6.1 公开内容及日期</w:t>
      </w:r>
      <w:bookmarkEnd w:id="24"/>
      <w:bookmarkEnd w:id="25"/>
      <w:bookmarkEnd w:id="26"/>
    </w:p>
    <w:p w14:paraId="67A8D5FC">
      <w:pPr>
        <w:pStyle w:val="12"/>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31</w:t>
      </w:r>
      <w:r>
        <w:rPr>
          <w:rFonts w:hint="default" w:ascii="Times New Roman" w:hAnsi="Times New Roman" w:eastAsia="仿宋_GB2312" w:cs="Times New Roman"/>
          <w:sz w:val="32"/>
          <w:szCs w:val="32"/>
          <w:highlight w:val="none"/>
        </w:rPr>
        <w:t>日</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新疆维吾尔自治区喀什地区交通运输局开展拟报批公示，公开拟报批的</w:t>
      </w:r>
      <w:r>
        <w:rPr>
          <w:rFonts w:hint="eastAsia" w:ascii="Times New Roman" w:hAnsi="Times New Roman" w:eastAsia="仿宋_GB2312" w:cs="Times New Roman"/>
          <w:sz w:val="32"/>
          <w:szCs w:val="32"/>
          <w:highlight w:val="none"/>
          <w:lang w:val="en-US" w:eastAsia="zh-CN"/>
        </w:rPr>
        <w:t>生态</w:t>
      </w:r>
      <w:r>
        <w:rPr>
          <w:rFonts w:hint="default" w:ascii="Times New Roman" w:hAnsi="Times New Roman" w:eastAsia="仿宋_GB2312" w:cs="Times New Roman"/>
          <w:sz w:val="32"/>
          <w:szCs w:val="32"/>
          <w:highlight w:val="none"/>
        </w:rPr>
        <w:t>环境影响报告书全文和公众参与说明</w:t>
      </w:r>
      <w:r>
        <w:rPr>
          <w:rFonts w:hint="default" w:ascii="Times New Roman" w:hAnsi="Times New Roman" w:eastAsia="仿宋_GB2312" w:cs="Times New Roman"/>
          <w:sz w:val="32"/>
          <w:szCs w:val="32"/>
          <w:highlight w:val="none"/>
          <w:lang w:eastAsia="zh-CN"/>
        </w:rPr>
        <w:t>。</w:t>
      </w:r>
    </w:p>
    <w:p w14:paraId="35D22111">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1"/>
        <w:rPr>
          <w:rFonts w:hint="default" w:ascii="Times New Roman" w:hAnsi="Times New Roman" w:eastAsia="仿宋_GB2312" w:cs="Times New Roman"/>
          <w:sz w:val="32"/>
          <w:szCs w:val="32"/>
          <w:highlight w:val="none"/>
        </w:rPr>
      </w:pPr>
      <w:bookmarkStart w:id="27" w:name="_Toc29818"/>
      <w:bookmarkStart w:id="28" w:name="_Toc20082"/>
      <w:bookmarkStart w:id="29" w:name="_Toc7976"/>
      <w:r>
        <w:rPr>
          <w:rFonts w:hint="default" w:ascii="Times New Roman" w:hAnsi="Times New Roman" w:eastAsia="仿宋_GB2312" w:cs="Times New Roman"/>
          <w:b/>
          <w:bCs/>
          <w:sz w:val="32"/>
          <w:szCs w:val="32"/>
          <w:highlight w:val="none"/>
        </w:rPr>
        <w:t>6.2 公开方式</w:t>
      </w:r>
      <w:bookmarkEnd w:id="27"/>
      <w:bookmarkEnd w:id="28"/>
      <w:bookmarkEnd w:id="29"/>
    </w:p>
    <w:p w14:paraId="7D7A3E8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6.2.1 网络</w:t>
      </w:r>
    </w:p>
    <w:p w14:paraId="6694AA9A">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新疆维吾尔自治区喀什地区交通运输局于202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31</w:t>
      </w:r>
      <w:r>
        <w:rPr>
          <w:rFonts w:hint="default" w:ascii="Times New Roman" w:hAnsi="Times New Roman" w:eastAsia="仿宋_GB2312" w:cs="Times New Roman"/>
          <w:sz w:val="32"/>
          <w:szCs w:val="32"/>
          <w:highlight w:val="none"/>
        </w:rPr>
        <w:t>日在新疆维吾尔自治区生态环境保护产业协会网站（http://www.xjhbcy.cn）上进行了环境影响评价报批前公示，公开拟报批的环境影响报告书全文和公众参与说明。载体选择符合《环境影响评价公众参与办法》要求。公告网址</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"http://www.xjhbcy.cn/blog/article/13095；报批前网络公示截图见图6-1。"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http://www.xjhbcy.cn/articles/show/18044；报批前网络公示截图见图6-1。</w:t>
      </w:r>
      <w:r>
        <w:rPr>
          <w:rFonts w:hint="default" w:ascii="Times New Roman" w:hAnsi="Times New Roman" w:eastAsia="仿宋_GB2312" w:cs="Times New Roman"/>
          <w:sz w:val="32"/>
          <w:szCs w:val="32"/>
          <w:highlight w:val="none"/>
        </w:rPr>
        <w:fldChar w:fldCharType="end"/>
      </w:r>
    </w:p>
    <w:p w14:paraId="4AB12C9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仿宋_GB2312" w:cs="Times New Roman"/>
          <w:sz w:val="32"/>
          <w:szCs w:val="32"/>
          <w:highlight w:val="none"/>
        </w:rPr>
      </w:pPr>
      <w:r>
        <w:rPr>
          <w:highlight w:val="none"/>
        </w:rPr>
        <w:drawing>
          <wp:inline distT="0" distB="0" distL="114300" distR="114300">
            <wp:extent cx="5273675" cy="2759710"/>
            <wp:effectExtent l="0" t="0" r="3175" b="254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2"/>
                    <a:stretch>
                      <a:fillRect/>
                    </a:stretch>
                  </pic:blipFill>
                  <pic:spPr>
                    <a:xfrm>
                      <a:off x="0" y="0"/>
                      <a:ext cx="5273675" cy="2759710"/>
                    </a:xfrm>
                    <a:prstGeom prst="rect">
                      <a:avLst/>
                    </a:prstGeom>
                    <a:noFill/>
                    <a:ln>
                      <a:noFill/>
                    </a:ln>
                  </pic:spPr>
                </pic:pic>
              </a:graphicData>
            </a:graphic>
          </wp:inline>
        </w:drawing>
      </w:r>
    </w:p>
    <w:p w14:paraId="369DC6E2">
      <w:pPr>
        <w:pStyle w:val="11"/>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highlight w:val="none"/>
        </w:rPr>
      </w:pPr>
      <w:r>
        <w:rPr>
          <w:rFonts w:hint="default" w:ascii="Times New Roman" w:hAnsi="Times New Roman" w:eastAsia="宋体" w:cs="Times New Roman"/>
          <w:b/>
          <w:bCs/>
          <w:sz w:val="24"/>
          <w:highlight w:val="none"/>
          <w:lang w:val="en-US" w:eastAsia="zh-CN"/>
        </w:rPr>
        <w:t>图6-1  环境影响评价报批前公示截图</w:t>
      </w:r>
    </w:p>
    <w:p w14:paraId="1BAC4A9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6.2.2其他</w:t>
      </w:r>
    </w:p>
    <w:p w14:paraId="18F00A5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本项目拟报批公示期间，</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未采取其他公示方式。</w:t>
      </w:r>
    </w:p>
    <w:p w14:paraId="1538D489">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0"/>
        <w:rPr>
          <w:rFonts w:hint="default" w:ascii="Times New Roman" w:hAnsi="Times New Roman" w:eastAsia="仿宋_GB2312" w:cs="Times New Roman"/>
          <w:b/>
          <w:bCs/>
          <w:color w:val="000000" w:themeColor="text1"/>
          <w:sz w:val="32"/>
          <w:szCs w:val="32"/>
          <w:highlight w:val="none"/>
          <w14:textFill>
            <w14:solidFill>
              <w14:schemeClr w14:val="tx1"/>
            </w14:solidFill>
          </w14:textFill>
        </w:rPr>
      </w:pPr>
      <w:bookmarkStart w:id="30" w:name="_Toc24704"/>
      <w:bookmarkStart w:id="31" w:name="_Toc4195"/>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7</w:t>
      </w:r>
      <w:bookmarkEnd w:id="30"/>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其他</w:t>
      </w:r>
      <w:bookmarkEnd w:id="31"/>
    </w:p>
    <w:p w14:paraId="08A976AE">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本项目在公示期间未收到团体及个人对环境影响方面提出的质疑性意见，故未开展公众座谈会、听证会、专家论证会等深度公众参与，未采取宣传科普措施符合《环境影响评价公众参与办法》要求。</w:t>
      </w:r>
    </w:p>
    <w:p w14:paraId="6D8B091D">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0"/>
        <w:rPr>
          <w:rFonts w:hint="default" w:ascii="Times New Roman" w:hAnsi="Times New Roman" w:eastAsia="仿宋_GB2312" w:cs="Times New Roman"/>
          <w:color w:val="000000" w:themeColor="text1"/>
          <w:sz w:val="32"/>
          <w:szCs w:val="32"/>
          <w14:textFill>
            <w14:solidFill>
              <w14:schemeClr w14:val="tx1"/>
            </w14:solidFill>
          </w14:textFill>
        </w:rPr>
      </w:pPr>
      <w:bookmarkStart w:id="32" w:name="_Toc12267"/>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8</w:t>
      </w:r>
      <w:r>
        <w:rPr>
          <w:rFonts w:hint="default" w:ascii="Times New Roman" w:hAnsi="Times New Roman" w:eastAsia="仿宋_GB2312" w:cs="Times New Roman"/>
          <w:b/>
          <w:bCs/>
          <w:color w:val="000000" w:themeColor="text1"/>
          <w:sz w:val="32"/>
          <w:szCs w:val="32"/>
          <w14:textFill>
            <w14:solidFill>
              <w14:schemeClr w14:val="tx1"/>
            </w14:solidFill>
          </w14:textFill>
        </w:rPr>
        <w:t xml:space="preserve"> 诚信承诺</w:t>
      </w:r>
      <w:bookmarkEnd w:id="32"/>
    </w:p>
    <w:p w14:paraId="4F7C5661">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项目</w:t>
      </w:r>
      <w:r>
        <w:rPr>
          <w:rFonts w:hint="default" w:ascii="Times New Roman" w:hAnsi="Times New Roman" w:eastAsia="仿宋_GB2312" w:cs="Times New Roman"/>
          <w:color w:val="000000" w:themeColor="text1"/>
          <w:sz w:val="32"/>
          <w:szCs w:val="32"/>
          <w14:textFill>
            <w14:solidFill>
              <w14:schemeClr w14:val="tx1"/>
            </w14:solidFill>
          </w14:textFill>
        </w:rPr>
        <w:t>公众参与诚信承诺见附件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69B7CFA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p>
    <w:p w14:paraId="18297AAB">
      <w:pPr>
        <w:jc w:val="right"/>
        <w:rPr>
          <w:highlight w:val="none"/>
        </w:rPr>
      </w:pPr>
      <w:r>
        <w:drawing>
          <wp:inline distT="0" distB="0" distL="114300" distR="114300">
            <wp:extent cx="5286375" cy="7534275"/>
            <wp:effectExtent l="0" t="0" r="9525" b="952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3"/>
                    <a:stretch>
                      <a:fillRect/>
                    </a:stretch>
                  </pic:blipFill>
                  <pic:spPr>
                    <a:xfrm>
                      <a:off x="0" y="0"/>
                      <a:ext cx="5286375" cy="7534275"/>
                    </a:xfrm>
                    <a:prstGeom prst="rect">
                      <a:avLst/>
                    </a:prstGeom>
                    <a:noFill/>
                    <a:ln>
                      <a:noFill/>
                    </a:ln>
                  </pic:spPr>
                </pic:pic>
              </a:graphicData>
            </a:graphic>
          </wp:inline>
        </w:drawing>
      </w: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6422F">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47F460">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47F460">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5DCD7">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hNTU5ZmEyOTcxYzdiOTcwYjFiYzQwY2JkMjc0YzcifQ=="/>
  </w:docVars>
  <w:rsids>
    <w:rsidRoot w:val="68857CA6"/>
    <w:rsid w:val="003D21B2"/>
    <w:rsid w:val="00621C19"/>
    <w:rsid w:val="019D23A3"/>
    <w:rsid w:val="02E61822"/>
    <w:rsid w:val="03685798"/>
    <w:rsid w:val="038A1BB2"/>
    <w:rsid w:val="05065269"/>
    <w:rsid w:val="05AB73D8"/>
    <w:rsid w:val="05F66454"/>
    <w:rsid w:val="05FD666C"/>
    <w:rsid w:val="060A4754"/>
    <w:rsid w:val="06E45A7E"/>
    <w:rsid w:val="07832BA1"/>
    <w:rsid w:val="07866B35"/>
    <w:rsid w:val="07F7358F"/>
    <w:rsid w:val="082500FC"/>
    <w:rsid w:val="082F1C71"/>
    <w:rsid w:val="0B1F1979"/>
    <w:rsid w:val="0C627450"/>
    <w:rsid w:val="0E8A6F0A"/>
    <w:rsid w:val="11F36B75"/>
    <w:rsid w:val="142C636E"/>
    <w:rsid w:val="143A0A8B"/>
    <w:rsid w:val="15C10DDB"/>
    <w:rsid w:val="169E17A5"/>
    <w:rsid w:val="171A4BA4"/>
    <w:rsid w:val="199E386A"/>
    <w:rsid w:val="1BB93B82"/>
    <w:rsid w:val="1BC82E20"/>
    <w:rsid w:val="1CCF3BBB"/>
    <w:rsid w:val="1F861028"/>
    <w:rsid w:val="1FD60202"/>
    <w:rsid w:val="20A845C8"/>
    <w:rsid w:val="21ED3EE6"/>
    <w:rsid w:val="22072A03"/>
    <w:rsid w:val="22A05321"/>
    <w:rsid w:val="231D0FF0"/>
    <w:rsid w:val="235E364C"/>
    <w:rsid w:val="24AA557E"/>
    <w:rsid w:val="24EE7D9B"/>
    <w:rsid w:val="251534C0"/>
    <w:rsid w:val="25276E28"/>
    <w:rsid w:val="2813092F"/>
    <w:rsid w:val="28D728F5"/>
    <w:rsid w:val="29310F8A"/>
    <w:rsid w:val="2A247DBB"/>
    <w:rsid w:val="2B4C6730"/>
    <w:rsid w:val="2BD1187D"/>
    <w:rsid w:val="2C792640"/>
    <w:rsid w:val="2DF02AE0"/>
    <w:rsid w:val="30466CDD"/>
    <w:rsid w:val="32BF2D77"/>
    <w:rsid w:val="32C503D9"/>
    <w:rsid w:val="33890C8F"/>
    <w:rsid w:val="33995376"/>
    <w:rsid w:val="33AD7074"/>
    <w:rsid w:val="346E7194"/>
    <w:rsid w:val="34946776"/>
    <w:rsid w:val="34CF6B76"/>
    <w:rsid w:val="352944D8"/>
    <w:rsid w:val="353A0493"/>
    <w:rsid w:val="36DD4874"/>
    <w:rsid w:val="378123A9"/>
    <w:rsid w:val="38523D46"/>
    <w:rsid w:val="39981C2C"/>
    <w:rsid w:val="3BA4491F"/>
    <w:rsid w:val="3BF96A9F"/>
    <w:rsid w:val="3C5903CA"/>
    <w:rsid w:val="3E0E2EC4"/>
    <w:rsid w:val="403F3C2F"/>
    <w:rsid w:val="40AA5F6A"/>
    <w:rsid w:val="40DF6FE1"/>
    <w:rsid w:val="43972F54"/>
    <w:rsid w:val="43E77A38"/>
    <w:rsid w:val="45BB117C"/>
    <w:rsid w:val="45EE1552"/>
    <w:rsid w:val="472E597E"/>
    <w:rsid w:val="488576DD"/>
    <w:rsid w:val="48BF71D5"/>
    <w:rsid w:val="495E7BA6"/>
    <w:rsid w:val="4B771FE9"/>
    <w:rsid w:val="4B9318F2"/>
    <w:rsid w:val="4C303F46"/>
    <w:rsid w:val="4C80011E"/>
    <w:rsid w:val="4D151ABA"/>
    <w:rsid w:val="51340035"/>
    <w:rsid w:val="519D1BF6"/>
    <w:rsid w:val="52952D55"/>
    <w:rsid w:val="529C2335"/>
    <w:rsid w:val="54406946"/>
    <w:rsid w:val="54A86D6F"/>
    <w:rsid w:val="5559399C"/>
    <w:rsid w:val="56064695"/>
    <w:rsid w:val="562C577E"/>
    <w:rsid w:val="563034C0"/>
    <w:rsid w:val="56A04826"/>
    <w:rsid w:val="574D0C27"/>
    <w:rsid w:val="57BB325E"/>
    <w:rsid w:val="57FD73D2"/>
    <w:rsid w:val="58931AE5"/>
    <w:rsid w:val="5B062255"/>
    <w:rsid w:val="5B6D3372"/>
    <w:rsid w:val="5D1F428F"/>
    <w:rsid w:val="600317E9"/>
    <w:rsid w:val="60E23609"/>
    <w:rsid w:val="61442516"/>
    <w:rsid w:val="61DC62AA"/>
    <w:rsid w:val="62C52F94"/>
    <w:rsid w:val="636D582F"/>
    <w:rsid w:val="63F55D49"/>
    <w:rsid w:val="649830A6"/>
    <w:rsid w:val="64DD55CE"/>
    <w:rsid w:val="64EF2799"/>
    <w:rsid w:val="652A557F"/>
    <w:rsid w:val="68857CA6"/>
    <w:rsid w:val="69DD7064"/>
    <w:rsid w:val="6AA732A6"/>
    <w:rsid w:val="6ACD0E86"/>
    <w:rsid w:val="6C700663"/>
    <w:rsid w:val="6E663ACB"/>
    <w:rsid w:val="6EE52367"/>
    <w:rsid w:val="6F307C36"/>
    <w:rsid w:val="726C71D7"/>
    <w:rsid w:val="72DD1E82"/>
    <w:rsid w:val="754D1541"/>
    <w:rsid w:val="75EF43A6"/>
    <w:rsid w:val="769D3E02"/>
    <w:rsid w:val="78852DA0"/>
    <w:rsid w:val="795F1843"/>
    <w:rsid w:val="79CE69C9"/>
    <w:rsid w:val="7AD87AFF"/>
    <w:rsid w:val="7C0B3F04"/>
    <w:rsid w:val="7CAB4D9F"/>
    <w:rsid w:val="7D03016C"/>
    <w:rsid w:val="7E1352F2"/>
    <w:rsid w:val="7E1D3469"/>
    <w:rsid w:val="7E5D47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40" w:afterLines="0" w:afterAutospacing="0" w:line="240" w:lineRule="auto"/>
      <w:jc w:val="left"/>
      <w:outlineLvl w:val="0"/>
    </w:pPr>
    <w:rPr>
      <w:rFonts w:ascii="Arial" w:hAnsi="Arial" w:cs="Arial"/>
      <w:b/>
      <w:snapToGrid w:val="0"/>
      <w:color w:val="000000"/>
      <w:kern w:val="44"/>
      <w:sz w:val="44"/>
      <w:szCs w:val="21"/>
      <w:lang w:eastAsia="en-US"/>
    </w:rPr>
  </w:style>
  <w:style w:type="paragraph" w:styleId="3">
    <w:name w:val="heading 2"/>
    <w:basedOn w:val="1"/>
    <w:next w:val="1"/>
    <w:autoRedefine/>
    <w:semiHidden/>
    <w:unhideWhenUsed/>
    <w:qFormat/>
    <w:uiPriority w:val="0"/>
    <w:pPr>
      <w:keepNext/>
      <w:keepLines/>
      <w:spacing w:beforeLines="0" w:beforeAutospacing="0" w:after="10" w:afterAutospacing="0" w:line="600" w:lineRule="exact"/>
      <w:jc w:val="left"/>
      <w:outlineLvl w:val="1"/>
    </w:pPr>
    <w:rPr>
      <w:rFonts w:ascii="Arial" w:hAnsi="Arial" w:cs="Arial"/>
      <w:b/>
      <w:snapToGrid w:val="0"/>
      <w:color w:val="000000"/>
      <w:kern w:val="0"/>
      <w:sz w:val="30"/>
      <w:szCs w:val="21"/>
      <w:lang w:eastAsia="en-US"/>
    </w:rPr>
  </w:style>
  <w:style w:type="paragraph" w:styleId="4">
    <w:name w:val="heading 3"/>
    <w:basedOn w:val="1"/>
    <w:next w:val="1"/>
    <w:autoRedefine/>
    <w:semiHidden/>
    <w:unhideWhenUsed/>
    <w:qFormat/>
    <w:uiPriority w:val="0"/>
    <w:pPr>
      <w:keepNext/>
      <w:keepLines/>
      <w:spacing w:before="120" w:beforeLines="0" w:beforeAutospacing="0" w:after="120" w:afterLines="0" w:afterAutospacing="0" w:line="240" w:lineRule="auto"/>
      <w:jc w:val="left"/>
      <w:outlineLvl w:val="2"/>
    </w:pPr>
    <w:rPr>
      <w:rFonts w:ascii="Arial" w:hAnsi="Arial" w:cs="Arial"/>
      <w:b/>
      <w:snapToGrid w:val="0"/>
      <w:color w:val="000000"/>
      <w:kern w:val="0"/>
      <w:sz w:val="28"/>
      <w:szCs w:val="21"/>
      <w:lang w:eastAsia="en-US"/>
    </w:rPr>
  </w:style>
  <w:style w:type="paragraph" w:styleId="5">
    <w:name w:val="heading 4"/>
    <w:basedOn w:val="1"/>
    <w:next w:val="1"/>
    <w:autoRedefine/>
    <w:semiHidden/>
    <w:unhideWhenUsed/>
    <w:qFormat/>
    <w:uiPriority w:val="0"/>
    <w:pPr>
      <w:keepNext/>
      <w:keepLines/>
      <w:spacing w:beforeLines="0" w:beforeAutospacing="0" w:afterLines="0" w:afterAutospacing="0" w:line="360" w:lineRule="auto"/>
      <w:outlineLvl w:val="3"/>
    </w:pPr>
    <w:rPr>
      <w:rFonts w:ascii="Arial" w:hAnsi="Arial" w:eastAsia="宋体" w:cs="Arial"/>
      <w:b/>
      <w:snapToGrid w:val="0"/>
      <w:color w:val="000000"/>
      <w:kern w:val="0"/>
      <w:sz w:val="24"/>
      <w:szCs w:val="21"/>
      <w:lang w:eastAsia="en-US"/>
    </w:rPr>
  </w:style>
  <w:style w:type="paragraph" w:styleId="6">
    <w:name w:val="heading 5"/>
    <w:basedOn w:val="1"/>
    <w:next w:val="1"/>
    <w:autoRedefine/>
    <w:semiHidden/>
    <w:unhideWhenUsed/>
    <w:qFormat/>
    <w:uiPriority w:val="0"/>
    <w:pPr>
      <w:keepNext/>
      <w:keepLines/>
      <w:spacing w:beforeLines="0" w:beforeAutospacing="0" w:afterLines="0" w:afterAutospacing="0" w:line="360" w:lineRule="auto"/>
      <w:jc w:val="center"/>
      <w:outlineLvl w:val="4"/>
    </w:pPr>
    <w:rPr>
      <w:rFonts w:ascii="Arial" w:hAnsi="Arial" w:eastAsia="黑体"/>
      <w:b/>
      <w:sz w:val="21"/>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7">
    <w:name w:val="Body Text"/>
    <w:basedOn w:val="1"/>
    <w:autoRedefine/>
    <w:qFormat/>
    <w:uiPriority w:val="0"/>
    <w:pPr>
      <w:adjustRightInd w:val="0"/>
      <w:spacing w:line="360" w:lineRule="auto"/>
      <w:ind w:left="0" w:leftChars="0"/>
    </w:pPr>
    <w:rPr>
      <w:rFonts w:ascii="宋体" w:hAnsi="宋体" w:eastAsia="宋体" w:cs="宋体"/>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autoRedefine/>
    <w:qFormat/>
    <w:uiPriority w:val="0"/>
  </w:style>
  <w:style w:type="paragraph" w:styleId="11">
    <w:name w:val="index heading"/>
    <w:basedOn w:val="1"/>
    <w:next w:val="12"/>
    <w:autoRedefine/>
    <w:qFormat/>
    <w:uiPriority w:val="0"/>
  </w:style>
  <w:style w:type="paragraph" w:styleId="12">
    <w:name w:val="index 1"/>
    <w:basedOn w:val="1"/>
    <w:next w:val="1"/>
    <w:autoRedefine/>
    <w:qFormat/>
    <w:uiPriority w:val="0"/>
  </w:style>
  <w:style w:type="paragraph" w:styleId="13">
    <w:name w:val="toc 2"/>
    <w:basedOn w:val="1"/>
    <w:next w:val="1"/>
    <w:autoRedefine/>
    <w:qFormat/>
    <w:uiPriority w:val="0"/>
    <w:pPr>
      <w:ind w:left="420" w:left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autoRedefine/>
    <w:qFormat/>
    <w:uiPriority w:val="0"/>
    <w:rPr>
      <w:color w:val="0000FF"/>
      <w:u w:val="single"/>
    </w:rPr>
  </w:style>
  <w:style w:type="paragraph" w:customStyle="1" w:styleId="18">
    <w:name w:val="Table Text"/>
    <w:basedOn w:val="1"/>
    <w:autoRedefine/>
    <w:semiHidden/>
    <w:qFormat/>
    <w:uiPriority w:val="0"/>
    <w:pPr>
      <w:jc w:val="center"/>
    </w:pPr>
    <w:rPr>
      <w:rFonts w:ascii="宋体" w:hAnsi="宋体" w:eastAsia="黑体" w:cs="宋体"/>
      <w:sz w:val="21"/>
    </w:rPr>
  </w:style>
  <w:style w:type="paragraph" w:customStyle="1" w:styleId="19">
    <w:name w:val="表格文字"/>
    <w:basedOn w:val="1"/>
    <w:next w:val="1"/>
    <w:autoRedefine/>
    <w:qFormat/>
    <w:uiPriority w:val="0"/>
    <w:pPr>
      <w:keepNext/>
      <w:keepLines/>
      <w:spacing w:beforeLines="0" w:afterLines="0" w:line="240" w:lineRule="auto"/>
      <w:jc w:val="center"/>
      <w:outlineLvl w:val="4"/>
    </w:pPr>
    <w:rPr>
      <w:rFonts w:ascii="Arial" w:hAnsi="Arial" w:eastAsia="宋体"/>
      <w:sz w:val="21"/>
    </w:rPr>
  </w:style>
  <w:style w:type="paragraph" w:customStyle="1" w:styleId="20">
    <w:name w:val="表、图名"/>
    <w:basedOn w:val="1"/>
    <w:autoRedefine/>
    <w:qFormat/>
    <w:uiPriority w:val="0"/>
    <w:pPr>
      <w:adjustRightInd w:val="0"/>
      <w:snapToGrid w:val="0"/>
      <w:spacing w:line="240" w:lineRule="auto"/>
      <w:jc w:val="center"/>
      <w:outlineLvl w:val="5"/>
    </w:pPr>
    <w:rPr>
      <w:rFonts w:ascii="Times New Roman" w:hAnsi="Times New Roman" w:eastAsia="黑体" w:cs="Times New Roman"/>
      <w:sz w:val="21"/>
    </w:rPr>
  </w:style>
  <w:style w:type="paragraph" w:customStyle="1" w:styleId="21">
    <w:name w:val="表、图名-"/>
    <w:basedOn w:val="1"/>
    <w:autoRedefine/>
    <w:qFormat/>
    <w:uiPriority w:val="0"/>
    <w:pPr>
      <w:adjustRightInd w:val="0"/>
      <w:snapToGrid w:val="0"/>
      <w:spacing w:line="360" w:lineRule="auto"/>
      <w:jc w:val="center"/>
      <w:textAlignment w:val="baseline"/>
    </w:pPr>
    <w:rPr>
      <w:rFonts w:ascii="Calibri" w:hAnsi="Calibri" w:eastAsia="黑体" w:cs="Times New Roman"/>
      <w:kern w:val="2"/>
      <w:sz w:val="21"/>
      <w:szCs w:val="22"/>
      <w:lang w:eastAsia="zh-CN"/>
    </w:rPr>
  </w:style>
  <w:style w:type="paragraph" w:customStyle="1" w:styleId="22">
    <w:name w:val="正文文本-"/>
    <w:basedOn w:val="1"/>
    <w:autoRedefine/>
    <w:qFormat/>
    <w:uiPriority w:val="0"/>
    <w:pPr>
      <w:spacing w:line="360" w:lineRule="auto"/>
    </w:pPr>
    <w:rPr>
      <w:rFonts w:ascii="Times New Roman" w:hAnsi="Times New Roman" w:cs="Times New Roman"/>
      <w:kern w:val="2"/>
      <w:sz w:val="24"/>
      <w:lang w:eastAsia="zh-CN"/>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5">
    <w:name w:val="公文处理助手-标题样式"/>
    <w:qFormat/>
    <w:uiPriority w:val="0"/>
    <w:pPr>
      <w:widowControl w:val="0"/>
      <w:pBdr>
        <w:top w:val="none" w:color="auto" w:sz="0" w:space="0"/>
        <w:left w:val="none" w:color="auto" w:sz="0" w:space="0"/>
        <w:bottom w:val="none" w:color="auto" w:sz="0" w:space="0"/>
        <w:right w:val="none" w:color="auto" w:sz="0" w:space="0"/>
        <w:between w:val="none" w:color="auto" w:sz="0" w:space="0"/>
      </w:pBdr>
      <w:suppressAutoHyphens w:val="0"/>
      <w:overflowPunct w:val="0"/>
      <w:topLinePunct/>
      <w:spacing w:line="581" w:lineRule="exact"/>
      <w:jc w:val="center"/>
      <w:outlineLvl w:val="0"/>
    </w:pPr>
    <w:rPr>
      <w:rFonts w:ascii="Times New Roman" w:hAnsi="Times New Roman" w:eastAsia="方正小标宋简体" w:cstheme="minorBidi"/>
      <w:sz w:val="44"/>
    </w:rPr>
  </w:style>
  <w:style w:type="paragraph" w:customStyle="1" w:styleId="26">
    <w:name w:val="公文处理助手-正文样式"/>
    <w:qFormat/>
    <w:uiPriority w:val="0"/>
    <w:pPr>
      <w:widowControl w:val="0"/>
      <w:pBdr>
        <w:top w:val="none" w:color="auto" w:sz="0" w:space="0"/>
        <w:left w:val="none" w:color="auto" w:sz="0" w:space="0"/>
        <w:bottom w:val="none" w:color="auto" w:sz="0" w:space="0"/>
        <w:right w:val="none" w:color="auto" w:sz="0" w:space="0"/>
        <w:between w:val="none" w:color="auto" w:sz="0" w:space="0"/>
      </w:pBdr>
      <w:suppressAutoHyphens w:val="0"/>
      <w:overflowPunct w:val="0"/>
      <w:topLinePunct/>
      <w:spacing w:line="581" w:lineRule="exact"/>
      <w:ind w:firstLine="420" w:firstLineChars="200"/>
      <w:jc w:val="both"/>
    </w:pPr>
    <w:rPr>
      <w:rFonts w:ascii="Times New Roman" w:hAnsi="Times New Roman" w:eastAsia="仿宋_GB2312" w:cstheme="minorBidi"/>
      <w:sz w:val="32"/>
    </w:rPr>
  </w:style>
  <w:style w:type="paragraph" w:customStyle="1" w:styleId="27">
    <w:name w:val="公文处理助手-一级子标题样式"/>
    <w:basedOn w:val="26"/>
    <w:qFormat/>
    <w:uiPriority w:val="0"/>
    <w:pPr>
      <w:outlineLvl w:val="1"/>
    </w:pPr>
    <w:rPr>
      <w:rFonts w:eastAsia="黑体"/>
    </w:rPr>
  </w:style>
  <w:style w:type="paragraph" w:customStyle="1" w:styleId="28">
    <w:name w:val="公文处理助手-二级子标题样式"/>
    <w:basedOn w:val="26"/>
    <w:qFormat/>
    <w:uiPriority w:val="0"/>
    <w:pPr>
      <w:outlineLvl w:val="2"/>
    </w:pPr>
    <w:rPr>
      <w:rFonts w:eastAsia="楷体_GB2312"/>
    </w:rPr>
  </w:style>
  <w:style w:type="paragraph" w:customStyle="1" w:styleId="29">
    <w:name w:val="公文处理助手-三级子标题样式"/>
    <w:basedOn w:val="26"/>
    <w:qFormat/>
    <w:uiPriority w:val="0"/>
    <w:pPr>
      <w:outlineLvl w:val="3"/>
    </w:pPr>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3136</Words>
  <Characters>3512</Characters>
  <Lines>0</Lines>
  <Paragraphs>0</Paragraphs>
  <TotalTime>3</TotalTime>
  <ScaleCrop>false</ScaleCrop>
  <LinksUpToDate>false</LinksUpToDate>
  <CharactersWithSpaces>3632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2024-12-10T03:16:00Z</dcterms:created>
  <dc:creator>Lenovo</dc:creator>
  <cp:lastModifiedBy>豆丶</cp:lastModifiedBy>
  <dcterms:modified xsi:type="dcterms:W3CDTF">2026-09-18T12:10:31Z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C298C2C2EA6A4E5BB4BFD53561FA1BE4_13</vt:lpwstr>
  </property>
  <property fmtid="{D5CDD505-2E9C-101B-9397-08002B2CF9AE}" pid="4" name="KSOTemplateDocerSaveRecord">
    <vt:lpwstr>eyJoZGlkIjoiODcxMWUyOWM0ZmZmMmQyZTMyY2UxM2U1M2U5ODFhN2QiLCJ1c2VySWQiOiIyODM0MjM2MzQifQ==</vt:lpwstr>
  </property>
</Properties>
</file>