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87F6F">
      <w:pPr>
        <w:rPr>
          <w:rFonts w:hint="eastAsia" w:asciiTheme="minorEastAsia" w:hAnsiTheme="minorEastAsia" w:eastAsiaTheme="minorEastAsia" w:cstheme="minorEastAsia"/>
          <w:b/>
          <w:bCs/>
          <w:color w:val="FF0000"/>
          <w:sz w:val="24"/>
          <w:szCs w:val="24"/>
        </w:rPr>
      </w:pPr>
    </w:p>
    <w:p w14:paraId="6FB9A16F">
      <w:pPr>
        <w:pStyle w:val="17"/>
        <w:rPr>
          <w:rFonts w:hint="eastAsia" w:ascii="黑体" w:hAnsi="黑体" w:eastAsia="黑体" w:cs="黑体"/>
          <w:b/>
          <w:bCs/>
          <w:color w:val="FF0000"/>
          <w:sz w:val="44"/>
          <w:szCs w:val="44"/>
        </w:rPr>
      </w:pPr>
    </w:p>
    <w:p w14:paraId="4B56D3CF">
      <w:pPr>
        <w:bidi w:val="0"/>
        <w:jc w:val="center"/>
        <w:rPr>
          <w:rFonts w:hint="eastAsia" w:ascii="黑体" w:hAnsi="黑体" w:eastAsia="黑体" w:cs="黑体"/>
          <w:b/>
          <w:bCs/>
          <w:sz w:val="44"/>
          <w:szCs w:val="44"/>
        </w:rPr>
      </w:pPr>
      <w:r>
        <w:rPr>
          <w:rFonts w:hint="eastAsia" w:ascii="黑体" w:hAnsi="黑体" w:eastAsia="黑体" w:cs="黑体"/>
          <w:b/>
          <w:bCs/>
          <w:sz w:val="44"/>
          <w:szCs w:val="44"/>
          <w:lang w:val="en-US" w:eastAsia="zh-CN"/>
        </w:rPr>
        <w:t>巴楚华正球团制造有限公司巴楚钒钛铁精粉240万吨氧化球团项目环境影响</w:t>
      </w:r>
      <w:r>
        <w:rPr>
          <w:rFonts w:hint="eastAsia" w:ascii="黑体" w:hAnsi="黑体" w:eastAsia="黑体" w:cs="黑体"/>
          <w:b/>
          <w:bCs/>
          <w:sz w:val="44"/>
          <w:szCs w:val="44"/>
        </w:rPr>
        <w:t>评价公众参与说明</w:t>
      </w:r>
    </w:p>
    <w:p w14:paraId="2B9331A4">
      <w:pPr>
        <w:bidi w:val="0"/>
        <w:rPr>
          <w:rFonts w:hint="eastAsia" w:ascii="黑体" w:hAnsi="黑体" w:eastAsia="黑体" w:cs="黑体"/>
          <w:b/>
          <w:bCs/>
          <w:sz w:val="44"/>
          <w:szCs w:val="44"/>
        </w:rPr>
      </w:pPr>
    </w:p>
    <w:p w14:paraId="1E6359C6">
      <w:pPr>
        <w:rPr>
          <w:rFonts w:hint="eastAsia" w:ascii="黑体" w:hAnsi="黑体" w:eastAsia="黑体" w:cs="黑体"/>
          <w:b/>
          <w:bCs/>
          <w:color w:val="auto"/>
          <w:sz w:val="44"/>
          <w:szCs w:val="44"/>
        </w:rPr>
      </w:pPr>
    </w:p>
    <w:p w14:paraId="314B7118">
      <w:pPr>
        <w:rPr>
          <w:rFonts w:hint="eastAsia" w:ascii="黑体" w:hAnsi="黑体" w:eastAsia="黑体" w:cs="黑体"/>
          <w:b/>
          <w:bCs/>
          <w:color w:val="auto"/>
          <w:sz w:val="44"/>
          <w:szCs w:val="44"/>
        </w:rPr>
      </w:pPr>
      <w:r>
        <w:rPr>
          <w:rFonts w:hint="eastAsia" w:ascii="黑体" w:hAnsi="黑体" w:eastAsia="黑体" w:cs="黑体"/>
          <w:b/>
          <w:bCs/>
          <w:color w:val="auto"/>
          <w:sz w:val="44"/>
          <w:szCs w:val="44"/>
        </w:rPr>
        <w:t xml:space="preserve"> </w:t>
      </w:r>
    </w:p>
    <w:p w14:paraId="2FE763B4">
      <w:pPr>
        <w:rPr>
          <w:rFonts w:hint="eastAsia" w:ascii="黑体" w:hAnsi="黑体" w:eastAsia="黑体" w:cs="黑体"/>
          <w:b/>
          <w:bCs/>
          <w:color w:val="auto"/>
          <w:sz w:val="44"/>
          <w:szCs w:val="44"/>
        </w:rPr>
      </w:pPr>
    </w:p>
    <w:p w14:paraId="4ECF92EF">
      <w:pPr>
        <w:rPr>
          <w:rFonts w:hint="eastAsia" w:ascii="黑体" w:hAnsi="黑体" w:eastAsia="黑体" w:cs="黑体"/>
          <w:b/>
          <w:bCs/>
          <w:color w:val="auto"/>
          <w:sz w:val="44"/>
          <w:szCs w:val="44"/>
        </w:rPr>
      </w:pPr>
    </w:p>
    <w:p w14:paraId="6F3F7EB6">
      <w:pPr>
        <w:rPr>
          <w:rFonts w:hint="eastAsia" w:ascii="黑体" w:hAnsi="黑体" w:eastAsia="黑体" w:cs="黑体"/>
          <w:b/>
          <w:bCs/>
          <w:color w:val="auto"/>
          <w:sz w:val="44"/>
          <w:szCs w:val="44"/>
        </w:rPr>
      </w:pPr>
    </w:p>
    <w:p w14:paraId="35D836C9">
      <w:pPr>
        <w:rPr>
          <w:rFonts w:hint="eastAsia" w:ascii="黑体" w:hAnsi="黑体" w:eastAsia="黑体" w:cs="黑体"/>
          <w:b/>
          <w:bCs/>
          <w:color w:val="auto"/>
          <w:sz w:val="44"/>
          <w:szCs w:val="44"/>
        </w:rPr>
      </w:pPr>
    </w:p>
    <w:p w14:paraId="633CC720">
      <w:pPr>
        <w:rPr>
          <w:rFonts w:hint="eastAsia" w:ascii="黑体" w:hAnsi="黑体" w:eastAsia="黑体" w:cs="黑体"/>
          <w:b/>
          <w:bCs/>
          <w:color w:val="auto"/>
          <w:sz w:val="44"/>
          <w:szCs w:val="44"/>
        </w:rPr>
      </w:pPr>
    </w:p>
    <w:p w14:paraId="33C44B9C">
      <w:pPr>
        <w:rPr>
          <w:rFonts w:hint="eastAsia" w:ascii="黑体" w:hAnsi="黑体" w:eastAsia="黑体" w:cs="黑体"/>
          <w:b/>
          <w:bCs/>
          <w:color w:val="auto"/>
          <w:sz w:val="44"/>
          <w:szCs w:val="44"/>
        </w:rPr>
      </w:pPr>
    </w:p>
    <w:p w14:paraId="03CF1408">
      <w:pPr>
        <w:rPr>
          <w:rFonts w:hint="eastAsia" w:ascii="黑体" w:hAnsi="黑体" w:eastAsia="黑体" w:cs="黑体"/>
          <w:b/>
          <w:bCs/>
          <w:color w:val="auto"/>
          <w:sz w:val="44"/>
          <w:szCs w:val="44"/>
        </w:rPr>
      </w:pPr>
    </w:p>
    <w:p w14:paraId="03B86273">
      <w:pPr>
        <w:rPr>
          <w:rFonts w:hint="eastAsia" w:ascii="黑体" w:hAnsi="黑体" w:eastAsia="黑体" w:cs="黑体"/>
          <w:b/>
          <w:bCs/>
          <w:color w:val="auto"/>
          <w:sz w:val="44"/>
          <w:szCs w:val="44"/>
        </w:rPr>
      </w:pPr>
    </w:p>
    <w:p w14:paraId="5171434B">
      <w:pPr>
        <w:rPr>
          <w:rFonts w:hint="eastAsia" w:ascii="黑体" w:hAnsi="黑体" w:eastAsia="黑体" w:cs="黑体"/>
          <w:b/>
          <w:bCs/>
          <w:color w:val="auto"/>
          <w:sz w:val="44"/>
          <w:szCs w:val="44"/>
        </w:rPr>
      </w:pPr>
    </w:p>
    <w:p w14:paraId="0798D1B8">
      <w:pPr>
        <w:rPr>
          <w:rFonts w:hint="eastAsia" w:ascii="黑体" w:hAnsi="黑体" w:eastAsia="黑体" w:cs="黑体"/>
          <w:b/>
          <w:bCs/>
          <w:color w:val="auto"/>
          <w:sz w:val="44"/>
          <w:szCs w:val="44"/>
        </w:rPr>
      </w:pPr>
    </w:p>
    <w:p w14:paraId="5ED34353">
      <w:pPr>
        <w:rPr>
          <w:rFonts w:hint="eastAsia" w:ascii="黑体" w:hAnsi="黑体" w:eastAsia="黑体" w:cs="黑体"/>
          <w:b/>
          <w:bCs/>
          <w:color w:val="auto"/>
          <w:sz w:val="44"/>
          <w:szCs w:val="44"/>
        </w:rPr>
      </w:pPr>
      <w:r>
        <w:drawing>
          <wp:anchor distT="0" distB="0" distL="114300" distR="114300" simplePos="0" relativeHeight="251659264" behindDoc="0" locked="0" layoutInCell="1" allowOverlap="1">
            <wp:simplePos x="0" y="0"/>
            <wp:positionH relativeFrom="column">
              <wp:posOffset>1902460</wp:posOffset>
            </wp:positionH>
            <wp:positionV relativeFrom="paragraph">
              <wp:posOffset>346075</wp:posOffset>
            </wp:positionV>
            <wp:extent cx="1511935" cy="1511935"/>
            <wp:effectExtent l="0" t="0" r="12065" b="12065"/>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2"/>
                    <a:stretch>
                      <a:fillRect/>
                    </a:stretch>
                  </pic:blipFill>
                  <pic:spPr>
                    <a:xfrm>
                      <a:off x="0" y="0"/>
                      <a:ext cx="1511935" cy="1511935"/>
                    </a:xfrm>
                    <a:prstGeom prst="rect">
                      <a:avLst/>
                    </a:prstGeom>
                    <a:noFill/>
                    <a:ln>
                      <a:noFill/>
                    </a:ln>
                  </pic:spPr>
                </pic:pic>
              </a:graphicData>
            </a:graphic>
          </wp:anchor>
        </w:drawing>
      </w:r>
    </w:p>
    <w:p w14:paraId="713540DB">
      <w:pPr>
        <w:rPr>
          <w:rFonts w:hint="eastAsia" w:ascii="黑体" w:hAnsi="黑体" w:eastAsia="黑体" w:cs="黑体"/>
          <w:b/>
          <w:bCs/>
          <w:color w:val="auto"/>
          <w:sz w:val="44"/>
          <w:szCs w:val="44"/>
        </w:rPr>
      </w:pPr>
    </w:p>
    <w:p w14:paraId="0C8BB306">
      <w:pPr>
        <w:bidi w:val="0"/>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巴楚华正球团制造有限公司</w:t>
      </w:r>
    </w:p>
    <w:p w14:paraId="0651BF9C">
      <w:pPr>
        <w:bidi w:val="0"/>
        <w:jc w:val="center"/>
        <w:rPr>
          <w:rFonts w:hint="eastAsia"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年</w:t>
      </w:r>
      <w:r>
        <w:rPr>
          <w:rFonts w:hint="eastAsia" w:ascii="黑体" w:hAnsi="黑体" w:eastAsia="黑体" w:cs="黑体"/>
          <w:b/>
          <w:bCs/>
          <w:sz w:val="44"/>
          <w:szCs w:val="44"/>
          <w:lang w:val="en-US" w:eastAsia="zh-CN"/>
        </w:rPr>
        <w:t>7</w:t>
      </w:r>
      <w:r>
        <w:rPr>
          <w:rFonts w:hint="eastAsia" w:ascii="黑体" w:hAnsi="黑体" w:eastAsia="黑体" w:cs="黑体"/>
          <w:b/>
          <w:bCs/>
          <w:sz w:val="44"/>
          <w:szCs w:val="44"/>
        </w:rPr>
        <w:t>月</w:t>
      </w:r>
    </w:p>
    <w:p w14:paraId="0DFFE805">
      <w:pPr>
        <w:pStyle w:val="17"/>
        <w:rPr>
          <w:rFonts w:hint="eastAsia" w:asciiTheme="minorEastAsia" w:hAnsiTheme="minorEastAsia" w:eastAsiaTheme="minorEastAsia" w:cstheme="minorEastAsia"/>
          <w:b/>
          <w:bCs/>
          <w:color w:val="auto"/>
          <w:sz w:val="24"/>
          <w:szCs w:val="2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sdt>
      <w:sdtPr>
        <w:rPr>
          <w:rFonts w:hint="eastAsia" w:asciiTheme="minorEastAsia" w:hAnsiTheme="minorEastAsia" w:eastAsiaTheme="minorEastAsia" w:cstheme="minorEastAsia"/>
          <w:color w:val="auto"/>
          <w:sz w:val="32"/>
          <w:szCs w:val="32"/>
          <w:highlight w:val="none"/>
        </w:rPr>
        <w:id w:val="147481959"/>
        <w:docPartObj>
          <w:docPartGallery w:val="Table of Contents"/>
          <w:docPartUnique/>
        </w:docPartObj>
      </w:sdtPr>
      <w:sdtEndPr>
        <w:rPr>
          <w:rFonts w:hint="eastAsia" w:asciiTheme="minorEastAsia" w:hAnsiTheme="minorEastAsia" w:eastAsiaTheme="minorEastAsia" w:cstheme="minorEastAsia"/>
          <w:b/>
          <w:color w:val="FF0000"/>
          <w:sz w:val="24"/>
          <w:szCs w:val="24"/>
          <w:highlight w:val="none"/>
        </w:rPr>
      </w:sdtEndPr>
      <w:sdtContent>
        <w:p w14:paraId="13AB9120">
          <w:pPr>
            <w:jc w:val="center"/>
            <w:rPr>
              <w:rFonts w:hint="eastAsia" w:asciiTheme="minorEastAsia" w:hAnsiTheme="minorEastAsia" w:eastAsiaTheme="minorEastAsia" w:cstheme="minorEastAsia"/>
              <w:b/>
              <w:snapToGrid w:val="0"/>
              <w:color w:val="auto"/>
              <w:sz w:val="32"/>
              <w:szCs w:val="32"/>
              <w:highlight w:val="none"/>
            </w:rPr>
          </w:pPr>
          <w:r>
            <w:rPr>
              <w:rFonts w:hint="eastAsia" w:asciiTheme="minorEastAsia" w:hAnsiTheme="minorEastAsia" w:eastAsiaTheme="minorEastAsia" w:cstheme="minorEastAsia"/>
              <w:b/>
              <w:snapToGrid w:val="0"/>
              <w:color w:val="auto"/>
              <w:sz w:val="32"/>
              <w:szCs w:val="32"/>
              <w:highlight w:val="none"/>
            </w:rPr>
            <w:t>目录</w:t>
          </w:r>
        </w:p>
        <w:p w14:paraId="14D984CA">
          <w:pPr>
            <w:pStyle w:val="13"/>
            <w:tabs>
              <w:tab w:val="right" w:leader="dot" w:pos="8306"/>
            </w:tabs>
            <w:rPr>
              <w:rFonts w:hint="eastAsia" w:ascii="宋体" w:hAnsi="宋体" w:eastAsia="宋体" w:cs="宋体"/>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TOC \o "1-2" \h \u </w:instrText>
          </w:r>
          <w:r>
            <w:rPr>
              <w:rFonts w:hint="eastAsia" w:asciiTheme="minorEastAsia" w:hAnsiTheme="minorEastAsia" w:eastAsiaTheme="minorEastAsia" w:cstheme="minorEastAsia"/>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_Toc28134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1 概述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_Toc28134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110BE8E">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_Toc20419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 首次环境影响评价信息公开情况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_Toc20419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A92EACB">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_Toc30449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2.1 公开内容及日期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_Toc30449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C530730">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_Toc30470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2.2 公开方式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_Toc30470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B5C7911">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_Toc16926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2.3 公众意见情况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_Toc16926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884351E">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_Toc14910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 征求意见稿公示情况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_Toc14910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29401F1">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_Toc21336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3.1 公示内容及时限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_Toc21336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E50A13C">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_Toc6799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3.2 公示方式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_Toc6799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CC85E4E">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_Toc2186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3.3查阅情况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_Toc2186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E9E5F0F">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_Toc16935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3.4公众提出意见情况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_Toc16935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9B8F678">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_Toc24407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4其他公众参与情况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_Toc24407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BE4E367">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_Toc27550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 公众意见处理情况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_Toc27550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7C39F18">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_Toc5487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5.1公众意见概述和分析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_Toc5487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64F8AA2">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_Toc32123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5.2公众意见采纳情况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_Toc32123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7388841">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_Toc24714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5.3公众意见未采纳情况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_Toc24714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6CF5931">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_Toc17078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6报批前公开情况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_Toc17078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93185E8">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_Toc9050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6.1公开内容及日期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_Toc9050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F8E428F">
          <w:pPr>
            <w:pStyle w:val="14"/>
            <w:tabs>
              <w:tab w:val="right" w:leader="dot" w:pos="8306"/>
              <w:tab w:val="clear" w:pos="829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_Toc12395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6.2公开方式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_Toc12395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59C3864">
          <w:pPr>
            <w:pStyle w:val="13"/>
            <w:tabs>
              <w:tab w:val="right" w:leader="dot" w:pos="8306"/>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_Toc28400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_Toc28400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6745CA4">
          <w:pPr>
            <w:pStyle w:val="13"/>
            <w:tabs>
              <w:tab w:val="right" w:leader="dot" w:pos="8306"/>
            </w:tabs>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_Toc27172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8诚信承诺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_Toc27172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90222ED">
          <w:pPr>
            <w:rPr>
              <w:rFonts w:hint="eastAsia"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color w:val="auto"/>
              <w:szCs w:val="24"/>
              <w:highlight w:val="none"/>
            </w:rPr>
            <w:fldChar w:fldCharType="end"/>
          </w:r>
        </w:p>
      </w:sdtContent>
    </w:sdt>
    <w:sdt>
      <w:sdtPr>
        <w:rPr>
          <w:rFonts w:hint="eastAsia" w:asciiTheme="minorEastAsia" w:hAnsiTheme="minorEastAsia" w:eastAsiaTheme="minorEastAsia" w:cstheme="minorEastAsia"/>
          <w:color w:val="FF0000"/>
          <w:sz w:val="24"/>
          <w:szCs w:val="24"/>
          <w:highlight w:val="none"/>
        </w:rPr>
        <w:id w:val="147451892"/>
        <w:showingPlcHdr/>
        <w:docPartObj>
          <w:docPartGallery w:val="Table of Contents"/>
          <w:docPartUnique/>
        </w:docPartObj>
      </w:sdtPr>
      <w:sdtEndPr>
        <w:rPr>
          <w:rFonts w:hint="eastAsia" w:asciiTheme="minorEastAsia" w:hAnsiTheme="minorEastAsia" w:eastAsiaTheme="minorEastAsia" w:cstheme="minorEastAsia"/>
          <w:b/>
          <w:color w:val="FF0000"/>
          <w:sz w:val="24"/>
          <w:szCs w:val="24"/>
          <w:highlight w:val="none"/>
        </w:rPr>
      </w:sdtEndPr>
      <w:sdtContent>
        <w:p w14:paraId="1449EB1C">
          <w:pPr>
            <w:pStyle w:val="17"/>
            <w:rPr>
              <w:rFonts w:hint="eastAsia"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color w:val="FF0000"/>
              <w:sz w:val="24"/>
              <w:szCs w:val="24"/>
              <w:highlight w:val="none"/>
              <w:lang w:eastAsia="zh-CN"/>
            </w:rPr>
            <w:t xml:space="preserve">     </w:t>
          </w:r>
        </w:p>
      </w:sdtContent>
    </w:sdt>
    <w:p w14:paraId="5122F80B">
      <w:pPr>
        <w:rPr>
          <w:rFonts w:hint="eastAsia" w:asciiTheme="minorEastAsia" w:hAnsiTheme="minorEastAsia" w:eastAsiaTheme="minorEastAsia" w:cstheme="minorEastAsia"/>
          <w:b/>
          <w:snapToGrid w:val="0"/>
          <w:color w:val="FF0000"/>
          <w:sz w:val="24"/>
          <w:szCs w:val="24"/>
          <w:highlight w:val="none"/>
        </w:rPr>
      </w:pPr>
    </w:p>
    <w:p w14:paraId="2BFE1063">
      <w:pPr>
        <w:rPr>
          <w:rFonts w:hint="eastAsia" w:asciiTheme="minorEastAsia" w:hAnsiTheme="minorEastAsia" w:eastAsiaTheme="minorEastAsia" w:cstheme="minorEastAsia"/>
          <w:b/>
          <w:snapToGrid w:val="0"/>
          <w:color w:val="FF0000"/>
          <w:sz w:val="24"/>
          <w:szCs w:val="24"/>
          <w:highlight w:val="none"/>
        </w:rPr>
      </w:pPr>
    </w:p>
    <w:p w14:paraId="01CD8B5C">
      <w:pPr>
        <w:rPr>
          <w:rFonts w:hint="eastAsia" w:asciiTheme="minorEastAsia" w:hAnsiTheme="minorEastAsia" w:eastAsiaTheme="minorEastAsia" w:cstheme="minorEastAsia"/>
          <w:b/>
          <w:snapToGrid w:val="0"/>
          <w:color w:val="FF0000"/>
          <w:sz w:val="24"/>
          <w:szCs w:val="24"/>
          <w:highlight w:val="none"/>
        </w:rPr>
        <w:sectPr>
          <w:footerReference r:id="rId9" w:type="default"/>
          <w:pgSz w:w="11906" w:h="16838"/>
          <w:pgMar w:top="1440" w:right="1800" w:bottom="1440" w:left="1800" w:header="851" w:footer="992" w:gutter="0"/>
          <w:pgNumType w:fmt="upperRoman" w:start="1"/>
          <w:cols w:space="720" w:num="1"/>
          <w:docGrid w:type="lines" w:linePitch="312" w:charSpace="0"/>
        </w:sectPr>
      </w:pPr>
    </w:p>
    <w:p w14:paraId="6F4BFA1F">
      <w:pPr>
        <w:pStyle w:val="2"/>
        <w:pageBreakBefore w:val="0"/>
        <w:widowControl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b/>
          <w:bCs/>
          <w:color w:val="auto"/>
          <w:sz w:val="24"/>
          <w:szCs w:val="24"/>
          <w:highlight w:val="none"/>
          <w:u w:val="none"/>
        </w:rPr>
      </w:pPr>
      <w:bookmarkStart w:id="0" w:name="_Toc28134"/>
      <w:bookmarkStart w:id="1" w:name="_Toc23813"/>
      <w:bookmarkStart w:id="2" w:name="_Toc25924"/>
      <w:r>
        <w:rPr>
          <w:rStyle w:val="23"/>
          <w:rFonts w:hint="eastAsia" w:ascii="宋体" w:hAnsi="宋体" w:eastAsia="宋体" w:cs="宋体"/>
          <w:b/>
          <w:bCs/>
          <w:color w:val="auto"/>
          <w:sz w:val="24"/>
          <w:szCs w:val="24"/>
          <w:highlight w:val="none"/>
          <w:u w:val="none"/>
        </w:rPr>
        <w:t>1 概述</w:t>
      </w:r>
      <w:bookmarkEnd w:id="0"/>
      <w:bookmarkEnd w:id="1"/>
      <w:bookmarkEnd w:id="2"/>
    </w:p>
    <w:p w14:paraId="6C8D09A5">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en-US" w:eastAsia="zh-CN"/>
        </w:rPr>
        <w:t>新疆清风朗月环保科技有限公司承担“</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sz w:val="24"/>
          <w:szCs w:val="24"/>
          <w:lang w:val="en-US" w:eastAsia="zh-CN"/>
        </w:rPr>
        <w:t>巴楚钒钛铁精粉240万吨氧化球团项目</w:t>
      </w:r>
      <w:r>
        <w:rPr>
          <w:rFonts w:hint="eastAsia" w:ascii="宋体" w:hAnsi="宋体" w:eastAsia="宋体" w:cs="宋体"/>
          <w:color w:val="auto"/>
          <w:sz w:val="24"/>
          <w:szCs w:val="24"/>
          <w:highlight w:val="none"/>
        </w:rPr>
        <w:t>环境影响评价工作。根据《中华人民共和国环境影响评价法》、《建设项目环境保护管理条例》、《环境影响评价公众参与暂行办法》、《环境影响评价公众参与办法》等文件规定，建设单位完成了本项目环评第一次公示和第二次公示（征求意见稿公示）。</w:t>
      </w:r>
    </w:p>
    <w:p w14:paraId="6EE0BBD0">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月 </w:t>
      </w:r>
      <w:r>
        <w:rPr>
          <w:rFonts w:hint="eastAsia" w:ascii="宋体" w:hAnsi="宋体" w:eastAsia="宋体" w:cs="宋体"/>
          <w:sz w:val="24"/>
          <w:szCs w:val="24"/>
          <w:lang w:val="en-US" w:eastAsia="zh-CN"/>
        </w:rPr>
        <w:t>6</w:t>
      </w:r>
      <w:r>
        <w:rPr>
          <w:rFonts w:hint="eastAsia" w:ascii="宋体" w:hAnsi="宋体" w:eastAsia="宋体" w:cs="宋体"/>
          <w:sz w:val="24"/>
          <w:szCs w:val="24"/>
        </w:rPr>
        <w:t>日，本项目在</w:t>
      </w:r>
      <w:r>
        <w:rPr>
          <w:rFonts w:hint="eastAsia" w:ascii="宋体" w:hAnsi="宋体" w:eastAsia="宋体" w:cs="宋体"/>
          <w:sz w:val="24"/>
          <w:szCs w:val="24"/>
          <w:lang w:eastAsia="zh-CN"/>
        </w:rPr>
        <w:t>全国建设项目信息公示平台网络平台</w:t>
      </w:r>
      <w:r>
        <w:rPr>
          <w:rFonts w:hint="eastAsia" w:ascii="宋体" w:hAnsi="宋体" w:eastAsia="宋体" w:cs="宋体"/>
          <w:sz w:val="24"/>
          <w:szCs w:val="24"/>
        </w:rPr>
        <w:t>进行了第一次网上公示，公示时间为10个工作日，公示主要内容为项目概况、环境影响评价工作程序及主要工作内容、征求公众意见的主要事项、公众提出意见主要方式、建设单位和环评单位信息及联系方式等</w:t>
      </w:r>
      <w:r>
        <w:rPr>
          <w:rFonts w:hint="eastAsia" w:ascii="宋体" w:hAnsi="宋体" w:eastAsia="宋体" w:cs="宋体"/>
          <w:color w:val="auto"/>
          <w:sz w:val="24"/>
          <w:szCs w:val="24"/>
          <w:highlight w:val="none"/>
        </w:rPr>
        <w:t>。</w:t>
      </w:r>
    </w:p>
    <w:p w14:paraId="08562CBF">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202</w:t>
      </w: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 xml:space="preserve"> 年 </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 xml:space="preserve"> 月</w:t>
      </w: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rPr>
        <w:t>日，本项目</w:t>
      </w:r>
      <w:r>
        <w:rPr>
          <w:rFonts w:hint="eastAsia" w:ascii="宋体" w:hAnsi="宋体" w:eastAsia="宋体" w:cs="宋体"/>
          <w:b w:val="0"/>
          <w:bCs w:val="0"/>
          <w:sz w:val="24"/>
          <w:szCs w:val="24"/>
          <w:lang w:val="en-US" w:eastAsia="zh-CN"/>
        </w:rPr>
        <w:t>全国建设项目环境信息公示平台</w:t>
      </w:r>
      <w:r>
        <w:rPr>
          <w:rFonts w:hint="eastAsia" w:ascii="宋体" w:hAnsi="宋体" w:eastAsia="宋体" w:cs="宋体"/>
          <w:b w:val="0"/>
          <w:bCs w:val="0"/>
          <w:sz w:val="24"/>
          <w:szCs w:val="24"/>
        </w:rPr>
        <w:t>网站上对项目征求意见稿</w:t>
      </w:r>
      <w:r>
        <w:rPr>
          <w:rFonts w:hint="eastAsia" w:ascii="宋体" w:hAnsi="宋体" w:eastAsia="宋体" w:cs="宋体"/>
          <w:color w:val="auto"/>
          <w:sz w:val="24"/>
          <w:szCs w:val="24"/>
          <w:highlight w:val="none"/>
        </w:rPr>
        <w:t>进行了环境影响评价第二次公示（征求意见稿公示），公示主要内容为建设项目概要、主要影响、防治措施、结论、初步结论、征求意见范围和事项等，公示有效期</w:t>
      </w:r>
      <w:r>
        <w:rPr>
          <w:rFonts w:hint="eastAsia" w:ascii="宋体" w:hAnsi="宋体" w:eastAsia="宋体" w:cs="宋体"/>
          <w:sz w:val="24"/>
          <w:szCs w:val="24"/>
        </w:rPr>
        <w:t>为10个工作日。</w:t>
      </w:r>
    </w:p>
    <w:p w14:paraId="68F085A1">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在第二次网络公示期间，</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sz w:val="24"/>
          <w:szCs w:val="24"/>
        </w:rPr>
        <w:t>在</w:t>
      </w:r>
      <w:r>
        <w:rPr>
          <w:rFonts w:hint="eastAsia" w:ascii="宋体" w:hAnsi="宋体" w:eastAsia="宋体" w:cs="宋体"/>
          <w:sz w:val="24"/>
          <w:szCs w:val="24"/>
          <w:lang w:val="en-US" w:eastAsia="zh-CN"/>
        </w:rPr>
        <w:t>中国劳动保障报</w:t>
      </w:r>
      <w:r>
        <w:rPr>
          <w:rFonts w:hint="eastAsia" w:ascii="宋体" w:hAnsi="宋体" w:eastAsia="宋体" w:cs="宋体"/>
          <w:sz w:val="24"/>
          <w:szCs w:val="24"/>
        </w:rPr>
        <w:t>对本项目环境影响报告书进行两次同步公示。</w:t>
      </w:r>
      <w:bookmarkStart w:id="3" w:name="_Toc28634"/>
      <w:bookmarkStart w:id="4" w:name="_Toc32512"/>
    </w:p>
    <w:p w14:paraId="3C5886B2">
      <w:pPr>
        <w:pageBreakBefore w:val="0"/>
        <w:widowControl w:val="0"/>
        <w:wordWrap/>
        <w:overflowPunct/>
        <w:topLinePunct w:val="0"/>
        <w:bidi w:val="0"/>
        <w:adjustRightInd/>
        <w:snapToGrid/>
        <w:spacing w:line="360" w:lineRule="auto"/>
        <w:textAlignment w:val="auto"/>
        <w:outlineLvl w:val="0"/>
        <w:rPr>
          <w:rStyle w:val="23"/>
          <w:rFonts w:hint="eastAsia" w:ascii="宋体" w:hAnsi="宋体" w:eastAsia="宋体" w:cs="宋体"/>
          <w:b/>
          <w:bCs/>
          <w:color w:val="auto"/>
          <w:sz w:val="24"/>
          <w:szCs w:val="24"/>
          <w:highlight w:val="none"/>
          <w:u w:val="none"/>
        </w:rPr>
      </w:pPr>
      <w:bookmarkStart w:id="5" w:name="_Toc20419"/>
      <w:r>
        <w:rPr>
          <w:rStyle w:val="23"/>
          <w:rFonts w:hint="eastAsia" w:ascii="宋体" w:hAnsi="宋体" w:eastAsia="宋体" w:cs="宋体"/>
          <w:b/>
          <w:bCs/>
          <w:color w:val="auto"/>
          <w:sz w:val="24"/>
          <w:szCs w:val="24"/>
          <w:highlight w:val="none"/>
          <w:u w:val="none"/>
        </w:rPr>
        <w:t>2 首次环境影响评价信息公开情况</w:t>
      </w:r>
      <w:bookmarkEnd w:id="3"/>
      <w:bookmarkEnd w:id="4"/>
      <w:bookmarkEnd w:id="5"/>
    </w:p>
    <w:p w14:paraId="547709C0">
      <w:pPr>
        <w:pStyle w:val="3"/>
        <w:pageBreakBefore w:val="0"/>
        <w:widowControl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6" w:name="_Toc6446"/>
      <w:bookmarkStart w:id="7" w:name="_Toc30449"/>
      <w:bookmarkStart w:id="8" w:name="_Toc4341"/>
      <w:r>
        <w:rPr>
          <w:rFonts w:hint="eastAsia" w:ascii="宋体" w:hAnsi="宋体" w:eastAsia="宋体" w:cs="宋体"/>
          <w:bCs w:val="0"/>
          <w:color w:val="auto"/>
          <w:sz w:val="24"/>
          <w:szCs w:val="24"/>
          <w:highlight w:val="none"/>
        </w:rPr>
        <w:t>2.1 公开内容及日期</w:t>
      </w:r>
      <w:bookmarkEnd w:id="6"/>
      <w:bookmarkEnd w:id="7"/>
      <w:bookmarkEnd w:id="8"/>
    </w:p>
    <w:p w14:paraId="2AC9901C">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委托开展项目环评工作7日内，</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于20</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日开展第一次网络公示。</w:t>
      </w:r>
    </w:p>
    <w:p w14:paraId="79E2FEEE">
      <w:pPr>
        <w:pageBreakBefore w:val="0"/>
        <w:widowControl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公示公开的内容主要包括：项目名称及概要、建设单位名称及联系方式、环评单位名称及联系方式、环境影响评价工作程序及主要工作内容、环评审批程序、公众参与程序和方案以及各阶段工作初步安排、征求公众意见的主要事项及公众提出意见的主要方式。</w:t>
      </w:r>
    </w:p>
    <w:p w14:paraId="46B0B6C6">
      <w:pPr>
        <w:keepNext w:val="0"/>
        <w:keepLines w:val="0"/>
        <w:pageBreakBefore w:val="0"/>
        <w:widowControl w:val="0"/>
        <w:kinsoku w:val="0"/>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本项目首次环境影响评价信息公开符合《环境影响评价公众参与办法》要求。</w:t>
      </w:r>
    </w:p>
    <w:p w14:paraId="6503B532">
      <w:pPr>
        <w:pStyle w:val="3"/>
        <w:keepNext w:val="0"/>
        <w:keepLines w:val="0"/>
        <w:pageBreakBefore w:val="0"/>
        <w:widowControl w:val="0"/>
        <w:kinsoku w:val="0"/>
        <w:wordWrap/>
        <w:overflowPunct/>
        <w:topLinePunct w:val="0"/>
        <w:autoSpaceDE w:val="0"/>
        <w:autoSpaceDN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9" w:name="_Toc31366"/>
      <w:bookmarkStart w:id="10" w:name="_Toc10284"/>
      <w:bookmarkStart w:id="11" w:name="_Toc30470"/>
      <w:r>
        <w:rPr>
          <w:rFonts w:hint="eastAsia" w:ascii="宋体" w:hAnsi="宋体" w:eastAsia="宋体" w:cs="宋体"/>
          <w:bCs w:val="0"/>
          <w:color w:val="auto"/>
          <w:sz w:val="24"/>
          <w:szCs w:val="24"/>
          <w:highlight w:val="none"/>
        </w:rPr>
        <w:t>2.2 公开方式</w:t>
      </w:r>
      <w:bookmarkEnd w:id="9"/>
      <w:bookmarkEnd w:id="10"/>
      <w:bookmarkEnd w:id="11"/>
    </w:p>
    <w:p w14:paraId="082F8DEB">
      <w:pPr>
        <w:pStyle w:val="45"/>
        <w:keepNext w:val="0"/>
        <w:keepLines w:val="0"/>
        <w:pageBreakBefore w:val="0"/>
        <w:widowControl w:val="0"/>
        <w:kinsoku w:val="0"/>
        <w:wordWrap/>
        <w:overflowPunct/>
        <w:topLinePunct w:val="0"/>
        <w:autoSpaceDE w:val="0"/>
        <w:autoSpaceDN w:val="0"/>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网络</w:t>
      </w:r>
    </w:p>
    <w:p w14:paraId="495AE5C0">
      <w:pPr>
        <w:keepNext w:val="0"/>
        <w:keepLines w:val="0"/>
        <w:pageBreakBefore w:val="0"/>
        <w:widowControl w:val="0"/>
        <w:kinsoku w:val="0"/>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日，本项目在</w:t>
      </w:r>
      <w:r>
        <w:rPr>
          <w:rFonts w:hint="eastAsia" w:ascii="宋体" w:hAnsi="宋体" w:eastAsia="宋体" w:cs="宋体"/>
          <w:sz w:val="24"/>
          <w:szCs w:val="24"/>
          <w:lang w:eastAsia="zh-CN"/>
        </w:rPr>
        <w:t>全国建设项目信息公示平台网络平台</w:t>
      </w:r>
      <w:r>
        <w:rPr>
          <w:rFonts w:hint="eastAsia" w:ascii="宋体" w:hAnsi="宋体" w:eastAsia="宋体" w:cs="宋体"/>
          <w:sz w:val="24"/>
          <w:szCs w:val="24"/>
        </w:rPr>
        <w:t>上对项目首次环境影响评价信息进行公开；向公众告知本项目的建设情况。</w:t>
      </w:r>
    </w:p>
    <w:p w14:paraId="6E17AF02">
      <w:pPr>
        <w:keepNext w:val="0"/>
        <w:keepLines w:val="0"/>
        <w:pageBreakBefore w:val="0"/>
        <w:widowControl w:val="0"/>
        <w:kinsoku w:val="0"/>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sz w:val="24"/>
          <w:szCs w:val="24"/>
        </w:rPr>
        <w:t>开展网络公示，载体选择符合《环境影响评价公众参与办法》要求。网络公示截图见图1。</w:t>
      </w:r>
    </w:p>
    <w:p w14:paraId="6676DCCA">
      <w:pPr>
        <w:pageBreakBefore w:val="0"/>
        <w:wordWrap/>
        <w:overflowPunct/>
        <w:topLinePunct w:val="0"/>
        <w:bidi w:val="0"/>
        <w:adjustRightInd/>
        <w:snapToGrid/>
        <w:spacing w:line="360" w:lineRule="auto"/>
        <w:ind w:firstLine="600" w:firstLineChars="200"/>
        <w:jc w:val="center"/>
        <w:textAlignment w:val="auto"/>
        <w:rPr>
          <w:rFonts w:hint="eastAsia" w:ascii="方正仿宋_GB2312" w:hAnsi="方正仿宋_GB2312" w:eastAsia="方正仿宋_GB2312" w:cs="方正仿宋_GB2312"/>
          <w:b/>
          <w:bCs/>
          <w:color w:val="auto"/>
          <w:sz w:val="30"/>
          <w:szCs w:val="30"/>
          <w:highlight w:val="none"/>
        </w:rPr>
      </w:pPr>
      <w:r>
        <w:rPr>
          <w:rFonts w:hint="eastAsia" w:ascii="方正仿宋_GB2312" w:hAnsi="方正仿宋_GB2312" w:eastAsia="方正仿宋_GB2312" w:cs="方正仿宋_GB2312"/>
          <w:sz w:val="30"/>
          <w:szCs w:val="30"/>
        </w:rPr>
        <w:drawing>
          <wp:inline distT="0" distB="0" distL="114300" distR="114300">
            <wp:extent cx="4933950" cy="3061970"/>
            <wp:effectExtent l="0" t="0" r="381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4933950" cy="3061970"/>
                    </a:xfrm>
                    <a:prstGeom prst="rect">
                      <a:avLst/>
                    </a:prstGeom>
                    <a:noFill/>
                    <a:ln>
                      <a:noFill/>
                    </a:ln>
                  </pic:spPr>
                </pic:pic>
              </a:graphicData>
            </a:graphic>
          </wp:inline>
        </w:drawing>
      </w:r>
      <w:r>
        <w:rPr>
          <w:rFonts w:hint="eastAsia" w:ascii="宋体" w:hAnsi="宋体" w:eastAsia="宋体" w:cs="宋体"/>
          <w:b/>
          <w:bCs/>
          <w:color w:val="FF0000"/>
          <w:sz w:val="21"/>
          <w:szCs w:val="21"/>
          <w:highlight w:val="none"/>
        </w:rPr>
        <w:t xml:space="preserve"> </w:t>
      </w:r>
      <w:r>
        <w:rPr>
          <w:rFonts w:hint="eastAsia" w:ascii="宋体" w:hAnsi="宋体" w:eastAsia="宋体" w:cs="宋体"/>
          <w:b/>
          <w:bCs/>
          <w:color w:val="auto"/>
          <w:sz w:val="21"/>
          <w:szCs w:val="21"/>
          <w:highlight w:val="none"/>
        </w:rPr>
        <w:t>图1  本项目第一次网络公示截图</w:t>
      </w:r>
    </w:p>
    <w:p w14:paraId="62132220">
      <w:pPr>
        <w:pStyle w:val="45"/>
        <w:pageBreakBefore w:val="0"/>
        <w:wordWrap/>
        <w:overflowPunct/>
        <w:topLinePunct w:val="0"/>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2.2.2其他</w:t>
      </w:r>
    </w:p>
    <w:p w14:paraId="0362CE1D">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第一次公示期间，未采取其他公示方式。</w:t>
      </w:r>
    </w:p>
    <w:p w14:paraId="2144AB67">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12" w:name="_Toc26802"/>
      <w:bookmarkStart w:id="13" w:name="_Toc2288"/>
      <w:bookmarkStart w:id="14" w:name="_Toc16926"/>
      <w:r>
        <w:rPr>
          <w:rFonts w:hint="eastAsia" w:ascii="宋体" w:hAnsi="宋体" w:eastAsia="宋体" w:cs="宋体"/>
          <w:bCs w:val="0"/>
          <w:color w:val="auto"/>
          <w:sz w:val="24"/>
          <w:szCs w:val="24"/>
          <w:highlight w:val="none"/>
        </w:rPr>
        <w:t>2.3 公众意见情况</w:t>
      </w:r>
      <w:bookmarkEnd w:id="12"/>
      <w:bookmarkEnd w:id="13"/>
      <w:bookmarkEnd w:id="14"/>
    </w:p>
    <w:p w14:paraId="6CE7838F">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公示期间公示信息处于公开状态，公示公开期间未收到反对意见。</w:t>
      </w:r>
    </w:p>
    <w:p w14:paraId="1B036064">
      <w:pPr>
        <w:pStyle w:val="2"/>
        <w:pageBreakBefore w:val="0"/>
        <w:tabs>
          <w:tab w:val="left" w:pos="4140"/>
        </w:tabs>
        <w:wordWrap/>
        <w:overflowPunct/>
        <w:topLinePunct w:val="0"/>
        <w:bidi w:val="0"/>
        <w:adjustRightInd/>
        <w:snapToGrid/>
        <w:spacing w:before="0" w:after="0" w:line="360" w:lineRule="auto"/>
        <w:jc w:val="left"/>
        <w:textAlignment w:val="auto"/>
        <w:rPr>
          <w:rFonts w:hint="eastAsia" w:ascii="宋体" w:hAnsi="宋体" w:eastAsia="宋体" w:cs="宋体"/>
          <w:color w:val="auto"/>
          <w:sz w:val="24"/>
          <w:szCs w:val="24"/>
          <w:highlight w:val="none"/>
        </w:rPr>
      </w:pPr>
      <w:bookmarkStart w:id="15" w:name="_Toc14910"/>
      <w:bookmarkStart w:id="16" w:name="_Toc29023"/>
      <w:bookmarkStart w:id="17" w:name="_Toc16901"/>
      <w:r>
        <w:rPr>
          <w:rStyle w:val="23"/>
          <w:rFonts w:hint="eastAsia" w:ascii="宋体" w:hAnsi="宋体" w:eastAsia="宋体" w:cs="宋体"/>
          <w:color w:val="auto"/>
          <w:sz w:val="24"/>
          <w:szCs w:val="24"/>
          <w:highlight w:val="none"/>
          <w:u w:val="none"/>
        </w:rPr>
        <w:t>3 征求意见稿公示情况</w:t>
      </w:r>
      <w:bookmarkEnd w:id="15"/>
      <w:bookmarkEnd w:id="16"/>
      <w:bookmarkEnd w:id="17"/>
    </w:p>
    <w:p w14:paraId="4D6B6816">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18" w:name="_Toc15375"/>
      <w:bookmarkStart w:id="19" w:name="_Toc7484"/>
      <w:bookmarkStart w:id="20" w:name="_Toc21336"/>
      <w:r>
        <w:rPr>
          <w:rFonts w:hint="eastAsia" w:ascii="宋体" w:hAnsi="宋体" w:eastAsia="宋体" w:cs="宋体"/>
          <w:bCs w:val="0"/>
          <w:color w:val="auto"/>
          <w:sz w:val="24"/>
          <w:szCs w:val="24"/>
          <w:highlight w:val="none"/>
        </w:rPr>
        <w:t>3.1 公示内容及时限</w:t>
      </w:r>
      <w:bookmarkEnd w:id="18"/>
      <w:bookmarkEnd w:id="19"/>
      <w:bookmarkEnd w:id="20"/>
    </w:p>
    <w:p w14:paraId="45DF2DEB">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征求意见稿公示主要内容包括：建设项目概况、建设项目名称和联系方式、环境影响报告书编制单位的名称、公众意见表的网络链接、提交公众意见表的方式和途径、环境影响报告书征求意见稿全文的网络链接及查阅纸质报告书的方式和途径、征求意见的公众范围、公众提出意见的方式和途径及公众提出意见的起止时间。</w:t>
      </w:r>
    </w:p>
    <w:p w14:paraId="7D7BE50F">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公示时限为10个工作日。</w:t>
      </w:r>
    </w:p>
    <w:p w14:paraId="02324733">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项目环境影响报告书的征求意见稿的主要内容基本完成，公示的主要内容及时限符合《环境影响评价公众参与办法》要求。</w:t>
      </w:r>
    </w:p>
    <w:p w14:paraId="7C1CD787">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21" w:name="_Toc6799"/>
      <w:bookmarkStart w:id="22" w:name="_Toc9076"/>
      <w:bookmarkStart w:id="23" w:name="_Toc7666"/>
      <w:r>
        <w:rPr>
          <w:rFonts w:hint="eastAsia" w:ascii="宋体" w:hAnsi="宋体" w:eastAsia="宋体" w:cs="宋体"/>
          <w:bCs w:val="0"/>
          <w:color w:val="auto"/>
          <w:sz w:val="24"/>
          <w:szCs w:val="24"/>
          <w:highlight w:val="none"/>
        </w:rPr>
        <w:t>3.2 公示方式</w:t>
      </w:r>
      <w:bookmarkEnd w:id="21"/>
      <w:bookmarkEnd w:id="22"/>
      <w:bookmarkEnd w:id="23"/>
    </w:p>
    <w:p w14:paraId="43EACEA8">
      <w:pPr>
        <w:pStyle w:val="45"/>
        <w:pageBreakBefore w:val="0"/>
        <w:wordWrap/>
        <w:overflowPunct/>
        <w:topLinePunct w:val="0"/>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 网络</w:t>
      </w:r>
    </w:p>
    <w:p w14:paraId="630C95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月</w:t>
      </w:r>
      <w:r>
        <w:rPr>
          <w:rFonts w:hint="eastAsia" w:ascii="宋体" w:hAnsi="宋体" w:eastAsia="宋体" w:cs="宋体"/>
          <w:sz w:val="24"/>
          <w:szCs w:val="24"/>
          <w:lang w:val="en-US" w:eastAsia="zh-CN"/>
        </w:rPr>
        <w:t>9</w:t>
      </w:r>
      <w:r>
        <w:rPr>
          <w:rFonts w:hint="eastAsia" w:ascii="宋体" w:hAnsi="宋体" w:eastAsia="宋体" w:cs="宋体"/>
          <w:sz w:val="24"/>
          <w:szCs w:val="24"/>
        </w:rPr>
        <w:t>日，本项目</w:t>
      </w:r>
      <w:r>
        <w:rPr>
          <w:rFonts w:hint="eastAsia" w:ascii="宋体" w:hAnsi="宋体" w:eastAsia="宋体" w:cs="宋体"/>
          <w:sz w:val="24"/>
          <w:szCs w:val="24"/>
          <w:lang w:val="en-US" w:eastAsia="zh-CN"/>
        </w:rPr>
        <w:t>全国建设项目环境信息公示平台</w:t>
      </w:r>
      <w:r>
        <w:rPr>
          <w:rFonts w:hint="eastAsia" w:ascii="宋体" w:hAnsi="宋体" w:eastAsia="宋体" w:cs="宋体"/>
          <w:sz w:val="24"/>
          <w:szCs w:val="24"/>
        </w:rPr>
        <w:t>网站上对项目征求意见稿开展环境影响评价第二次网络公示，向公众告知征求意见稿及其网络公众意见调查表的相关信息。公告网址：https://www.eiacloud.com/gs/list/1。</w:t>
      </w:r>
    </w:p>
    <w:p w14:paraId="0B24C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载体选择符合《环境影响评价公众参与办法》要求。</w:t>
      </w:r>
      <w:r>
        <w:rPr>
          <w:rFonts w:hint="eastAsia" w:ascii="宋体" w:hAnsi="宋体" w:eastAsia="宋体" w:cs="宋体"/>
          <w:sz w:val="24"/>
          <w:szCs w:val="24"/>
          <w:lang w:eastAsia="zh-CN"/>
        </w:rPr>
        <w:t xml:space="preserve"> 公众参与第</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次网上信息公示</w:t>
      </w:r>
      <w:r>
        <w:rPr>
          <w:rFonts w:hint="eastAsia" w:ascii="宋体" w:hAnsi="宋体" w:eastAsia="宋体" w:cs="宋体"/>
          <w:sz w:val="24"/>
          <w:szCs w:val="24"/>
        </w:rPr>
        <w:t>见图2。</w:t>
      </w:r>
    </w:p>
    <w:p w14:paraId="0F29E6F2">
      <w:pPr>
        <w:pStyle w:val="17"/>
        <w:pageBreakBefore w:val="0"/>
        <w:wordWrap/>
        <w:overflowPunct/>
        <w:topLinePunct w:val="0"/>
        <w:bidi w:val="0"/>
        <w:adjustRightInd/>
        <w:snapToGrid/>
        <w:spacing w:line="360" w:lineRule="auto"/>
        <w:ind w:firstLine="0" w:firstLineChars="0"/>
        <w:jc w:val="center"/>
        <w:textAlignment w:val="auto"/>
        <w:rPr>
          <w:rFonts w:hint="eastAsia" w:ascii="方正仿宋_GB2312" w:hAnsi="方正仿宋_GB2312" w:eastAsia="方正仿宋_GB2312" w:cs="方正仿宋_GB2312"/>
          <w:b/>
          <w:bCs/>
          <w:color w:val="FF0000"/>
          <w:sz w:val="30"/>
          <w:szCs w:val="30"/>
          <w:highlight w:val="none"/>
          <w:lang w:eastAsia="zh-CN"/>
        </w:rPr>
      </w:pPr>
      <w:r>
        <w:rPr>
          <w:rFonts w:hint="eastAsia" w:ascii="方正仿宋_GB2312" w:hAnsi="方正仿宋_GB2312" w:eastAsia="方正仿宋_GB2312" w:cs="方正仿宋_GB2312"/>
          <w:sz w:val="30"/>
          <w:szCs w:val="30"/>
        </w:rPr>
        <w:drawing>
          <wp:inline distT="0" distB="0" distL="114300" distR="114300">
            <wp:extent cx="5260340" cy="2656840"/>
            <wp:effectExtent l="0" t="0" r="12700"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4"/>
                    <a:stretch>
                      <a:fillRect/>
                    </a:stretch>
                  </pic:blipFill>
                  <pic:spPr>
                    <a:xfrm>
                      <a:off x="0" y="0"/>
                      <a:ext cx="5260340" cy="2656840"/>
                    </a:xfrm>
                    <a:prstGeom prst="rect">
                      <a:avLst/>
                    </a:prstGeom>
                    <a:noFill/>
                    <a:ln>
                      <a:noFill/>
                    </a:ln>
                  </pic:spPr>
                </pic:pic>
              </a:graphicData>
            </a:graphic>
          </wp:inline>
        </w:drawing>
      </w:r>
    </w:p>
    <w:p w14:paraId="0818FAB4">
      <w:pPr>
        <w:pageBreakBefore w:val="0"/>
        <w:wordWrap/>
        <w:overflowPunct/>
        <w:topLinePunct w:val="0"/>
        <w:bidi w:val="0"/>
        <w:adjustRightInd/>
        <w:snapToGrid/>
        <w:spacing w:line="360" w:lineRule="auto"/>
        <w:ind w:firstLine="422" w:firstLineChars="20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 xml:space="preserve">图2  </w:t>
      </w:r>
      <w:r>
        <w:rPr>
          <w:rFonts w:hint="eastAsia" w:ascii="宋体" w:hAnsi="宋体" w:eastAsia="宋体" w:cs="宋体"/>
          <w:b/>
          <w:bCs/>
          <w:sz w:val="21"/>
          <w:szCs w:val="21"/>
          <w:lang w:eastAsia="zh-CN"/>
        </w:rPr>
        <w:t xml:space="preserve"> 公众参与第</w:t>
      </w:r>
      <w:r>
        <w:rPr>
          <w:rFonts w:hint="eastAsia" w:ascii="宋体" w:hAnsi="宋体" w:eastAsia="宋体" w:cs="宋体"/>
          <w:b/>
          <w:bCs/>
          <w:sz w:val="21"/>
          <w:szCs w:val="21"/>
          <w:lang w:val="en-US" w:eastAsia="zh-CN"/>
        </w:rPr>
        <w:t>二</w:t>
      </w:r>
      <w:r>
        <w:rPr>
          <w:rFonts w:hint="eastAsia" w:ascii="宋体" w:hAnsi="宋体" w:eastAsia="宋体" w:cs="宋体"/>
          <w:b/>
          <w:bCs/>
          <w:sz w:val="21"/>
          <w:szCs w:val="21"/>
          <w:lang w:eastAsia="zh-CN"/>
        </w:rPr>
        <w:t>次网上信息公示</w:t>
      </w:r>
    </w:p>
    <w:p w14:paraId="30E381DA">
      <w:pPr>
        <w:pStyle w:val="45"/>
        <w:pageBreakBefore w:val="0"/>
        <w:wordWrap/>
        <w:overflowPunct/>
        <w:topLinePunct w:val="0"/>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 报纸</w:t>
      </w:r>
    </w:p>
    <w:p w14:paraId="30BC2B1D">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在第二次网络公示期间，</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分别于20</w:t>
      </w:r>
      <w:r>
        <w:rPr>
          <w:rFonts w:hint="eastAsia" w:ascii="宋体" w:hAnsi="宋体" w:eastAsia="宋体" w:cs="宋体"/>
          <w:color w:val="auto"/>
          <w:sz w:val="24"/>
          <w:szCs w:val="24"/>
          <w:highlight w:val="none"/>
          <w:lang w:val="en-US" w:eastAsia="zh-CN"/>
        </w:rPr>
        <w:t>26年5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日及</w:t>
      </w:r>
      <w:r>
        <w:rPr>
          <w:rFonts w:hint="eastAsia" w:ascii="宋体" w:hAnsi="宋体" w:eastAsia="宋体" w:cs="宋体"/>
          <w:color w:val="auto"/>
          <w:sz w:val="24"/>
          <w:szCs w:val="24"/>
          <w:highlight w:val="none"/>
          <w:lang w:val="en-US" w:eastAsia="zh-CN"/>
        </w:rPr>
        <w:t>2026年5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日，在</w:t>
      </w:r>
      <w:r>
        <w:rPr>
          <w:rFonts w:hint="eastAsia" w:ascii="宋体" w:hAnsi="宋体" w:eastAsia="宋体" w:cs="宋体"/>
          <w:color w:val="auto"/>
          <w:sz w:val="24"/>
          <w:szCs w:val="24"/>
          <w:highlight w:val="none"/>
          <w:lang w:val="en-US" w:eastAsia="zh-CN"/>
        </w:rPr>
        <w:t>环球时报上</w:t>
      </w:r>
      <w:r>
        <w:rPr>
          <w:rFonts w:hint="eastAsia" w:ascii="宋体" w:hAnsi="宋体" w:eastAsia="宋体" w:cs="宋体"/>
          <w:color w:val="auto"/>
          <w:sz w:val="24"/>
          <w:szCs w:val="24"/>
          <w:highlight w:val="none"/>
        </w:rPr>
        <w:t>对项目的环境影响评价信息进行了两次公告。</w:t>
      </w:r>
    </w:p>
    <w:p w14:paraId="2D88CBB8">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载体选择符合《环境影响评价公众参与办法》要求。</w:t>
      </w:r>
    </w:p>
    <w:p w14:paraId="63F4BEF0">
      <w:pPr>
        <w:pageBreakBefore w:val="0"/>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征求意见稿两次报纸公示截图见图3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图4。 </w:t>
      </w:r>
    </w:p>
    <w:p w14:paraId="042298E5">
      <w:pPr>
        <w:pStyle w:val="6"/>
        <w:pageBreakBefore w:val="0"/>
        <w:wordWrap/>
        <w:overflowPunct/>
        <w:topLinePunct w:val="0"/>
        <w:bidi w:val="0"/>
        <w:adjustRightInd/>
        <w:snapToGrid/>
        <w:spacing w:line="360" w:lineRule="auto"/>
        <w:ind w:left="2897"/>
        <w:jc w:val="both"/>
        <w:textAlignment w:val="auto"/>
        <w:rPr>
          <w:rFonts w:hint="eastAsia" w:ascii="宋体" w:hAnsi="宋体" w:eastAsia="宋体" w:cs="宋体"/>
          <w:b/>
          <w:bCs/>
          <w:spacing w:val="0"/>
          <w:sz w:val="24"/>
          <w:szCs w:val="24"/>
          <w:highlight w:val="none"/>
          <w:lang w:eastAsia="zh-CN"/>
        </w:rPr>
      </w:pPr>
      <w:r>
        <w:rPr>
          <w:rFonts w:hint="eastAsia" w:ascii="宋体" w:hAnsi="宋体" w:eastAsia="宋体" w:cs="宋体"/>
          <w:b/>
          <w:bCs/>
          <w:spacing w:val="0"/>
          <w:sz w:val="24"/>
          <w:szCs w:val="24"/>
          <w:highlight w:val="none"/>
          <w:lang w:eastAsia="zh-CN"/>
        </w:rPr>
        <w:t>图3第一次报纸公示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0"/>
        <w:gridCol w:w="3872"/>
      </w:tblGrid>
      <w:tr w14:paraId="1648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3" w:hRule="atLeast"/>
        </w:trPr>
        <w:tc>
          <w:tcPr>
            <w:tcW w:w="4260" w:type="dxa"/>
            <w:vMerge w:val="restart"/>
            <w:vAlign w:val="top"/>
          </w:tcPr>
          <w:p w14:paraId="683A1B27">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855595" cy="3544570"/>
                  <wp:effectExtent l="0" t="0" r="952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tretch>
                            <a:fillRect/>
                          </a:stretch>
                        </pic:blipFill>
                        <pic:spPr>
                          <a:xfrm>
                            <a:off x="0" y="0"/>
                            <a:ext cx="2855595" cy="3544570"/>
                          </a:xfrm>
                          <a:prstGeom prst="rect">
                            <a:avLst/>
                          </a:prstGeom>
                          <a:noFill/>
                          <a:ln>
                            <a:noFill/>
                          </a:ln>
                        </pic:spPr>
                      </pic:pic>
                    </a:graphicData>
                  </a:graphic>
                </wp:inline>
              </w:drawing>
            </w:r>
          </w:p>
        </w:tc>
        <w:tc>
          <w:tcPr>
            <w:tcW w:w="4261" w:type="dxa"/>
            <w:vAlign w:val="top"/>
          </w:tcPr>
          <w:p w14:paraId="6A87637D">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354580" cy="1696085"/>
                  <wp:effectExtent l="0" t="0" r="7620" b="1079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6"/>
                          <a:stretch>
                            <a:fillRect/>
                          </a:stretch>
                        </pic:blipFill>
                        <pic:spPr>
                          <a:xfrm>
                            <a:off x="0" y="0"/>
                            <a:ext cx="2354580" cy="1696085"/>
                          </a:xfrm>
                          <a:prstGeom prst="rect">
                            <a:avLst/>
                          </a:prstGeom>
                          <a:noFill/>
                          <a:ln>
                            <a:noFill/>
                          </a:ln>
                        </pic:spPr>
                      </pic:pic>
                    </a:graphicData>
                  </a:graphic>
                </wp:inline>
              </w:drawing>
            </w:r>
          </w:p>
        </w:tc>
      </w:tr>
      <w:tr w14:paraId="38A0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60" w:type="dxa"/>
            <w:vMerge w:val="continue"/>
            <w:vAlign w:val="top"/>
          </w:tcPr>
          <w:p w14:paraId="0D9A4815">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p>
        </w:tc>
        <w:tc>
          <w:tcPr>
            <w:tcW w:w="4261" w:type="dxa"/>
            <w:vAlign w:val="top"/>
          </w:tcPr>
          <w:p w14:paraId="52069310">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303780" cy="1361440"/>
                  <wp:effectExtent l="0" t="0" r="12700" b="1016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7"/>
                          <a:stretch>
                            <a:fillRect/>
                          </a:stretch>
                        </pic:blipFill>
                        <pic:spPr>
                          <a:xfrm>
                            <a:off x="0" y="0"/>
                            <a:ext cx="2303780" cy="1361440"/>
                          </a:xfrm>
                          <a:prstGeom prst="rect">
                            <a:avLst/>
                          </a:prstGeom>
                          <a:noFill/>
                          <a:ln>
                            <a:noFill/>
                          </a:ln>
                        </pic:spPr>
                      </pic:pic>
                    </a:graphicData>
                  </a:graphic>
                </wp:inline>
              </w:drawing>
            </w:r>
          </w:p>
        </w:tc>
      </w:tr>
    </w:tbl>
    <w:p w14:paraId="18F29D5D">
      <w:pPr>
        <w:pStyle w:val="6"/>
        <w:pageBreakBefore w:val="0"/>
        <w:wordWrap/>
        <w:overflowPunct/>
        <w:topLinePunct w:val="0"/>
        <w:bidi w:val="0"/>
        <w:adjustRightInd/>
        <w:snapToGrid/>
        <w:spacing w:line="360" w:lineRule="auto"/>
        <w:jc w:val="center"/>
        <w:textAlignment w:val="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图4第二次报纸公示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8"/>
        <w:gridCol w:w="4154"/>
      </w:tblGrid>
      <w:tr w14:paraId="7170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60" w:type="dxa"/>
            <w:vMerge w:val="restart"/>
            <w:vAlign w:val="top"/>
          </w:tcPr>
          <w:p w14:paraId="517EF0AA">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630805" cy="3058795"/>
                  <wp:effectExtent l="0" t="0" r="5715" b="444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8"/>
                          <a:stretch>
                            <a:fillRect/>
                          </a:stretch>
                        </pic:blipFill>
                        <pic:spPr>
                          <a:xfrm>
                            <a:off x="0" y="0"/>
                            <a:ext cx="2630805" cy="3058795"/>
                          </a:xfrm>
                          <a:prstGeom prst="rect">
                            <a:avLst/>
                          </a:prstGeom>
                          <a:noFill/>
                          <a:ln>
                            <a:noFill/>
                          </a:ln>
                        </pic:spPr>
                      </pic:pic>
                    </a:graphicData>
                  </a:graphic>
                </wp:inline>
              </w:drawing>
            </w:r>
          </w:p>
        </w:tc>
        <w:tc>
          <w:tcPr>
            <w:tcW w:w="4261" w:type="dxa"/>
            <w:vAlign w:val="top"/>
          </w:tcPr>
          <w:p w14:paraId="393DBBA8">
            <w:pPr>
              <w:pStyle w:val="6"/>
              <w:pageBreakBefore w:val="0"/>
              <w:wordWrap/>
              <w:overflowPunct/>
              <w:topLinePunct w:val="0"/>
              <w:bidi w:val="0"/>
              <w:adjustRightInd/>
              <w:snapToGrid/>
              <w:spacing w:line="360" w:lineRule="auto"/>
              <w:jc w:val="center"/>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407920" cy="1570990"/>
                  <wp:effectExtent l="0" t="0" r="0" b="139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9"/>
                          <a:stretch>
                            <a:fillRect/>
                          </a:stretch>
                        </pic:blipFill>
                        <pic:spPr>
                          <a:xfrm>
                            <a:off x="0" y="0"/>
                            <a:ext cx="2407920" cy="1570990"/>
                          </a:xfrm>
                          <a:prstGeom prst="rect">
                            <a:avLst/>
                          </a:prstGeom>
                          <a:noFill/>
                          <a:ln>
                            <a:noFill/>
                          </a:ln>
                        </pic:spPr>
                      </pic:pic>
                    </a:graphicData>
                  </a:graphic>
                </wp:inline>
              </w:drawing>
            </w:r>
          </w:p>
        </w:tc>
      </w:tr>
      <w:tr w14:paraId="6CA5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60" w:type="dxa"/>
            <w:vMerge w:val="continue"/>
            <w:vAlign w:val="top"/>
          </w:tcPr>
          <w:p w14:paraId="5B259A18">
            <w:pPr>
              <w:pStyle w:val="6"/>
              <w:pageBreakBefore w:val="0"/>
              <w:wordWrap/>
              <w:overflowPunct/>
              <w:topLinePunct w:val="0"/>
              <w:bidi w:val="0"/>
              <w:adjustRightInd/>
              <w:snapToGrid/>
              <w:spacing w:line="360" w:lineRule="auto"/>
              <w:jc w:val="both"/>
              <w:textAlignment w:val="auto"/>
              <w:rPr>
                <w:rFonts w:hint="eastAsia" w:ascii="方正仿宋_GB2312" w:hAnsi="方正仿宋_GB2312" w:eastAsia="方正仿宋_GB2312" w:cs="方正仿宋_GB2312"/>
                <w:b/>
                <w:bCs/>
                <w:spacing w:val="0"/>
                <w:sz w:val="30"/>
                <w:szCs w:val="30"/>
                <w:highlight w:val="none"/>
                <w:vertAlign w:val="baseline"/>
                <w:lang w:eastAsia="zh-CN"/>
              </w:rPr>
            </w:pPr>
          </w:p>
        </w:tc>
        <w:tc>
          <w:tcPr>
            <w:tcW w:w="4261" w:type="dxa"/>
            <w:vAlign w:val="top"/>
          </w:tcPr>
          <w:p w14:paraId="6A564F61">
            <w:pPr>
              <w:pStyle w:val="6"/>
              <w:pageBreakBefore w:val="0"/>
              <w:wordWrap/>
              <w:overflowPunct/>
              <w:topLinePunct w:val="0"/>
              <w:bidi w:val="0"/>
              <w:adjustRightInd/>
              <w:snapToGrid/>
              <w:spacing w:line="360" w:lineRule="auto"/>
              <w:jc w:val="center"/>
              <w:textAlignment w:val="auto"/>
              <w:rPr>
                <w:rFonts w:hint="eastAsia" w:ascii="方正仿宋_GB2312" w:hAnsi="方正仿宋_GB2312" w:eastAsia="方正仿宋_GB2312" w:cs="方正仿宋_GB2312"/>
                <w:b/>
                <w:bCs/>
                <w:spacing w:val="0"/>
                <w:sz w:val="30"/>
                <w:szCs w:val="30"/>
                <w:highlight w:val="none"/>
                <w:vertAlign w:val="baseline"/>
                <w:lang w:eastAsia="zh-CN"/>
              </w:rPr>
            </w:pPr>
            <w:r>
              <w:rPr>
                <w:rFonts w:hint="eastAsia" w:ascii="方正仿宋_GB2312" w:hAnsi="方正仿宋_GB2312" w:eastAsia="方正仿宋_GB2312" w:cs="方正仿宋_GB2312"/>
                <w:sz w:val="30"/>
                <w:szCs w:val="30"/>
              </w:rPr>
              <w:drawing>
                <wp:inline distT="0" distB="0" distL="114300" distR="114300">
                  <wp:extent cx="2346960" cy="1344930"/>
                  <wp:effectExtent l="0" t="0" r="0" b="1143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0"/>
                          <a:stretch>
                            <a:fillRect/>
                          </a:stretch>
                        </pic:blipFill>
                        <pic:spPr>
                          <a:xfrm>
                            <a:off x="0" y="0"/>
                            <a:ext cx="2346960" cy="1344930"/>
                          </a:xfrm>
                          <a:prstGeom prst="rect">
                            <a:avLst/>
                          </a:prstGeom>
                          <a:noFill/>
                          <a:ln>
                            <a:noFill/>
                          </a:ln>
                        </pic:spPr>
                      </pic:pic>
                    </a:graphicData>
                  </a:graphic>
                </wp:inline>
              </w:drawing>
            </w:r>
          </w:p>
        </w:tc>
      </w:tr>
    </w:tbl>
    <w:p w14:paraId="3078EBDD">
      <w:pPr>
        <w:pStyle w:val="45"/>
        <w:pageBreakBefore w:val="0"/>
        <w:wordWrap/>
        <w:overflowPunct/>
        <w:topLinePunct w:val="0"/>
        <w:bidi w:val="0"/>
        <w:adjustRightInd/>
        <w:snapToGrid/>
        <w:spacing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张贴</w:t>
      </w:r>
    </w:p>
    <w:p w14:paraId="250A735E">
      <w:pPr>
        <w:pageBreakBefore w:val="0"/>
        <w:wordWrap/>
        <w:overflowPunct/>
        <w:topLinePunct w:val="0"/>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24" w:name="_Toc23700"/>
      <w:bookmarkStart w:id="25" w:name="_Toc19691"/>
      <w:r>
        <w:rPr>
          <w:rFonts w:hint="eastAsia" w:ascii="宋体" w:hAnsi="宋体" w:eastAsia="宋体" w:cs="宋体"/>
          <w:color w:val="auto"/>
          <w:sz w:val="21"/>
          <w:szCs w:val="21"/>
          <w:highlight w:val="none"/>
        </w:rPr>
        <w:t>在第二次公示期间，本项目在</w:t>
      </w:r>
      <w:r>
        <w:rPr>
          <w:rFonts w:hint="eastAsia" w:ascii="宋体" w:hAnsi="宋体" w:eastAsia="宋体" w:cs="宋体"/>
          <w:b w:val="0"/>
          <w:bCs w:val="0"/>
          <w:sz w:val="21"/>
          <w:szCs w:val="21"/>
          <w:lang w:val="en-US" w:eastAsia="zh-CN"/>
        </w:rPr>
        <w:t>巴楚华正球团制造有限公司</w:t>
      </w:r>
      <w:r>
        <w:rPr>
          <w:rFonts w:hint="eastAsia" w:ascii="宋体" w:hAnsi="宋体" w:eastAsia="宋体" w:cs="宋体"/>
          <w:b w:val="0"/>
          <w:bCs w:val="0"/>
          <w:sz w:val="21"/>
          <w:szCs w:val="21"/>
          <w:highlight w:val="none"/>
          <w:lang w:val="en-US" w:eastAsia="zh-CN"/>
        </w:rPr>
        <w:t>项目现场</w:t>
      </w:r>
      <w:r>
        <w:rPr>
          <w:rFonts w:hint="eastAsia" w:ascii="宋体" w:hAnsi="宋体" w:eastAsia="宋体" w:cs="宋体"/>
          <w:color w:val="auto"/>
          <w:sz w:val="21"/>
          <w:szCs w:val="21"/>
          <w:highlight w:val="none"/>
        </w:rPr>
        <w:t xml:space="preserve">进行了张贴公示，载体选择符合《环境影响评价公众参与办法》要求。张贴公示照片见图5。 </w:t>
      </w:r>
    </w:p>
    <w:p w14:paraId="034D640B">
      <w:pPr>
        <w:pageBreakBefore w:val="0"/>
        <w:wordWrap/>
        <w:overflowPunct/>
        <w:topLinePunct w:val="0"/>
        <w:bidi w:val="0"/>
        <w:adjustRightInd/>
        <w:snapToGrid/>
        <w:spacing w:line="360" w:lineRule="auto"/>
        <w:ind w:firstLine="600" w:firstLineChars="200"/>
        <w:jc w:val="both"/>
        <w:textAlignment w:val="auto"/>
        <w:rPr>
          <w:rFonts w:hint="eastAsia" w:ascii="方正仿宋_GB2312" w:hAnsi="方正仿宋_GB2312" w:eastAsia="方正仿宋_GB2312" w:cs="方正仿宋_GB2312"/>
          <w:color w:val="auto"/>
          <w:sz w:val="30"/>
          <w:szCs w:val="30"/>
          <w:highlight w:val="none"/>
          <w:lang w:eastAsia="zh-CN"/>
        </w:rPr>
      </w:pPr>
      <w:r>
        <w:rPr>
          <w:rFonts w:hint="eastAsia" w:ascii="方正仿宋_GB2312" w:hAnsi="方正仿宋_GB2312" w:eastAsia="方正仿宋_GB2312" w:cs="方正仿宋_GB2312"/>
          <w:sz w:val="30"/>
          <w:szCs w:val="30"/>
        </w:rPr>
        <w:drawing>
          <wp:inline distT="0" distB="0" distL="114300" distR="114300">
            <wp:extent cx="2404110" cy="2941320"/>
            <wp:effectExtent l="0" t="0" r="381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1"/>
                    <a:stretch>
                      <a:fillRect/>
                    </a:stretch>
                  </pic:blipFill>
                  <pic:spPr>
                    <a:xfrm>
                      <a:off x="0" y="0"/>
                      <a:ext cx="2404110" cy="2941320"/>
                    </a:xfrm>
                    <a:prstGeom prst="rect">
                      <a:avLst/>
                    </a:prstGeom>
                    <a:noFill/>
                    <a:ln>
                      <a:noFill/>
                    </a:ln>
                  </pic:spPr>
                </pic:pic>
              </a:graphicData>
            </a:graphic>
          </wp:inline>
        </w:drawing>
      </w:r>
      <w:r>
        <w:rPr>
          <w:rFonts w:hint="eastAsia" w:ascii="方正仿宋_GB2312" w:hAnsi="方正仿宋_GB2312" w:eastAsia="方正仿宋_GB2312" w:cs="方正仿宋_GB2312"/>
          <w:sz w:val="30"/>
          <w:szCs w:val="30"/>
        </w:rPr>
        <w:drawing>
          <wp:inline distT="0" distB="0" distL="114300" distR="114300">
            <wp:extent cx="2376805" cy="2931795"/>
            <wp:effectExtent l="0" t="0" r="635"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2"/>
                    <a:stretch>
                      <a:fillRect/>
                    </a:stretch>
                  </pic:blipFill>
                  <pic:spPr>
                    <a:xfrm>
                      <a:off x="0" y="0"/>
                      <a:ext cx="2376805" cy="2931795"/>
                    </a:xfrm>
                    <a:prstGeom prst="rect">
                      <a:avLst/>
                    </a:prstGeom>
                    <a:noFill/>
                    <a:ln>
                      <a:noFill/>
                    </a:ln>
                  </pic:spPr>
                </pic:pic>
              </a:graphicData>
            </a:graphic>
          </wp:inline>
        </w:drawing>
      </w:r>
    </w:p>
    <w:p w14:paraId="401463A1">
      <w:pPr>
        <w:pageBreakBefore w:val="0"/>
        <w:wordWrap/>
        <w:overflowPunct/>
        <w:topLinePunct w:val="0"/>
        <w:bidi w:val="0"/>
        <w:adjustRightInd/>
        <w:snapToGrid/>
        <w:spacing w:line="360" w:lineRule="auto"/>
        <w:ind w:firstLine="422" w:firstLineChars="20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图5  本项目张贴公示栏照片</w:t>
      </w:r>
    </w:p>
    <w:p w14:paraId="43491CFD">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26" w:name="_Toc2186"/>
      <w:r>
        <w:rPr>
          <w:rFonts w:hint="eastAsia" w:ascii="宋体" w:hAnsi="宋体" w:eastAsia="宋体" w:cs="宋体"/>
          <w:bCs w:val="0"/>
          <w:color w:val="auto"/>
          <w:sz w:val="24"/>
          <w:szCs w:val="24"/>
          <w:highlight w:val="none"/>
        </w:rPr>
        <w:t>3.3查阅情况</w:t>
      </w:r>
      <w:bookmarkEnd w:id="24"/>
      <w:bookmarkEnd w:id="25"/>
      <w:bookmarkEnd w:id="26"/>
    </w:p>
    <w:p w14:paraId="3C5C7F67">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设置征求意见稿查阅场所并提供纸质版环境影响报告书征求意见稿。无公众前来索取或查阅征求意见稿。</w:t>
      </w:r>
    </w:p>
    <w:p w14:paraId="612A1454">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27" w:name="_Toc16935"/>
      <w:bookmarkStart w:id="28" w:name="_Toc21049"/>
      <w:bookmarkStart w:id="29" w:name="_Toc13342"/>
      <w:r>
        <w:rPr>
          <w:rFonts w:hint="eastAsia" w:ascii="宋体" w:hAnsi="宋体" w:eastAsia="宋体" w:cs="宋体"/>
          <w:bCs w:val="0"/>
          <w:color w:val="auto"/>
          <w:sz w:val="24"/>
          <w:szCs w:val="24"/>
          <w:highlight w:val="none"/>
        </w:rPr>
        <w:t>3.4公众提出意见情况</w:t>
      </w:r>
      <w:bookmarkEnd w:id="27"/>
      <w:bookmarkEnd w:id="28"/>
      <w:bookmarkEnd w:id="29"/>
    </w:p>
    <w:p w14:paraId="3362D58B">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征求意见稿公示期间，公示信息处于公开状态，公示公开期间未收到公众通过现场、网络、电话及书信等方式提出的意见。</w:t>
      </w:r>
    </w:p>
    <w:p w14:paraId="14EB58F8">
      <w:pPr>
        <w:pStyle w:val="2"/>
        <w:pageBreakBefore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color w:val="auto"/>
          <w:sz w:val="24"/>
          <w:szCs w:val="24"/>
          <w:highlight w:val="none"/>
          <w:u w:val="none"/>
        </w:rPr>
      </w:pPr>
      <w:bookmarkStart w:id="30" w:name="_Toc369"/>
      <w:bookmarkStart w:id="31" w:name="_Toc24407"/>
      <w:bookmarkStart w:id="32" w:name="_Toc19418"/>
      <w:r>
        <w:rPr>
          <w:rStyle w:val="23"/>
          <w:rFonts w:hint="eastAsia" w:ascii="宋体" w:hAnsi="宋体" w:eastAsia="宋体" w:cs="宋体"/>
          <w:color w:val="auto"/>
          <w:sz w:val="24"/>
          <w:szCs w:val="24"/>
          <w:highlight w:val="none"/>
          <w:u w:val="none"/>
        </w:rPr>
        <w:t>4其他公众参与情况</w:t>
      </w:r>
      <w:bookmarkEnd w:id="30"/>
      <w:bookmarkEnd w:id="31"/>
      <w:bookmarkEnd w:id="32"/>
    </w:p>
    <w:p w14:paraId="45F0C5C2">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由于本项目未收到公众对环境影响方面提出的反馈意见，故未开展公众座谈会、听证会、专家论证会等深度公众参与，符合《环境影响评价公众参与办法》 要求。</w:t>
      </w:r>
    </w:p>
    <w:p w14:paraId="6927F7D5">
      <w:pPr>
        <w:pStyle w:val="2"/>
        <w:pageBreakBefore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color w:val="auto"/>
          <w:sz w:val="24"/>
          <w:szCs w:val="24"/>
          <w:highlight w:val="none"/>
          <w:u w:val="none"/>
        </w:rPr>
      </w:pPr>
      <w:bookmarkStart w:id="33" w:name="_Toc27550"/>
      <w:bookmarkStart w:id="34" w:name="_Toc24476"/>
      <w:bookmarkStart w:id="35" w:name="_Toc10691"/>
      <w:r>
        <w:rPr>
          <w:rStyle w:val="23"/>
          <w:rFonts w:hint="eastAsia" w:ascii="宋体" w:hAnsi="宋体" w:eastAsia="宋体" w:cs="宋体"/>
          <w:color w:val="auto"/>
          <w:sz w:val="24"/>
          <w:szCs w:val="24"/>
          <w:highlight w:val="none"/>
          <w:u w:val="none"/>
        </w:rPr>
        <w:t>5 公众意见处理情况</w:t>
      </w:r>
      <w:bookmarkEnd w:id="33"/>
      <w:bookmarkEnd w:id="34"/>
      <w:bookmarkEnd w:id="35"/>
    </w:p>
    <w:p w14:paraId="0E31500C">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未收到公众通过网络、电话及书信等方式提出的意见。</w:t>
      </w:r>
    </w:p>
    <w:p w14:paraId="30303A96">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36" w:name="_Toc534364262"/>
      <w:bookmarkStart w:id="37" w:name="_Toc2155463"/>
      <w:bookmarkStart w:id="38" w:name="_Toc6216976"/>
      <w:bookmarkStart w:id="39" w:name="_Toc1059575"/>
      <w:bookmarkStart w:id="40" w:name="_Toc5487"/>
      <w:bookmarkStart w:id="41" w:name="_Toc2729"/>
      <w:bookmarkStart w:id="42" w:name="_Toc7051"/>
      <w:r>
        <w:rPr>
          <w:rFonts w:hint="eastAsia" w:ascii="宋体" w:hAnsi="宋体" w:eastAsia="宋体" w:cs="宋体"/>
          <w:bCs w:val="0"/>
          <w:color w:val="auto"/>
          <w:sz w:val="24"/>
          <w:szCs w:val="24"/>
          <w:highlight w:val="none"/>
        </w:rPr>
        <w:t>5.1</w:t>
      </w:r>
      <w:bookmarkEnd w:id="36"/>
      <w:bookmarkEnd w:id="37"/>
      <w:bookmarkEnd w:id="38"/>
      <w:bookmarkEnd w:id="39"/>
      <w:r>
        <w:rPr>
          <w:rFonts w:hint="eastAsia" w:ascii="宋体" w:hAnsi="宋体" w:eastAsia="宋体" w:cs="宋体"/>
          <w:bCs w:val="0"/>
          <w:color w:val="auto"/>
          <w:sz w:val="24"/>
          <w:szCs w:val="24"/>
          <w:highlight w:val="none"/>
        </w:rPr>
        <w:t>公众意见概述和分析</w:t>
      </w:r>
      <w:bookmarkEnd w:id="40"/>
      <w:bookmarkEnd w:id="41"/>
      <w:bookmarkEnd w:id="42"/>
    </w:p>
    <w:p w14:paraId="7EFB6384">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本次公众参与调查在公参调查期间未收到与本环评相关的意见。</w:t>
      </w:r>
    </w:p>
    <w:p w14:paraId="3E52D22B">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43" w:name="_Toc6216977"/>
      <w:bookmarkStart w:id="44" w:name="_Toc1059576"/>
      <w:bookmarkStart w:id="45" w:name="_Toc534364263"/>
      <w:bookmarkStart w:id="46" w:name="_Toc2155464"/>
      <w:bookmarkStart w:id="47" w:name="_Toc32123"/>
      <w:bookmarkStart w:id="48" w:name="_Toc8169"/>
      <w:bookmarkStart w:id="49" w:name="_Toc12535"/>
      <w:r>
        <w:rPr>
          <w:rFonts w:hint="eastAsia" w:ascii="宋体" w:hAnsi="宋体" w:eastAsia="宋体" w:cs="宋体"/>
          <w:bCs w:val="0"/>
          <w:color w:val="auto"/>
          <w:sz w:val="24"/>
          <w:szCs w:val="24"/>
          <w:highlight w:val="none"/>
        </w:rPr>
        <w:t>5.2</w:t>
      </w:r>
      <w:bookmarkEnd w:id="43"/>
      <w:bookmarkEnd w:id="44"/>
      <w:bookmarkEnd w:id="45"/>
      <w:bookmarkEnd w:id="46"/>
      <w:r>
        <w:rPr>
          <w:rFonts w:hint="eastAsia" w:ascii="宋体" w:hAnsi="宋体" w:eastAsia="宋体" w:cs="宋体"/>
          <w:bCs w:val="0"/>
          <w:color w:val="auto"/>
          <w:sz w:val="24"/>
          <w:szCs w:val="24"/>
          <w:highlight w:val="none"/>
        </w:rPr>
        <w:t>公众意见采纳情况</w:t>
      </w:r>
      <w:bookmarkEnd w:id="47"/>
      <w:bookmarkEnd w:id="48"/>
      <w:bookmarkEnd w:id="49"/>
    </w:p>
    <w:p w14:paraId="617A15B7">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本次公众参与调查在公参调查期间未收到与本环评相关的意见。</w:t>
      </w:r>
    </w:p>
    <w:p w14:paraId="767C9A6F">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50" w:name="_Toc6216979"/>
      <w:bookmarkStart w:id="51" w:name="_Toc30814"/>
      <w:bookmarkStart w:id="52" w:name="_Toc24714"/>
      <w:bookmarkStart w:id="53" w:name="_Toc30685"/>
      <w:r>
        <w:rPr>
          <w:rFonts w:hint="eastAsia" w:ascii="宋体" w:hAnsi="宋体" w:eastAsia="宋体" w:cs="宋体"/>
          <w:bCs w:val="0"/>
          <w:color w:val="auto"/>
          <w:sz w:val="24"/>
          <w:szCs w:val="24"/>
          <w:highlight w:val="none"/>
        </w:rPr>
        <w:t>5.3</w:t>
      </w:r>
      <w:bookmarkEnd w:id="50"/>
      <w:r>
        <w:rPr>
          <w:rFonts w:hint="eastAsia" w:ascii="宋体" w:hAnsi="宋体" w:eastAsia="宋体" w:cs="宋体"/>
          <w:bCs w:val="0"/>
          <w:color w:val="auto"/>
          <w:sz w:val="24"/>
          <w:szCs w:val="24"/>
          <w:highlight w:val="none"/>
        </w:rPr>
        <w:t>公众意见未采纳情况</w:t>
      </w:r>
      <w:bookmarkEnd w:id="51"/>
      <w:bookmarkEnd w:id="52"/>
      <w:bookmarkEnd w:id="53"/>
    </w:p>
    <w:p w14:paraId="7A26B4A5">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本次公众参与调查在公参调查期间未收到与本环评相关的意见。</w:t>
      </w:r>
    </w:p>
    <w:p w14:paraId="5466A5A1">
      <w:pPr>
        <w:pStyle w:val="2"/>
        <w:pageBreakBefore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color w:val="auto"/>
          <w:sz w:val="24"/>
          <w:szCs w:val="24"/>
          <w:highlight w:val="none"/>
          <w:u w:val="none"/>
        </w:rPr>
      </w:pPr>
      <w:bookmarkStart w:id="54" w:name="_Toc46329113"/>
      <w:bookmarkStart w:id="55" w:name="_Toc2155462"/>
      <w:bookmarkStart w:id="56" w:name="_Toc6216975"/>
      <w:bookmarkStart w:id="57" w:name="_Toc1059574"/>
      <w:bookmarkStart w:id="58" w:name="_Toc534364261"/>
      <w:bookmarkStart w:id="59" w:name="_Toc17458"/>
      <w:bookmarkStart w:id="60" w:name="_Toc12266"/>
      <w:bookmarkStart w:id="61" w:name="_Toc17078"/>
      <w:bookmarkStart w:id="62" w:name="_Toc46329116"/>
      <w:r>
        <w:rPr>
          <w:rStyle w:val="23"/>
          <w:rFonts w:hint="eastAsia" w:ascii="宋体" w:hAnsi="宋体" w:eastAsia="宋体" w:cs="宋体"/>
          <w:color w:val="auto"/>
          <w:sz w:val="24"/>
          <w:szCs w:val="24"/>
          <w:highlight w:val="none"/>
          <w:u w:val="none"/>
        </w:rPr>
        <w:t>6</w:t>
      </w:r>
      <w:bookmarkEnd w:id="54"/>
      <w:bookmarkEnd w:id="55"/>
      <w:bookmarkEnd w:id="56"/>
      <w:bookmarkEnd w:id="57"/>
      <w:bookmarkEnd w:id="58"/>
      <w:r>
        <w:rPr>
          <w:rStyle w:val="23"/>
          <w:rFonts w:hint="eastAsia" w:ascii="宋体" w:hAnsi="宋体" w:eastAsia="宋体" w:cs="宋体"/>
          <w:color w:val="auto"/>
          <w:sz w:val="24"/>
          <w:szCs w:val="24"/>
          <w:highlight w:val="none"/>
          <w:u w:val="none"/>
        </w:rPr>
        <w:t>报批前公开情况</w:t>
      </w:r>
      <w:bookmarkEnd w:id="59"/>
      <w:bookmarkEnd w:id="60"/>
      <w:bookmarkEnd w:id="61"/>
    </w:p>
    <w:p w14:paraId="46B43CE6">
      <w:pPr>
        <w:pStyle w:val="3"/>
        <w:pageBreakBefore w:val="0"/>
        <w:wordWrap/>
        <w:overflowPunct/>
        <w:topLinePunct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63" w:name="_Toc46329114"/>
      <w:bookmarkStart w:id="64" w:name="_Toc9050"/>
      <w:bookmarkStart w:id="65" w:name="_Toc31032"/>
      <w:bookmarkStart w:id="66" w:name="_Toc31651"/>
      <w:r>
        <w:rPr>
          <w:rFonts w:hint="eastAsia" w:ascii="宋体" w:hAnsi="宋体" w:eastAsia="宋体" w:cs="宋体"/>
          <w:bCs w:val="0"/>
          <w:color w:val="auto"/>
          <w:sz w:val="24"/>
          <w:szCs w:val="24"/>
          <w:highlight w:val="none"/>
        </w:rPr>
        <w:t>6.1</w:t>
      </w:r>
      <w:bookmarkEnd w:id="63"/>
      <w:r>
        <w:rPr>
          <w:rFonts w:hint="eastAsia" w:ascii="宋体" w:hAnsi="宋体" w:eastAsia="宋体" w:cs="宋体"/>
          <w:bCs w:val="0"/>
          <w:color w:val="auto"/>
          <w:sz w:val="24"/>
          <w:szCs w:val="24"/>
          <w:highlight w:val="none"/>
        </w:rPr>
        <w:t>公开内容及日期</w:t>
      </w:r>
      <w:bookmarkEnd w:id="64"/>
      <w:bookmarkEnd w:id="65"/>
      <w:bookmarkEnd w:id="66"/>
    </w:p>
    <w:p w14:paraId="0A1CE3BD">
      <w:pPr>
        <w:keepNext w:val="0"/>
        <w:keepLines w:val="0"/>
        <w:pageBreakBefore w:val="0"/>
        <w:widowControl w:val="0"/>
        <w:kinsoku w:val="0"/>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日，建设单位</w:t>
      </w:r>
      <w:r>
        <w:rPr>
          <w:rFonts w:hint="eastAsia" w:ascii="宋体" w:hAnsi="宋体" w:eastAsia="宋体" w:cs="宋体"/>
          <w:b w:val="0"/>
          <w:bCs w:val="0"/>
          <w:sz w:val="24"/>
          <w:szCs w:val="24"/>
          <w:lang w:val="en-US" w:eastAsia="zh-CN"/>
        </w:rPr>
        <w:t>巴楚华正球团制造有限公司</w:t>
      </w:r>
      <w:r>
        <w:rPr>
          <w:rFonts w:hint="eastAsia" w:ascii="宋体" w:hAnsi="宋体" w:eastAsia="宋体" w:cs="宋体"/>
          <w:color w:val="auto"/>
          <w:sz w:val="24"/>
          <w:szCs w:val="24"/>
          <w:highlight w:val="none"/>
        </w:rPr>
        <w:t>开展拟报批公示，公开拟报批的环境影响报告书全文和公众参与说明。</w:t>
      </w:r>
    </w:p>
    <w:p w14:paraId="0CFAB5D4">
      <w:pPr>
        <w:pStyle w:val="3"/>
        <w:keepNext w:val="0"/>
        <w:keepLines w:val="0"/>
        <w:pageBreakBefore w:val="0"/>
        <w:widowControl w:val="0"/>
        <w:kinsoku w:val="0"/>
        <w:wordWrap/>
        <w:overflowPunct/>
        <w:topLinePunct w:val="0"/>
        <w:autoSpaceDE w:val="0"/>
        <w:autoSpaceDN w:val="0"/>
        <w:bidi w:val="0"/>
        <w:adjustRightInd/>
        <w:snapToGrid/>
        <w:spacing w:before="0" w:after="0" w:line="360" w:lineRule="auto"/>
        <w:textAlignment w:val="auto"/>
        <w:rPr>
          <w:rFonts w:hint="eastAsia" w:ascii="宋体" w:hAnsi="宋体" w:eastAsia="宋体" w:cs="宋体"/>
          <w:bCs w:val="0"/>
          <w:color w:val="auto"/>
          <w:sz w:val="24"/>
          <w:szCs w:val="24"/>
          <w:highlight w:val="none"/>
        </w:rPr>
      </w:pPr>
      <w:bookmarkStart w:id="67" w:name="_Toc12395"/>
      <w:bookmarkStart w:id="68" w:name="_Toc70249041"/>
      <w:bookmarkStart w:id="69" w:name="_Toc30057"/>
      <w:bookmarkStart w:id="70" w:name="_Toc3758"/>
      <w:r>
        <w:rPr>
          <w:rFonts w:hint="eastAsia" w:ascii="宋体" w:hAnsi="宋体" w:eastAsia="宋体" w:cs="宋体"/>
          <w:bCs w:val="0"/>
          <w:color w:val="auto"/>
          <w:sz w:val="24"/>
          <w:szCs w:val="24"/>
          <w:highlight w:val="none"/>
        </w:rPr>
        <w:t>6.2公开方式</w:t>
      </w:r>
      <w:bookmarkEnd w:id="67"/>
      <w:bookmarkEnd w:id="68"/>
      <w:bookmarkEnd w:id="69"/>
      <w:bookmarkEnd w:id="70"/>
    </w:p>
    <w:p w14:paraId="31D4A343">
      <w:pPr>
        <w:keepNext w:val="0"/>
        <w:keepLines w:val="0"/>
        <w:pageBreakBefore w:val="0"/>
        <w:widowControl w:val="0"/>
        <w:kinsoku w:val="0"/>
        <w:wordWrap/>
        <w:overflowPunct/>
        <w:topLinePunct w:val="0"/>
        <w:autoSpaceDE w:val="0"/>
        <w:autoSpaceDN w:val="0"/>
        <w:bidi w:val="0"/>
        <w:adjustRightInd/>
        <w:snapToGrid/>
        <w:spacing w:line="360" w:lineRule="auto"/>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6.2.1网络</w:t>
      </w:r>
    </w:p>
    <w:p w14:paraId="2EBE6713">
      <w:pPr>
        <w:keepNext w:val="0"/>
        <w:keepLines w:val="0"/>
        <w:pageBreakBefore w:val="0"/>
        <w:widowControl w:val="0"/>
        <w:kinsoku w:val="0"/>
        <w:wordWrap/>
        <w:overflowPunct/>
        <w:topLinePunct w:val="0"/>
        <w:autoSpaceDE w:val="0"/>
        <w:autoSpaceDN w:val="0"/>
        <w:bidi w:val="0"/>
        <w:adjustRightInd/>
        <w:snapToGrid/>
        <w:spacing w:line="360" w:lineRule="auto"/>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 xml:space="preserve">2025 年 </w:t>
      </w: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22</w:t>
      </w:r>
      <w:r>
        <w:rPr>
          <w:rFonts w:hint="eastAsia" w:ascii="宋体" w:hAnsi="宋体" w:eastAsia="宋体" w:cs="宋体"/>
          <w:b w:val="0"/>
          <w:bCs w:val="0"/>
          <w:sz w:val="24"/>
          <w:szCs w:val="24"/>
        </w:rPr>
        <w:t>日，本项目</w:t>
      </w:r>
      <w:r>
        <w:rPr>
          <w:rFonts w:hint="eastAsia" w:ascii="宋体" w:hAnsi="宋体" w:eastAsia="宋体" w:cs="宋体"/>
          <w:b w:val="0"/>
          <w:bCs w:val="0"/>
          <w:sz w:val="24"/>
          <w:szCs w:val="24"/>
          <w:lang w:val="en-US" w:eastAsia="zh-CN"/>
        </w:rPr>
        <w:t>全国建设项目环境信息公示平台</w:t>
      </w:r>
      <w:r>
        <w:rPr>
          <w:rFonts w:hint="eastAsia" w:ascii="宋体" w:hAnsi="宋体" w:eastAsia="宋体" w:cs="宋体"/>
          <w:b w:val="0"/>
          <w:bCs w:val="0"/>
          <w:sz w:val="24"/>
          <w:szCs w:val="24"/>
        </w:rPr>
        <w:t>网站</w:t>
      </w:r>
      <w:r>
        <w:rPr>
          <w:rFonts w:hint="eastAsia" w:ascii="宋体" w:hAnsi="宋体" w:eastAsia="宋体" w:cs="宋体"/>
          <w:color w:val="auto"/>
          <w:sz w:val="24"/>
          <w:szCs w:val="24"/>
          <w:highlight w:val="none"/>
          <w:lang w:eastAsia="zh-CN" w:bidi="ar"/>
        </w:rPr>
        <w:t>上开展环境影响评价第三次网络公示，向公众告知征求意见稿及其网络公众意见调查表的相关信息。</w:t>
      </w:r>
      <w:r>
        <w:rPr>
          <w:rFonts w:hint="eastAsia" w:ascii="宋体" w:hAnsi="宋体" w:eastAsia="宋体" w:cs="宋体"/>
          <w:color w:val="auto"/>
          <w:sz w:val="24"/>
          <w:szCs w:val="24"/>
          <w:highlight w:val="none"/>
        </w:rPr>
        <w:t>公告网址：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"http://www.xjhbcy.cn/blog/article/10928。"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val="0"/>
          <w:bCs w:val="0"/>
          <w:sz w:val="24"/>
          <w:szCs w:val="24"/>
        </w:rPr>
        <w:t>https://www.eiacloud.com/gs/detail/1?id=50512rf72l</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end"/>
      </w:r>
    </w:p>
    <w:p w14:paraId="1EC6180D">
      <w:pPr>
        <w:pageBreakBefore w:val="0"/>
        <w:wordWrap/>
        <w:overflowPunct/>
        <w:topLinePunct w:val="0"/>
        <w:bidi w:val="0"/>
        <w:adjustRightInd/>
        <w:snapToGrid/>
        <w:spacing w:line="360" w:lineRule="auto"/>
        <w:textAlignment w:val="auto"/>
        <w:rPr>
          <w:rFonts w:hint="eastAsia" w:ascii="方正仿宋_GB2312" w:hAnsi="方正仿宋_GB2312" w:eastAsia="方正仿宋_GB2312" w:cs="方正仿宋_GB2312"/>
          <w:color w:val="auto"/>
          <w:sz w:val="30"/>
          <w:szCs w:val="30"/>
          <w:highlight w:val="none"/>
          <w:lang w:eastAsia="zh-CN" w:bidi="ar"/>
        </w:rPr>
      </w:pPr>
      <w:r>
        <w:drawing>
          <wp:inline distT="0" distB="0" distL="114300" distR="114300">
            <wp:extent cx="5270500" cy="2402840"/>
            <wp:effectExtent l="0" t="0" r="2540" b="508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3"/>
                    <a:stretch>
                      <a:fillRect/>
                    </a:stretch>
                  </pic:blipFill>
                  <pic:spPr>
                    <a:xfrm>
                      <a:off x="0" y="0"/>
                      <a:ext cx="5270500" cy="2402840"/>
                    </a:xfrm>
                    <a:prstGeom prst="rect">
                      <a:avLst/>
                    </a:prstGeom>
                    <a:noFill/>
                    <a:ln>
                      <a:noFill/>
                    </a:ln>
                  </pic:spPr>
                </pic:pic>
              </a:graphicData>
            </a:graphic>
          </wp:inline>
        </w:drawing>
      </w:r>
    </w:p>
    <w:p w14:paraId="1B660DE2">
      <w:pPr>
        <w:pStyle w:val="2"/>
        <w:pageBreakBefore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color w:val="auto"/>
          <w:sz w:val="24"/>
          <w:szCs w:val="24"/>
          <w:highlight w:val="none"/>
          <w:u w:val="none"/>
        </w:rPr>
      </w:pPr>
      <w:bookmarkStart w:id="71" w:name="_Toc28400"/>
      <w:r>
        <w:rPr>
          <w:rStyle w:val="23"/>
          <w:rFonts w:hint="eastAsia" w:ascii="宋体" w:hAnsi="宋体" w:eastAsia="宋体" w:cs="宋体"/>
          <w:color w:val="auto"/>
          <w:sz w:val="24"/>
          <w:szCs w:val="24"/>
          <w:highlight w:val="none"/>
          <w:u w:val="none"/>
        </w:rPr>
        <w:t>7其他</w:t>
      </w:r>
      <w:bookmarkEnd w:id="62"/>
      <w:bookmarkEnd w:id="71"/>
    </w:p>
    <w:p w14:paraId="05116CE8">
      <w:pPr>
        <w:pageBreakBefore w:val="0"/>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本项目在公示期间未收到团体及个人对环境影响方面提出的质疑性意见，故未开展公众座谈会、听证会、专家论证会等深度公众参与，未采取宣传科普措施符合《环境影响评价公众参与办法》要求。</w:t>
      </w:r>
    </w:p>
    <w:p w14:paraId="438921A7">
      <w:pPr>
        <w:rPr>
          <w:rStyle w:val="23"/>
          <w:rFonts w:hint="eastAsia" w:ascii="宋体" w:hAnsi="宋体" w:eastAsia="宋体" w:cs="宋体"/>
          <w:color w:val="auto"/>
          <w:sz w:val="24"/>
          <w:szCs w:val="24"/>
          <w:highlight w:val="none"/>
          <w:u w:val="none"/>
        </w:rPr>
      </w:pPr>
      <w:bookmarkStart w:id="72" w:name="_Toc27172"/>
      <w:bookmarkStart w:id="73" w:name="_Toc46329117"/>
      <w:r>
        <w:rPr>
          <w:rStyle w:val="23"/>
          <w:rFonts w:hint="eastAsia" w:ascii="宋体" w:hAnsi="宋体" w:eastAsia="宋体" w:cs="宋体"/>
          <w:color w:val="auto"/>
          <w:sz w:val="24"/>
          <w:szCs w:val="24"/>
          <w:highlight w:val="none"/>
          <w:u w:val="none"/>
        </w:rPr>
        <w:br w:type="page"/>
      </w:r>
    </w:p>
    <w:p w14:paraId="53722725">
      <w:pPr>
        <w:pStyle w:val="2"/>
        <w:pageBreakBefore w:val="0"/>
        <w:tabs>
          <w:tab w:val="left" w:pos="4140"/>
        </w:tabs>
        <w:wordWrap/>
        <w:overflowPunct/>
        <w:topLinePunct w:val="0"/>
        <w:bidi w:val="0"/>
        <w:adjustRightInd/>
        <w:snapToGrid/>
        <w:spacing w:before="0" w:after="0" w:line="360" w:lineRule="auto"/>
        <w:jc w:val="left"/>
        <w:textAlignment w:val="auto"/>
        <w:rPr>
          <w:rStyle w:val="23"/>
          <w:rFonts w:hint="eastAsia" w:ascii="宋体" w:hAnsi="宋体" w:eastAsia="宋体" w:cs="宋体"/>
          <w:color w:val="auto"/>
          <w:sz w:val="24"/>
          <w:szCs w:val="24"/>
          <w:highlight w:val="none"/>
          <w:u w:val="none"/>
        </w:rPr>
      </w:pPr>
      <w:r>
        <w:rPr>
          <w:rStyle w:val="23"/>
          <w:rFonts w:hint="eastAsia" w:ascii="宋体" w:hAnsi="宋体" w:eastAsia="宋体" w:cs="宋体"/>
          <w:color w:val="auto"/>
          <w:sz w:val="24"/>
          <w:szCs w:val="24"/>
          <w:highlight w:val="none"/>
          <w:u w:val="none"/>
        </w:rPr>
        <w:t>8诚信承诺</w:t>
      </w:r>
      <w:bookmarkEnd w:id="72"/>
      <w:bookmarkEnd w:id="73"/>
    </w:p>
    <w:p w14:paraId="3A9FBA16">
      <w:pPr>
        <w:pStyle w:val="17"/>
        <w:spacing w:line="360" w:lineRule="auto"/>
        <w:ind w:firstLine="480"/>
        <w:rPr>
          <w:rFonts w:hint="eastAsia" w:ascii="宋体" w:hAnsi="宋体" w:eastAsia="宋体" w:cs="宋体"/>
          <w:color w:val="FF0000"/>
          <w:sz w:val="24"/>
          <w:szCs w:val="24"/>
          <w:highlight w:val="none"/>
        </w:rPr>
      </w:pPr>
    </w:p>
    <w:p w14:paraId="68DEED26">
      <w:pPr>
        <w:pStyle w:val="17"/>
        <w:spacing w:line="360" w:lineRule="auto"/>
        <w:ind w:firstLine="480"/>
        <w:rPr>
          <w:rFonts w:hint="eastAsia" w:asciiTheme="minorEastAsia" w:hAnsiTheme="minorEastAsia" w:eastAsiaTheme="minorEastAsia" w:cstheme="minorEastAsia"/>
          <w:color w:val="FF0000"/>
          <w:sz w:val="24"/>
          <w:szCs w:val="24"/>
          <w:highlight w:val="none"/>
        </w:rPr>
      </w:pPr>
    </w:p>
    <w:p w14:paraId="326AF5BE">
      <w:pPr>
        <w:pStyle w:val="17"/>
        <w:spacing w:line="360" w:lineRule="auto"/>
        <w:ind w:firstLine="480"/>
        <w:rPr>
          <w:rFonts w:hint="eastAsia" w:asciiTheme="minorEastAsia" w:hAnsiTheme="minorEastAsia" w:eastAsiaTheme="minorEastAsia" w:cstheme="minorEastAsia"/>
          <w:color w:val="FF0000"/>
          <w:sz w:val="24"/>
          <w:szCs w:val="24"/>
          <w:highlight w:val="none"/>
        </w:rPr>
      </w:pPr>
    </w:p>
    <w:p w14:paraId="2C5807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诚信承诺</w:t>
      </w:r>
    </w:p>
    <w:p w14:paraId="416C0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p>
    <w:p w14:paraId="41CC0AA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我单位已按照《环境影响评价公众参与办法》(</w:t>
      </w:r>
      <w:r>
        <w:rPr>
          <w:rFonts w:hint="eastAsia" w:ascii="方正仿宋_GB2312" w:hAnsi="方正仿宋_GB2312" w:eastAsia="方正仿宋_GB2312" w:cs="方正仿宋_GB2312"/>
          <w:sz w:val="30"/>
          <w:szCs w:val="30"/>
          <w:lang w:val="en-US" w:eastAsia="zh-CN"/>
        </w:rPr>
        <w:t>生态环境</w:t>
      </w:r>
      <w:bookmarkStart w:id="74" w:name="_GoBack"/>
      <w:bookmarkEnd w:id="74"/>
      <w:r>
        <w:rPr>
          <w:rFonts w:hint="eastAsia" w:ascii="方正仿宋_GB2312" w:hAnsi="方正仿宋_GB2312" w:eastAsia="方正仿宋_GB2312" w:cs="方正仿宋_GB2312"/>
          <w:sz w:val="30"/>
          <w:szCs w:val="30"/>
          <w:lang w:eastAsia="zh-CN"/>
        </w:rPr>
        <w:t>部令第4号)要求，在《</w:t>
      </w:r>
      <w:r>
        <w:rPr>
          <w:rFonts w:hint="eastAsia" w:ascii="方正仿宋_GB2312" w:hAnsi="方正仿宋_GB2312" w:eastAsia="方正仿宋_GB2312" w:cs="方正仿宋_GB2312"/>
          <w:b w:val="0"/>
          <w:bCs w:val="0"/>
          <w:sz w:val="30"/>
          <w:szCs w:val="30"/>
          <w:lang w:val="en-US" w:eastAsia="zh-CN"/>
        </w:rPr>
        <w:t>巴楚华正球团制造有限公司</w:t>
      </w:r>
      <w:r>
        <w:rPr>
          <w:rFonts w:hint="eastAsia" w:ascii="方正仿宋_GB2312" w:hAnsi="方正仿宋_GB2312" w:eastAsia="方正仿宋_GB2312" w:cs="方正仿宋_GB2312"/>
          <w:sz w:val="30"/>
          <w:szCs w:val="30"/>
          <w:lang w:val="en-US" w:eastAsia="zh-CN"/>
        </w:rPr>
        <w:t>巴楚钒钛铁精粉240万吨氧化球团项目</w:t>
      </w:r>
      <w:r>
        <w:rPr>
          <w:rFonts w:hint="eastAsia" w:ascii="方正仿宋_GB2312" w:hAnsi="方正仿宋_GB2312" w:eastAsia="方正仿宋_GB2312" w:cs="方正仿宋_GB2312"/>
          <w:color w:val="auto"/>
          <w:sz w:val="30"/>
          <w:szCs w:val="30"/>
          <w:highlight w:val="none"/>
        </w:rPr>
        <w:t>环境影响</w:t>
      </w:r>
      <w:r>
        <w:rPr>
          <w:rFonts w:hint="eastAsia" w:ascii="方正仿宋_GB2312" w:hAnsi="方正仿宋_GB2312" w:eastAsia="方正仿宋_GB2312" w:cs="方正仿宋_GB2312"/>
          <w:sz w:val="30"/>
          <w:szCs w:val="30"/>
          <w:lang w:val="en-US" w:eastAsia="zh-CN"/>
        </w:rPr>
        <w:t>报告书</w:t>
      </w:r>
      <w:r>
        <w:rPr>
          <w:rFonts w:hint="eastAsia" w:ascii="方正仿宋_GB2312" w:hAnsi="方正仿宋_GB2312" w:eastAsia="方正仿宋_GB2312" w:cs="方正仿宋_GB2312"/>
          <w:sz w:val="30"/>
          <w:szCs w:val="30"/>
          <w:lang w:eastAsia="zh-CN"/>
        </w:rPr>
        <w:t>》编制阶段开展了公众参与工作，并按照要求编制了公众参与说明，在公示期间未收到群众提出的意见反馈。</w:t>
      </w:r>
    </w:p>
    <w:p w14:paraId="301F6EE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我单位承诺，本次提交的《</w:t>
      </w:r>
      <w:r>
        <w:rPr>
          <w:rFonts w:hint="eastAsia" w:ascii="方正仿宋_GB2312" w:hAnsi="方正仿宋_GB2312" w:eastAsia="方正仿宋_GB2312" w:cs="方正仿宋_GB2312"/>
          <w:b w:val="0"/>
          <w:bCs w:val="0"/>
          <w:sz w:val="30"/>
          <w:szCs w:val="30"/>
          <w:lang w:val="en-US" w:eastAsia="zh-CN"/>
        </w:rPr>
        <w:t>巴楚华正球团制造有限公司</w:t>
      </w:r>
      <w:r>
        <w:rPr>
          <w:rFonts w:hint="eastAsia" w:ascii="方正仿宋_GB2312" w:hAnsi="方正仿宋_GB2312" w:eastAsia="方正仿宋_GB2312" w:cs="方正仿宋_GB2312"/>
          <w:sz w:val="30"/>
          <w:szCs w:val="30"/>
          <w:lang w:val="en-US" w:eastAsia="zh-CN"/>
        </w:rPr>
        <w:t>巴楚钒钛铁精粉240万吨氧化球团矿项目</w:t>
      </w:r>
      <w:r>
        <w:rPr>
          <w:rFonts w:hint="eastAsia" w:ascii="方正仿宋_GB2312" w:hAnsi="方正仿宋_GB2312" w:eastAsia="方正仿宋_GB2312" w:cs="方正仿宋_GB2312"/>
          <w:color w:val="auto"/>
          <w:sz w:val="30"/>
          <w:szCs w:val="30"/>
          <w:highlight w:val="none"/>
        </w:rPr>
        <w:t>环境影响评价</w:t>
      </w:r>
      <w:r>
        <w:rPr>
          <w:rFonts w:hint="eastAsia" w:ascii="方正仿宋_GB2312" w:hAnsi="方正仿宋_GB2312" w:eastAsia="方正仿宋_GB2312" w:cs="方正仿宋_GB2312"/>
          <w:sz w:val="30"/>
          <w:szCs w:val="30"/>
          <w:lang w:eastAsia="zh-CN"/>
        </w:rPr>
        <w:t>公众参与说明》内容客观、真实，未包含依法不得公开的国家秘密、商业秘密、个人隐私。如存在弄虚作假、隐瞒欺骗等情况及由此导致的一切后果由</w:t>
      </w:r>
      <w:r>
        <w:rPr>
          <w:rFonts w:hint="eastAsia" w:ascii="方正仿宋_GB2312" w:hAnsi="方正仿宋_GB2312" w:eastAsia="方正仿宋_GB2312" w:cs="方正仿宋_GB2312"/>
          <w:b w:val="0"/>
          <w:bCs w:val="0"/>
          <w:sz w:val="30"/>
          <w:szCs w:val="30"/>
          <w:lang w:val="en-US" w:eastAsia="zh-CN"/>
        </w:rPr>
        <w:t>巴楚华正球团制造有限公司</w:t>
      </w:r>
      <w:r>
        <w:rPr>
          <w:rFonts w:hint="eastAsia" w:ascii="方正仿宋_GB2312" w:hAnsi="方正仿宋_GB2312" w:eastAsia="方正仿宋_GB2312" w:cs="方正仿宋_GB2312"/>
          <w:sz w:val="30"/>
          <w:szCs w:val="30"/>
          <w:lang w:eastAsia="zh-CN"/>
        </w:rPr>
        <w:t>承担全部责任。</w:t>
      </w:r>
    </w:p>
    <w:p w14:paraId="3380F51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p>
    <w:p w14:paraId="730E7C6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p>
    <w:p w14:paraId="2D1417D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p>
    <w:p w14:paraId="449EA1E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p>
    <w:p w14:paraId="40D95B7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方正仿宋_GB2312" w:hAnsi="方正仿宋_GB2312" w:eastAsia="方正仿宋_GB2312" w:cs="方正仿宋_GB2312"/>
          <w:sz w:val="30"/>
          <w:szCs w:val="30"/>
          <w:lang w:eastAsia="zh-CN"/>
        </w:rPr>
      </w:pPr>
      <w:r>
        <w:drawing>
          <wp:anchor distT="0" distB="0" distL="114300" distR="114300" simplePos="0" relativeHeight="251661312" behindDoc="0" locked="0" layoutInCell="1" allowOverlap="1">
            <wp:simplePos x="0" y="0"/>
            <wp:positionH relativeFrom="column">
              <wp:posOffset>3428365</wp:posOffset>
            </wp:positionH>
            <wp:positionV relativeFrom="paragraph">
              <wp:posOffset>338455</wp:posOffset>
            </wp:positionV>
            <wp:extent cx="1511935" cy="1511935"/>
            <wp:effectExtent l="0" t="0" r="12065" b="12065"/>
            <wp:wrapNone/>
            <wp:docPr id="15" name="IM 2"/>
            <wp:cNvGraphicFramePr/>
            <a:graphic xmlns:a="http://schemas.openxmlformats.org/drawingml/2006/main">
              <a:graphicData uri="http://schemas.openxmlformats.org/drawingml/2006/picture">
                <pic:pic xmlns:pic="http://schemas.openxmlformats.org/drawingml/2006/picture">
                  <pic:nvPicPr>
                    <pic:cNvPr id="15" name="IM 2"/>
                    <pic:cNvPicPr/>
                  </pic:nvPicPr>
                  <pic:blipFill>
                    <a:blip r:embed="rId12"/>
                    <a:stretch>
                      <a:fillRect/>
                    </a:stretch>
                  </pic:blipFill>
                  <pic:spPr>
                    <a:xfrm>
                      <a:off x="0" y="0"/>
                      <a:ext cx="1511935" cy="151193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4684395</wp:posOffset>
            </wp:positionH>
            <wp:positionV relativeFrom="paragraph">
              <wp:posOffset>7191375</wp:posOffset>
            </wp:positionV>
            <wp:extent cx="1314450" cy="1333500"/>
            <wp:effectExtent l="0" t="0" r="11430" b="7620"/>
            <wp:wrapNone/>
            <wp:docPr id="13" name="IM 2"/>
            <wp:cNvGraphicFramePr/>
            <a:graphic xmlns:a="http://schemas.openxmlformats.org/drawingml/2006/main">
              <a:graphicData uri="http://schemas.openxmlformats.org/drawingml/2006/picture">
                <pic:pic xmlns:pic="http://schemas.openxmlformats.org/drawingml/2006/picture">
                  <pic:nvPicPr>
                    <pic:cNvPr id="13" name="IM 2"/>
                    <pic:cNvPicPr/>
                  </pic:nvPicPr>
                  <pic:blipFill>
                    <a:blip r:embed="rId12"/>
                    <a:stretch>
                      <a:fillRect/>
                    </a:stretch>
                  </pic:blipFill>
                  <pic:spPr>
                    <a:xfrm>
                      <a:off x="0" y="0"/>
                      <a:ext cx="1314450" cy="1333500"/>
                    </a:xfrm>
                    <a:prstGeom prst="rect">
                      <a:avLst/>
                    </a:prstGeom>
                    <a:noFill/>
                    <a:ln>
                      <a:noFill/>
                    </a:ln>
                  </pic:spPr>
                </pic:pic>
              </a:graphicData>
            </a:graphic>
          </wp:anchor>
        </w:drawing>
      </w:r>
    </w:p>
    <w:p w14:paraId="0EF0B39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lang w:eastAsia="zh-CN"/>
        </w:rPr>
      </w:pPr>
    </w:p>
    <w:p w14:paraId="7B8E2810">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lang w:val="en-US" w:eastAsia="zh-CN"/>
        </w:rPr>
        <w:t>巴楚华正球团制造有限公司</w:t>
      </w:r>
    </w:p>
    <w:p w14:paraId="243F46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 xml:space="preserve">                                  </w:t>
      </w:r>
      <w:r>
        <w:rPr>
          <w:rFonts w:hint="eastAsia" w:ascii="方正仿宋_GB2312" w:hAnsi="方正仿宋_GB2312" w:eastAsia="方正仿宋_GB2312" w:cs="方正仿宋_GB2312"/>
          <w:sz w:val="30"/>
          <w:szCs w:val="30"/>
          <w:lang w:eastAsia="zh-CN"/>
        </w:rPr>
        <w:t>202</w:t>
      </w:r>
      <w:r>
        <w:rPr>
          <w:rFonts w:hint="eastAsia" w:ascii="方正仿宋_GB2312" w:hAnsi="方正仿宋_GB2312" w:eastAsia="方正仿宋_GB2312" w:cs="方正仿宋_GB2312"/>
          <w:sz w:val="30"/>
          <w:szCs w:val="30"/>
          <w:lang w:val="en-US" w:eastAsia="zh-CN"/>
        </w:rPr>
        <w:t>6</w:t>
      </w:r>
      <w:r>
        <w:rPr>
          <w:rFonts w:hint="eastAsia" w:ascii="方正仿宋_GB2312" w:hAnsi="方正仿宋_GB2312" w:eastAsia="方正仿宋_GB2312" w:cs="方正仿宋_GB2312"/>
          <w:sz w:val="30"/>
          <w:szCs w:val="30"/>
          <w:lang w:eastAsia="zh-CN"/>
        </w:rPr>
        <w:t>年</w:t>
      </w:r>
      <w:r>
        <w:rPr>
          <w:rFonts w:hint="eastAsia" w:ascii="方正仿宋_GB2312" w:hAnsi="方正仿宋_GB2312" w:eastAsia="方正仿宋_GB2312" w:cs="方正仿宋_GB2312"/>
          <w:sz w:val="30"/>
          <w:szCs w:val="30"/>
          <w:lang w:val="en-US" w:eastAsia="zh-CN"/>
        </w:rPr>
        <w:t>7月</w:t>
      </w:r>
    </w:p>
    <w:p w14:paraId="1F3772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eastAsia="zh-CN"/>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AE7DB7-4867-4A02-B7CC-0CACE3147A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昆仑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script"/>
    <w:pitch w:val="default"/>
    <w:sig w:usb0="00000000" w:usb1="00000000" w:usb2="00000012" w:usb3="00000000" w:csb0="00040001"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6114B16C-B265-451E-A897-EE34357DD420}"/>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F55F2">
    <w:pPr>
      <w:pStyle w:val="11"/>
      <w:jc w:val="center"/>
    </w:pPr>
  </w:p>
  <w:p w14:paraId="102DC66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686CB">
    <w:pPr>
      <w:pStyle w:val="11"/>
      <w:framePr w:wrap="around" w:vAnchor="text" w:hAnchor="margin" w:xAlign="center" w:y="1"/>
      <w:ind w:firstLine="360"/>
      <w:rPr>
        <w:rStyle w:val="22"/>
      </w:rPr>
    </w:pPr>
    <w:r>
      <w:fldChar w:fldCharType="begin"/>
    </w:r>
    <w:r>
      <w:rPr>
        <w:rStyle w:val="22"/>
      </w:rPr>
      <w:instrText xml:space="preserve">PAGE  </w:instrText>
    </w:r>
    <w:r>
      <w:fldChar w:fldCharType="end"/>
    </w:r>
  </w:p>
  <w:p w14:paraId="263D7B9F">
    <w:pPr>
      <w:pStyle w:val="11"/>
      <w:framePr w:wrap="around" w:vAnchor="text" w:hAnchor="margin" w:xAlign="center" w:y="1"/>
      <w:ind w:firstLine="360"/>
      <w:rPr>
        <w:rStyle w:val="22"/>
      </w:rPr>
    </w:pPr>
  </w:p>
  <w:p w14:paraId="72FC38E6">
    <w:pPr>
      <w:pStyle w:val="11"/>
      <w:framePr w:wrap="around" w:vAnchor="text" w:hAnchor="margin" w:xAlign="center" w:y="1"/>
      <w:ind w:firstLine="360"/>
      <w:rPr>
        <w:rStyle w:val="22"/>
      </w:rPr>
    </w:pPr>
  </w:p>
  <w:p w14:paraId="3FD84CD0">
    <w:pPr>
      <w:pStyle w:val="11"/>
      <w:framePr w:wrap="around" w:vAnchor="text" w:hAnchor="margin" w:xAlign="center" w:y="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A457">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B4BDA">
    <w:pPr>
      <w:pStyle w:val="11"/>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FF83F">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198"/>
                          </w:sdtPr>
                          <w:sdtContent>
                            <w:p w14:paraId="5709868A">
                              <w:pPr>
                                <w:pStyle w:val="11"/>
                                <w:jc w:val="center"/>
                              </w:pPr>
                              <w:r>
                                <w:fldChar w:fldCharType="begin"/>
                              </w:r>
                              <w:r>
                                <w:instrText xml:space="preserve"> PAGE   \* MERGEFORMAT </w:instrText>
                              </w:r>
                              <w:r>
                                <w:fldChar w:fldCharType="separate"/>
                              </w:r>
                              <w:r>
                                <w:rPr>
                                  <w:lang w:val="zh-CN"/>
                                </w:rPr>
                                <w:t>10</w:t>
                              </w:r>
                              <w:r>
                                <w:rPr>
                                  <w:lang w:val="zh-CN"/>
                                </w:rPr>
                                <w:fldChar w:fldCharType="end"/>
                              </w:r>
                            </w:p>
                          </w:sdtContent>
                        </w:sdt>
                        <w:p w14:paraId="0900DE8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sdt>
                    <w:sdtPr>
                      <w:id w:val="147459198"/>
                    </w:sdtPr>
                    <w:sdtContent>
                      <w:p w14:paraId="5709868A">
                        <w:pPr>
                          <w:pStyle w:val="11"/>
                          <w:jc w:val="center"/>
                        </w:pPr>
                        <w:r>
                          <w:fldChar w:fldCharType="begin"/>
                        </w:r>
                        <w:r>
                          <w:instrText xml:space="preserve"> PAGE   \* MERGEFORMAT </w:instrText>
                        </w:r>
                        <w:r>
                          <w:fldChar w:fldCharType="separate"/>
                        </w:r>
                        <w:r>
                          <w:rPr>
                            <w:lang w:val="zh-CN"/>
                          </w:rPr>
                          <w:t>10</w:t>
                        </w:r>
                        <w:r>
                          <w:rPr>
                            <w:lang w:val="zh-CN"/>
                          </w:rPr>
                          <w:fldChar w:fldCharType="end"/>
                        </w:r>
                      </w:p>
                    </w:sdtContent>
                  </w:sdt>
                  <w:p w14:paraId="0900DE81"/>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E6F9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D2F9">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06AC8">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ZjllYzJkODZmOTdmYTE3YjhhZDMwZDI3ZWEyNmIifQ=="/>
    <w:docVar w:name="KSO_WPS_MARK_KEY" w:val="926b0916-91ed-4aaa-adf2-d2d5231a437d"/>
  </w:docVars>
  <w:rsids>
    <w:rsidRoot w:val="7C0101BB"/>
    <w:rsid w:val="00000113"/>
    <w:rsid w:val="00004A42"/>
    <w:rsid w:val="000127B5"/>
    <w:rsid w:val="00024C5E"/>
    <w:rsid w:val="00031C9E"/>
    <w:rsid w:val="000A44A2"/>
    <w:rsid w:val="000D7531"/>
    <w:rsid w:val="000F4149"/>
    <w:rsid w:val="000F4B37"/>
    <w:rsid w:val="00116F9E"/>
    <w:rsid w:val="001302C7"/>
    <w:rsid w:val="00194F65"/>
    <w:rsid w:val="00196D1B"/>
    <w:rsid w:val="001B165D"/>
    <w:rsid w:val="001E135D"/>
    <w:rsid w:val="00204A94"/>
    <w:rsid w:val="002063FE"/>
    <w:rsid w:val="0020663A"/>
    <w:rsid w:val="00210E8F"/>
    <w:rsid w:val="00212A6A"/>
    <w:rsid w:val="002214A2"/>
    <w:rsid w:val="00222F70"/>
    <w:rsid w:val="002406DA"/>
    <w:rsid w:val="00245A30"/>
    <w:rsid w:val="002739BB"/>
    <w:rsid w:val="002767FE"/>
    <w:rsid w:val="00297CB6"/>
    <w:rsid w:val="002A2B53"/>
    <w:rsid w:val="002D3BD9"/>
    <w:rsid w:val="002D78BA"/>
    <w:rsid w:val="002E7640"/>
    <w:rsid w:val="002F4562"/>
    <w:rsid w:val="00326755"/>
    <w:rsid w:val="0033175D"/>
    <w:rsid w:val="00341E98"/>
    <w:rsid w:val="00342DCF"/>
    <w:rsid w:val="00352626"/>
    <w:rsid w:val="00360601"/>
    <w:rsid w:val="003636A2"/>
    <w:rsid w:val="00374854"/>
    <w:rsid w:val="003818DF"/>
    <w:rsid w:val="00395EC8"/>
    <w:rsid w:val="003B4A63"/>
    <w:rsid w:val="003C0FAD"/>
    <w:rsid w:val="003C21DC"/>
    <w:rsid w:val="003F3DDA"/>
    <w:rsid w:val="00422C85"/>
    <w:rsid w:val="00435F88"/>
    <w:rsid w:val="00443A34"/>
    <w:rsid w:val="0046718C"/>
    <w:rsid w:val="00467D98"/>
    <w:rsid w:val="00474F62"/>
    <w:rsid w:val="00475E73"/>
    <w:rsid w:val="0048352A"/>
    <w:rsid w:val="0049526B"/>
    <w:rsid w:val="004C1487"/>
    <w:rsid w:val="004C3871"/>
    <w:rsid w:val="00501B0F"/>
    <w:rsid w:val="00515752"/>
    <w:rsid w:val="00537C0B"/>
    <w:rsid w:val="0054002D"/>
    <w:rsid w:val="005432EE"/>
    <w:rsid w:val="00545D25"/>
    <w:rsid w:val="0055602B"/>
    <w:rsid w:val="0056278B"/>
    <w:rsid w:val="00567B57"/>
    <w:rsid w:val="00570061"/>
    <w:rsid w:val="005745CE"/>
    <w:rsid w:val="005B7BEA"/>
    <w:rsid w:val="005F4E80"/>
    <w:rsid w:val="00622665"/>
    <w:rsid w:val="00633166"/>
    <w:rsid w:val="006366B3"/>
    <w:rsid w:val="00661AFA"/>
    <w:rsid w:val="00665B67"/>
    <w:rsid w:val="00672D50"/>
    <w:rsid w:val="006B4482"/>
    <w:rsid w:val="006C0B06"/>
    <w:rsid w:val="006C156A"/>
    <w:rsid w:val="006C5463"/>
    <w:rsid w:val="006D184C"/>
    <w:rsid w:val="006D192F"/>
    <w:rsid w:val="006D1979"/>
    <w:rsid w:val="006D20CD"/>
    <w:rsid w:val="006D6EDD"/>
    <w:rsid w:val="006F7E50"/>
    <w:rsid w:val="00704C4D"/>
    <w:rsid w:val="00720853"/>
    <w:rsid w:val="007258C5"/>
    <w:rsid w:val="007268EE"/>
    <w:rsid w:val="00783F28"/>
    <w:rsid w:val="00787C50"/>
    <w:rsid w:val="00792BE1"/>
    <w:rsid w:val="007D5ECC"/>
    <w:rsid w:val="007D6666"/>
    <w:rsid w:val="0080327A"/>
    <w:rsid w:val="0080641A"/>
    <w:rsid w:val="0080777D"/>
    <w:rsid w:val="00847173"/>
    <w:rsid w:val="008722BC"/>
    <w:rsid w:val="00896C32"/>
    <w:rsid w:val="008B7270"/>
    <w:rsid w:val="008D7A28"/>
    <w:rsid w:val="008F45DD"/>
    <w:rsid w:val="008F5597"/>
    <w:rsid w:val="00901F8F"/>
    <w:rsid w:val="00905CAE"/>
    <w:rsid w:val="009230BE"/>
    <w:rsid w:val="009263B5"/>
    <w:rsid w:val="00962BC6"/>
    <w:rsid w:val="00962D6E"/>
    <w:rsid w:val="00965A37"/>
    <w:rsid w:val="00977BBD"/>
    <w:rsid w:val="009821C5"/>
    <w:rsid w:val="00983FB0"/>
    <w:rsid w:val="009D009A"/>
    <w:rsid w:val="00A037A5"/>
    <w:rsid w:val="00A04CEB"/>
    <w:rsid w:val="00A24FC8"/>
    <w:rsid w:val="00A440A2"/>
    <w:rsid w:val="00A56368"/>
    <w:rsid w:val="00AD3D02"/>
    <w:rsid w:val="00AE5C6F"/>
    <w:rsid w:val="00B478EB"/>
    <w:rsid w:val="00B511A9"/>
    <w:rsid w:val="00B54C56"/>
    <w:rsid w:val="00B61384"/>
    <w:rsid w:val="00B6418E"/>
    <w:rsid w:val="00BB2936"/>
    <w:rsid w:val="00BD11D1"/>
    <w:rsid w:val="00BE117C"/>
    <w:rsid w:val="00BF314F"/>
    <w:rsid w:val="00BF76C0"/>
    <w:rsid w:val="00C01585"/>
    <w:rsid w:val="00C13208"/>
    <w:rsid w:val="00C46364"/>
    <w:rsid w:val="00C53ABC"/>
    <w:rsid w:val="00C67F0D"/>
    <w:rsid w:val="00C81A9E"/>
    <w:rsid w:val="00CB62EA"/>
    <w:rsid w:val="00CF73ED"/>
    <w:rsid w:val="00D02D36"/>
    <w:rsid w:val="00D21C4B"/>
    <w:rsid w:val="00D621AA"/>
    <w:rsid w:val="00DB779E"/>
    <w:rsid w:val="00DC0151"/>
    <w:rsid w:val="00DD7653"/>
    <w:rsid w:val="00E32B48"/>
    <w:rsid w:val="00E37CE4"/>
    <w:rsid w:val="00E67842"/>
    <w:rsid w:val="00E67DAF"/>
    <w:rsid w:val="00E86E42"/>
    <w:rsid w:val="00E95666"/>
    <w:rsid w:val="00EA158E"/>
    <w:rsid w:val="00EA4F7F"/>
    <w:rsid w:val="00EB7340"/>
    <w:rsid w:val="00EC539D"/>
    <w:rsid w:val="00ED04FE"/>
    <w:rsid w:val="00ED35A6"/>
    <w:rsid w:val="00EE0980"/>
    <w:rsid w:val="00EF3D9E"/>
    <w:rsid w:val="00F0067A"/>
    <w:rsid w:val="00F34306"/>
    <w:rsid w:val="00F555BF"/>
    <w:rsid w:val="00F83C48"/>
    <w:rsid w:val="00FA7DCC"/>
    <w:rsid w:val="00FB1E19"/>
    <w:rsid w:val="00FD01BB"/>
    <w:rsid w:val="00FE716A"/>
    <w:rsid w:val="013D0490"/>
    <w:rsid w:val="0282283E"/>
    <w:rsid w:val="038D2829"/>
    <w:rsid w:val="03D57369"/>
    <w:rsid w:val="04751BE8"/>
    <w:rsid w:val="081565BC"/>
    <w:rsid w:val="08395FBD"/>
    <w:rsid w:val="08716E9D"/>
    <w:rsid w:val="08A15DB0"/>
    <w:rsid w:val="08CC5F86"/>
    <w:rsid w:val="099C619C"/>
    <w:rsid w:val="09AD65FB"/>
    <w:rsid w:val="09DB3168"/>
    <w:rsid w:val="09EB4921"/>
    <w:rsid w:val="0AF86C1F"/>
    <w:rsid w:val="0B2B440E"/>
    <w:rsid w:val="0BDA2FAB"/>
    <w:rsid w:val="0C463D1E"/>
    <w:rsid w:val="0DA8151C"/>
    <w:rsid w:val="0EBC288C"/>
    <w:rsid w:val="0F21370C"/>
    <w:rsid w:val="0F3A4EFD"/>
    <w:rsid w:val="0F9D1FB7"/>
    <w:rsid w:val="0FBF7A85"/>
    <w:rsid w:val="101A606C"/>
    <w:rsid w:val="104621BA"/>
    <w:rsid w:val="109C2F25"/>
    <w:rsid w:val="114D61D6"/>
    <w:rsid w:val="11C167EE"/>
    <w:rsid w:val="11E701D0"/>
    <w:rsid w:val="12066CB7"/>
    <w:rsid w:val="128B14A3"/>
    <w:rsid w:val="139A199E"/>
    <w:rsid w:val="139F065A"/>
    <w:rsid w:val="152F6116"/>
    <w:rsid w:val="16663DB9"/>
    <w:rsid w:val="168924F4"/>
    <w:rsid w:val="1731269B"/>
    <w:rsid w:val="187C1BBC"/>
    <w:rsid w:val="19975FF2"/>
    <w:rsid w:val="1A450189"/>
    <w:rsid w:val="1B21707A"/>
    <w:rsid w:val="1CA61851"/>
    <w:rsid w:val="1D6E52F0"/>
    <w:rsid w:val="1E44188E"/>
    <w:rsid w:val="1E4E1D03"/>
    <w:rsid w:val="208C1DE2"/>
    <w:rsid w:val="21BE7219"/>
    <w:rsid w:val="22196184"/>
    <w:rsid w:val="23347BE8"/>
    <w:rsid w:val="23700025"/>
    <w:rsid w:val="23732B64"/>
    <w:rsid w:val="23B75C54"/>
    <w:rsid w:val="23CF16CE"/>
    <w:rsid w:val="23E342E7"/>
    <w:rsid w:val="24A55733"/>
    <w:rsid w:val="24B91EA0"/>
    <w:rsid w:val="255A3ACB"/>
    <w:rsid w:val="25775658"/>
    <w:rsid w:val="25912322"/>
    <w:rsid w:val="25E35426"/>
    <w:rsid w:val="26415CA9"/>
    <w:rsid w:val="26594989"/>
    <w:rsid w:val="26B74C53"/>
    <w:rsid w:val="26C339D5"/>
    <w:rsid w:val="27CE2EA8"/>
    <w:rsid w:val="29003BF9"/>
    <w:rsid w:val="29087F26"/>
    <w:rsid w:val="2912392D"/>
    <w:rsid w:val="29173FE3"/>
    <w:rsid w:val="29512D68"/>
    <w:rsid w:val="2C2B3683"/>
    <w:rsid w:val="2CDF3A98"/>
    <w:rsid w:val="2CE635C5"/>
    <w:rsid w:val="2CF9108B"/>
    <w:rsid w:val="2D2C6793"/>
    <w:rsid w:val="2F0046A3"/>
    <w:rsid w:val="2F257846"/>
    <w:rsid w:val="2F302D5E"/>
    <w:rsid w:val="3009668A"/>
    <w:rsid w:val="305C74BB"/>
    <w:rsid w:val="307E4367"/>
    <w:rsid w:val="30F73365"/>
    <w:rsid w:val="314409B1"/>
    <w:rsid w:val="32AE4363"/>
    <w:rsid w:val="32F71535"/>
    <w:rsid w:val="33357C81"/>
    <w:rsid w:val="336F654B"/>
    <w:rsid w:val="34263CA4"/>
    <w:rsid w:val="348C1696"/>
    <w:rsid w:val="354E03E2"/>
    <w:rsid w:val="372D7325"/>
    <w:rsid w:val="37503F9E"/>
    <w:rsid w:val="37CA01F4"/>
    <w:rsid w:val="38D97FC3"/>
    <w:rsid w:val="39E854BF"/>
    <w:rsid w:val="3B4A1251"/>
    <w:rsid w:val="3BE63123"/>
    <w:rsid w:val="3C410508"/>
    <w:rsid w:val="3C4A5A0F"/>
    <w:rsid w:val="3D421283"/>
    <w:rsid w:val="3E4267C6"/>
    <w:rsid w:val="3E90381A"/>
    <w:rsid w:val="3EE37C29"/>
    <w:rsid w:val="3F7942AE"/>
    <w:rsid w:val="407A652F"/>
    <w:rsid w:val="40F77B80"/>
    <w:rsid w:val="41D260B8"/>
    <w:rsid w:val="43222B2D"/>
    <w:rsid w:val="43B8689F"/>
    <w:rsid w:val="444035EC"/>
    <w:rsid w:val="4482153F"/>
    <w:rsid w:val="470E352E"/>
    <w:rsid w:val="486258DF"/>
    <w:rsid w:val="49514D78"/>
    <w:rsid w:val="49AC6FBD"/>
    <w:rsid w:val="4A266DE0"/>
    <w:rsid w:val="4A673339"/>
    <w:rsid w:val="4AC46D25"/>
    <w:rsid w:val="4B127B1E"/>
    <w:rsid w:val="4E0E5A46"/>
    <w:rsid w:val="4FA7451F"/>
    <w:rsid w:val="507B1C14"/>
    <w:rsid w:val="509A2171"/>
    <w:rsid w:val="50EE4ACF"/>
    <w:rsid w:val="51827571"/>
    <w:rsid w:val="51AE3EAF"/>
    <w:rsid w:val="520C2D5F"/>
    <w:rsid w:val="52271947"/>
    <w:rsid w:val="53266909"/>
    <w:rsid w:val="533B74E5"/>
    <w:rsid w:val="53FA1293"/>
    <w:rsid w:val="547B405A"/>
    <w:rsid w:val="54AC630B"/>
    <w:rsid w:val="54F63F7F"/>
    <w:rsid w:val="55630EE8"/>
    <w:rsid w:val="564E307F"/>
    <w:rsid w:val="56814709"/>
    <w:rsid w:val="56DD7F8B"/>
    <w:rsid w:val="571C1C97"/>
    <w:rsid w:val="57D06B31"/>
    <w:rsid w:val="58767220"/>
    <w:rsid w:val="591248AF"/>
    <w:rsid w:val="5AF358DD"/>
    <w:rsid w:val="5B8C73EB"/>
    <w:rsid w:val="5C3B233F"/>
    <w:rsid w:val="5D5C4191"/>
    <w:rsid w:val="5D617F76"/>
    <w:rsid w:val="5D771E0E"/>
    <w:rsid w:val="5EF32793"/>
    <w:rsid w:val="5F544892"/>
    <w:rsid w:val="603040BD"/>
    <w:rsid w:val="606F5C55"/>
    <w:rsid w:val="60C55DCD"/>
    <w:rsid w:val="60D724CE"/>
    <w:rsid w:val="626D3C1F"/>
    <w:rsid w:val="62B1767B"/>
    <w:rsid w:val="630670EC"/>
    <w:rsid w:val="644B7716"/>
    <w:rsid w:val="657F3B1C"/>
    <w:rsid w:val="65D379C4"/>
    <w:rsid w:val="65F0232C"/>
    <w:rsid w:val="670324FA"/>
    <w:rsid w:val="673B541A"/>
    <w:rsid w:val="677F5971"/>
    <w:rsid w:val="67C661B0"/>
    <w:rsid w:val="67D51239"/>
    <w:rsid w:val="68CF0917"/>
    <w:rsid w:val="699306D5"/>
    <w:rsid w:val="6A1B7B8C"/>
    <w:rsid w:val="6A2C03BD"/>
    <w:rsid w:val="6AEF52A0"/>
    <w:rsid w:val="6B950279"/>
    <w:rsid w:val="6BCE4EB6"/>
    <w:rsid w:val="6BD543E2"/>
    <w:rsid w:val="6CA506F8"/>
    <w:rsid w:val="6D5A2732"/>
    <w:rsid w:val="6D881997"/>
    <w:rsid w:val="6EF02E9E"/>
    <w:rsid w:val="70A73F27"/>
    <w:rsid w:val="714123E4"/>
    <w:rsid w:val="7185018E"/>
    <w:rsid w:val="729053FF"/>
    <w:rsid w:val="74A569D0"/>
    <w:rsid w:val="74FA1D39"/>
    <w:rsid w:val="75E75B71"/>
    <w:rsid w:val="76FD2AF3"/>
    <w:rsid w:val="77965D52"/>
    <w:rsid w:val="77C36E44"/>
    <w:rsid w:val="78340710"/>
    <w:rsid w:val="78F63F34"/>
    <w:rsid w:val="7946410A"/>
    <w:rsid w:val="7AF74558"/>
    <w:rsid w:val="7B063E64"/>
    <w:rsid w:val="7BA0772C"/>
    <w:rsid w:val="7BC77E02"/>
    <w:rsid w:val="7C0101BB"/>
    <w:rsid w:val="7CB86630"/>
    <w:rsid w:val="7D5D74E6"/>
    <w:rsid w:val="7E461A55"/>
    <w:rsid w:val="7E5A0838"/>
    <w:rsid w:val="7EB4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6"/>
    <w:qFormat/>
    <w:uiPriority w:val="0"/>
    <w:rPr>
      <w:rFonts w:ascii="宋体" w:eastAsia="宋体"/>
      <w:sz w:val="18"/>
      <w:szCs w:val="18"/>
    </w:rPr>
  </w:style>
  <w:style w:type="paragraph" w:styleId="6">
    <w:name w:val="Body Text"/>
    <w:basedOn w:val="1"/>
    <w:link w:val="28"/>
    <w:qFormat/>
    <w:uiPriority w:val="0"/>
    <w:pPr>
      <w:jc w:val="center"/>
    </w:pPr>
    <w:rPr>
      <w:sz w:val="24"/>
      <w:szCs w:val="20"/>
    </w:rPr>
  </w:style>
  <w:style w:type="paragraph" w:styleId="7">
    <w:name w:val="toc 3"/>
    <w:basedOn w:val="1"/>
    <w:next w:val="1"/>
    <w:qFormat/>
    <w:uiPriority w:val="39"/>
    <w:pPr>
      <w:tabs>
        <w:tab w:val="right" w:leader="dot" w:pos="8296"/>
      </w:tabs>
      <w:spacing w:line="360" w:lineRule="auto"/>
      <w:ind w:left="840" w:leftChars="400"/>
    </w:pPr>
    <w:rPr>
      <w:rFonts w:cs="Times New Roman"/>
      <w:sz w:val="24"/>
    </w:rPr>
  </w:style>
  <w:style w:type="paragraph" w:styleId="8">
    <w:name w:val="Plain Text"/>
    <w:basedOn w:val="1"/>
    <w:link w:val="32"/>
    <w:qFormat/>
    <w:uiPriority w:val="0"/>
    <w:pPr>
      <w:widowControl/>
      <w:spacing w:after="60" w:line="360" w:lineRule="auto"/>
      <w:ind w:firstLine="200" w:firstLineChars="200"/>
    </w:pPr>
    <w:rPr>
      <w:rFonts w:ascii="宋体" w:hAnsi="Courier New" w:eastAsia="宋体" w:cs="Courier New"/>
      <w:sz w:val="24"/>
      <w:szCs w:val="21"/>
    </w:rPr>
  </w:style>
  <w:style w:type="paragraph" w:styleId="9">
    <w:name w:val="Date"/>
    <w:basedOn w:val="1"/>
    <w:next w:val="1"/>
    <w:link w:val="48"/>
    <w:qFormat/>
    <w:uiPriority w:val="0"/>
    <w:rPr>
      <w:sz w:val="28"/>
      <w:szCs w:val="20"/>
    </w:rPr>
  </w:style>
  <w:style w:type="paragraph" w:styleId="10">
    <w:name w:val="Balloon Text"/>
    <w:basedOn w:val="1"/>
    <w:link w:val="37"/>
    <w:qFormat/>
    <w:uiPriority w:val="0"/>
    <w:rPr>
      <w:sz w:val="18"/>
      <w:szCs w:val="18"/>
    </w:rPr>
  </w:style>
  <w:style w:type="paragraph" w:styleId="11">
    <w:name w:val="footer"/>
    <w:basedOn w:val="1"/>
    <w:link w:val="29"/>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480" w:lineRule="auto"/>
    </w:pPr>
    <w:rPr>
      <w:rFonts w:eastAsia="Times New Roman"/>
      <w:sz w:val="28"/>
    </w:rPr>
  </w:style>
  <w:style w:type="paragraph" w:styleId="14">
    <w:name w:val="toc 2"/>
    <w:basedOn w:val="1"/>
    <w:next w:val="1"/>
    <w:qFormat/>
    <w:uiPriority w:val="39"/>
    <w:pPr>
      <w:tabs>
        <w:tab w:val="right" w:leader="dot" w:pos="8296"/>
      </w:tabs>
      <w:spacing w:line="360" w:lineRule="auto"/>
      <w:ind w:left="420" w:leftChars="200"/>
    </w:pPr>
    <w:rPr>
      <w:rFonts w:eastAsia="Times New Roman" w:cs="Times New Roman" w:hAnsiTheme="minorEastAsia"/>
      <w:sz w:val="24"/>
      <w:szCs w:val="2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6">
    <w:name w:val="Body Text First Indent"/>
    <w:basedOn w:val="6"/>
    <w:link w:val="41"/>
    <w:qFormat/>
    <w:uiPriority w:val="0"/>
    <w:pPr>
      <w:spacing w:after="120"/>
      <w:ind w:firstLine="420" w:firstLineChars="100"/>
      <w:jc w:val="both"/>
    </w:pPr>
    <w:rPr>
      <w:sz w:val="21"/>
      <w:szCs w:val="24"/>
    </w:rPr>
  </w:style>
  <w:style w:type="paragraph" w:styleId="17">
    <w:name w:val="Body Text First Indent 2"/>
    <w:basedOn w:val="1"/>
    <w:semiHidden/>
    <w:qFormat/>
    <w:uiPriority w:val="0"/>
    <w:pPr>
      <w:ind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page number"/>
    <w:basedOn w:val="20"/>
    <w:qFormat/>
    <w:uiPriority w:val="0"/>
    <w:rPr>
      <w:rFonts w:cs="Times New Roman"/>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paragraph" w:customStyle="1" w:styleId="24">
    <w:name w:val="Default"/>
    <w:basedOn w:val="25"/>
    <w:next w:val="1"/>
    <w:qFormat/>
    <w:uiPriority w:val="99"/>
    <w:pPr>
      <w:widowControl w:val="0"/>
      <w:autoSpaceDE w:val="0"/>
      <w:autoSpaceDN w:val="0"/>
      <w:adjustRightInd w:val="0"/>
    </w:pPr>
    <w:rPr>
      <w:rFonts w:ascii="Arial" w:hAnsi="Arial" w:cs="Arial"/>
      <w:color w:val="000000"/>
      <w:sz w:val="24"/>
      <w:szCs w:val="24"/>
      <w:lang w:val="en-US" w:eastAsia="zh-CN" w:bidi="ar-SA"/>
    </w:rPr>
  </w:style>
  <w:style w:type="paragraph" w:customStyle="1" w:styleId="25">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26">
    <w:name w:val="表格"/>
    <w:basedOn w:val="1"/>
    <w:semiHidden/>
    <w:qFormat/>
    <w:uiPriority w:val="0"/>
    <w:pPr>
      <w:adjustRightInd w:val="0"/>
      <w:spacing w:before="40" w:after="40"/>
      <w:textAlignment w:val="baseline"/>
    </w:pPr>
    <w:rPr>
      <w:rFonts w:ascii="昆仑仿宋" w:eastAsia="昆仑仿宋"/>
      <w:kern w:val="0"/>
      <w:sz w:val="24"/>
      <w:szCs w:val="20"/>
    </w:rPr>
  </w:style>
  <w:style w:type="character" w:customStyle="1" w:styleId="27">
    <w:name w:val="标题 1 Char"/>
    <w:basedOn w:val="20"/>
    <w:link w:val="2"/>
    <w:qFormat/>
    <w:uiPriority w:val="0"/>
    <w:rPr>
      <w:b/>
      <w:bCs/>
      <w:kern w:val="44"/>
      <w:sz w:val="44"/>
      <w:szCs w:val="44"/>
    </w:rPr>
  </w:style>
  <w:style w:type="character" w:customStyle="1" w:styleId="28">
    <w:name w:val="正文文本 Char"/>
    <w:basedOn w:val="20"/>
    <w:link w:val="6"/>
    <w:qFormat/>
    <w:uiPriority w:val="0"/>
    <w:rPr>
      <w:kern w:val="2"/>
      <w:sz w:val="24"/>
    </w:rPr>
  </w:style>
  <w:style w:type="character" w:customStyle="1" w:styleId="29">
    <w:name w:val="页脚 Char"/>
    <w:basedOn w:val="20"/>
    <w:link w:val="11"/>
    <w:qFormat/>
    <w:uiPriority w:val="99"/>
    <w:rPr>
      <w:kern w:val="2"/>
      <w:sz w:val="18"/>
      <w:szCs w:val="18"/>
    </w:rPr>
  </w:style>
  <w:style w:type="paragraph" w:customStyle="1" w:styleId="30">
    <w:name w:val="表格名称"/>
    <w:basedOn w:val="1"/>
    <w:next w:val="26"/>
    <w:qFormat/>
    <w:uiPriority w:val="0"/>
    <w:pPr>
      <w:adjustRightInd w:val="0"/>
      <w:snapToGrid w:val="0"/>
      <w:spacing w:line="520" w:lineRule="exact"/>
      <w:jc w:val="center"/>
    </w:pPr>
    <w:rPr>
      <w:rFonts w:ascii="宋体" w:hAnsi="宋体" w:eastAsia="黑体"/>
      <w:b/>
      <w:bCs/>
      <w:color w:val="000000"/>
      <w:sz w:val="24"/>
      <w:szCs w:val="21"/>
    </w:rPr>
  </w:style>
  <w:style w:type="character" w:customStyle="1" w:styleId="31">
    <w:name w:val="纯文本 Char1"/>
    <w:qFormat/>
    <w:uiPriority w:val="0"/>
    <w:rPr>
      <w:rFonts w:ascii="宋体" w:hAnsi="Courier New" w:eastAsia="宋体" w:cs="Courier New"/>
      <w:kern w:val="2"/>
      <w:sz w:val="24"/>
      <w:szCs w:val="21"/>
    </w:rPr>
  </w:style>
  <w:style w:type="character" w:customStyle="1" w:styleId="32">
    <w:name w:val="纯文本 Char"/>
    <w:basedOn w:val="20"/>
    <w:link w:val="8"/>
    <w:qFormat/>
    <w:uiPriority w:val="0"/>
    <w:rPr>
      <w:rFonts w:ascii="宋体" w:hAnsi="Courier New" w:eastAsia="宋体" w:cs="Courier New"/>
      <w:kern w:val="2"/>
      <w:sz w:val="21"/>
      <w:szCs w:val="21"/>
    </w:rPr>
  </w:style>
  <w:style w:type="paragraph" w:customStyle="1" w:styleId="33">
    <w:name w:val="正文 楷体"/>
    <w:basedOn w:val="1"/>
    <w:link w:val="34"/>
    <w:qFormat/>
    <w:uiPriority w:val="0"/>
    <w:pPr>
      <w:spacing w:line="500" w:lineRule="exact"/>
      <w:ind w:firstLine="200" w:firstLineChars="200"/>
    </w:pPr>
    <w:rPr>
      <w:rFonts w:ascii="楷体_GB2312" w:hAnsi="楷体_GB2312" w:eastAsia="楷体_GB2312" w:cs="宋体"/>
      <w:sz w:val="24"/>
    </w:rPr>
  </w:style>
  <w:style w:type="character" w:customStyle="1" w:styleId="34">
    <w:name w:val="正文 楷体 Char"/>
    <w:basedOn w:val="20"/>
    <w:link w:val="33"/>
    <w:qFormat/>
    <w:uiPriority w:val="0"/>
    <w:rPr>
      <w:rFonts w:ascii="楷体_GB2312" w:hAnsi="楷体_GB2312" w:eastAsia="楷体_GB2312" w:cs="宋体"/>
      <w:kern w:val="2"/>
      <w:sz w:val="24"/>
      <w:szCs w:val="24"/>
    </w:rPr>
  </w:style>
  <w:style w:type="character" w:customStyle="1" w:styleId="35">
    <w:name w:val="ms-rtefontface-111"/>
    <w:basedOn w:val="20"/>
    <w:qFormat/>
    <w:uiPriority w:val="0"/>
    <w:rPr>
      <w:rFonts w:hint="eastAsia" w:ascii="方正仿宋简体" w:hAnsi="Garamond" w:eastAsia="方正仿宋简体"/>
      <w:sz w:val="32"/>
      <w:szCs w:val="32"/>
    </w:rPr>
  </w:style>
  <w:style w:type="character" w:customStyle="1" w:styleId="36">
    <w:name w:val="文档结构图 Char"/>
    <w:basedOn w:val="20"/>
    <w:link w:val="5"/>
    <w:qFormat/>
    <w:uiPriority w:val="0"/>
    <w:rPr>
      <w:rFonts w:ascii="宋体" w:eastAsia="宋体"/>
      <w:kern w:val="2"/>
      <w:sz w:val="18"/>
      <w:szCs w:val="18"/>
    </w:rPr>
  </w:style>
  <w:style w:type="character" w:customStyle="1" w:styleId="37">
    <w:name w:val="批注框文本 Char"/>
    <w:basedOn w:val="20"/>
    <w:link w:val="10"/>
    <w:qFormat/>
    <w:uiPriority w:val="0"/>
    <w:rPr>
      <w:kern w:val="2"/>
      <w:sz w:val="18"/>
      <w:szCs w:val="18"/>
    </w:rPr>
  </w:style>
  <w:style w:type="paragraph" w:customStyle="1" w:styleId="38">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39">
    <w:name w:val="正文格式 Char Char"/>
    <w:basedOn w:val="20"/>
    <w:link w:val="40"/>
    <w:qFormat/>
    <w:uiPriority w:val="0"/>
    <w:rPr>
      <w:rFonts w:ascii="宋体" w:hAnsi="Times New Roman" w:eastAsia="宋体" w:cs="Times New Roman"/>
      <w:kern w:val="2"/>
      <w:sz w:val="24"/>
      <w:szCs w:val="24"/>
    </w:rPr>
  </w:style>
  <w:style w:type="paragraph" w:customStyle="1" w:styleId="40">
    <w:name w:val="正文格式"/>
    <w:basedOn w:val="33"/>
    <w:link w:val="39"/>
    <w:qFormat/>
    <w:uiPriority w:val="0"/>
    <w:pPr>
      <w:widowControl/>
      <w:spacing w:line="360" w:lineRule="auto"/>
      <w:jc w:val="left"/>
    </w:pPr>
    <w:rPr>
      <w:rFonts w:ascii="宋体" w:hAnsi="Times New Roman" w:eastAsia="宋体" w:cs="Times New Roman"/>
    </w:rPr>
  </w:style>
  <w:style w:type="character" w:customStyle="1" w:styleId="41">
    <w:name w:val="正文首行缩进 Char"/>
    <w:basedOn w:val="28"/>
    <w:link w:val="16"/>
    <w:qFormat/>
    <w:uiPriority w:val="0"/>
    <w:rPr>
      <w:kern w:val="2"/>
      <w:sz w:val="24"/>
    </w:rPr>
  </w:style>
  <w:style w:type="character" w:customStyle="1" w:styleId="42">
    <w:name w:val="正文格式 Char"/>
    <w:basedOn w:val="20"/>
    <w:qFormat/>
    <w:uiPriority w:val="0"/>
    <w:rPr>
      <w:rFonts w:ascii="宋体" w:hAnsi="宋体" w:eastAsia="宋体"/>
      <w:bCs/>
      <w:color w:val="000000"/>
      <w:kern w:val="2"/>
      <w:sz w:val="24"/>
      <w:szCs w:val="26"/>
      <w:lang w:val="en-US" w:eastAsia="zh-CN" w:bidi="ar-SA"/>
    </w:rPr>
  </w:style>
  <w:style w:type="paragraph" w:customStyle="1" w:styleId="43">
    <w:name w:val="表头"/>
    <w:basedOn w:val="1"/>
    <w:link w:val="44"/>
    <w:qFormat/>
    <w:uiPriority w:val="0"/>
    <w:pPr>
      <w:spacing w:line="500" w:lineRule="exact"/>
      <w:jc w:val="center"/>
    </w:pPr>
    <w:rPr>
      <w:rFonts w:ascii="楷体_GB2312" w:hAnsi="楷体_GB2312" w:eastAsia="楷体_GB2312" w:cs="楷体_GB2312"/>
      <w:b/>
      <w:sz w:val="24"/>
    </w:rPr>
  </w:style>
  <w:style w:type="character" w:customStyle="1" w:styleId="44">
    <w:name w:val="表头 Char2"/>
    <w:basedOn w:val="20"/>
    <w:link w:val="43"/>
    <w:qFormat/>
    <w:uiPriority w:val="0"/>
    <w:rPr>
      <w:rFonts w:ascii="楷体_GB2312" w:hAnsi="楷体_GB2312" w:eastAsia="楷体_GB2312" w:cs="楷体_GB2312"/>
      <w:b/>
      <w:kern w:val="2"/>
      <w:sz w:val="24"/>
      <w:szCs w:val="24"/>
    </w:rPr>
  </w:style>
  <w:style w:type="paragraph" w:customStyle="1" w:styleId="45">
    <w:name w:val="样式1.1.1三级标题"/>
    <w:basedOn w:val="1"/>
    <w:next w:val="1"/>
    <w:qFormat/>
    <w:uiPriority w:val="0"/>
    <w:pPr>
      <w:widowControl/>
      <w:spacing w:line="360" w:lineRule="auto"/>
      <w:ind w:left="510"/>
      <w:jc w:val="left"/>
      <w:outlineLvl w:val="2"/>
    </w:pPr>
    <w:rPr>
      <w:rFonts w:eastAsia="宋体" w:cs="Times New Roman"/>
      <w:b/>
      <w:kern w:val="0"/>
      <w:sz w:val="24"/>
      <w:szCs w:val="20"/>
    </w:rPr>
  </w:style>
  <w:style w:type="paragraph" w:customStyle="1" w:styleId="46">
    <w:name w:val="WPSOffice手动目录 1"/>
    <w:qFormat/>
    <w:uiPriority w:val="0"/>
    <w:rPr>
      <w:rFonts w:ascii="Times New Roman" w:hAnsi="Times New Roman" w:eastAsia="宋体" w:cs="Times New Roman"/>
      <w:lang w:val="en-US" w:eastAsia="zh-CN" w:bidi="ar-SA"/>
    </w:rPr>
  </w:style>
  <w:style w:type="paragraph" w:customStyle="1" w:styleId="4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8">
    <w:name w:val="日期 Char"/>
    <w:basedOn w:val="20"/>
    <w:link w:val="9"/>
    <w:qFormat/>
    <w:uiPriority w:val="0"/>
    <w:rPr>
      <w:rFonts w:eastAsiaTheme="minorEastAsia" w:cstheme="minorBidi"/>
      <w:kern w:val="2"/>
      <w:sz w:val="28"/>
    </w:rPr>
  </w:style>
  <w:style w:type="paragraph" w:customStyle="1" w:styleId="49">
    <w:name w:val="报告正文 + 首行缩进:  2 字符 Char"/>
    <w:basedOn w:val="1"/>
    <w:qFormat/>
    <w:uiPriority w:val="0"/>
    <w:pPr>
      <w:spacing w:line="360" w:lineRule="auto"/>
      <w:ind w:firstLine="480"/>
    </w:pPr>
    <w:rPr>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2.jpe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2D8C47-0887-4B4F-AD6A-FF40F76D520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2569</Words>
  <Characters>2775</Characters>
  <Lines>28</Lines>
  <Paragraphs>8</Paragraphs>
  <TotalTime>6</TotalTime>
  <ScaleCrop>false</ScaleCrop>
  <LinksUpToDate>false</LinksUpToDate>
  <CharactersWithSpaces>2920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2022-07-22T04:26:00Z</dcterms:created>
  <dc:creator>Administrator</dc:creator>
  <cp:lastModifiedBy>杜强</cp:lastModifiedBy>
  <cp:lastPrinted>2022-10-09T11:37:00Z</cp:lastPrinted>
  <dcterms:modified xsi:type="dcterms:W3CDTF">2026-08-12T12:06:40Z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DA5A2C0572B7407189137E1A4D5D8FF2_13</vt:lpwstr>
  </property>
  <property fmtid="{D5CDD505-2E9C-101B-9397-08002B2CF9AE}" pid="4" name="KSOTemplateDocerSaveRecord">
    <vt:lpwstr>eyJoZGlkIjoiYWJjYWM5YWQwOGJjODhhMjdlM2JkYzg3ZGYyOTkxMTQiLCJ1c2VySWQiOiI2OTIzMzQ1MDMifQ==</vt:lpwstr>
  </property>
</Properties>
</file>