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27DC7">
      <w:pPr>
        <w:rPr>
          <w:rFonts w:hint="eastAsia" w:ascii="仿宋_GB2312" w:hAnsi="仿宋_GB2312" w:eastAsia="仿宋_GB2312" w:cs="仿宋_GB2312"/>
          <w:sz w:val="36"/>
          <w:szCs w:val="36"/>
        </w:rPr>
      </w:pPr>
      <w:bookmarkStart w:id="0" w:name="_Hlk81493718"/>
      <w:bookmarkEnd w:id="0"/>
      <w:bookmarkStart w:id="1" w:name="_Hlk57883707"/>
    </w:p>
    <w:p w14:paraId="1C040D42">
      <w:pPr>
        <w:rPr>
          <w:rFonts w:hint="eastAsia" w:ascii="仿宋_GB2312" w:hAnsi="仿宋_GB2312" w:eastAsia="仿宋_GB2312" w:cs="仿宋_GB2312"/>
          <w:sz w:val="36"/>
          <w:szCs w:val="36"/>
        </w:rPr>
      </w:pPr>
    </w:p>
    <w:p w14:paraId="7DAB94CD">
      <w:pPr>
        <w:rPr>
          <w:rFonts w:hint="eastAsia" w:ascii="仿宋_GB2312" w:hAnsi="仿宋_GB2312" w:eastAsia="仿宋_GB2312" w:cs="仿宋_GB2312"/>
          <w:sz w:val="36"/>
          <w:szCs w:val="36"/>
        </w:rPr>
      </w:pPr>
    </w:p>
    <w:p w14:paraId="03AF8241">
      <w:pPr>
        <w:rPr>
          <w:rFonts w:hint="eastAsia" w:ascii="仿宋_GB2312" w:hAnsi="仿宋_GB2312" w:eastAsia="仿宋_GB2312" w:cs="仿宋_GB2312"/>
          <w:sz w:val="36"/>
          <w:szCs w:val="36"/>
        </w:rPr>
      </w:pPr>
    </w:p>
    <w:bookmarkEnd w:id="1"/>
    <w:p w14:paraId="55008BF6">
      <w:pPr>
        <w:adjustRightInd w:val="0"/>
        <w:snapToGrid w:val="0"/>
        <w:jc w:val="center"/>
        <w:outlineLvl w:val="0"/>
        <w:rPr>
          <w:rFonts w:ascii="方正小标宋_GBK" w:eastAsia="方正小标宋_GBK"/>
          <w:bCs/>
          <w:sz w:val="72"/>
          <w:szCs w:val="72"/>
        </w:rPr>
      </w:pPr>
      <w:r>
        <w:rPr>
          <w:rFonts w:hint="eastAsia" w:ascii="方正小标宋_GBK" w:eastAsia="方正小标宋_GBK"/>
          <w:bCs/>
          <w:sz w:val="72"/>
          <w:szCs w:val="72"/>
        </w:rPr>
        <w:t>建设项目环境影响报告表</w:t>
      </w:r>
    </w:p>
    <w:p w14:paraId="2DCD78DF">
      <w:pPr>
        <w:adjustRightInd w:val="0"/>
        <w:snapToGrid w:val="0"/>
        <w:spacing w:before="192" w:beforeLines="80"/>
        <w:jc w:val="center"/>
        <w:rPr>
          <w:rFonts w:ascii="楷体_GB2312" w:eastAsia="楷体_GB2312"/>
          <w:bCs/>
          <w:sz w:val="48"/>
          <w:szCs w:val="48"/>
        </w:rPr>
      </w:pPr>
      <w:r>
        <w:rPr>
          <w:rFonts w:hint="eastAsia" w:ascii="楷体_GB2312" w:eastAsia="楷体_GB2312"/>
          <w:bCs/>
          <w:sz w:val="48"/>
          <w:szCs w:val="48"/>
        </w:rPr>
        <w:t>（生态影响类）</w:t>
      </w:r>
    </w:p>
    <w:p w14:paraId="49791819">
      <w:pPr>
        <w:ind w:firstLine="1040"/>
        <w:rPr>
          <w:rFonts w:eastAsia="仿宋"/>
          <w:sz w:val="44"/>
          <w:szCs w:val="44"/>
        </w:rPr>
      </w:pPr>
      <w:bookmarkStart w:id="2" w:name="_Hlk57883728"/>
    </w:p>
    <w:p w14:paraId="1F742866">
      <w:pPr>
        <w:ind w:firstLine="1040"/>
        <w:rPr>
          <w:rFonts w:eastAsia="仿宋"/>
          <w:sz w:val="44"/>
          <w:szCs w:val="44"/>
        </w:rPr>
      </w:pPr>
    </w:p>
    <w:p w14:paraId="5A802BF4">
      <w:pPr>
        <w:ind w:firstLine="1040"/>
        <w:rPr>
          <w:rFonts w:eastAsia="仿宋"/>
          <w:sz w:val="44"/>
          <w:szCs w:val="44"/>
        </w:rPr>
      </w:pPr>
    </w:p>
    <w:p w14:paraId="0593B76D">
      <w:pPr>
        <w:ind w:firstLine="1040"/>
        <w:rPr>
          <w:rFonts w:eastAsia="仿宋"/>
          <w:sz w:val="44"/>
          <w:szCs w:val="44"/>
        </w:rPr>
      </w:pPr>
    </w:p>
    <w:p w14:paraId="6E98BE7A">
      <w:pPr>
        <w:ind w:firstLine="1040"/>
        <w:rPr>
          <w:rFonts w:eastAsia="仿宋"/>
          <w:sz w:val="44"/>
          <w:szCs w:val="44"/>
        </w:rPr>
      </w:pPr>
    </w:p>
    <w:p w14:paraId="3453CADD">
      <w:pPr>
        <w:ind w:firstLine="1040"/>
        <w:rPr>
          <w:rFonts w:eastAsia="仿宋"/>
          <w:sz w:val="44"/>
          <w:szCs w:val="44"/>
        </w:rPr>
      </w:pPr>
    </w:p>
    <w:p w14:paraId="3F05EE8E">
      <w:pPr>
        <w:ind w:firstLine="1040"/>
        <w:rPr>
          <w:rFonts w:eastAsia="仿宋"/>
          <w:sz w:val="44"/>
          <w:szCs w:val="44"/>
        </w:rPr>
      </w:pPr>
    </w:p>
    <w:p w14:paraId="2E868FB6">
      <w:pPr>
        <w:ind w:firstLine="1040"/>
        <w:rPr>
          <w:rFonts w:eastAsia="仿宋"/>
          <w:sz w:val="44"/>
          <w:szCs w:val="44"/>
        </w:rPr>
      </w:pPr>
    </w:p>
    <w:bookmarkEnd w:id="2"/>
    <w:p w14:paraId="5C6C4DDE">
      <w:pPr>
        <w:adjustRightInd w:val="0"/>
        <w:snapToGrid w:val="0"/>
        <w:spacing w:line="288" w:lineRule="auto"/>
        <w:ind w:firstLine="1040"/>
        <w:rPr>
          <w:rFonts w:hint="default" w:ascii="仿宋_GB2312" w:eastAsia="仿宋_GB2312"/>
          <w:sz w:val="32"/>
          <w:szCs w:val="32"/>
          <w:lang w:val="en-US" w:eastAsia="zh-CN"/>
        </w:rPr>
      </w:pPr>
      <w:r>
        <w:rPr>
          <w:rFonts w:hint="eastAsia" w:ascii="仿宋_GB2312" w:eastAsia="仿宋_GB2312"/>
          <w:sz w:val="32"/>
          <w:szCs w:val="32"/>
        </w:rPr>
        <w:t>项目名称：</w:t>
      </w:r>
      <w:r>
        <w:rPr>
          <w:rFonts w:hint="eastAsia" w:ascii="仿宋_GB2312" w:eastAsia="仿宋_GB2312"/>
          <w:sz w:val="32"/>
          <w:szCs w:val="32"/>
          <w:u w:val="single"/>
          <w:lang w:eastAsia="zh-CN"/>
        </w:rPr>
        <w:t>新疆民丰县</w:t>
      </w:r>
      <w:r>
        <w:rPr>
          <w:rFonts w:hint="eastAsia" w:ascii="仿宋_GB2312" w:eastAsia="仿宋_GB2312"/>
          <w:sz w:val="32"/>
          <w:szCs w:val="32"/>
          <w:u w:val="single"/>
          <w:lang w:val="en-US" w:eastAsia="zh-CN"/>
        </w:rPr>
        <w:t>阿卡苏盖提坎锰矿普查</w:t>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p>
    <w:p w14:paraId="1B484FB1">
      <w:pPr>
        <w:adjustRightInd w:val="0"/>
        <w:snapToGrid w:val="0"/>
        <w:spacing w:line="288" w:lineRule="auto"/>
        <w:ind w:firstLine="1040"/>
        <w:rPr>
          <w:rFonts w:hint="default" w:ascii="仿宋_GB2312" w:eastAsia="仿宋_GB2312"/>
          <w:sz w:val="32"/>
          <w:szCs w:val="32"/>
          <w:u w:val="single"/>
          <w:lang w:val="en-US" w:eastAsia="zh-CN"/>
        </w:rPr>
      </w:pPr>
      <w:r>
        <w:rPr>
          <w:rFonts w:hint="eastAsia" w:ascii="仿宋_GB2312" w:eastAsia="仿宋_GB2312"/>
          <w:sz w:val="32"/>
          <w:szCs w:val="32"/>
        </w:rPr>
        <w:t>建设单位（盖章）：</w:t>
      </w:r>
      <w:r>
        <w:rPr>
          <w:rFonts w:hint="eastAsia" w:ascii="仿宋_GB2312" w:eastAsia="仿宋_GB2312"/>
          <w:sz w:val="32"/>
          <w:szCs w:val="32"/>
          <w:u w:val="single"/>
          <w:lang w:val="en-US" w:eastAsia="zh-CN"/>
        </w:rPr>
        <w:t>和田昆冈聚源矿业有限责任公司</w:t>
      </w:r>
    </w:p>
    <w:p w14:paraId="1FE2BEF2">
      <w:pPr>
        <w:adjustRightInd w:val="0"/>
        <w:snapToGrid w:val="0"/>
        <w:spacing w:line="288" w:lineRule="auto"/>
        <w:ind w:firstLine="1040"/>
        <w:rPr>
          <w:rFonts w:hint="default" w:ascii="仿宋_GB2312" w:eastAsia="仿宋_GB2312"/>
          <w:sz w:val="32"/>
          <w:szCs w:val="32"/>
          <w:u w:val="single"/>
          <w:lang w:val="en-US" w:eastAsia="zh-CN"/>
        </w:rPr>
      </w:pPr>
      <w:r>
        <w:rPr>
          <w:rFonts w:hint="eastAsia" w:ascii="仿宋_GB2312" w:eastAsia="仿宋_GB2312"/>
          <w:sz w:val="32"/>
          <w:szCs w:val="32"/>
        </w:rPr>
        <w:t>编制日期：</w:t>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r>
        <w:rPr>
          <w:rFonts w:ascii="仿宋_GB2312" w:eastAsia="仿宋_GB2312"/>
          <w:sz w:val="32"/>
          <w:szCs w:val="32"/>
          <w:u w:val="single"/>
        </w:rPr>
        <w:t>202</w:t>
      </w:r>
      <w:r>
        <w:rPr>
          <w:rFonts w:ascii="仿宋_GB2312" w:eastAsia="仿宋_GB2312"/>
          <w:sz w:val="32"/>
          <w:szCs w:val="32"/>
          <w:u w:val="single"/>
          <w:lang w:val="en-US"/>
        </w:rPr>
        <w:t>6</w:t>
      </w:r>
      <w:r>
        <w:rPr>
          <w:rFonts w:hint="eastAsia" w:ascii="仿宋_GB2312" w:eastAsia="仿宋_GB2312"/>
          <w:sz w:val="32"/>
          <w:szCs w:val="32"/>
          <w:u w:val="single"/>
        </w:rPr>
        <w:t>年</w:t>
      </w:r>
      <w:r>
        <w:rPr>
          <w:rFonts w:hint="eastAsia" w:ascii="仿宋_GB2312" w:eastAsia="仿宋_GB2312"/>
          <w:sz w:val="32"/>
          <w:szCs w:val="32"/>
          <w:u w:val="single"/>
          <w:lang w:val="en-US" w:eastAsia="zh-CN"/>
        </w:rPr>
        <w:t>8</w:t>
      </w:r>
      <w:r>
        <w:rPr>
          <w:rFonts w:hint="eastAsia" w:ascii="仿宋_GB2312" w:eastAsia="仿宋_GB2312"/>
          <w:sz w:val="32"/>
          <w:szCs w:val="32"/>
          <w:u w:val="single"/>
        </w:rPr>
        <w:t>月</w:t>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r>
        <w:rPr>
          <w:rFonts w:hint="eastAsia" w:ascii="仿宋_GB2312" w:eastAsia="仿宋_GB2312"/>
          <w:sz w:val="32"/>
          <w:szCs w:val="32"/>
          <w:u w:val="single"/>
          <w:lang w:val="en-US" w:eastAsia="zh-CN"/>
        </w:rPr>
        <w:tab/>
      </w:r>
    </w:p>
    <w:p w14:paraId="2CE8087A">
      <w:pPr>
        <w:adjustRightInd w:val="0"/>
        <w:snapToGrid w:val="0"/>
        <w:spacing w:line="288" w:lineRule="auto"/>
        <w:rPr>
          <w:rFonts w:ascii="仿宋_GB2312" w:eastAsia="仿宋_GB2312"/>
          <w:sz w:val="36"/>
          <w:szCs w:val="36"/>
        </w:rPr>
      </w:pPr>
    </w:p>
    <w:p w14:paraId="4D10FF3D">
      <w:pPr>
        <w:adjustRightInd w:val="0"/>
        <w:snapToGrid w:val="0"/>
        <w:spacing w:line="288" w:lineRule="auto"/>
        <w:ind w:firstLine="1040"/>
        <w:rPr>
          <w:rFonts w:ascii="仿宋_GB2312" w:eastAsia="仿宋_GB2312"/>
          <w:sz w:val="36"/>
          <w:szCs w:val="36"/>
        </w:rPr>
      </w:pPr>
    </w:p>
    <w:p w14:paraId="31D24273">
      <w:pPr>
        <w:adjustRightInd w:val="0"/>
        <w:snapToGrid w:val="0"/>
        <w:spacing w:line="288" w:lineRule="auto"/>
        <w:ind w:firstLine="1040"/>
        <w:rPr>
          <w:rFonts w:ascii="仿宋_GB2312" w:eastAsia="仿宋_GB2312"/>
          <w:sz w:val="36"/>
          <w:szCs w:val="36"/>
        </w:rPr>
      </w:pPr>
    </w:p>
    <w:p w14:paraId="195C5B20">
      <w:pPr>
        <w:adjustRightInd w:val="0"/>
        <w:snapToGrid w:val="0"/>
        <w:spacing w:line="288" w:lineRule="auto"/>
        <w:ind w:firstLine="1040"/>
        <w:rPr>
          <w:rFonts w:ascii="仿宋_GB2312" w:eastAsia="仿宋_GB2312"/>
          <w:sz w:val="36"/>
          <w:szCs w:val="36"/>
        </w:rPr>
      </w:pPr>
    </w:p>
    <w:p w14:paraId="2476231A">
      <w:pPr>
        <w:adjustRightInd w:val="0"/>
        <w:snapToGrid w:val="0"/>
        <w:spacing w:line="288" w:lineRule="auto"/>
        <w:ind w:firstLine="1040"/>
        <w:rPr>
          <w:rFonts w:ascii="仿宋_GB2312" w:eastAsia="仿宋_GB2312"/>
          <w:sz w:val="36"/>
          <w:szCs w:val="36"/>
        </w:rPr>
      </w:pPr>
    </w:p>
    <w:p w14:paraId="616CDA18">
      <w:pPr>
        <w:adjustRightInd w:val="0"/>
        <w:spacing w:line="288" w:lineRule="auto"/>
        <w:jc w:val="center"/>
      </w:pPr>
      <w:r>
        <w:rPr>
          <w:rFonts w:hint="eastAsia" w:ascii="楷体_GB2312" w:eastAsia="楷体_GB2312"/>
          <w:sz w:val="36"/>
          <w:szCs w:val="36"/>
        </w:rPr>
        <w:t>中华人民共和国生态环境部制</w:t>
      </w:r>
    </w:p>
    <w:p w14:paraId="2D0D03FF">
      <w:pPr>
        <w:widowControl/>
        <w:spacing w:line="343" w:lineRule="auto"/>
      </w:pPr>
    </w:p>
    <w:p w14:paraId="76DF87E2">
      <w:r>
        <w:br w:type="page"/>
      </w:r>
    </w:p>
    <w:p w14:paraId="20EA80B8">
      <w:pPr>
        <w:pStyle w:val="13"/>
        <w:keepNext w:val="0"/>
        <w:keepLines w:val="0"/>
        <w:widowControl/>
        <w:suppressLineNumbers w:val="0"/>
        <w:rPr>
          <w:rFonts w:hint="eastAsia" w:eastAsia="宋体"/>
          <w:lang w:eastAsia="zh-CN"/>
        </w:rPr>
      </w:pPr>
      <w:r>
        <w:rPr>
          <w:rFonts w:hint="eastAsia" w:eastAsia="宋体"/>
          <w:lang w:eastAsia="zh-CN"/>
        </w:rPr>
        <w:drawing>
          <wp:inline distT="0" distB="0" distL="114300" distR="114300">
            <wp:extent cx="5819775" cy="8234680"/>
            <wp:effectExtent l="0" t="0" r="9525" b="13970"/>
            <wp:docPr id="3" name="图片 3" descr="编制情况承诺书(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编制情况承诺书(1)_05"/>
                    <pic:cNvPicPr>
                      <a:picLocks noChangeAspect="1"/>
                    </pic:cNvPicPr>
                  </pic:nvPicPr>
                  <pic:blipFill>
                    <a:blip r:embed="rId9"/>
                    <a:stretch>
                      <a:fillRect/>
                    </a:stretch>
                  </pic:blipFill>
                  <pic:spPr>
                    <a:xfrm>
                      <a:off x="0" y="0"/>
                      <a:ext cx="5819775" cy="8234680"/>
                    </a:xfrm>
                    <a:prstGeom prst="rect">
                      <a:avLst/>
                    </a:prstGeom>
                  </pic:spPr>
                </pic:pic>
              </a:graphicData>
            </a:graphic>
          </wp:inline>
        </w:drawing>
      </w:r>
    </w:p>
    <w:p w14:paraId="2D97448E">
      <w:r>
        <w:br w:type="page"/>
      </w:r>
    </w:p>
    <w:p w14:paraId="045A9060">
      <w:pPr>
        <w:widowControl/>
        <w:spacing w:line="343" w:lineRule="auto"/>
        <w:sectPr>
          <w:footerReference r:id="rId6" w:type="first"/>
          <w:headerReference r:id="rId3" w:type="default"/>
          <w:footerReference r:id="rId4" w:type="default"/>
          <w:footerReference r:id="rId5" w:type="even"/>
          <w:pgSz w:w="11910" w:h="16840"/>
          <w:pgMar w:top="1580" w:right="1320" w:bottom="1240" w:left="1420" w:header="720" w:footer="1055" w:gutter="0"/>
          <w:pgNumType w:start="1"/>
          <w:cols w:space="720" w:num="1"/>
        </w:sectPr>
      </w:pPr>
    </w:p>
    <w:p w14:paraId="15A88CF8">
      <w:pPr>
        <w:pStyle w:val="2"/>
        <w:snapToGrid w:val="0"/>
        <w:spacing w:before="0" w:after="0" w:line="360" w:lineRule="auto"/>
        <w:jc w:val="center"/>
        <w:rPr>
          <w:rFonts w:hint="eastAsia" w:ascii="黑体" w:hAnsi="黑体" w:eastAsia="黑体" w:cs="黑体"/>
          <w:b w:val="0"/>
          <w:bCs/>
          <w:sz w:val="30"/>
          <w:szCs w:val="30"/>
        </w:rPr>
      </w:pPr>
      <w:r>
        <w:rPr>
          <w:rFonts w:hint="eastAsia" w:ascii="黑体" w:hAnsi="黑体" w:eastAsia="黑体" w:cs="黑体"/>
          <w:b w:val="0"/>
          <w:bCs/>
          <w:sz w:val="30"/>
          <w:szCs w:val="30"/>
        </w:rPr>
        <w:t>一、建设项目基本情况</w:t>
      </w:r>
    </w:p>
    <w:tbl>
      <w:tblPr>
        <w:tblStyle w:val="16"/>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250"/>
        <w:gridCol w:w="3283"/>
        <w:gridCol w:w="1512"/>
        <w:gridCol w:w="3127"/>
      </w:tblGrid>
      <w:tr w14:paraId="544A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706" w:type="dxa"/>
            <w:gridSpan w:val="2"/>
            <w:vAlign w:val="center"/>
          </w:tcPr>
          <w:p w14:paraId="430BD69A">
            <w:pPr>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建设项目名称</w:t>
            </w:r>
          </w:p>
        </w:tc>
        <w:tc>
          <w:tcPr>
            <w:tcW w:w="7922" w:type="dxa"/>
            <w:gridSpan w:val="3"/>
            <w:vAlign w:val="center"/>
          </w:tcPr>
          <w:p w14:paraId="0F290D86">
            <w:pPr>
              <w:snapToGrid w:val="0"/>
              <w:spacing w:line="400" w:lineRule="exact"/>
              <w:jc w:val="center"/>
              <w:rPr>
                <w:rFonts w:hint="eastAsia" w:ascii="Times New Roman" w:hAnsi="Times New Roman" w:eastAsia="宋体" w:cs="宋体"/>
                <w:lang w:eastAsia="zh-CN"/>
              </w:rPr>
            </w:pPr>
            <w:r>
              <w:rPr>
                <w:rFonts w:hint="default" w:cs="宋体"/>
                <w:lang w:val="en-US" w:eastAsia="zh-CN"/>
              </w:rPr>
              <w:t>新疆民丰县阿卡苏盖提坎锰矿普查</w:t>
            </w:r>
          </w:p>
        </w:tc>
      </w:tr>
      <w:tr w14:paraId="4FC0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706" w:type="dxa"/>
            <w:gridSpan w:val="2"/>
            <w:vAlign w:val="center"/>
          </w:tcPr>
          <w:p w14:paraId="37396640">
            <w:pPr>
              <w:snapToGrid w:val="0"/>
              <w:spacing w:line="400" w:lineRule="exact"/>
              <w:jc w:val="center"/>
              <w:rPr>
                <w:rFonts w:hint="eastAsia" w:ascii="Times New Roman" w:hAnsi="Times New Roman" w:eastAsia="宋体" w:cs="宋体"/>
                <w:highlight w:val="none"/>
              </w:rPr>
            </w:pPr>
            <w:r>
              <w:rPr>
                <w:rFonts w:hint="eastAsia" w:ascii="Times New Roman" w:hAnsi="Times New Roman" w:eastAsia="宋体" w:cs="宋体"/>
                <w:highlight w:val="none"/>
              </w:rPr>
              <w:t>项目代码</w:t>
            </w:r>
          </w:p>
        </w:tc>
        <w:tc>
          <w:tcPr>
            <w:tcW w:w="7922" w:type="dxa"/>
            <w:gridSpan w:val="3"/>
            <w:vAlign w:val="center"/>
          </w:tcPr>
          <w:p w14:paraId="08E5A9A8">
            <w:pPr>
              <w:snapToGrid w:val="0"/>
              <w:spacing w:line="400" w:lineRule="exact"/>
              <w:jc w:val="center"/>
              <w:rPr>
                <w:rFonts w:hint="eastAsia" w:ascii="Times New Roman" w:hAnsi="Times New Roman" w:eastAsia="宋体" w:cs="宋体"/>
                <w:highlight w:val="none"/>
              </w:rPr>
            </w:pPr>
            <w:r>
              <w:rPr>
                <w:rFonts w:hint="eastAsia" w:ascii="Times New Roman" w:hAnsi="Times New Roman" w:eastAsia="宋体" w:cs="宋体"/>
                <w:highlight w:val="none"/>
              </w:rPr>
              <w:t>无</w:t>
            </w:r>
          </w:p>
        </w:tc>
      </w:tr>
      <w:tr w14:paraId="638E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706" w:type="dxa"/>
            <w:gridSpan w:val="2"/>
            <w:vAlign w:val="center"/>
          </w:tcPr>
          <w:p w14:paraId="34C3A8EE">
            <w:pPr>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建设单位联系人</w:t>
            </w:r>
          </w:p>
        </w:tc>
        <w:tc>
          <w:tcPr>
            <w:tcW w:w="3283" w:type="dxa"/>
            <w:vAlign w:val="center"/>
          </w:tcPr>
          <w:p w14:paraId="4A387715">
            <w:pPr>
              <w:snapToGrid w:val="0"/>
              <w:spacing w:line="400" w:lineRule="exact"/>
              <w:jc w:val="center"/>
              <w:rPr>
                <w:rFonts w:hint="eastAsia" w:ascii="Times New Roman" w:hAnsi="Times New Roman" w:eastAsia="宋体" w:cs="宋体"/>
                <w:highlight w:val="none"/>
              </w:rPr>
            </w:pPr>
            <w:r>
              <w:rPr>
                <w:rFonts w:hint="eastAsia" w:ascii="Times New Roman" w:hAnsi="Times New Roman" w:eastAsia="宋体" w:cs="宋体"/>
                <w:highlight w:val="none"/>
                <w:lang w:eastAsia="zh-CN"/>
              </w:rPr>
              <w:t>张汇格</w:t>
            </w:r>
          </w:p>
        </w:tc>
        <w:tc>
          <w:tcPr>
            <w:tcW w:w="1512" w:type="dxa"/>
            <w:vAlign w:val="center"/>
          </w:tcPr>
          <w:p w14:paraId="33ED9FE6">
            <w:pPr>
              <w:snapToGrid w:val="0"/>
              <w:spacing w:line="400" w:lineRule="exact"/>
              <w:jc w:val="center"/>
              <w:rPr>
                <w:rFonts w:hint="eastAsia" w:ascii="Times New Roman" w:hAnsi="Times New Roman" w:eastAsia="宋体" w:cs="宋体"/>
                <w:highlight w:val="none"/>
              </w:rPr>
            </w:pPr>
            <w:r>
              <w:rPr>
                <w:rFonts w:hint="eastAsia" w:ascii="Times New Roman" w:hAnsi="Times New Roman" w:eastAsia="宋体" w:cs="宋体"/>
                <w:highlight w:val="none"/>
              </w:rPr>
              <w:t>联系方式</w:t>
            </w:r>
          </w:p>
        </w:tc>
        <w:tc>
          <w:tcPr>
            <w:tcW w:w="3127" w:type="dxa"/>
            <w:vAlign w:val="center"/>
          </w:tcPr>
          <w:p w14:paraId="7D5698F7">
            <w:pPr>
              <w:snapToGrid w:val="0"/>
              <w:spacing w:line="400" w:lineRule="exact"/>
              <w:jc w:val="center"/>
              <w:rPr>
                <w:rFonts w:hint="default" w:ascii="Times New Roman" w:hAnsi="Times New Roman" w:eastAsia="宋体" w:cs="宋体"/>
                <w:highlight w:val="none"/>
                <w:lang w:val="en-US" w:eastAsia="zh-CN"/>
              </w:rPr>
            </w:pPr>
            <w:r>
              <w:rPr>
                <w:rFonts w:hint="eastAsia" w:cs="宋体"/>
                <w:highlight w:val="none"/>
                <w:lang w:val="en-US" w:eastAsia="zh-CN"/>
              </w:rPr>
              <w:t>18864671265</w:t>
            </w:r>
          </w:p>
        </w:tc>
      </w:tr>
      <w:tr w14:paraId="373E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706" w:type="dxa"/>
            <w:gridSpan w:val="2"/>
            <w:vAlign w:val="center"/>
          </w:tcPr>
          <w:p w14:paraId="4C8FAD9D">
            <w:pPr>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建设地点</w:t>
            </w:r>
          </w:p>
        </w:tc>
        <w:tc>
          <w:tcPr>
            <w:tcW w:w="7922" w:type="dxa"/>
            <w:gridSpan w:val="3"/>
            <w:vAlign w:val="center"/>
          </w:tcPr>
          <w:p w14:paraId="29E49D46">
            <w:pPr>
              <w:snapToGrid w:val="0"/>
              <w:spacing w:line="400" w:lineRule="exact"/>
              <w:jc w:val="center"/>
              <w:rPr>
                <w:rFonts w:hint="eastAsia" w:ascii="Times New Roman" w:hAnsi="Times New Roman" w:eastAsia="宋体" w:cs="宋体"/>
              </w:rPr>
            </w:pPr>
            <w:r>
              <w:rPr>
                <w:rFonts w:hint="eastAsia" w:ascii="Times New Roman" w:hAnsi="Times New Roman" w:eastAsia="宋体" w:cs="Times New Roman"/>
                <w:kern w:val="0"/>
                <w:sz w:val="24"/>
                <w:szCs w:val="24"/>
                <w:lang w:val="en-US" w:eastAsia="zh-CN" w:bidi="ar-SA"/>
              </w:rPr>
              <w:t>新疆维吾尔自治区和田地区民丰县东南</w:t>
            </w:r>
            <w:r>
              <w:rPr>
                <w:rFonts w:hint="eastAsia" w:cs="Times New Roman"/>
                <w:kern w:val="0"/>
                <w:sz w:val="24"/>
                <w:szCs w:val="24"/>
                <w:lang w:val="en-US" w:eastAsia="zh-CN" w:bidi="ar-SA"/>
              </w:rPr>
              <w:t>108</w:t>
            </w:r>
            <w:r>
              <w:rPr>
                <w:rFonts w:hint="default" w:ascii="Times New Roman" w:hAnsi="Times New Roman" w:cs="Times New Roman"/>
                <w:kern w:val="0"/>
                <w:sz w:val="24"/>
                <w:szCs w:val="24"/>
                <w:lang w:val="en-US" w:eastAsia="zh-CN" w:bidi="ar-SA"/>
              </w:rPr>
              <w:t>°</w:t>
            </w:r>
            <w:r>
              <w:rPr>
                <w:rFonts w:hint="eastAsia" w:ascii="Times New Roman" w:hAnsi="Times New Roman" w:eastAsia="宋体" w:cs="Times New Roman"/>
                <w:kern w:val="0"/>
                <w:sz w:val="24"/>
                <w:szCs w:val="24"/>
                <w:lang w:val="en-US" w:eastAsia="zh-CN" w:bidi="ar-SA"/>
              </w:rPr>
              <w:t>约1</w:t>
            </w:r>
            <w:r>
              <w:rPr>
                <w:rFonts w:hint="eastAsia" w:cs="Times New Roman"/>
                <w:kern w:val="0"/>
                <w:sz w:val="24"/>
                <w:szCs w:val="24"/>
                <w:lang w:val="en-US" w:eastAsia="zh-CN" w:bidi="ar-SA"/>
              </w:rPr>
              <w:t>3</w:t>
            </w:r>
            <w:r>
              <w:rPr>
                <w:rFonts w:hint="eastAsia" w:ascii="Times New Roman" w:hAnsi="Times New Roman" w:eastAsia="宋体" w:cs="Times New Roman"/>
                <w:kern w:val="0"/>
                <w:sz w:val="24"/>
                <w:szCs w:val="24"/>
                <w:lang w:val="en-US" w:eastAsia="zh-CN" w:bidi="ar-SA"/>
              </w:rPr>
              <w:t>0km处</w:t>
            </w:r>
          </w:p>
        </w:tc>
      </w:tr>
      <w:tr w14:paraId="058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706" w:type="dxa"/>
            <w:gridSpan w:val="2"/>
            <w:vAlign w:val="center"/>
          </w:tcPr>
          <w:p w14:paraId="26D9BD74">
            <w:pPr>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地理坐标</w:t>
            </w:r>
          </w:p>
        </w:tc>
        <w:tc>
          <w:tcPr>
            <w:tcW w:w="7922" w:type="dxa"/>
            <w:gridSpan w:val="3"/>
            <w:vAlign w:val="center"/>
          </w:tcPr>
          <w:p w14:paraId="74FA1A40">
            <w:pPr>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东经</w:t>
            </w:r>
            <w:r>
              <w:rPr>
                <w:rFonts w:hint="default" w:ascii="Times New Roman" w:hAnsi="Times New Roman" w:eastAsia="宋体" w:cs="宋体"/>
                <w:lang w:val="en-US"/>
              </w:rPr>
              <w:t>84</w:t>
            </w:r>
            <w:r>
              <w:rPr>
                <w:rFonts w:hint="default" w:ascii="Times New Roman" w:hAnsi="Times New Roman" w:eastAsia="宋体" w:cs="Times New Roman"/>
                <w:spacing w:val="6"/>
                <w:kern w:val="0"/>
                <w:sz w:val="24"/>
                <w:szCs w:val="24"/>
                <w:lang w:val="en-US" w:eastAsia="zh-CN" w:bidi="ar-SA"/>
              </w:rPr>
              <w:t>°</w:t>
            </w:r>
            <w:r>
              <w:rPr>
                <w:rFonts w:hint="eastAsia" w:cs="Times New Roman"/>
                <w:spacing w:val="6"/>
                <w:kern w:val="0"/>
                <w:sz w:val="24"/>
                <w:szCs w:val="24"/>
                <w:lang w:val="en-US" w:eastAsia="zh-CN" w:bidi="ar-SA"/>
              </w:rPr>
              <w:t>0</w:t>
            </w:r>
            <w:r>
              <w:rPr>
                <w:rFonts w:hint="default" w:cs="Times New Roman"/>
                <w:spacing w:val="6"/>
                <w:kern w:val="0"/>
                <w:sz w:val="24"/>
                <w:szCs w:val="24"/>
                <w:lang w:val="en-US" w:eastAsia="zh-CN" w:bidi="ar-SA"/>
              </w:rPr>
              <w:t>4</w:t>
            </w:r>
            <w:r>
              <w:rPr>
                <w:rFonts w:hint="default" w:ascii="Times New Roman" w:hAnsi="Times New Roman" w:eastAsia="宋体" w:cs="Times New Roman"/>
                <w:spacing w:val="6"/>
                <w:kern w:val="0"/>
                <w:sz w:val="24"/>
                <w:szCs w:val="24"/>
                <w:lang w:val="en-US" w:eastAsia="zh-CN" w:bidi="ar-SA"/>
              </w:rPr>
              <w:t>′</w:t>
            </w:r>
            <w:r>
              <w:rPr>
                <w:rFonts w:hint="eastAsia" w:cs="Times New Roman"/>
                <w:spacing w:val="6"/>
                <w:kern w:val="0"/>
                <w:sz w:val="24"/>
                <w:szCs w:val="24"/>
                <w:lang w:val="en-US" w:eastAsia="zh-CN" w:bidi="ar-SA"/>
              </w:rPr>
              <w:t>30.000</w:t>
            </w:r>
            <w:r>
              <w:rPr>
                <w:rFonts w:hint="default" w:ascii="Times New Roman" w:hAnsi="Times New Roman" w:eastAsia="宋体" w:cs="Times New Roman"/>
                <w:spacing w:val="6"/>
                <w:kern w:val="0"/>
                <w:sz w:val="24"/>
                <w:szCs w:val="24"/>
                <w:lang w:val="en-US" w:eastAsia="zh-CN" w:bidi="ar-SA"/>
              </w:rPr>
              <w:t>″-84°11′50</w:t>
            </w:r>
            <w:r>
              <w:rPr>
                <w:rFonts w:hint="eastAsia" w:cs="Times New Roman"/>
                <w:spacing w:val="6"/>
                <w:kern w:val="0"/>
                <w:sz w:val="24"/>
                <w:szCs w:val="24"/>
                <w:lang w:val="en-US" w:eastAsia="zh-CN" w:bidi="ar-SA"/>
              </w:rPr>
              <w:t>.000</w:t>
            </w:r>
            <w:r>
              <w:rPr>
                <w:rFonts w:hint="default" w:ascii="Times New Roman" w:hAnsi="Times New Roman" w:eastAsia="宋体" w:cs="Times New Roman"/>
                <w:spacing w:val="6"/>
                <w:kern w:val="0"/>
                <w:sz w:val="24"/>
                <w:szCs w:val="24"/>
                <w:lang w:val="en-US" w:eastAsia="zh-CN" w:bidi="ar-SA"/>
              </w:rPr>
              <w:t>″</w:t>
            </w:r>
            <w:r>
              <w:rPr>
                <w:rFonts w:hint="eastAsia" w:cs="宋体"/>
                <w:spacing w:val="6"/>
                <w:kern w:val="0"/>
                <w:sz w:val="24"/>
                <w:szCs w:val="24"/>
                <w:lang w:val="en-US" w:eastAsia="zh-CN" w:bidi="ar-SA"/>
              </w:rPr>
              <w:t>；</w:t>
            </w:r>
            <w:r>
              <w:rPr>
                <w:rFonts w:hint="eastAsia" w:ascii="Times New Roman" w:hAnsi="Times New Roman" w:eastAsia="宋体" w:cs="宋体"/>
                <w:spacing w:val="6"/>
                <w:kern w:val="0"/>
                <w:sz w:val="24"/>
                <w:szCs w:val="24"/>
                <w:lang w:val="en-US" w:eastAsia="zh-CN" w:bidi="ar-SA"/>
              </w:rPr>
              <w:t>北纬</w:t>
            </w:r>
            <w:r>
              <w:rPr>
                <w:rFonts w:hint="default" w:ascii="Times New Roman" w:hAnsi="Times New Roman" w:eastAsia="宋体" w:cs="Times New Roman"/>
                <w:spacing w:val="6"/>
                <w:kern w:val="0"/>
                <w:sz w:val="24"/>
                <w:szCs w:val="24"/>
                <w:lang w:val="en-US" w:eastAsia="zh-CN" w:bidi="ar-SA"/>
              </w:rPr>
              <w:t>3</w:t>
            </w:r>
            <w:r>
              <w:rPr>
                <w:rFonts w:hint="eastAsia" w:cs="Times New Roman"/>
                <w:spacing w:val="6"/>
                <w:kern w:val="0"/>
                <w:sz w:val="24"/>
                <w:szCs w:val="24"/>
                <w:lang w:val="en-US" w:eastAsia="zh-CN" w:bidi="ar-SA"/>
              </w:rPr>
              <w:t>6</w:t>
            </w:r>
            <w:r>
              <w:rPr>
                <w:rFonts w:hint="default" w:ascii="Times New Roman" w:hAnsi="Times New Roman" w:eastAsia="宋体" w:cs="Times New Roman"/>
                <w:spacing w:val="6"/>
                <w:kern w:val="0"/>
                <w:sz w:val="24"/>
                <w:szCs w:val="24"/>
                <w:lang w:val="en-US" w:eastAsia="zh-CN" w:bidi="ar-SA"/>
              </w:rPr>
              <w:t>°39′20.</w:t>
            </w:r>
            <w:r>
              <w:rPr>
                <w:rFonts w:hint="eastAsia" w:cs="Times New Roman"/>
                <w:spacing w:val="6"/>
                <w:kern w:val="0"/>
                <w:sz w:val="24"/>
                <w:szCs w:val="24"/>
                <w:lang w:val="en-US" w:eastAsia="zh-CN" w:bidi="ar-SA"/>
              </w:rPr>
              <w:t>000</w:t>
            </w:r>
            <w:r>
              <w:rPr>
                <w:rFonts w:hint="default" w:ascii="Times New Roman" w:hAnsi="Times New Roman" w:eastAsia="宋体" w:cs="Times New Roman"/>
                <w:spacing w:val="6"/>
                <w:kern w:val="0"/>
                <w:sz w:val="24"/>
                <w:szCs w:val="24"/>
                <w:lang w:val="en-US" w:eastAsia="zh-CN" w:bidi="ar-SA"/>
              </w:rPr>
              <w:t>″-</w:t>
            </w:r>
            <w:r>
              <w:rPr>
                <w:rFonts w:hint="eastAsia" w:cs="Times New Roman"/>
                <w:spacing w:val="6"/>
                <w:kern w:val="0"/>
                <w:sz w:val="24"/>
                <w:szCs w:val="24"/>
                <w:lang w:val="en-US" w:eastAsia="zh-CN" w:bidi="ar-SA"/>
              </w:rPr>
              <w:t>36</w:t>
            </w:r>
            <w:r>
              <w:rPr>
                <w:rFonts w:hint="default" w:ascii="Times New Roman" w:hAnsi="Times New Roman" w:eastAsia="宋体" w:cs="Times New Roman"/>
                <w:spacing w:val="6"/>
                <w:kern w:val="0"/>
                <w:sz w:val="24"/>
                <w:szCs w:val="24"/>
                <w:lang w:val="en-US" w:eastAsia="zh-CN" w:bidi="ar-SA"/>
              </w:rPr>
              <w:t>°41′50</w:t>
            </w:r>
            <w:r>
              <w:rPr>
                <w:rFonts w:hint="eastAsia" w:cs="Times New Roman"/>
                <w:spacing w:val="6"/>
                <w:kern w:val="0"/>
                <w:sz w:val="24"/>
                <w:szCs w:val="24"/>
                <w:lang w:val="en-US" w:eastAsia="zh-CN" w:bidi="ar-SA"/>
              </w:rPr>
              <w:t>.000</w:t>
            </w:r>
            <w:r>
              <w:rPr>
                <w:rFonts w:hint="default" w:ascii="Times New Roman" w:hAnsi="Times New Roman" w:eastAsia="宋体" w:cs="Times New Roman"/>
                <w:spacing w:val="6"/>
                <w:kern w:val="0"/>
                <w:sz w:val="24"/>
                <w:szCs w:val="24"/>
                <w:lang w:val="en-US" w:eastAsia="zh-CN" w:bidi="ar-SA"/>
              </w:rPr>
              <w:t>″</w:t>
            </w:r>
          </w:p>
        </w:tc>
      </w:tr>
      <w:tr w14:paraId="679E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1706" w:type="dxa"/>
            <w:gridSpan w:val="2"/>
            <w:vAlign w:val="center"/>
          </w:tcPr>
          <w:p w14:paraId="42014A57">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建设项目</w:t>
            </w:r>
          </w:p>
          <w:p w14:paraId="2FE5C322">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行业类别</w:t>
            </w:r>
          </w:p>
        </w:tc>
        <w:tc>
          <w:tcPr>
            <w:tcW w:w="3283" w:type="dxa"/>
            <w:vAlign w:val="center"/>
          </w:tcPr>
          <w:p w14:paraId="6B1047EB">
            <w:pPr>
              <w:adjustRightInd w:val="0"/>
              <w:snapToGrid w:val="0"/>
              <w:spacing w:line="400" w:lineRule="exact"/>
              <w:jc w:val="both"/>
              <w:rPr>
                <w:rFonts w:hint="eastAsia" w:ascii="Times New Roman" w:hAnsi="Times New Roman" w:eastAsia="宋体" w:cs="宋体"/>
              </w:rPr>
            </w:pPr>
            <w:r>
              <w:rPr>
                <w:rFonts w:hint="eastAsia" w:ascii="Times New Roman" w:hAnsi="Times New Roman" w:eastAsia="宋体" w:cs="宋体"/>
              </w:rPr>
              <w:t>四十六、专业技术服务业99陆地矿产资源地质勘查（含油气资源勘探）</w:t>
            </w:r>
          </w:p>
        </w:tc>
        <w:tc>
          <w:tcPr>
            <w:tcW w:w="1512" w:type="dxa"/>
            <w:vAlign w:val="center"/>
          </w:tcPr>
          <w:p w14:paraId="3BFF6747">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用地面积（m</w:t>
            </w:r>
            <w:r>
              <w:rPr>
                <w:rFonts w:hint="eastAsia" w:ascii="Times New Roman" w:hAnsi="Times New Roman" w:eastAsia="宋体" w:cs="宋体"/>
                <w:vertAlign w:val="superscript"/>
              </w:rPr>
              <w:t>2</w:t>
            </w:r>
            <w:r>
              <w:rPr>
                <w:rFonts w:hint="eastAsia" w:ascii="Times New Roman" w:hAnsi="Times New Roman" w:eastAsia="宋体" w:cs="宋体"/>
              </w:rPr>
              <w:t>）/长度（km）</w:t>
            </w:r>
          </w:p>
        </w:tc>
        <w:tc>
          <w:tcPr>
            <w:tcW w:w="3127" w:type="dxa"/>
            <w:vAlign w:val="center"/>
          </w:tcPr>
          <w:p w14:paraId="252D41C2">
            <w:pPr>
              <w:adjustRightInd w:val="0"/>
              <w:snapToGrid w:val="0"/>
              <w:spacing w:line="400" w:lineRule="exact"/>
              <w:jc w:val="center"/>
              <w:rPr>
                <w:rFonts w:hint="default" w:ascii="Times New Roman" w:hAnsi="Times New Roman" w:eastAsia="宋体" w:cs="Times New Roman"/>
              </w:rPr>
            </w:pPr>
            <w:r>
              <w:rPr>
                <w:rFonts w:hint="default" w:ascii="Times New Roman" w:hAnsi="Times New Roman" w:cs="Times New Roman"/>
                <w:lang w:val="en-US"/>
              </w:rPr>
              <w:t>50.50</w:t>
            </w:r>
            <w:r>
              <w:rPr>
                <w:rFonts w:hint="default" w:ascii="Times New Roman" w:hAnsi="Times New Roman" w:cs="Times New Roman"/>
              </w:rPr>
              <w:t>km</w:t>
            </w:r>
            <w:r>
              <w:rPr>
                <w:rFonts w:hint="default" w:ascii="Times New Roman" w:hAnsi="Times New Roman" w:cs="Times New Roman"/>
                <w:vertAlign w:val="superscript"/>
              </w:rPr>
              <w:t>2</w:t>
            </w:r>
            <w:r>
              <w:rPr>
                <w:rFonts w:hint="default" w:ascii="Times New Roman" w:hAnsi="Times New Roman" w:eastAsia="宋体" w:cs="Times New Roman"/>
              </w:rPr>
              <w:t>（</w:t>
            </w:r>
            <w:r>
              <w:rPr>
                <w:rFonts w:hint="default" w:ascii="Times New Roman" w:hAnsi="Times New Roman" w:cs="Times New Roman"/>
                <w:lang w:val="en-US" w:eastAsia="zh-CN"/>
              </w:rPr>
              <w:t>其中44.97</w:t>
            </w:r>
            <w:r>
              <w:rPr>
                <w:rFonts w:hint="default" w:ascii="Times New Roman" w:hAnsi="Times New Roman" w:cs="Times New Roman"/>
                <w:highlight w:val="none"/>
              </w:rPr>
              <w:t>km</w:t>
            </w:r>
            <w:r>
              <w:rPr>
                <w:rFonts w:hint="default" w:ascii="Times New Roman" w:hAnsi="Times New Roman" w:cs="Times New Roman"/>
                <w:highlight w:val="none"/>
                <w:vertAlign w:val="superscript"/>
              </w:rPr>
              <w:t>2</w:t>
            </w:r>
            <w:r>
              <w:rPr>
                <w:rFonts w:hint="default" w:ascii="Times New Roman" w:hAnsi="Times New Roman" w:cs="Times New Roman"/>
                <w:highlight w:val="none"/>
                <w:vertAlign w:val="baseline"/>
                <w:lang w:val="en-US" w:eastAsia="zh-CN"/>
              </w:rPr>
              <w:t>位于民丰县，</w:t>
            </w:r>
            <w:r>
              <w:rPr>
                <w:rFonts w:hint="default" w:ascii="Times New Roman" w:hAnsi="Times New Roman" w:cs="Times New Roman"/>
                <w:highlight w:val="none"/>
                <w:lang w:val="en-US" w:eastAsia="zh-CN"/>
              </w:rPr>
              <w:t>5.53</w:t>
            </w:r>
            <w:r>
              <w:rPr>
                <w:rFonts w:hint="default" w:ascii="Times New Roman" w:hAnsi="Times New Roman" w:cs="Times New Roman"/>
                <w:highlight w:val="none"/>
              </w:rPr>
              <w:t>km</w:t>
            </w:r>
            <w:r>
              <w:rPr>
                <w:rFonts w:hint="default" w:ascii="Times New Roman" w:hAnsi="Times New Roman" w:cs="Times New Roman"/>
                <w:highlight w:val="none"/>
                <w:vertAlign w:val="superscript"/>
              </w:rPr>
              <w:t>2</w:t>
            </w:r>
            <w:r>
              <w:rPr>
                <w:rFonts w:hint="default" w:ascii="Times New Roman" w:hAnsi="Times New Roman" w:cs="Times New Roman"/>
                <w:highlight w:val="none"/>
                <w:vertAlign w:val="baseline"/>
                <w:lang w:val="en-US" w:eastAsia="zh-CN"/>
              </w:rPr>
              <w:t>位于且末县</w:t>
            </w:r>
            <w:r>
              <w:rPr>
                <w:rFonts w:hint="eastAsia" w:ascii="Times New Roman" w:hAnsi="Times New Roman" w:cs="Times New Roman"/>
                <w:highlight w:val="none"/>
                <w:vertAlign w:val="baseline"/>
                <w:lang w:val="en-US" w:eastAsia="zh-CN"/>
              </w:rPr>
              <w:t>，</w:t>
            </w:r>
            <w:r>
              <w:rPr>
                <w:rFonts w:hint="default" w:ascii="Times New Roman" w:hAnsi="Times New Roman" w:cs="Times New Roman"/>
                <w:highlight w:val="none"/>
                <w:lang w:val="en-US" w:eastAsia="zh-CN"/>
              </w:rPr>
              <w:t>实际占地约0.09247</w:t>
            </w:r>
            <w:r>
              <w:rPr>
                <w:rFonts w:hint="default" w:ascii="Times New Roman" w:hAnsi="Times New Roman" w:cs="Times New Roman"/>
                <w:highlight w:val="none"/>
              </w:rPr>
              <w:t>km</w:t>
            </w:r>
            <w:r>
              <w:rPr>
                <w:rFonts w:hint="default" w:ascii="Times New Roman" w:hAnsi="Times New Roman" w:cs="Times New Roman"/>
                <w:highlight w:val="none"/>
                <w:vertAlign w:val="superscript"/>
              </w:rPr>
              <w:t>2</w:t>
            </w:r>
            <w:r>
              <w:rPr>
                <w:rFonts w:hint="default" w:ascii="Times New Roman" w:hAnsi="Times New Roman" w:cs="Times New Roman"/>
                <w:highlight w:val="none"/>
                <w:vertAlign w:val="baseline"/>
                <w:lang w:eastAsia="zh-CN"/>
              </w:rPr>
              <w:t>，</w:t>
            </w:r>
            <w:r>
              <w:rPr>
                <w:rFonts w:hint="default" w:ascii="Times New Roman" w:hAnsi="Times New Roman" w:cs="Times New Roman"/>
                <w:highlight w:val="none"/>
                <w:vertAlign w:val="baseline"/>
                <w:lang w:val="en-US" w:eastAsia="zh-CN"/>
              </w:rPr>
              <w:t>均</w:t>
            </w:r>
            <w:r>
              <w:rPr>
                <w:rFonts w:hint="eastAsia" w:ascii="Times New Roman" w:hAnsi="Times New Roman" w:cs="Times New Roman"/>
                <w:highlight w:val="none"/>
                <w:vertAlign w:val="baseline"/>
                <w:lang w:val="en-US" w:eastAsia="zh-CN"/>
              </w:rPr>
              <w:t>位于民丰县，</w:t>
            </w:r>
            <w:r>
              <w:rPr>
                <w:rFonts w:hint="default" w:ascii="Times New Roman" w:hAnsi="Times New Roman" w:cs="Times New Roman"/>
                <w:highlight w:val="none"/>
                <w:vertAlign w:val="baseline"/>
                <w:lang w:val="en-US" w:eastAsia="zh-CN"/>
              </w:rPr>
              <w:t>为</w:t>
            </w:r>
            <w:r>
              <w:rPr>
                <w:rFonts w:hint="default" w:ascii="Times New Roman" w:hAnsi="Times New Roman" w:eastAsia="宋体" w:cs="Times New Roman"/>
                <w:highlight w:val="none"/>
              </w:rPr>
              <w:t>临时用地</w:t>
            </w:r>
            <w:r>
              <w:rPr>
                <w:rFonts w:hint="default" w:ascii="Times New Roman" w:hAnsi="Times New Roman" w:eastAsia="宋体" w:cs="Times New Roman"/>
              </w:rPr>
              <w:t>）</w:t>
            </w:r>
          </w:p>
        </w:tc>
      </w:tr>
      <w:tr w14:paraId="3AC4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706" w:type="dxa"/>
            <w:gridSpan w:val="2"/>
            <w:vAlign w:val="center"/>
          </w:tcPr>
          <w:p w14:paraId="4B4D275A">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建设性质</w:t>
            </w:r>
          </w:p>
        </w:tc>
        <w:tc>
          <w:tcPr>
            <w:tcW w:w="3283" w:type="dxa"/>
            <w:vAlign w:val="center"/>
          </w:tcPr>
          <w:p w14:paraId="02B1A49A">
            <w:pPr>
              <w:adjustRightInd w:val="0"/>
              <w:snapToGrid w:val="0"/>
              <w:spacing w:line="400" w:lineRule="exact"/>
              <w:jc w:val="left"/>
              <w:rPr>
                <w:rFonts w:hint="eastAsia" w:ascii="Times New Roman" w:hAnsi="Times New Roman" w:eastAsia="宋体" w:cs="宋体"/>
              </w:rPr>
            </w:pPr>
            <w:r>
              <w:rPr>
                <w:rFonts w:hint="eastAsia" w:cs="宋体"/>
                <w:lang w:eastAsia="zh-CN"/>
              </w:rPr>
              <w:t>☑</w:t>
            </w:r>
            <w:r>
              <w:rPr>
                <w:rFonts w:hint="eastAsia" w:ascii="Times New Roman" w:hAnsi="Times New Roman" w:eastAsia="宋体" w:cs="宋体"/>
              </w:rPr>
              <w:t>新建（</w:t>
            </w:r>
            <w:r>
              <w:rPr>
                <w:rFonts w:hint="eastAsia"/>
              </w:rPr>
              <w:t>普查阶段</w:t>
            </w:r>
            <w:r>
              <w:rPr>
                <w:rFonts w:hint="eastAsia" w:ascii="Times New Roman" w:hAnsi="Times New Roman" w:eastAsia="宋体" w:cs="宋体"/>
              </w:rPr>
              <w:t>）</w:t>
            </w:r>
          </w:p>
          <w:p w14:paraId="041F155E">
            <w:pPr>
              <w:adjustRightInd w:val="0"/>
              <w:snapToGrid w:val="0"/>
              <w:spacing w:line="400" w:lineRule="exact"/>
              <w:jc w:val="left"/>
              <w:rPr>
                <w:rFonts w:hint="eastAsia" w:ascii="Times New Roman" w:hAnsi="Times New Roman" w:eastAsia="宋体" w:cs="宋体"/>
              </w:rPr>
            </w:pPr>
            <w:r>
              <w:rPr>
                <w:rFonts w:hint="eastAsia" w:ascii="Times New Roman" w:hAnsi="Times New Roman" w:eastAsia="宋体" w:cs="宋体"/>
              </w:rPr>
              <w:t>□改建</w:t>
            </w:r>
          </w:p>
          <w:p w14:paraId="497CAC19">
            <w:pPr>
              <w:adjustRightInd w:val="0"/>
              <w:snapToGrid w:val="0"/>
              <w:spacing w:line="400" w:lineRule="exact"/>
              <w:jc w:val="left"/>
              <w:rPr>
                <w:rFonts w:hint="eastAsia" w:ascii="Times New Roman" w:hAnsi="Times New Roman" w:eastAsia="宋体" w:cs="宋体"/>
              </w:rPr>
            </w:pPr>
            <w:r>
              <w:rPr>
                <w:rFonts w:hint="eastAsia" w:ascii="Times New Roman" w:hAnsi="Times New Roman" w:eastAsia="宋体" w:cs="宋体"/>
              </w:rPr>
              <w:t>□扩建</w:t>
            </w:r>
          </w:p>
          <w:p w14:paraId="56FEE678">
            <w:pPr>
              <w:adjustRightInd w:val="0"/>
              <w:snapToGrid w:val="0"/>
              <w:spacing w:line="400" w:lineRule="exact"/>
              <w:jc w:val="left"/>
              <w:rPr>
                <w:rFonts w:hint="eastAsia" w:ascii="Times New Roman" w:hAnsi="Times New Roman" w:eastAsia="宋体" w:cs="宋体"/>
              </w:rPr>
            </w:pPr>
            <w:r>
              <w:rPr>
                <w:rFonts w:hint="eastAsia" w:ascii="Times New Roman" w:hAnsi="Times New Roman" w:eastAsia="宋体" w:cs="宋体"/>
              </w:rPr>
              <w:t>□技术改造</w:t>
            </w:r>
          </w:p>
        </w:tc>
        <w:tc>
          <w:tcPr>
            <w:tcW w:w="1512" w:type="dxa"/>
            <w:vAlign w:val="center"/>
          </w:tcPr>
          <w:p w14:paraId="00EF8040">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建设项目</w:t>
            </w:r>
          </w:p>
          <w:p w14:paraId="4AC0BF5B">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申报情形</w:t>
            </w:r>
          </w:p>
        </w:tc>
        <w:tc>
          <w:tcPr>
            <w:tcW w:w="3127" w:type="dxa"/>
            <w:vAlign w:val="center"/>
          </w:tcPr>
          <w:p w14:paraId="56224FDE">
            <w:pPr>
              <w:adjustRightInd w:val="0"/>
              <w:snapToGrid w:val="0"/>
              <w:spacing w:line="400" w:lineRule="exact"/>
              <w:jc w:val="left"/>
              <w:rPr>
                <w:rFonts w:hint="eastAsia" w:ascii="Times New Roman" w:hAnsi="Times New Roman" w:eastAsia="宋体" w:cs="宋体"/>
              </w:rPr>
            </w:pPr>
            <w:r>
              <w:rPr>
                <w:rFonts w:hint="eastAsia" w:cs="宋体"/>
                <w:lang w:eastAsia="zh-CN"/>
              </w:rPr>
              <w:t>☑</w:t>
            </w:r>
            <w:r>
              <w:rPr>
                <w:rFonts w:hint="eastAsia" w:ascii="Times New Roman" w:hAnsi="Times New Roman" w:eastAsia="宋体" w:cs="宋体"/>
              </w:rPr>
              <w:t>首次申报项目</w:t>
            </w:r>
          </w:p>
          <w:p w14:paraId="1749DA6D">
            <w:pPr>
              <w:adjustRightInd w:val="0"/>
              <w:snapToGrid w:val="0"/>
              <w:spacing w:line="400" w:lineRule="exact"/>
              <w:jc w:val="left"/>
              <w:rPr>
                <w:rFonts w:hint="eastAsia" w:ascii="Times New Roman" w:hAnsi="Times New Roman" w:eastAsia="宋体" w:cs="宋体"/>
                <w:spacing w:val="-23"/>
              </w:rPr>
            </w:pPr>
            <w:r>
              <w:rPr>
                <w:rFonts w:hint="eastAsia" w:ascii="Times New Roman" w:hAnsi="Times New Roman" w:eastAsia="宋体" w:cs="宋体"/>
                <w:spacing w:val="-23"/>
              </w:rPr>
              <w:t>□不予批准后再次申报项目</w:t>
            </w:r>
          </w:p>
          <w:p w14:paraId="6D6AF0F7">
            <w:pPr>
              <w:adjustRightInd w:val="0"/>
              <w:snapToGrid w:val="0"/>
              <w:spacing w:line="400" w:lineRule="exact"/>
              <w:jc w:val="left"/>
              <w:rPr>
                <w:rFonts w:hint="eastAsia" w:ascii="Times New Roman" w:hAnsi="Times New Roman" w:eastAsia="宋体" w:cs="宋体"/>
                <w:spacing w:val="-6"/>
              </w:rPr>
            </w:pPr>
            <w:r>
              <w:rPr>
                <w:rFonts w:hint="eastAsia" w:ascii="Times New Roman" w:hAnsi="Times New Roman" w:eastAsia="宋体" w:cs="宋体"/>
                <w:spacing w:val="-6"/>
              </w:rPr>
              <w:t>□超五年重新审核项目</w:t>
            </w:r>
          </w:p>
          <w:p w14:paraId="078E1A4D">
            <w:pPr>
              <w:adjustRightInd w:val="0"/>
              <w:snapToGrid w:val="0"/>
              <w:spacing w:line="400" w:lineRule="exact"/>
              <w:rPr>
                <w:rFonts w:hint="eastAsia" w:ascii="Times New Roman" w:hAnsi="Times New Roman" w:eastAsia="宋体" w:cs="宋体"/>
              </w:rPr>
            </w:pPr>
            <w:r>
              <w:rPr>
                <w:rFonts w:hint="eastAsia" w:ascii="Times New Roman" w:hAnsi="Times New Roman" w:eastAsia="宋体" w:cs="宋体"/>
                <w:spacing w:val="-23"/>
              </w:rPr>
              <w:t>□</w:t>
            </w:r>
            <w:r>
              <w:rPr>
                <w:rFonts w:hint="eastAsia" w:ascii="Times New Roman" w:hAnsi="Times New Roman" w:eastAsia="宋体" w:cs="宋体"/>
                <w:spacing w:val="-11"/>
              </w:rPr>
              <w:t>重大变动重新报批项目</w:t>
            </w:r>
          </w:p>
        </w:tc>
      </w:tr>
      <w:tr w14:paraId="48BB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1706" w:type="dxa"/>
            <w:gridSpan w:val="2"/>
            <w:vAlign w:val="center"/>
          </w:tcPr>
          <w:p w14:paraId="6F309347">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项目审批（核准/备案）部门</w:t>
            </w:r>
          </w:p>
        </w:tc>
        <w:tc>
          <w:tcPr>
            <w:tcW w:w="3283" w:type="dxa"/>
            <w:vAlign w:val="center"/>
          </w:tcPr>
          <w:p w14:paraId="4497E40C">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无</w:t>
            </w:r>
          </w:p>
        </w:tc>
        <w:tc>
          <w:tcPr>
            <w:tcW w:w="1512" w:type="dxa"/>
            <w:vAlign w:val="center"/>
          </w:tcPr>
          <w:p w14:paraId="7F17851D">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项目审批（核准/备案）文号</w:t>
            </w:r>
          </w:p>
        </w:tc>
        <w:tc>
          <w:tcPr>
            <w:tcW w:w="3127" w:type="dxa"/>
            <w:vAlign w:val="center"/>
          </w:tcPr>
          <w:p w14:paraId="17C4D150">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无</w:t>
            </w:r>
          </w:p>
        </w:tc>
      </w:tr>
      <w:tr w14:paraId="41F3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706" w:type="dxa"/>
            <w:gridSpan w:val="2"/>
            <w:vAlign w:val="center"/>
          </w:tcPr>
          <w:p w14:paraId="1F736300">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总投资</w:t>
            </w:r>
          </w:p>
          <w:p w14:paraId="55B7DDAD">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（万元）</w:t>
            </w:r>
          </w:p>
        </w:tc>
        <w:tc>
          <w:tcPr>
            <w:tcW w:w="3283" w:type="dxa"/>
            <w:vAlign w:val="center"/>
          </w:tcPr>
          <w:p w14:paraId="5AE837B3">
            <w:pPr>
              <w:adjustRightInd w:val="0"/>
              <w:snapToGrid w:val="0"/>
              <w:spacing w:line="400" w:lineRule="exact"/>
              <w:jc w:val="center"/>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541.91</w:t>
            </w:r>
          </w:p>
        </w:tc>
        <w:tc>
          <w:tcPr>
            <w:tcW w:w="1512" w:type="dxa"/>
            <w:vAlign w:val="center"/>
          </w:tcPr>
          <w:p w14:paraId="07DAB109">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环保投资</w:t>
            </w:r>
          </w:p>
          <w:p w14:paraId="4144B8A3">
            <w:pPr>
              <w:adjustRightInd w:val="0"/>
              <w:snapToGrid w:val="0"/>
              <w:spacing w:line="400" w:lineRule="exact"/>
              <w:jc w:val="center"/>
              <w:rPr>
                <w:rFonts w:hint="eastAsia" w:ascii="Times New Roman" w:hAnsi="Times New Roman" w:eastAsia="宋体" w:cs="宋体"/>
                <w:highlight w:val="none"/>
              </w:rPr>
            </w:pPr>
            <w:r>
              <w:rPr>
                <w:rFonts w:hint="eastAsia" w:ascii="Times New Roman" w:hAnsi="Times New Roman" w:eastAsia="宋体" w:cs="宋体"/>
              </w:rPr>
              <w:t>（万元）</w:t>
            </w:r>
          </w:p>
        </w:tc>
        <w:tc>
          <w:tcPr>
            <w:tcW w:w="3127" w:type="dxa"/>
            <w:vAlign w:val="center"/>
          </w:tcPr>
          <w:p w14:paraId="77B21B8A">
            <w:pPr>
              <w:adjustRightInd w:val="0"/>
              <w:snapToGrid w:val="0"/>
              <w:spacing w:line="400" w:lineRule="exact"/>
              <w:jc w:val="center"/>
              <w:rPr>
                <w:rFonts w:hint="default" w:ascii="Times New Roman" w:hAnsi="Times New Roman" w:eastAsia="宋体" w:cs="宋体"/>
                <w:highlight w:val="yellow"/>
                <w:lang w:val="en-US" w:eastAsia="zh-CN"/>
              </w:rPr>
            </w:pPr>
            <w:r>
              <w:rPr>
                <w:rFonts w:hint="eastAsia" w:cs="宋体"/>
                <w:highlight w:val="none"/>
                <w:lang w:val="en-US" w:eastAsia="zh-CN"/>
              </w:rPr>
              <w:t>51</w:t>
            </w:r>
          </w:p>
        </w:tc>
      </w:tr>
      <w:tr w14:paraId="2EA1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706" w:type="dxa"/>
            <w:gridSpan w:val="2"/>
            <w:vAlign w:val="center"/>
          </w:tcPr>
          <w:p w14:paraId="44FCBE62">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环保投资占比（%）</w:t>
            </w:r>
          </w:p>
        </w:tc>
        <w:tc>
          <w:tcPr>
            <w:tcW w:w="3283" w:type="dxa"/>
            <w:vAlign w:val="center"/>
          </w:tcPr>
          <w:p w14:paraId="4E9837AC">
            <w:pPr>
              <w:adjustRightInd w:val="0"/>
              <w:snapToGrid w:val="0"/>
              <w:spacing w:line="400" w:lineRule="exact"/>
              <w:jc w:val="center"/>
              <w:rPr>
                <w:rFonts w:hint="default" w:ascii="Times New Roman" w:hAnsi="Times New Roman" w:eastAsia="宋体" w:cs="宋体"/>
                <w:highlight w:val="yellow"/>
                <w:lang w:val="en-US" w:eastAsia="zh-CN"/>
              </w:rPr>
            </w:pPr>
            <w:r>
              <w:rPr>
                <w:rFonts w:hint="eastAsia" w:cs="宋体"/>
                <w:highlight w:val="none"/>
                <w:lang w:val="en-US" w:eastAsia="zh-CN"/>
              </w:rPr>
              <w:t>9.41</w:t>
            </w:r>
          </w:p>
        </w:tc>
        <w:tc>
          <w:tcPr>
            <w:tcW w:w="1512" w:type="dxa"/>
            <w:vAlign w:val="center"/>
          </w:tcPr>
          <w:p w14:paraId="005BA24F">
            <w:pPr>
              <w:adjustRightInd w:val="0"/>
              <w:snapToGrid w:val="0"/>
              <w:spacing w:line="400" w:lineRule="exact"/>
              <w:jc w:val="center"/>
              <w:rPr>
                <w:rFonts w:hint="eastAsia" w:ascii="Times New Roman" w:hAnsi="Times New Roman" w:eastAsia="宋体" w:cs="宋体"/>
                <w:highlight w:val="none"/>
              </w:rPr>
            </w:pPr>
            <w:r>
              <w:rPr>
                <w:rFonts w:hint="eastAsia" w:ascii="Times New Roman" w:hAnsi="Times New Roman" w:eastAsia="宋体" w:cs="宋体"/>
              </w:rPr>
              <w:t>施工工期</w:t>
            </w:r>
          </w:p>
        </w:tc>
        <w:tc>
          <w:tcPr>
            <w:tcW w:w="3127" w:type="dxa"/>
            <w:vAlign w:val="center"/>
          </w:tcPr>
          <w:p w14:paraId="5D8F68C0">
            <w:pPr>
              <w:adjustRightInd w:val="0"/>
              <w:snapToGrid w:val="0"/>
              <w:spacing w:line="400" w:lineRule="exact"/>
              <w:jc w:val="center"/>
              <w:rPr>
                <w:rFonts w:hint="default" w:ascii="Times New Roman" w:hAnsi="Times New Roman" w:eastAsia="宋体" w:cs="宋体"/>
                <w:highlight w:val="none"/>
                <w:lang w:val="en-US"/>
              </w:rPr>
            </w:pPr>
            <w:r>
              <w:rPr>
                <w:rFonts w:hint="eastAsia" w:cs="宋体"/>
                <w:highlight w:val="none"/>
                <w:lang w:val="en-US" w:eastAsia="zh-CN"/>
              </w:rPr>
              <w:t>5年</w:t>
            </w:r>
          </w:p>
        </w:tc>
      </w:tr>
      <w:tr w14:paraId="3E74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706" w:type="dxa"/>
            <w:gridSpan w:val="2"/>
            <w:vAlign w:val="center"/>
          </w:tcPr>
          <w:p w14:paraId="642082FC">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是否开工建设</w:t>
            </w:r>
          </w:p>
        </w:tc>
        <w:tc>
          <w:tcPr>
            <w:tcW w:w="7922" w:type="dxa"/>
            <w:gridSpan w:val="3"/>
            <w:vAlign w:val="center"/>
          </w:tcPr>
          <w:p w14:paraId="1FB6C5D3">
            <w:pPr>
              <w:adjustRightInd w:val="0"/>
              <w:snapToGrid w:val="0"/>
              <w:spacing w:line="400" w:lineRule="exact"/>
              <w:ind w:firstLine="105"/>
              <w:jc w:val="left"/>
              <w:rPr>
                <w:rFonts w:hint="eastAsia" w:ascii="Times New Roman" w:hAnsi="Times New Roman" w:eastAsia="宋体" w:cs="宋体"/>
              </w:rPr>
            </w:pPr>
            <w:r>
              <w:rPr>
                <w:rFonts w:hint="eastAsia" w:cs="宋体"/>
                <w:lang w:eastAsia="zh-CN"/>
              </w:rPr>
              <w:t>☑</w:t>
            </w:r>
            <w:r>
              <w:rPr>
                <w:rFonts w:hint="eastAsia" w:ascii="Times New Roman" w:hAnsi="Times New Roman" w:eastAsia="宋体" w:cs="宋体"/>
              </w:rPr>
              <w:t>否</w:t>
            </w:r>
          </w:p>
          <w:p w14:paraId="12968774">
            <w:pPr>
              <w:adjustRightInd w:val="0"/>
              <w:snapToGrid w:val="0"/>
              <w:spacing w:line="400" w:lineRule="exact"/>
              <w:ind w:firstLine="92"/>
              <w:jc w:val="left"/>
              <w:rPr>
                <w:rFonts w:hint="eastAsia" w:ascii="Times New Roman" w:hAnsi="Times New Roman" w:eastAsia="宋体" w:cs="宋体"/>
                <w:lang w:eastAsia="zh-CN"/>
              </w:rPr>
            </w:pPr>
            <w:r>
              <w:rPr>
                <w:rFonts w:hint="eastAsia" w:ascii="Times New Roman" w:hAnsi="Times New Roman" w:eastAsia="宋体" w:cs="宋体"/>
              </w:rPr>
              <w:t>□是：</w:t>
            </w:r>
          </w:p>
        </w:tc>
      </w:tr>
      <w:tr w14:paraId="4A37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706" w:type="dxa"/>
            <w:gridSpan w:val="2"/>
            <w:vAlign w:val="center"/>
          </w:tcPr>
          <w:p w14:paraId="3F483705">
            <w:pPr>
              <w:autoSpaceDE w:val="0"/>
              <w:autoSpaceDN w:val="0"/>
              <w:adjustRightInd w:val="0"/>
              <w:snapToGrid w:val="0"/>
              <w:spacing w:line="400" w:lineRule="exact"/>
              <w:jc w:val="center"/>
              <w:rPr>
                <w:rFonts w:hint="eastAsia" w:ascii="Times New Roman" w:hAnsi="Times New Roman" w:eastAsia="宋体" w:cs="宋体"/>
                <w:kern w:val="0"/>
              </w:rPr>
            </w:pPr>
            <w:r>
              <w:rPr>
                <w:rFonts w:hint="eastAsia" w:ascii="Times New Roman" w:hAnsi="Times New Roman" w:eastAsia="宋体" w:cs="宋体"/>
                <w:kern w:val="0"/>
              </w:rPr>
              <w:t>专项评价</w:t>
            </w:r>
          </w:p>
          <w:p w14:paraId="2DFBC2A7">
            <w:pPr>
              <w:autoSpaceDE w:val="0"/>
              <w:autoSpaceDN w:val="0"/>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kern w:val="0"/>
              </w:rPr>
              <w:t>设置情况</w:t>
            </w:r>
          </w:p>
        </w:tc>
        <w:tc>
          <w:tcPr>
            <w:tcW w:w="7922" w:type="dxa"/>
            <w:gridSpan w:val="3"/>
            <w:vAlign w:val="center"/>
          </w:tcPr>
          <w:p w14:paraId="7779921C">
            <w:pPr>
              <w:autoSpaceDE w:val="0"/>
              <w:autoSpaceDN w:val="0"/>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kern w:val="0"/>
              </w:rPr>
              <w:t>无</w:t>
            </w:r>
          </w:p>
        </w:tc>
      </w:tr>
      <w:tr w14:paraId="6B96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06" w:type="dxa"/>
            <w:gridSpan w:val="2"/>
            <w:vAlign w:val="center"/>
          </w:tcPr>
          <w:p w14:paraId="5D1054F4">
            <w:pPr>
              <w:autoSpaceDE w:val="0"/>
              <w:autoSpaceDN w:val="0"/>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规划情况</w:t>
            </w:r>
          </w:p>
        </w:tc>
        <w:tc>
          <w:tcPr>
            <w:tcW w:w="7922" w:type="dxa"/>
            <w:gridSpan w:val="3"/>
            <w:vAlign w:val="center"/>
          </w:tcPr>
          <w:p w14:paraId="262F2B11">
            <w:pPr>
              <w:snapToGrid w:val="0"/>
              <w:spacing w:line="400" w:lineRule="exact"/>
              <w:rPr>
                <w:rFonts w:hint="eastAsia" w:ascii="Times New Roman" w:hAnsi="Times New Roman" w:eastAsia="宋体" w:cs="宋体"/>
              </w:rPr>
            </w:pPr>
            <w:r>
              <w:rPr>
                <w:rFonts w:hint="eastAsia" w:cs="宋体"/>
                <w:lang w:val="en-US" w:eastAsia="zh-CN"/>
              </w:rPr>
              <w:t>1.</w:t>
            </w:r>
            <w:r>
              <w:rPr>
                <w:rFonts w:hint="eastAsia" w:ascii="Times New Roman" w:hAnsi="Times New Roman" w:eastAsia="宋体" w:cs="宋体"/>
              </w:rPr>
              <w:t>规划名称：《新疆维吾尔自治区矿产资源总体规划（2021</w:t>
            </w:r>
            <w:r>
              <w:rPr>
                <w:rFonts w:hint="eastAsia" w:cs="宋体"/>
                <w:lang w:eastAsia="zh-CN"/>
              </w:rPr>
              <w:t>—</w:t>
            </w:r>
            <w:r>
              <w:rPr>
                <w:rFonts w:hint="eastAsia" w:ascii="Times New Roman" w:hAnsi="Times New Roman" w:eastAsia="宋体" w:cs="宋体"/>
              </w:rPr>
              <w:t>2025年）》；</w:t>
            </w:r>
          </w:p>
          <w:p w14:paraId="3EE2AA45">
            <w:pPr>
              <w:snapToGrid w:val="0"/>
              <w:spacing w:line="400" w:lineRule="exact"/>
              <w:rPr>
                <w:rFonts w:hint="eastAsia" w:ascii="Times New Roman" w:hAnsi="Times New Roman" w:eastAsia="宋体" w:cs="宋体"/>
              </w:rPr>
            </w:pPr>
            <w:r>
              <w:rPr>
                <w:rFonts w:hint="eastAsia" w:ascii="Times New Roman" w:hAnsi="Times New Roman" w:eastAsia="宋体" w:cs="宋体"/>
              </w:rPr>
              <w:t>审批机关：自然资源部；</w:t>
            </w:r>
          </w:p>
          <w:p w14:paraId="351E678C">
            <w:pPr>
              <w:snapToGrid w:val="0"/>
              <w:spacing w:line="400" w:lineRule="exact"/>
              <w:rPr>
                <w:rFonts w:hint="eastAsia" w:ascii="Times New Roman" w:hAnsi="Times New Roman" w:eastAsia="宋体" w:cs="宋体"/>
              </w:rPr>
            </w:pPr>
            <w:r>
              <w:rPr>
                <w:rFonts w:hint="eastAsia" w:ascii="Times New Roman" w:hAnsi="Times New Roman" w:eastAsia="宋体" w:cs="宋体"/>
              </w:rPr>
              <w:t>审批文号：自然资函〔2022〕1092号。</w:t>
            </w:r>
          </w:p>
          <w:p w14:paraId="07785901">
            <w:pPr>
              <w:numPr>
                <w:ilvl w:val="0"/>
                <w:numId w:val="0"/>
              </w:numPr>
              <w:snapToGrid w:val="0"/>
              <w:spacing w:line="400" w:lineRule="exact"/>
              <w:rPr>
                <w:rFonts w:hint="eastAsia" w:cs="宋体"/>
                <w:lang w:eastAsia="zh-CN"/>
              </w:rPr>
            </w:pPr>
            <w:r>
              <w:rPr>
                <w:rFonts w:hint="eastAsia" w:cs="宋体"/>
                <w:kern w:val="2"/>
                <w:sz w:val="24"/>
                <w:szCs w:val="24"/>
                <w:lang w:val="en-US" w:eastAsia="zh-CN" w:bidi="ar-SA"/>
              </w:rPr>
              <w:t>2.</w:t>
            </w:r>
            <w:r>
              <w:rPr>
                <w:rFonts w:hint="eastAsia" w:cs="宋体"/>
                <w:lang w:val="en-US" w:eastAsia="zh-CN"/>
              </w:rPr>
              <w:t>规划名称：</w:t>
            </w:r>
            <w:r>
              <w:rPr>
                <w:rFonts w:hint="eastAsia" w:ascii="Times New Roman" w:hAnsi="Times New Roman" w:eastAsia="宋体" w:cs="宋体"/>
              </w:rPr>
              <w:t>《新疆维吾尔自治区</w:t>
            </w:r>
            <w:r>
              <w:rPr>
                <w:rFonts w:hint="eastAsia" w:cs="宋体"/>
                <w:lang w:val="en-US" w:eastAsia="zh-CN"/>
              </w:rPr>
              <w:t>和田地区</w:t>
            </w:r>
            <w:r>
              <w:rPr>
                <w:rFonts w:hint="eastAsia" w:ascii="Times New Roman" w:hAnsi="Times New Roman" w:eastAsia="宋体" w:cs="宋体"/>
              </w:rPr>
              <w:t>矿产资源总体规划（2021</w:t>
            </w:r>
            <w:r>
              <w:rPr>
                <w:rFonts w:hint="eastAsia" w:cs="宋体"/>
                <w:lang w:eastAsia="zh-CN"/>
              </w:rPr>
              <w:t>—</w:t>
            </w:r>
            <w:r>
              <w:rPr>
                <w:rFonts w:hint="eastAsia" w:ascii="Times New Roman" w:hAnsi="Times New Roman" w:eastAsia="宋体" w:cs="宋体"/>
              </w:rPr>
              <w:t>2025年）》</w:t>
            </w:r>
            <w:r>
              <w:rPr>
                <w:rFonts w:hint="eastAsia" w:cs="宋体"/>
                <w:lang w:eastAsia="zh-CN"/>
              </w:rPr>
              <w:t>；</w:t>
            </w:r>
          </w:p>
          <w:p w14:paraId="412BDB83">
            <w:pPr>
              <w:numPr>
                <w:ilvl w:val="0"/>
                <w:numId w:val="0"/>
              </w:numPr>
              <w:snapToGrid w:val="0"/>
              <w:spacing w:line="400" w:lineRule="exact"/>
              <w:rPr>
                <w:rFonts w:hint="eastAsia" w:cs="宋体"/>
                <w:lang w:eastAsia="zh-CN"/>
              </w:rPr>
            </w:pPr>
            <w:r>
              <w:rPr>
                <w:rFonts w:hint="eastAsia" w:cs="宋体"/>
                <w:kern w:val="2"/>
                <w:sz w:val="24"/>
                <w:szCs w:val="24"/>
                <w:lang w:val="en-US" w:eastAsia="zh-CN" w:bidi="ar-SA"/>
              </w:rPr>
              <w:t>3.</w:t>
            </w:r>
            <w:r>
              <w:rPr>
                <w:rFonts w:hint="eastAsia" w:cs="宋体"/>
                <w:lang w:eastAsia="zh-CN"/>
              </w:rPr>
              <w:t>规划名称：《巴音郭楞蒙古自治州矿产资源总体规划（2021—2025年）》；</w:t>
            </w:r>
          </w:p>
          <w:p w14:paraId="563749B2">
            <w:pPr>
              <w:numPr>
                <w:ilvl w:val="0"/>
                <w:numId w:val="0"/>
              </w:numPr>
              <w:snapToGrid w:val="0"/>
              <w:spacing w:line="400" w:lineRule="exact"/>
              <w:rPr>
                <w:rFonts w:hint="eastAsia" w:cs="宋体"/>
                <w:lang w:eastAsia="zh-CN"/>
              </w:rPr>
            </w:pPr>
            <w:r>
              <w:rPr>
                <w:rFonts w:hint="eastAsia" w:cs="宋体"/>
                <w:lang w:eastAsia="zh-CN"/>
              </w:rPr>
              <w:t>审批机关：巴州人民政府。</w:t>
            </w:r>
          </w:p>
        </w:tc>
      </w:tr>
      <w:tr w14:paraId="1487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1706" w:type="dxa"/>
            <w:gridSpan w:val="2"/>
            <w:vAlign w:val="center"/>
          </w:tcPr>
          <w:p w14:paraId="662CB55B">
            <w:pPr>
              <w:autoSpaceDE w:val="0"/>
              <w:autoSpaceDN w:val="0"/>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规划环境影响</w:t>
            </w:r>
          </w:p>
          <w:p w14:paraId="6A7F7BF1">
            <w:pPr>
              <w:autoSpaceDE w:val="0"/>
              <w:autoSpaceDN w:val="0"/>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评价情况</w:t>
            </w:r>
          </w:p>
        </w:tc>
        <w:tc>
          <w:tcPr>
            <w:tcW w:w="7922" w:type="dxa"/>
            <w:gridSpan w:val="3"/>
            <w:vAlign w:val="center"/>
          </w:tcPr>
          <w:p w14:paraId="5B4F2708">
            <w:pPr>
              <w:snapToGrid w:val="0"/>
              <w:spacing w:line="400" w:lineRule="exact"/>
              <w:rPr>
                <w:rFonts w:hint="eastAsia" w:ascii="Times New Roman" w:hAnsi="Times New Roman" w:eastAsia="宋体" w:cs="宋体"/>
              </w:rPr>
            </w:pPr>
            <w:r>
              <w:rPr>
                <w:rFonts w:hint="eastAsia" w:ascii="Times New Roman" w:hAnsi="Times New Roman" w:eastAsia="宋体" w:cs="宋体"/>
              </w:rPr>
              <w:t>环评文件名称：《新疆维吾尔自治区矿产资源总体规划（2021</w:t>
            </w:r>
            <w:r>
              <w:rPr>
                <w:rFonts w:hint="eastAsia" w:cs="宋体"/>
                <w:lang w:eastAsia="zh-CN"/>
              </w:rPr>
              <w:t>—</w:t>
            </w:r>
            <w:r>
              <w:rPr>
                <w:rFonts w:hint="eastAsia" w:ascii="Times New Roman" w:hAnsi="Times New Roman" w:eastAsia="宋体" w:cs="宋体"/>
              </w:rPr>
              <w:t>2025年）环境影响报告书》；</w:t>
            </w:r>
          </w:p>
          <w:p w14:paraId="4DE844C1">
            <w:pPr>
              <w:snapToGrid w:val="0"/>
              <w:spacing w:line="400" w:lineRule="exact"/>
              <w:rPr>
                <w:rFonts w:hint="eastAsia" w:ascii="Times New Roman" w:hAnsi="Times New Roman" w:eastAsia="宋体" w:cs="宋体"/>
              </w:rPr>
            </w:pPr>
            <w:r>
              <w:rPr>
                <w:rFonts w:hint="eastAsia" w:ascii="Times New Roman" w:hAnsi="Times New Roman" w:eastAsia="宋体" w:cs="宋体"/>
              </w:rPr>
              <w:t>审查机关：生态环境部；</w:t>
            </w:r>
          </w:p>
          <w:p w14:paraId="77339018">
            <w:pPr>
              <w:snapToGrid w:val="0"/>
              <w:spacing w:line="400" w:lineRule="exact"/>
              <w:rPr>
                <w:rFonts w:hint="eastAsia" w:ascii="Times New Roman" w:hAnsi="Times New Roman" w:eastAsia="宋体" w:cs="宋体"/>
              </w:rPr>
            </w:pPr>
            <w:r>
              <w:rPr>
                <w:rFonts w:hint="eastAsia" w:ascii="Times New Roman" w:hAnsi="Times New Roman" w:eastAsia="宋体" w:cs="宋体"/>
              </w:rPr>
              <w:t>审查文件名称及文号：关于《新疆维吾尔自治区矿产资源总体规划（2021</w:t>
            </w:r>
            <w:r>
              <w:rPr>
                <w:rFonts w:hint="eastAsia" w:cs="宋体"/>
                <w:lang w:eastAsia="zh-CN"/>
              </w:rPr>
              <w:t>—</w:t>
            </w:r>
            <w:r>
              <w:rPr>
                <w:rFonts w:hint="eastAsia" w:ascii="Times New Roman" w:hAnsi="Times New Roman" w:eastAsia="宋体" w:cs="宋体"/>
              </w:rPr>
              <w:t>2025年）环境影响报告书》的审查意见（环审〔2022〕124号）。</w:t>
            </w:r>
          </w:p>
        </w:tc>
      </w:tr>
      <w:tr w14:paraId="25A8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3" w:hRule="atLeast"/>
          <w:jc w:val="center"/>
        </w:trPr>
        <w:tc>
          <w:tcPr>
            <w:tcW w:w="1706" w:type="dxa"/>
            <w:gridSpan w:val="2"/>
            <w:vAlign w:val="center"/>
          </w:tcPr>
          <w:p w14:paraId="7C445675">
            <w:pPr>
              <w:autoSpaceDE w:val="0"/>
              <w:autoSpaceDN w:val="0"/>
              <w:adjustRightInd w:val="0"/>
              <w:snapToGrid w:val="0"/>
              <w:spacing w:line="430" w:lineRule="exact"/>
              <w:jc w:val="center"/>
              <w:rPr>
                <w:rFonts w:hint="eastAsia" w:ascii="Times New Roman" w:hAnsi="Times New Roman" w:eastAsia="宋体" w:cs="宋体"/>
              </w:rPr>
            </w:pPr>
            <w:r>
              <w:rPr>
                <w:rFonts w:hint="eastAsia" w:ascii="Times New Roman" w:hAnsi="Times New Roman" w:eastAsia="宋体" w:cs="宋体"/>
                <w:kern w:val="0"/>
              </w:rPr>
              <w:t>规划及</w:t>
            </w:r>
            <w:r>
              <w:rPr>
                <w:rFonts w:hint="eastAsia" w:ascii="Times New Roman" w:hAnsi="Times New Roman" w:eastAsia="宋体" w:cs="宋体"/>
                <w:highlight w:val="none"/>
              </w:rPr>
              <w:t>规划环境影响评价</w:t>
            </w:r>
            <w:r>
              <w:rPr>
                <w:rFonts w:hint="eastAsia" w:ascii="Times New Roman" w:hAnsi="Times New Roman" w:eastAsia="宋体" w:cs="宋体"/>
                <w:kern w:val="0"/>
                <w:highlight w:val="none"/>
              </w:rPr>
              <w:t>符合性分析</w:t>
            </w:r>
          </w:p>
        </w:tc>
        <w:tc>
          <w:tcPr>
            <w:tcW w:w="7922" w:type="dxa"/>
            <w:gridSpan w:val="3"/>
            <w:vAlign w:val="center"/>
          </w:tcPr>
          <w:p w14:paraId="536B9594">
            <w:pPr>
              <w:adjustRightInd w:val="0"/>
              <w:snapToGrid w:val="0"/>
              <w:spacing w:line="400" w:lineRule="exact"/>
              <w:jc w:val="left"/>
              <w:rPr>
                <w:rFonts w:hint="default" w:ascii="Times New Roman" w:hAnsi="Times New Roman" w:eastAsia="宋体"/>
                <w:b/>
                <w:bCs/>
                <w:spacing w:val="-3"/>
                <w:lang w:val="en-US" w:eastAsia="zh-CN"/>
              </w:rPr>
            </w:pPr>
            <w:r>
              <w:rPr>
                <w:rFonts w:hint="eastAsia"/>
                <w:b/>
                <w:bCs/>
                <w:spacing w:val="-3"/>
                <w:lang w:val="en-US" w:eastAsia="zh-CN"/>
              </w:rPr>
              <w:t>1.与《新疆维吾尔自治区矿产资源总体规划（2021—2025年）》的符合性分析</w:t>
            </w:r>
          </w:p>
          <w:p w14:paraId="67001ABB">
            <w:pPr>
              <w:snapToGrid w:val="0"/>
              <w:spacing w:line="400" w:lineRule="exact"/>
              <w:ind w:firstLine="480" w:firstLineChars="200"/>
              <w:rPr>
                <w:rFonts w:hint="eastAsia" w:cs="宋体"/>
                <w:lang w:val="en-US" w:eastAsia="zh-CN"/>
              </w:rPr>
            </w:pPr>
            <w:r>
              <w:rPr>
                <w:rFonts w:hint="eastAsia" w:ascii="Times New Roman" w:hAnsi="Times New Roman" w:eastAsia="宋体" w:cs="宋体"/>
              </w:rPr>
              <w:t>《新疆维吾尔自治区矿产资源总体规划（2021</w:t>
            </w:r>
            <w:r>
              <w:rPr>
                <w:rFonts w:hint="eastAsia" w:cs="宋体"/>
                <w:lang w:eastAsia="zh-CN"/>
              </w:rPr>
              <w:t>—</w:t>
            </w:r>
            <w:r>
              <w:rPr>
                <w:rFonts w:hint="eastAsia" w:ascii="Times New Roman" w:hAnsi="Times New Roman" w:eastAsia="宋体" w:cs="宋体"/>
              </w:rPr>
              <w:t>2025年）》</w:t>
            </w:r>
            <w:r>
              <w:rPr>
                <w:rFonts w:hint="eastAsia" w:cs="宋体"/>
                <w:lang w:val="en-US" w:eastAsia="zh-CN"/>
              </w:rPr>
              <w:t>第四章节中提出：依据矿产资源分布特点及勘查开发利用现状，按照“深化北疆东疆，加快南疆勘查开发”的总体思路，划分环准噶尔、环塔里木、阿尔泰、东准噶尔、西准噶尔、东天山、西天山、西南天山、西昆仑、东昆仑—阿尔金等“两环八带”十个勘查开发区，其中“八带”中的</w:t>
            </w:r>
            <w:r>
              <w:rPr>
                <w:rFonts w:hint="eastAsia" w:ascii="宋体" w:hAnsi="宋体" w:eastAsia="宋体" w:cs="Times New Roman"/>
                <w:kern w:val="0"/>
                <w:sz w:val="24"/>
                <w:szCs w:val="24"/>
              </w:rPr>
              <w:t>东昆仑—阿尔金</w:t>
            </w:r>
            <w:r>
              <w:rPr>
                <w:rFonts w:hint="eastAsia" w:cs="宋体"/>
                <w:highlight w:val="none"/>
                <w:lang w:val="en-US" w:eastAsia="zh-CN"/>
              </w:rPr>
              <w:t>是以</w:t>
            </w:r>
            <w:r>
              <w:rPr>
                <w:rFonts w:hint="eastAsia" w:ascii="宋体" w:hAnsi="宋体" w:eastAsia="宋体" w:cs="Times New Roman"/>
                <w:kern w:val="0"/>
                <w:sz w:val="24"/>
                <w:szCs w:val="24"/>
              </w:rPr>
              <w:t>和田地区、巴音郭楞蒙古自治州</w:t>
            </w:r>
            <w:r>
              <w:rPr>
                <w:rFonts w:hint="eastAsia" w:ascii="宋体" w:hAnsi="宋体" w:cs="Times New Roman"/>
                <w:kern w:val="0"/>
                <w:sz w:val="24"/>
                <w:szCs w:val="24"/>
                <w:lang w:val="en-US" w:eastAsia="zh-CN"/>
              </w:rPr>
              <w:t>为重点的</w:t>
            </w:r>
            <w:r>
              <w:rPr>
                <w:rFonts w:hint="eastAsia" w:ascii="宋体" w:hAnsi="宋体" w:eastAsia="宋体" w:cs="Times New Roman"/>
                <w:kern w:val="0"/>
                <w:sz w:val="24"/>
                <w:szCs w:val="24"/>
              </w:rPr>
              <w:t>黑色、有色、稀有及非金属勘查开发区</w:t>
            </w:r>
            <w:r>
              <w:rPr>
                <w:rFonts w:hint="eastAsia" w:cs="宋体"/>
                <w:highlight w:val="none"/>
                <w:lang w:eastAsia="zh-CN"/>
              </w:rPr>
              <w:t>。</w:t>
            </w:r>
            <w:r>
              <w:rPr>
                <w:rFonts w:hint="eastAsia" w:cs="宋体"/>
                <w:highlight w:val="none"/>
                <w:lang w:val="en-US" w:eastAsia="zh-CN"/>
              </w:rPr>
              <w:t>本次勘查项目位于和田地区民丰县和</w:t>
            </w:r>
            <w:r>
              <w:rPr>
                <w:rFonts w:hint="eastAsia" w:ascii="宋体" w:hAnsi="宋体" w:eastAsia="宋体" w:cs="Times New Roman"/>
                <w:kern w:val="0"/>
                <w:sz w:val="24"/>
                <w:szCs w:val="24"/>
              </w:rPr>
              <w:t>巴音郭楞蒙古自治州</w:t>
            </w:r>
            <w:r>
              <w:rPr>
                <w:rFonts w:hint="eastAsia" w:cs="宋体"/>
                <w:highlight w:val="none"/>
                <w:lang w:val="en-US" w:eastAsia="zh-CN"/>
              </w:rPr>
              <w:t>且末县，因此符合自治区矿产资源勘查开发布局。</w:t>
            </w:r>
          </w:p>
          <w:p w14:paraId="161DF6DD">
            <w:pPr>
              <w:snapToGrid w:val="0"/>
              <w:spacing w:line="400" w:lineRule="exact"/>
              <w:ind w:firstLine="480" w:firstLineChars="200"/>
              <w:rPr>
                <w:rFonts w:hint="eastAsia" w:cs="宋体"/>
                <w:lang w:val="en-US" w:eastAsia="zh-CN"/>
              </w:rPr>
            </w:pPr>
            <w:r>
              <w:rPr>
                <w:rFonts w:hint="eastAsia" w:ascii="Times New Roman" w:hAnsi="Times New Roman" w:eastAsia="宋体" w:cs="宋体"/>
              </w:rPr>
              <w:t>《新疆维吾尔自治区矿产资源总体规划（2021</w:t>
            </w:r>
            <w:r>
              <w:rPr>
                <w:rFonts w:hint="eastAsia" w:cs="宋体"/>
                <w:lang w:eastAsia="zh-CN"/>
              </w:rPr>
              <w:t>—</w:t>
            </w:r>
            <w:r>
              <w:rPr>
                <w:rFonts w:hint="eastAsia" w:ascii="Times New Roman" w:hAnsi="Times New Roman" w:eastAsia="宋体" w:cs="宋体"/>
              </w:rPr>
              <w:t>2025年）》</w:t>
            </w:r>
            <w:r>
              <w:rPr>
                <w:rFonts w:hint="eastAsia" w:cs="宋体"/>
                <w:lang w:val="en-US" w:eastAsia="zh-CN"/>
              </w:rPr>
              <w:t>第四章节中提出：重点勘查开采矿种为石油、天然气、页岩气、煤层气、煤、地热等能源矿产，铁、铬、锰、铜、镍、钴、铅锌、金、锂、铍、钒、钛等金属矿产，以及钾盐、萤石、硅质原料等非金属矿产。本次勘查矿种为锰矿，属于规划中的重点勘查开采矿种。</w:t>
            </w:r>
          </w:p>
          <w:p w14:paraId="6B25AA32">
            <w:pPr>
              <w:snapToGrid w:val="0"/>
              <w:spacing w:line="400" w:lineRule="exact"/>
              <w:ind w:firstLine="480" w:firstLineChars="200"/>
              <w:rPr>
                <w:rFonts w:hint="eastAsia" w:ascii="Times New Roman" w:hAnsi="Times New Roman" w:eastAsia="宋体" w:cs="宋体"/>
                <w:highlight w:val="none"/>
              </w:rPr>
            </w:pPr>
            <w:r>
              <w:rPr>
                <w:rFonts w:hint="eastAsia" w:cs="宋体"/>
                <w:highlight w:val="none"/>
                <w:lang w:val="en-US" w:eastAsia="zh-CN"/>
              </w:rPr>
              <w:t>综上所述，本项目</w:t>
            </w:r>
            <w:r>
              <w:rPr>
                <w:rFonts w:hint="eastAsia" w:ascii="Times New Roman" w:hAnsi="Times New Roman" w:eastAsia="宋体" w:cs="宋体"/>
                <w:highlight w:val="none"/>
              </w:rPr>
              <w:t>符合《新疆维吾尔自治区矿产资源总体规划（2021-2025）》总体目标和总体布局等相关要求。</w:t>
            </w:r>
          </w:p>
          <w:p w14:paraId="0DED66FA">
            <w:pPr>
              <w:adjustRightInd w:val="0"/>
              <w:snapToGrid w:val="0"/>
              <w:spacing w:line="400" w:lineRule="exact"/>
              <w:jc w:val="left"/>
              <w:rPr>
                <w:rFonts w:hint="default" w:ascii="Times New Roman" w:hAnsi="Times New Roman" w:eastAsia="宋体"/>
                <w:b/>
                <w:bCs/>
                <w:spacing w:val="-3"/>
                <w:highlight w:val="none"/>
                <w:lang w:val="en-US" w:eastAsia="zh-CN"/>
              </w:rPr>
            </w:pPr>
            <w:r>
              <w:rPr>
                <w:rFonts w:hint="eastAsia"/>
                <w:b/>
                <w:bCs/>
                <w:spacing w:val="-3"/>
                <w:highlight w:val="none"/>
                <w:lang w:val="en-US" w:eastAsia="zh-CN"/>
              </w:rPr>
              <w:t>2.</w:t>
            </w:r>
            <w:r>
              <w:rPr>
                <w:rFonts w:hint="eastAsia" w:ascii="Times New Roman" w:hAnsi="Times New Roman" w:eastAsia="宋体"/>
                <w:b/>
                <w:bCs/>
                <w:spacing w:val="-3"/>
                <w:highlight w:val="none"/>
                <w:lang w:val="en-US" w:eastAsia="zh-CN"/>
              </w:rPr>
              <w:t>与《新疆维吾尔自治区和田地区矿产资源总体规划（2021—2025年）》的符合性分析</w:t>
            </w:r>
          </w:p>
          <w:p w14:paraId="7A7DC231">
            <w:pPr>
              <w:snapToGrid w:val="0"/>
              <w:spacing w:line="400" w:lineRule="exact"/>
              <w:ind w:firstLine="480" w:firstLineChars="200"/>
              <w:rPr>
                <w:rFonts w:hint="default" w:ascii="Times New Roman" w:hAnsi="Times New Roman" w:eastAsia="宋体" w:cs="宋体"/>
                <w:highlight w:val="none"/>
                <w:lang w:val="en-US"/>
              </w:rPr>
            </w:pPr>
            <w:r>
              <w:rPr>
                <w:rFonts w:hint="eastAsia" w:ascii="Times New Roman" w:hAnsi="Times New Roman" w:eastAsia="宋体" w:cs="宋体"/>
                <w:highlight w:val="none"/>
              </w:rPr>
              <w:t>《新疆维吾尔自治区</w:t>
            </w:r>
            <w:r>
              <w:rPr>
                <w:rFonts w:hint="eastAsia" w:ascii="Times New Roman" w:hAnsi="Times New Roman" w:eastAsia="宋体" w:cs="宋体"/>
                <w:highlight w:val="none"/>
                <w:lang w:val="en-US" w:eastAsia="zh-CN"/>
              </w:rPr>
              <w:t>和田地区</w:t>
            </w:r>
            <w:r>
              <w:rPr>
                <w:rFonts w:hint="eastAsia" w:ascii="Times New Roman" w:hAnsi="Times New Roman" w:eastAsia="宋体" w:cs="宋体"/>
                <w:highlight w:val="none"/>
              </w:rPr>
              <w:t>矿产资源总体规划（2021</w:t>
            </w:r>
            <w:r>
              <w:rPr>
                <w:rFonts w:hint="eastAsia" w:cs="宋体"/>
                <w:highlight w:val="none"/>
                <w:lang w:eastAsia="zh-CN"/>
              </w:rPr>
              <w:t>—</w:t>
            </w:r>
            <w:r>
              <w:rPr>
                <w:rFonts w:hint="eastAsia" w:ascii="Times New Roman" w:hAnsi="Times New Roman" w:eastAsia="宋体" w:cs="宋体"/>
                <w:highlight w:val="none"/>
              </w:rPr>
              <w:t>2025年）》</w:t>
            </w:r>
            <w:r>
              <w:rPr>
                <w:rFonts w:hint="eastAsia" w:cs="宋体"/>
                <w:highlight w:val="none"/>
                <w:lang w:val="en-US" w:eastAsia="zh-CN"/>
              </w:rPr>
              <w:t>第四章节中提出：根据和田地区矿产资源勘查开发现状及资源环境承载能力，结合和田地区矿产资源产出与分布禀赋特征，按照矿产资源开发利用的产业化方向和上级规划分工要求，落实细化上级规划“两环八带”勘查开发布局在本地区的空间布局，形成和田地区“一带二区”的矿业高质量发展新格局（专栏13）。</w:t>
            </w:r>
            <w:r>
              <w:rPr>
                <w:rFonts w:hint="eastAsia" w:cs="宋体"/>
                <w:b w:val="0"/>
                <w:bCs w:val="0"/>
                <w:highlight w:val="none"/>
                <w:lang w:val="en-US" w:eastAsia="zh-CN"/>
              </w:rPr>
              <w:t>①和田地区能源资源勘查开发产业带，</w:t>
            </w:r>
            <w:r>
              <w:rPr>
                <w:rFonts w:hint="eastAsia" w:cs="宋体"/>
                <w:highlight w:val="none"/>
                <w:lang w:val="en-US" w:eastAsia="zh-CN"/>
              </w:rPr>
              <w:t>落实细化环塔里木能源资源勘查开发区（两环）在和田地区勘查开发布局。重点加强坳陷、断隆带、凹陷等地带的新区新层系石油、天然气勘查，力争规划期内提供2～3个油气远景区，圈定3-5处油气区块，以支撑和田地区等大型油气田基地建设。</w:t>
            </w:r>
            <w:r>
              <w:rPr>
                <w:rFonts w:hint="eastAsia" w:cs="宋体"/>
                <w:b w:val="0"/>
                <w:bCs w:val="0"/>
                <w:highlight w:val="none"/>
                <w:lang w:val="en-US" w:eastAsia="zh-CN"/>
              </w:rPr>
              <w:t>②和田地区黑色、有色及稀有金属勘查开发区，</w:t>
            </w:r>
            <w:r>
              <w:rPr>
                <w:rFonts w:hint="eastAsia" w:cs="宋体"/>
                <w:highlight w:val="none"/>
                <w:lang w:val="en-US" w:eastAsia="zh-CN"/>
              </w:rPr>
              <w:t>落实细化西昆仑黑色、有色及稀有金属勘查开发区（八带）在和田地区勘查开发布局。以铜、铅、锌、稀有金属等矿产资源勘查开发为主，拓展找矿空间，力争规划期内提交大中型矿产地2-3处。继续推进火烧云铅锌矿和大红柳滩稀有金属勘查开发，力争规划期内新增铅锌资源量700万吨、锂50万吨，推进和田有色-稀有金属－新能源产业基地建设。</w:t>
            </w:r>
            <w:r>
              <w:rPr>
                <w:rFonts w:hint="eastAsia" w:cs="宋体"/>
                <w:b w:val="0"/>
                <w:bCs w:val="0"/>
                <w:highlight w:val="none"/>
                <w:lang w:val="en-US" w:eastAsia="zh-CN"/>
              </w:rPr>
              <w:t>③和田地区黑色、有色、稀有及非金属勘查开发区，</w:t>
            </w:r>
            <w:r>
              <w:rPr>
                <w:rFonts w:hint="eastAsia" w:cs="宋体"/>
                <w:highlight w:val="none"/>
                <w:lang w:val="en-US" w:eastAsia="zh-CN"/>
              </w:rPr>
              <w:t>落实细化东昆仑－阿尔金黑色有色稀有及非金属勘查开发区（八带）在和田地区勘查开发布局。以铁、锰、金、锑等矿产资源勘查开发为主。加大民丰硝尔勒克－黄羊岭金锑矿等矿区勘查开发，力争规划期内提交大中型矿产地2-3处，新增金资源量10吨、锑5万吨。尽快形成一批金、锑产能矿山。本项目位于民丰县和且末县</w:t>
            </w:r>
            <w:r>
              <w:rPr>
                <w:rFonts w:hint="eastAsia" w:cs="宋体"/>
                <w:lang w:val="en-US" w:eastAsia="zh-CN"/>
              </w:rPr>
              <w:t>，勘查矿种为锰矿，属于和田地区黑色、有色及稀有金属勘查开发区，符合</w:t>
            </w:r>
            <w:r>
              <w:rPr>
                <w:rFonts w:hint="eastAsia" w:cs="宋体"/>
                <w:highlight w:val="none"/>
                <w:lang w:val="en-US" w:eastAsia="zh-CN"/>
              </w:rPr>
              <w:t>和田地区“一带二区”的矿业高质量发展新格局。</w:t>
            </w:r>
          </w:p>
          <w:p w14:paraId="06D6402C">
            <w:pPr>
              <w:snapToGrid w:val="0"/>
              <w:spacing w:line="400" w:lineRule="exact"/>
              <w:ind w:firstLine="480" w:firstLineChars="200"/>
              <w:rPr>
                <w:rFonts w:hint="eastAsia" w:ascii="Times New Roman" w:hAnsi="Times New Roman" w:eastAsia="宋体" w:cs="宋体"/>
                <w:highlight w:val="yellow"/>
              </w:rPr>
            </w:pPr>
            <w:r>
              <w:rPr>
                <w:rFonts w:hint="eastAsia" w:cs="宋体"/>
                <w:highlight w:val="none"/>
                <w:lang w:val="en-US" w:eastAsia="zh-CN"/>
              </w:rPr>
              <w:t>本项目勘查矿种为锰矿，综上所述，本项目符合《新疆维吾尔自治区和田地区矿产资源总体规划（2021—2025年）》总体目标和总体布局等相关要求。</w:t>
            </w:r>
          </w:p>
          <w:p w14:paraId="0FE288B8">
            <w:pPr>
              <w:numPr>
                <w:ilvl w:val="0"/>
                <w:numId w:val="0"/>
              </w:numPr>
              <w:adjustRightInd w:val="0"/>
              <w:snapToGrid w:val="0"/>
              <w:spacing w:line="400" w:lineRule="exact"/>
              <w:jc w:val="left"/>
              <w:rPr>
                <w:rFonts w:hint="eastAsia"/>
                <w:b/>
                <w:bCs/>
                <w:spacing w:val="-3"/>
                <w:lang w:val="en-US" w:eastAsia="zh-CN"/>
              </w:rPr>
            </w:pPr>
            <w:r>
              <w:rPr>
                <w:rFonts w:hint="eastAsia"/>
                <w:b/>
                <w:bCs/>
                <w:spacing w:val="-3"/>
                <w:lang w:val="en-US" w:eastAsia="zh-CN"/>
              </w:rPr>
              <w:t>3.</w:t>
            </w:r>
            <w:r>
              <w:rPr>
                <w:rFonts w:hint="eastAsia" w:ascii="Times New Roman" w:hAnsi="Times New Roman" w:eastAsia="宋体"/>
                <w:b/>
                <w:bCs/>
                <w:spacing w:val="-3"/>
                <w:highlight w:val="none"/>
                <w:lang w:val="en-US" w:eastAsia="zh-CN"/>
              </w:rPr>
              <w:t>与《巴音郭楞蒙古自治州矿产资源总体规划（2021—2025年）》的符合性分析</w:t>
            </w:r>
          </w:p>
          <w:p w14:paraId="26079178">
            <w:pPr>
              <w:snapToGrid w:val="0"/>
              <w:spacing w:line="400" w:lineRule="exact"/>
              <w:ind w:firstLine="480" w:firstLineChars="200"/>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根据《巴音郭楞蒙古自治州矿产资源总体规划（2021</w:t>
            </w:r>
            <w:r>
              <w:rPr>
                <w:rFonts w:hint="eastAsia" w:cs="宋体"/>
                <w:highlight w:val="none"/>
                <w:lang w:val="en-US" w:eastAsia="zh-CN"/>
              </w:rPr>
              <w:t>—</w:t>
            </w:r>
            <w:r>
              <w:rPr>
                <w:rFonts w:hint="default" w:ascii="Times New Roman" w:hAnsi="Times New Roman" w:eastAsia="宋体" w:cs="宋体"/>
                <w:highlight w:val="none"/>
                <w:lang w:val="en-US" w:eastAsia="zh-CN"/>
              </w:rPr>
              <w:t>2025年）》，矿产资源勘查开采调控方向：</w:t>
            </w:r>
          </w:p>
          <w:p w14:paraId="696818E2">
            <w:pPr>
              <w:numPr>
                <w:ilvl w:val="0"/>
                <w:numId w:val="0"/>
              </w:numPr>
              <w:snapToGrid w:val="0"/>
              <w:spacing w:line="400" w:lineRule="exact"/>
              <w:ind w:firstLine="480" w:firstLineChars="200"/>
              <w:rPr>
                <w:rFonts w:hint="eastAsia" w:ascii="Times New Roman" w:hAnsi="Times New Roman" w:eastAsia="宋体" w:cs="宋体"/>
                <w:highlight w:val="none"/>
                <w:lang w:val="en-US" w:eastAsia="zh-CN"/>
              </w:rPr>
            </w:pPr>
            <w:r>
              <w:rPr>
                <w:rFonts w:hint="eastAsia" w:ascii="Times New Roman" w:hAnsi="Times New Roman" w:eastAsia="宋体" w:cs="宋体"/>
                <w:kern w:val="2"/>
                <w:sz w:val="24"/>
                <w:szCs w:val="24"/>
                <w:lang w:val="en-US" w:eastAsia="zh-CN" w:bidi="ar-SA"/>
              </w:rPr>
              <w:t>（1）</w:t>
            </w:r>
            <w:r>
              <w:rPr>
                <w:rFonts w:hint="default" w:ascii="Times New Roman" w:hAnsi="Times New Roman" w:eastAsia="宋体" w:cs="宋体"/>
                <w:highlight w:val="none"/>
                <w:lang w:val="en-US" w:eastAsia="zh-CN"/>
              </w:rPr>
              <w:t>重点、限制、勘察勘查矿种</w:t>
            </w:r>
            <w:r>
              <w:rPr>
                <w:rFonts w:hint="eastAsia" w:ascii="Times New Roman" w:hAnsi="Times New Roman" w:eastAsia="宋体" w:cs="宋体"/>
                <w:highlight w:val="none"/>
                <w:lang w:val="en-US" w:eastAsia="zh-CN"/>
              </w:rPr>
              <w:t>：</w:t>
            </w:r>
          </w:p>
          <w:p w14:paraId="37A15742">
            <w:pPr>
              <w:numPr>
                <w:ilvl w:val="0"/>
                <w:numId w:val="0"/>
              </w:numPr>
              <w:snapToGrid w:val="0"/>
              <w:spacing w:line="400" w:lineRule="exact"/>
              <w:ind w:firstLine="480" w:firstLineChars="200"/>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重点勘察矿种：页岩气、煤、煤层气、地热等能源矿产，铁、铜、铅锌、镍、锡、金、银、锂、铍、铌、钽等金属矿产，钾盐萤石、硅质原料、菱镁矿等非金属矿产。</w:t>
            </w:r>
          </w:p>
          <w:p w14:paraId="47331843">
            <w:pPr>
              <w:numPr>
                <w:ilvl w:val="0"/>
                <w:numId w:val="0"/>
              </w:numPr>
              <w:snapToGrid w:val="0"/>
              <w:spacing w:line="400" w:lineRule="exact"/>
              <w:ind w:firstLine="480" w:firstLineChars="200"/>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限制勘查矿种</w:t>
            </w:r>
            <w:r>
              <w:rPr>
                <w:rFonts w:hint="eastAsia" w:ascii="Times New Roman" w:hAnsi="Times New Roman" w:eastAsia="宋体" w:cs="宋体"/>
                <w:highlight w:val="none"/>
                <w:lang w:val="en-US" w:eastAsia="zh-CN"/>
              </w:rPr>
              <w:t>：</w:t>
            </w:r>
            <w:r>
              <w:rPr>
                <w:rFonts w:hint="default" w:ascii="Times New Roman" w:hAnsi="Times New Roman" w:eastAsia="宋体" w:cs="宋体"/>
                <w:highlight w:val="none"/>
                <w:lang w:val="en-US" w:eastAsia="zh-CN"/>
              </w:rPr>
              <w:t>钨、稀土等国家规定实行保护性开采的特定矿种，高硫煤、石煤、硫铁矿、石棉等矿产，总量限制的非市场紧缺矿种等。</w:t>
            </w:r>
          </w:p>
          <w:p w14:paraId="7281C7CD">
            <w:pPr>
              <w:numPr>
                <w:ilvl w:val="0"/>
                <w:numId w:val="0"/>
              </w:numPr>
              <w:snapToGrid w:val="0"/>
              <w:spacing w:line="400" w:lineRule="exact"/>
              <w:ind w:firstLine="480" w:firstLineChars="200"/>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禁止勘查矿种</w:t>
            </w:r>
            <w:r>
              <w:rPr>
                <w:rFonts w:hint="eastAsia" w:ascii="Times New Roman" w:hAnsi="Times New Roman" w:eastAsia="宋体" w:cs="宋体"/>
                <w:highlight w:val="none"/>
                <w:lang w:val="en-US" w:eastAsia="zh-CN"/>
              </w:rPr>
              <w:t>：</w:t>
            </w:r>
            <w:r>
              <w:rPr>
                <w:rFonts w:hint="default" w:ascii="Times New Roman" w:hAnsi="Times New Roman" w:eastAsia="宋体" w:cs="宋体"/>
                <w:highlight w:val="none"/>
                <w:lang w:val="en-US" w:eastAsia="zh-CN"/>
              </w:rPr>
              <w:t xml:space="preserve">灰分大于40%或含硫大于3%的煤以及可耕地砖瓦用粘土、砂金、砂铁、汞等，放射性矿产等涉及国家战略利益的矿种。 </w:t>
            </w:r>
          </w:p>
          <w:p w14:paraId="5ABE8168">
            <w:pPr>
              <w:numPr>
                <w:ilvl w:val="0"/>
                <w:numId w:val="0"/>
              </w:numPr>
              <w:snapToGrid w:val="0"/>
              <w:spacing w:line="400" w:lineRule="exact"/>
              <w:ind w:firstLine="480" w:firstLineChars="200"/>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对重点勘查矿种，加强财政资金投入，实施找矿突破战略实现新一轮找矿突破，优先投放探矿权，同时严格规范探矿权人准入条件，坚持绿色勘查，保护生态环境。 对限制勘查矿种，原则上不新设探矿权，确因经济发展和供需要求需要投放探矿权，除严格规范探矿权人准入条件外，要进行资源环境承载力论证，保护生态环境。禁止设置砂金探矿权。</w:t>
            </w:r>
          </w:p>
          <w:p w14:paraId="30002466">
            <w:pPr>
              <w:numPr>
                <w:ilvl w:val="0"/>
                <w:numId w:val="0"/>
              </w:numPr>
              <w:snapToGrid w:val="0"/>
              <w:spacing w:line="400" w:lineRule="exact"/>
              <w:ind w:firstLine="480" w:firstLineChars="200"/>
              <w:rPr>
                <w:rFonts w:hint="eastAsia" w:ascii="Times New Roman" w:hAnsi="Times New Roman" w:eastAsia="宋体" w:cs="宋体"/>
                <w:highlight w:val="none"/>
                <w:lang w:val="en-US" w:eastAsia="zh-CN"/>
              </w:rPr>
            </w:pPr>
            <w:r>
              <w:rPr>
                <w:rFonts w:hint="eastAsia" w:ascii="Times New Roman" w:hAnsi="Times New Roman" w:eastAsia="宋体" w:cs="宋体"/>
                <w:kern w:val="2"/>
                <w:sz w:val="24"/>
                <w:szCs w:val="24"/>
                <w:lang w:val="en-US" w:eastAsia="zh-CN" w:bidi="ar-SA"/>
              </w:rPr>
              <w:t>（2）</w:t>
            </w:r>
            <w:r>
              <w:rPr>
                <w:rFonts w:hint="default" w:ascii="Times New Roman" w:hAnsi="Times New Roman" w:eastAsia="宋体" w:cs="宋体"/>
                <w:highlight w:val="none"/>
                <w:lang w:val="en-US" w:eastAsia="zh-CN"/>
              </w:rPr>
              <w:t>重点、限制、勘察开采矿种</w:t>
            </w:r>
            <w:r>
              <w:rPr>
                <w:rFonts w:hint="eastAsia" w:ascii="Times New Roman" w:hAnsi="Times New Roman" w:eastAsia="宋体" w:cs="宋体"/>
                <w:highlight w:val="none"/>
                <w:lang w:val="en-US" w:eastAsia="zh-CN"/>
              </w:rPr>
              <w:t>：</w:t>
            </w:r>
          </w:p>
          <w:p w14:paraId="1F224AD1">
            <w:pPr>
              <w:numPr>
                <w:ilvl w:val="0"/>
                <w:numId w:val="0"/>
              </w:numPr>
              <w:snapToGrid w:val="0"/>
              <w:spacing w:line="400" w:lineRule="exact"/>
              <w:ind w:firstLine="480" w:firstLineChars="200"/>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重点开采矿种</w:t>
            </w:r>
            <w:r>
              <w:rPr>
                <w:rFonts w:hint="eastAsia" w:ascii="Times New Roman" w:hAnsi="Times New Roman" w:eastAsia="宋体" w:cs="宋体"/>
                <w:highlight w:val="none"/>
                <w:lang w:val="en-US" w:eastAsia="zh-CN"/>
              </w:rPr>
              <w:t>：</w:t>
            </w:r>
            <w:r>
              <w:rPr>
                <w:rFonts w:hint="default" w:ascii="Times New Roman" w:hAnsi="Times New Roman" w:eastAsia="宋体" w:cs="宋体"/>
                <w:highlight w:val="none"/>
                <w:lang w:val="en-US" w:eastAsia="zh-CN"/>
              </w:rPr>
              <w:t xml:space="preserve">煤、煤层气、地热等能源矿产，铁、铜、铅锌、镍、锡、金、银、锂、铍、铌、钽等金属矿产，钾盐、萤石、硅质原料、菱镁矿等非金属矿产。 </w:t>
            </w:r>
          </w:p>
          <w:p w14:paraId="4E71B8E4">
            <w:pPr>
              <w:numPr>
                <w:ilvl w:val="0"/>
                <w:numId w:val="0"/>
              </w:numPr>
              <w:snapToGrid w:val="0"/>
              <w:spacing w:line="400" w:lineRule="exact"/>
              <w:ind w:firstLine="480" w:firstLineChars="200"/>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限制开采矿种</w:t>
            </w:r>
            <w:r>
              <w:rPr>
                <w:rFonts w:hint="eastAsia" w:ascii="Times New Roman" w:hAnsi="Times New Roman" w:eastAsia="宋体" w:cs="宋体"/>
                <w:highlight w:val="none"/>
                <w:lang w:val="en-US" w:eastAsia="zh-CN"/>
              </w:rPr>
              <w:t>：</w:t>
            </w:r>
            <w:r>
              <w:rPr>
                <w:rFonts w:hint="default" w:ascii="Times New Roman" w:hAnsi="Times New Roman" w:eastAsia="宋体" w:cs="宋体"/>
                <w:highlight w:val="none"/>
                <w:lang w:val="en-US" w:eastAsia="zh-CN"/>
              </w:rPr>
              <w:t>限制开采高硫、高灰、高砷、高氟煤炭，砖瓦用粘土、建筑用砂、石灰岩、石棉等矿产，严格控制钨、稀土等特定保护性开采矿产。严禁新设非共伴生硫铁矿开采项目，</w:t>
            </w:r>
            <w:r>
              <w:rPr>
                <w:rFonts w:hint="eastAsia" w:ascii="Times New Roman" w:hAnsi="Times New Roman" w:eastAsia="宋体" w:cs="宋体"/>
                <w:highlight w:val="none"/>
                <w:lang w:val="en-US" w:eastAsia="zh-CN"/>
              </w:rPr>
              <w:t>“</w:t>
            </w:r>
            <w:r>
              <w:rPr>
                <w:rFonts w:hint="default" w:ascii="Times New Roman" w:hAnsi="Times New Roman" w:eastAsia="宋体" w:cs="宋体"/>
                <w:highlight w:val="none"/>
                <w:lang w:val="en-US" w:eastAsia="zh-CN"/>
              </w:rPr>
              <w:t>限粘</w:t>
            </w:r>
            <w:r>
              <w:rPr>
                <w:rFonts w:hint="eastAsia" w:ascii="Times New Roman" w:hAnsi="Times New Roman" w:eastAsia="宋体" w:cs="宋体"/>
                <w:highlight w:val="none"/>
                <w:lang w:val="en-US" w:eastAsia="zh-CN"/>
              </w:rPr>
              <w:t>”</w:t>
            </w:r>
            <w:r>
              <w:rPr>
                <w:rFonts w:hint="default" w:ascii="Times New Roman" w:hAnsi="Times New Roman" w:eastAsia="宋体" w:cs="宋体"/>
                <w:highlight w:val="none"/>
                <w:lang w:val="en-US" w:eastAsia="zh-CN"/>
              </w:rPr>
              <w:t xml:space="preserve">县市禁止新设砖瓦用粘土采矿权。 </w:t>
            </w:r>
          </w:p>
          <w:p w14:paraId="4C50D062">
            <w:pPr>
              <w:numPr>
                <w:ilvl w:val="0"/>
                <w:numId w:val="0"/>
              </w:numPr>
              <w:snapToGrid w:val="0"/>
              <w:spacing w:line="400" w:lineRule="exact"/>
              <w:ind w:firstLine="480" w:firstLineChars="200"/>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禁止开采矿种</w:t>
            </w:r>
            <w:r>
              <w:rPr>
                <w:rFonts w:hint="eastAsia" w:ascii="Times New Roman" w:hAnsi="Times New Roman" w:eastAsia="宋体" w:cs="宋体"/>
                <w:highlight w:val="none"/>
                <w:lang w:val="en-US" w:eastAsia="zh-CN"/>
              </w:rPr>
              <w:t>：</w:t>
            </w:r>
            <w:r>
              <w:rPr>
                <w:rFonts w:hint="default" w:ascii="Times New Roman" w:hAnsi="Times New Roman" w:eastAsia="宋体" w:cs="宋体"/>
                <w:highlight w:val="none"/>
                <w:lang w:val="en-US" w:eastAsia="zh-CN"/>
              </w:rPr>
              <w:t>禁止开采灰分大于40%或含硫大于3%、放射性等有毒有害物质超过规定标准的煤炭项目</w:t>
            </w:r>
            <w:r>
              <w:rPr>
                <w:rFonts w:hint="eastAsia" w:ascii="Times New Roman" w:hAnsi="Times New Roman" w:eastAsia="宋体" w:cs="宋体"/>
                <w:highlight w:val="none"/>
                <w:lang w:val="en-US" w:eastAsia="zh-CN"/>
              </w:rPr>
              <w:t>，</w:t>
            </w:r>
            <w:r>
              <w:rPr>
                <w:rFonts w:hint="default" w:ascii="Times New Roman" w:hAnsi="Times New Roman" w:eastAsia="宋体" w:cs="宋体"/>
                <w:highlight w:val="none"/>
                <w:lang w:val="en-US" w:eastAsia="zh-CN"/>
              </w:rPr>
              <w:t xml:space="preserve">砂金、砂铁、汞、可耕地砖瓦用粘土等矿产。 </w:t>
            </w:r>
          </w:p>
          <w:p w14:paraId="11DA0547">
            <w:pPr>
              <w:snapToGrid w:val="0"/>
              <w:spacing w:line="400" w:lineRule="exact"/>
              <w:ind w:firstLine="480" w:firstLineChars="200"/>
              <w:rPr>
                <w:rFonts w:hint="default" w:ascii="Times New Roman" w:hAnsi="Times New Roman" w:eastAsia="宋体" w:cs="宋体"/>
                <w:highlight w:val="none"/>
                <w:lang w:val="en-US" w:eastAsia="zh-CN"/>
              </w:rPr>
            </w:pPr>
            <w:r>
              <w:rPr>
                <w:rFonts w:hint="default" w:ascii="Times New Roman" w:hAnsi="Times New Roman" w:eastAsia="宋体" w:cs="宋体"/>
                <w:highlight w:val="none"/>
                <w:lang w:val="en-US" w:eastAsia="zh-CN"/>
              </w:rPr>
              <w:t>对重点开采矿种，优先投放采矿权，严格规范采矿权人准入条件，对矿产资源开采总量进行调控。对限制开采矿种，坚持生态保护优先原则，严格采矿权人准入条件，对矿产资源开采总量进行调控。禁止设置砂金采矿权。</w:t>
            </w:r>
          </w:p>
          <w:p w14:paraId="1E0BF6C7">
            <w:pPr>
              <w:snapToGrid w:val="0"/>
              <w:spacing w:line="400" w:lineRule="exact"/>
              <w:ind w:firstLine="480" w:firstLineChars="200"/>
              <w:rPr>
                <w:rFonts w:hint="eastAsia"/>
                <w:b/>
                <w:bCs/>
                <w:spacing w:val="-3"/>
                <w:lang w:val="en-US" w:eastAsia="zh-CN"/>
              </w:rPr>
            </w:pPr>
            <w:r>
              <w:rPr>
                <w:rFonts w:hint="default" w:ascii="Times New Roman" w:hAnsi="Times New Roman" w:eastAsia="宋体" w:cs="宋体"/>
                <w:highlight w:val="none"/>
                <w:lang w:val="en-US" w:eastAsia="zh-CN"/>
              </w:rPr>
              <w:t xml:space="preserve"> 本项目为锰矿勘探项目，</w:t>
            </w:r>
            <w:r>
              <w:rPr>
                <w:rFonts w:hint="eastAsia" w:cs="宋体"/>
                <w:highlight w:val="none"/>
                <w:lang w:val="en-US" w:eastAsia="zh-CN"/>
              </w:rPr>
              <w:t>不</w:t>
            </w:r>
            <w:r>
              <w:rPr>
                <w:rFonts w:hint="default" w:ascii="Times New Roman" w:hAnsi="Times New Roman" w:eastAsia="宋体" w:cs="宋体"/>
                <w:highlight w:val="none"/>
                <w:lang w:val="en-US" w:eastAsia="zh-CN"/>
              </w:rPr>
              <w:t>属于</w:t>
            </w:r>
            <w:r>
              <w:rPr>
                <w:rFonts w:hint="eastAsia" w:cs="宋体"/>
                <w:highlight w:val="none"/>
                <w:lang w:val="en-US" w:eastAsia="zh-CN"/>
              </w:rPr>
              <w:t>限制和禁止</w:t>
            </w:r>
            <w:r>
              <w:rPr>
                <w:rFonts w:hint="default" w:ascii="Times New Roman" w:hAnsi="Times New Roman" w:eastAsia="宋体" w:cs="宋体"/>
                <w:highlight w:val="none"/>
                <w:lang w:val="en-US" w:eastAsia="zh-CN"/>
              </w:rPr>
              <w:t>勘查开采矿种，已取得勘查许可证（证号：</w:t>
            </w:r>
            <w:r>
              <w:rPr>
                <w:rFonts w:hint="eastAsia" w:ascii="Times New Roman" w:hAnsi="Times New Roman"/>
                <w:lang w:val="en-US" w:eastAsia="zh-CN"/>
              </w:rPr>
              <w:t>X</w:t>
            </w:r>
            <w:r>
              <w:rPr>
                <w:rFonts w:hint="eastAsia" w:ascii="Times New Roman" w:hAnsi="Times New Roman" w:eastAsia="宋体"/>
              </w:rPr>
              <w:t>T65000020</w:t>
            </w:r>
            <w:r>
              <w:rPr>
                <w:rFonts w:hint="eastAsia" w:ascii="Times New Roman" w:hAnsi="Times New Roman"/>
                <w:lang w:val="en-US" w:eastAsia="zh-CN"/>
              </w:rPr>
              <w:t>25102040000049</w:t>
            </w:r>
            <w:r>
              <w:rPr>
                <w:rFonts w:hint="default" w:ascii="Times New Roman" w:hAnsi="Times New Roman" w:eastAsia="宋体" w:cs="宋体"/>
                <w:highlight w:val="none"/>
                <w:lang w:val="en-US" w:eastAsia="zh-CN"/>
              </w:rPr>
              <w:t>）</w:t>
            </w:r>
            <w:r>
              <w:rPr>
                <w:rFonts w:hint="eastAsia" w:ascii="Times New Roman" w:hAnsi="Times New Roman" w:eastAsia="宋体" w:cs="宋体"/>
                <w:highlight w:val="none"/>
                <w:lang w:val="en-US" w:eastAsia="zh-CN"/>
              </w:rPr>
              <w:t>，</w:t>
            </w:r>
            <w:r>
              <w:rPr>
                <w:rFonts w:hint="default" w:ascii="Times New Roman" w:hAnsi="Times New Roman" w:eastAsia="宋体" w:cs="宋体"/>
                <w:highlight w:val="none"/>
                <w:lang w:val="en-US" w:eastAsia="zh-CN"/>
              </w:rPr>
              <w:t>符合《巴音郭楞蒙古自治州矿产资源总体规划（2021</w:t>
            </w:r>
            <w:r>
              <w:rPr>
                <w:rFonts w:hint="eastAsia" w:cs="宋体"/>
                <w:highlight w:val="none"/>
                <w:lang w:val="en-US" w:eastAsia="zh-CN"/>
              </w:rPr>
              <w:t>—</w:t>
            </w:r>
            <w:r>
              <w:rPr>
                <w:rFonts w:hint="default" w:ascii="Times New Roman" w:hAnsi="Times New Roman" w:eastAsia="宋体" w:cs="宋体"/>
                <w:highlight w:val="none"/>
                <w:lang w:val="en-US" w:eastAsia="zh-CN"/>
              </w:rPr>
              <w:t>2025年）》要求。</w:t>
            </w:r>
          </w:p>
          <w:p w14:paraId="53F13AC0">
            <w:pPr>
              <w:numPr>
                <w:ilvl w:val="0"/>
                <w:numId w:val="0"/>
              </w:numPr>
              <w:adjustRightInd w:val="0"/>
              <w:snapToGrid w:val="0"/>
              <w:spacing w:line="400" w:lineRule="exact"/>
              <w:jc w:val="left"/>
              <w:rPr>
                <w:rFonts w:hint="eastAsia"/>
                <w:b/>
                <w:bCs/>
                <w:spacing w:val="-3"/>
                <w:lang w:val="en-US" w:eastAsia="zh-CN"/>
              </w:rPr>
            </w:pPr>
            <w:r>
              <w:rPr>
                <w:rFonts w:hint="eastAsia"/>
                <w:b/>
                <w:bCs/>
                <w:spacing w:val="-3"/>
                <w:lang w:val="en-US" w:eastAsia="zh-CN"/>
              </w:rPr>
              <w:t>4.与《新疆维吾尔自治区矿产资源总体规划（2021—2025年）环境影响报告书》的符合性分析</w:t>
            </w:r>
          </w:p>
          <w:p w14:paraId="4A1509BF">
            <w:pPr>
              <w:numPr>
                <w:ilvl w:val="0"/>
                <w:numId w:val="0"/>
              </w:numPr>
              <w:adjustRightInd w:val="0"/>
              <w:snapToGrid w:val="0"/>
              <w:spacing w:line="400" w:lineRule="exact"/>
              <w:jc w:val="center"/>
              <w:rPr>
                <w:rFonts w:hint="eastAsia"/>
                <w:b/>
                <w:bCs/>
                <w:spacing w:val="-3"/>
                <w:sz w:val="21"/>
                <w:szCs w:val="21"/>
                <w:lang w:val="en-US" w:eastAsia="zh-CN"/>
              </w:rPr>
            </w:pPr>
            <w:r>
              <w:rPr>
                <w:rFonts w:hint="eastAsia"/>
                <w:b/>
                <w:bCs/>
                <w:spacing w:val="-3"/>
                <w:sz w:val="21"/>
                <w:szCs w:val="21"/>
                <w:lang w:val="en-US" w:eastAsia="zh-CN"/>
              </w:rPr>
              <w:t>表1-1与《新疆维吾尔自治区矿产资源总体规划（2021—2025年）环境影响报告书》中环保措施的符合性分析</w:t>
            </w:r>
          </w:p>
          <w:tbl>
            <w:tblPr>
              <w:tblStyle w:val="16"/>
              <w:tblW w:w="7838" w:type="dxa"/>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638"/>
              <w:gridCol w:w="4133"/>
              <w:gridCol w:w="2083"/>
              <w:gridCol w:w="288"/>
            </w:tblGrid>
            <w:tr w14:paraId="42E6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96" w:type="dxa"/>
                  <w:vAlign w:val="center"/>
                </w:tcPr>
                <w:p w14:paraId="64994D34">
                  <w:pPr>
                    <w:snapToGrid w:val="0"/>
                    <w:spacing w:line="400" w:lineRule="exact"/>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名称</w:t>
                  </w:r>
                </w:p>
              </w:tc>
              <w:tc>
                <w:tcPr>
                  <w:tcW w:w="4771" w:type="dxa"/>
                  <w:gridSpan w:val="2"/>
                  <w:vAlign w:val="center"/>
                </w:tcPr>
                <w:p w14:paraId="4D0F71DF">
                  <w:pPr>
                    <w:adjustRightInd w:val="0"/>
                    <w:snapToGrid w:val="0"/>
                    <w:spacing w:line="400" w:lineRule="exact"/>
                    <w:jc w:val="center"/>
                    <w:rPr>
                      <w:rFonts w:hint="eastAsia" w:cs="宋体"/>
                      <w:sz w:val="21"/>
                      <w:szCs w:val="21"/>
                      <w:highlight w:val="none"/>
                      <w:vertAlign w:val="baseline"/>
                      <w:lang w:val="en-US" w:eastAsia="zh-CN"/>
                    </w:rPr>
                  </w:pPr>
                  <w:r>
                    <w:rPr>
                      <w:rFonts w:hint="eastAsia" w:cs="宋体"/>
                      <w:sz w:val="21"/>
                      <w:szCs w:val="21"/>
                    </w:rPr>
                    <w:t>文件要求</w:t>
                  </w:r>
                </w:p>
              </w:tc>
              <w:tc>
                <w:tcPr>
                  <w:tcW w:w="2083" w:type="dxa"/>
                  <w:vAlign w:val="center"/>
                </w:tcPr>
                <w:p w14:paraId="34B8EB41">
                  <w:pPr>
                    <w:adjustRightInd w:val="0"/>
                    <w:snapToGrid w:val="0"/>
                    <w:spacing w:line="400" w:lineRule="exact"/>
                    <w:jc w:val="center"/>
                    <w:rPr>
                      <w:rFonts w:hint="eastAsia" w:cs="宋体"/>
                      <w:sz w:val="21"/>
                      <w:szCs w:val="21"/>
                      <w:highlight w:val="none"/>
                      <w:vertAlign w:val="baseline"/>
                      <w:lang w:val="en-US" w:eastAsia="zh-CN"/>
                    </w:rPr>
                  </w:pPr>
                  <w:r>
                    <w:rPr>
                      <w:rFonts w:hint="eastAsia" w:cs="宋体"/>
                      <w:sz w:val="21"/>
                      <w:szCs w:val="21"/>
                    </w:rPr>
                    <w:t>本项目</w:t>
                  </w:r>
                </w:p>
              </w:tc>
              <w:tc>
                <w:tcPr>
                  <w:tcW w:w="288" w:type="dxa"/>
                  <w:vAlign w:val="center"/>
                </w:tcPr>
                <w:p w14:paraId="17699E18">
                  <w:pPr>
                    <w:adjustRightInd w:val="0"/>
                    <w:snapToGrid w:val="0"/>
                    <w:spacing w:line="400" w:lineRule="exact"/>
                    <w:jc w:val="center"/>
                    <w:rPr>
                      <w:rFonts w:hint="eastAsia" w:cs="宋体"/>
                      <w:sz w:val="21"/>
                      <w:szCs w:val="21"/>
                      <w:highlight w:val="none"/>
                      <w:vertAlign w:val="baseline"/>
                      <w:lang w:val="en-US" w:eastAsia="zh-CN"/>
                    </w:rPr>
                  </w:pPr>
                  <w:r>
                    <w:rPr>
                      <w:rFonts w:hint="eastAsia" w:cs="宋体"/>
                      <w:sz w:val="21"/>
                      <w:szCs w:val="21"/>
                    </w:rPr>
                    <w:t>符合性</w:t>
                  </w:r>
                </w:p>
              </w:tc>
            </w:tr>
            <w:tr w14:paraId="6498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Merge w:val="restart"/>
                  <w:vAlign w:val="center"/>
                </w:tcPr>
                <w:p w14:paraId="660CC236">
                  <w:pPr>
                    <w:snapToGrid w:val="0"/>
                    <w:spacing w:line="400" w:lineRule="exact"/>
                    <w:jc w:val="both"/>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《新疆维吾尔自治区矿产资源总体规划（2021—2025年）环境影响报告书》</w:t>
                  </w:r>
                </w:p>
              </w:tc>
              <w:tc>
                <w:tcPr>
                  <w:tcW w:w="638" w:type="dxa"/>
                  <w:vAlign w:val="center"/>
                </w:tcPr>
                <w:p w14:paraId="4363CB58">
                  <w:pPr>
                    <w:snapToGrid w:val="0"/>
                    <w:spacing w:line="400" w:lineRule="exact"/>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自然保护区</w:t>
                  </w:r>
                </w:p>
              </w:tc>
              <w:tc>
                <w:tcPr>
                  <w:tcW w:w="4133" w:type="dxa"/>
                  <w:vAlign w:val="center"/>
                </w:tcPr>
                <w:p w14:paraId="4B5E1538">
                  <w:pPr>
                    <w:snapToGrid w:val="0"/>
                    <w:spacing w:line="400" w:lineRule="exact"/>
                    <w:jc w:val="both"/>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三线一单”的颁布为生态环境提供了具体保护操作检查依据，规划实施应按着要求严格执行。生态环境保护红线范围内，不再规划新建矿山，已有矿山有序关停。随着红线区的调整变化，进入的矿山也应退出关停。</w:t>
                  </w:r>
                </w:p>
              </w:tc>
              <w:tc>
                <w:tcPr>
                  <w:tcW w:w="2083" w:type="dxa"/>
                  <w:vAlign w:val="center"/>
                </w:tcPr>
                <w:p w14:paraId="4B135610">
                  <w:pPr>
                    <w:snapToGrid w:val="0"/>
                    <w:spacing w:line="400" w:lineRule="exact"/>
                    <w:jc w:val="left"/>
                    <w:rPr>
                      <w:rFonts w:hint="default" w:cs="宋体"/>
                      <w:sz w:val="21"/>
                      <w:szCs w:val="21"/>
                      <w:highlight w:val="none"/>
                      <w:vertAlign w:val="baseline"/>
                      <w:lang w:val="en-US" w:eastAsia="zh-CN"/>
                    </w:rPr>
                  </w:pPr>
                  <w:r>
                    <w:rPr>
                      <w:rFonts w:hint="eastAsia" w:ascii="Times New Roman" w:hAnsi="Times New Roman" w:eastAsia="宋体"/>
                      <w:sz w:val="21"/>
                      <w:szCs w:val="21"/>
                      <w:lang w:eastAsia="zh-CN"/>
                    </w:rPr>
                    <w:t>本项目勘探区域位于</w:t>
                  </w:r>
                  <w:r>
                    <w:rPr>
                      <w:rFonts w:hint="eastAsia" w:ascii="Times New Roman" w:hAnsi="Times New Roman" w:eastAsia="宋体" w:cs="Times New Roman"/>
                      <w:kern w:val="0"/>
                      <w:sz w:val="21"/>
                      <w:szCs w:val="21"/>
                      <w:lang w:val="en-US" w:eastAsia="zh-CN" w:bidi="ar-SA"/>
                    </w:rPr>
                    <w:t>民丰县东南</w:t>
                  </w:r>
                  <w:r>
                    <w:rPr>
                      <w:rFonts w:hint="eastAsia" w:cs="Times New Roman"/>
                      <w:kern w:val="0"/>
                      <w:sz w:val="21"/>
                      <w:szCs w:val="21"/>
                      <w:lang w:val="en-US" w:eastAsia="zh-CN" w:bidi="ar-SA"/>
                    </w:rPr>
                    <w:t>108</w:t>
                  </w:r>
                  <w:r>
                    <w:rPr>
                      <w:rFonts w:hint="default" w:ascii="Times New Roman" w:hAnsi="Times New Roman" w:cs="Times New Roman"/>
                      <w:kern w:val="0"/>
                      <w:sz w:val="21"/>
                      <w:szCs w:val="21"/>
                      <w:lang w:val="en-US" w:eastAsia="zh-CN" w:bidi="ar-SA"/>
                    </w:rPr>
                    <w:t>°</w:t>
                  </w:r>
                  <w:r>
                    <w:rPr>
                      <w:rFonts w:hint="eastAsia" w:ascii="Times New Roman" w:hAnsi="Times New Roman" w:eastAsia="宋体" w:cs="Times New Roman"/>
                      <w:kern w:val="0"/>
                      <w:sz w:val="21"/>
                      <w:szCs w:val="21"/>
                      <w:lang w:val="en-US" w:eastAsia="zh-CN" w:bidi="ar-SA"/>
                    </w:rPr>
                    <w:t>约1</w:t>
                  </w:r>
                  <w:r>
                    <w:rPr>
                      <w:rFonts w:hint="eastAsia" w:cs="Times New Roman"/>
                      <w:kern w:val="0"/>
                      <w:sz w:val="21"/>
                      <w:szCs w:val="21"/>
                      <w:lang w:val="en-US" w:eastAsia="zh-CN" w:bidi="ar-SA"/>
                    </w:rPr>
                    <w:t>3</w:t>
                  </w:r>
                  <w:r>
                    <w:rPr>
                      <w:rFonts w:hint="eastAsia" w:ascii="Times New Roman" w:hAnsi="Times New Roman" w:eastAsia="宋体" w:cs="Times New Roman"/>
                      <w:kern w:val="0"/>
                      <w:sz w:val="21"/>
                      <w:szCs w:val="21"/>
                      <w:lang w:val="en-US" w:eastAsia="zh-CN" w:bidi="ar-SA"/>
                    </w:rPr>
                    <w:t>0km处</w:t>
                  </w:r>
                  <w:r>
                    <w:rPr>
                      <w:rFonts w:hint="eastAsia"/>
                      <w:sz w:val="21"/>
                      <w:szCs w:val="21"/>
                      <w:lang w:val="en-US" w:eastAsia="zh-CN"/>
                    </w:rPr>
                    <w:t>。根据新疆维吾尔自治区“三线一单”信息应用平台查询，勘查区南侧距离帕米尔－昆仑山水土流失防控生态保护红线区约5.02千米，勘查区东侧和东北分别距离昆仑山生物多样性维护生态保护红线区约10.4千米和7.82千米</w:t>
                  </w:r>
                  <w:r>
                    <w:rPr>
                      <w:rFonts w:hint="eastAsia"/>
                      <w:sz w:val="21"/>
                      <w:szCs w:val="21"/>
                      <w:highlight w:val="none"/>
                      <w:lang w:val="en-US" w:eastAsia="zh-CN"/>
                    </w:rPr>
                    <w:t>，</w:t>
                  </w:r>
                  <w:r>
                    <w:rPr>
                      <w:rFonts w:hint="eastAsia"/>
                      <w:sz w:val="21"/>
                      <w:szCs w:val="21"/>
                      <w:lang w:val="en-US" w:eastAsia="zh-CN"/>
                    </w:rPr>
                    <w:t>项目不在生态保护红线区域内，不会影响所在区域内生态服务功能。</w:t>
                  </w:r>
                </w:p>
              </w:tc>
              <w:tc>
                <w:tcPr>
                  <w:tcW w:w="288" w:type="dxa"/>
                  <w:vAlign w:val="center"/>
                </w:tcPr>
                <w:p w14:paraId="78AF1554">
                  <w:pPr>
                    <w:snapToGrid w:val="0"/>
                    <w:spacing w:line="400" w:lineRule="exact"/>
                    <w:jc w:val="center"/>
                    <w:rPr>
                      <w:rFonts w:hint="eastAsia" w:cs="宋体"/>
                      <w:sz w:val="21"/>
                      <w:szCs w:val="21"/>
                      <w:highlight w:val="none"/>
                      <w:vertAlign w:val="baseline"/>
                      <w:lang w:val="en-US" w:eastAsia="zh-CN"/>
                    </w:rPr>
                  </w:pPr>
                  <w:r>
                    <w:rPr>
                      <w:rFonts w:hint="eastAsia" w:cs="宋体"/>
                      <w:sz w:val="21"/>
                      <w:szCs w:val="21"/>
                    </w:rPr>
                    <w:t>符合</w:t>
                  </w:r>
                </w:p>
              </w:tc>
            </w:tr>
            <w:tr w14:paraId="4DB6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6" w:type="dxa"/>
                  <w:vMerge w:val="continue"/>
                  <w:vAlign w:val="center"/>
                </w:tcPr>
                <w:p w14:paraId="7FD80D62">
                  <w:pPr>
                    <w:snapToGrid w:val="0"/>
                    <w:spacing w:line="400" w:lineRule="exact"/>
                    <w:jc w:val="center"/>
                    <w:rPr>
                      <w:rFonts w:hint="eastAsia" w:cs="宋体"/>
                      <w:sz w:val="21"/>
                      <w:szCs w:val="21"/>
                      <w:highlight w:val="none"/>
                      <w:vertAlign w:val="baseline"/>
                      <w:lang w:val="en-US" w:eastAsia="zh-CN"/>
                    </w:rPr>
                  </w:pPr>
                </w:p>
              </w:tc>
              <w:tc>
                <w:tcPr>
                  <w:tcW w:w="638" w:type="dxa"/>
                  <w:vAlign w:val="center"/>
                </w:tcPr>
                <w:p w14:paraId="155398F7">
                  <w:pPr>
                    <w:snapToGrid w:val="0"/>
                    <w:spacing w:line="400" w:lineRule="exact"/>
                    <w:jc w:val="both"/>
                    <w:rPr>
                      <w:rFonts w:hint="eastAsia" w:cs="宋体"/>
                      <w:sz w:val="21"/>
                      <w:szCs w:val="21"/>
                      <w:highlight w:val="none"/>
                      <w:vertAlign w:val="baseline"/>
                      <w:lang w:val="en-US" w:eastAsia="zh-CN"/>
                    </w:rPr>
                  </w:pPr>
                </w:p>
                <w:p w14:paraId="494CC200">
                  <w:pPr>
                    <w:snapToGrid w:val="0"/>
                    <w:spacing w:line="400" w:lineRule="exact"/>
                    <w:jc w:val="center"/>
                    <w:rPr>
                      <w:rFonts w:hint="eastAsia" w:cs="宋体"/>
                      <w:sz w:val="21"/>
                      <w:szCs w:val="21"/>
                      <w:highlight w:val="none"/>
                      <w:vertAlign w:val="baseline"/>
                      <w:lang w:val="en-US" w:eastAsia="zh-CN"/>
                    </w:rPr>
                  </w:pPr>
                </w:p>
                <w:p w14:paraId="1C276FE5">
                  <w:pPr>
                    <w:snapToGrid w:val="0"/>
                    <w:spacing w:line="400" w:lineRule="exact"/>
                    <w:jc w:val="center"/>
                    <w:rPr>
                      <w:rFonts w:hint="eastAsia" w:cs="宋体"/>
                      <w:sz w:val="21"/>
                      <w:szCs w:val="21"/>
                      <w:highlight w:val="none"/>
                      <w:vertAlign w:val="baseline"/>
                      <w:lang w:val="en-US" w:eastAsia="zh-CN"/>
                    </w:rPr>
                  </w:pPr>
                </w:p>
                <w:p w14:paraId="6B744517">
                  <w:pPr>
                    <w:snapToGrid w:val="0"/>
                    <w:spacing w:line="400" w:lineRule="exact"/>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大气污染防治措施</w:t>
                  </w:r>
                </w:p>
              </w:tc>
              <w:tc>
                <w:tcPr>
                  <w:tcW w:w="4133" w:type="dxa"/>
                  <w:vAlign w:val="center"/>
                </w:tcPr>
                <w:p w14:paraId="10061F93">
                  <w:pPr>
                    <w:snapToGrid w:val="0"/>
                    <w:spacing w:line="400" w:lineRule="exact"/>
                    <w:jc w:val="both"/>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1）规划实施过程中，必须严格遵守《大气污染防治行动计划》中环境保护要求。</w:t>
                  </w:r>
                </w:p>
                <w:p w14:paraId="438C1840">
                  <w:pPr>
                    <w:snapToGrid w:val="0"/>
                    <w:spacing w:line="400" w:lineRule="exact"/>
                    <w:jc w:val="both"/>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2）矿区所用车辆禁止使用黄标车，工程机械等采用尾气净化装置。</w:t>
                  </w:r>
                </w:p>
                <w:p w14:paraId="030FD317">
                  <w:pPr>
                    <w:snapToGrid w:val="0"/>
                    <w:spacing w:line="400" w:lineRule="exact"/>
                    <w:jc w:val="both"/>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3）推进能源梯级利用、水资源循环利用、废物交换利用、土地节约集约利用，促进企业循环式生产。</w:t>
                  </w:r>
                </w:p>
                <w:p w14:paraId="1E44EB00">
                  <w:pPr>
                    <w:numPr>
                      <w:ilvl w:val="0"/>
                      <w:numId w:val="1"/>
                    </w:numPr>
                    <w:snapToGrid w:val="0"/>
                    <w:spacing w:line="400" w:lineRule="exact"/>
                    <w:jc w:val="both"/>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规划区内燃煤锅炉排放需要执行大气污染物特别排放标准。</w:t>
                  </w:r>
                </w:p>
                <w:p w14:paraId="5AEFDE0B">
                  <w:pPr>
                    <w:numPr>
                      <w:ilvl w:val="0"/>
                      <w:numId w:val="0"/>
                    </w:numPr>
                    <w:snapToGrid w:val="0"/>
                    <w:spacing w:line="400" w:lineRule="exact"/>
                    <w:jc w:val="both"/>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5）严格控制粉尘排放。①爆破粉尘。矿山爆破过程中会产生大量的粉尘，为了减少爆破时粉尘的产生量，建议采用合理的炮孔网度、微差爆破、炮孔堵塞，对预爆区洒水预湿。并且工作中应认真细致，减少不必要的爆破次数。②凿岩粉尘。地下开采方式，井下工作面采取粉尘控制措施架设风带至工作面、洒水降尘、湿式扒装、湿式凿岩等，能有效地降低矿井排风中粉尘和废气浓度。③破碎筛分粉尘。破碎、筛分粉尘影响是矿山企业主要的粉尘影响，实施密封民丰装袋式除尘装置，除尘装置处理能力为4000-12000m</w:t>
                  </w:r>
                  <w:r>
                    <w:rPr>
                      <w:rFonts w:hint="eastAsia" w:cs="宋体"/>
                      <w:sz w:val="21"/>
                      <w:szCs w:val="21"/>
                      <w:highlight w:val="none"/>
                      <w:vertAlign w:val="superscript"/>
                      <w:lang w:val="en-US" w:eastAsia="zh-CN"/>
                    </w:rPr>
                    <w:t>3</w:t>
                  </w:r>
                  <w:r>
                    <w:rPr>
                      <w:rFonts w:hint="eastAsia" w:cs="宋体"/>
                      <w:sz w:val="21"/>
                      <w:szCs w:val="21"/>
                      <w:highlight w:val="none"/>
                      <w:vertAlign w:val="baseline"/>
                      <w:lang w:val="en-US" w:eastAsia="zh-CN"/>
                    </w:rPr>
                    <w:t>/h含尘废气，按初始含尘浓度100～200mg/m</w:t>
                  </w:r>
                  <w:r>
                    <w:rPr>
                      <w:rFonts w:hint="eastAsia" w:cs="宋体"/>
                      <w:sz w:val="21"/>
                      <w:szCs w:val="21"/>
                      <w:highlight w:val="none"/>
                      <w:vertAlign w:val="superscript"/>
                      <w:lang w:val="en-US" w:eastAsia="zh-CN"/>
                    </w:rPr>
                    <w:t>3</w:t>
                  </w:r>
                  <w:r>
                    <w:rPr>
                      <w:rFonts w:hint="eastAsia" w:cs="宋体"/>
                      <w:sz w:val="21"/>
                      <w:szCs w:val="21"/>
                      <w:highlight w:val="none"/>
                      <w:vertAlign w:val="baseline"/>
                      <w:lang w:val="en-US" w:eastAsia="zh-CN"/>
                    </w:rPr>
                    <w:t>，净化后排放浓度小于30mg/m</w:t>
                  </w:r>
                  <w:r>
                    <w:rPr>
                      <w:rFonts w:hint="eastAsia" w:cs="宋体"/>
                      <w:sz w:val="21"/>
                      <w:szCs w:val="21"/>
                      <w:highlight w:val="none"/>
                      <w:vertAlign w:val="superscript"/>
                      <w:lang w:val="en-US" w:eastAsia="zh-CN"/>
                    </w:rPr>
                    <w:t>3</w:t>
                  </w:r>
                  <w:r>
                    <w:rPr>
                      <w:rFonts w:hint="eastAsia" w:cs="宋体"/>
                      <w:sz w:val="21"/>
                      <w:szCs w:val="21"/>
                      <w:highlight w:val="none"/>
                      <w:vertAlign w:val="baseline"/>
                      <w:lang w:val="en-US" w:eastAsia="zh-CN"/>
                    </w:rPr>
                    <w:t>进行设计，皮带廊、给矿架头使用喷水控制，地面喷水防止粉尘二次飞扬。④运输扬尘。矿区运输道路防尘首先采取措施确保使道路平整、路况较好；并根据实际情况采取洒水抑尘措施，考虑是否洒水，同时汽车应在矿区低车速，减少道路起尘。此外，要对尾矿库干滩面进行喷水增湿，防止干滩扬尘的产生。</w:t>
                  </w:r>
                </w:p>
              </w:tc>
              <w:tc>
                <w:tcPr>
                  <w:tcW w:w="2083" w:type="dxa"/>
                  <w:vAlign w:val="center"/>
                </w:tcPr>
                <w:p w14:paraId="675AB9D6">
                  <w:p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1）本项目为陆地矿产资源勘查，勘查过程中严格执行环评中提出的环境保护措施，对大气环境的影响较小。</w:t>
                  </w:r>
                </w:p>
                <w:p w14:paraId="71FB4A61">
                  <w:p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2）本项目勘查期均使用符合国家环保要求的运输车辆和机械设备。</w:t>
                  </w:r>
                </w:p>
                <w:p w14:paraId="014D6DC4">
                  <w:p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3）本项目勘查过程中废水经沉淀处理后均循环使用。</w:t>
                  </w:r>
                </w:p>
                <w:p w14:paraId="03291DE3">
                  <w:p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4）本项目为陆地矿产资源勘查，冬季不施工无需供暖，不设置燃煤锅炉。</w:t>
                  </w:r>
                </w:p>
                <w:p w14:paraId="2EC74BED">
                  <w:pPr>
                    <w:snapToGrid w:val="0"/>
                    <w:spacing w:line="400" w:lineRule="exact"/>
                    <w:jc w:val="left"/>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5）本项目为陆地矿产资源勘查，不涉及爆破、凿岩、破碎筛分，运输扬尘采取控制运输车辆低速慢行、对易起尘物料密闭或遮盖等措施，且项目勘查期较短对大气环境的影响在可接受范围内。</w:t>
                  </w:r>
                </w:p>
              </w:tc>
              <w:tc>
                <w:tcPr>
                  <w:tcW w:w="288" w:type="dxa"/>
                  <w:vAlign w:val="center"/>
                </w:tcPr>
                <w:p w14:paraId="7E40E9C8">
                  <w:pPr>
                    <w:snapToGrid w:val="0"/>
                    <w:spacing w:line="400" w:lineRule="exact"/>
                    <w:jc w:val="center"/>
                    <w:rPr>
                      <w:rFonts w:hint="eastAsia" w:cs="宋体"/>
                      <w:sz w:val="21"/>
                      <w:szCs w:val="21"/>
                      <w:highlight w:val="none"/>
                      <w:vertAlign w:val="baseline"/>
                      <w:lang w:val="en-US" w:eastAsia="zh-CN"/>
                    </w:rPr>
                  </w:pPr>
                  <w:r>
                    <w:rPr>
                      <w:rFonts w:hint="eastAsia" w:cs="宋体"/>
                      <w:sz w:val="21"/>
                      <w:szCs w:val="21"/>
                    </w:rPr>
                    <w:t>符合</w:t>
                  </w:r>
                </w:p>
              </w:tc>
            </w:tr>
            <w:tr w14:paraId="771D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Merge w:val="continue"/>
                  <w:vAlign w:val="center"/>
                </w:tcPr>
                <w:p w14:paraId="3CFD362F">
                  <w:pPr>
                    <w:snapToGrid w:val="0"/>
                    <w:spacing w:line="400" w:lineRule="exact"/>
                    <w:jc w:val="center"/>
                    <w:rPr>
                      <w:rFonts w:hint="eastAsia" w:cs="宋体"/>
                      <w:sz w:val="21"/>
                      <w:szCs w:val="21"/>
                      <w:highlight w:val="none"/>
                      <w:vertAlign w:val="baseline"/>
                      <w:lang w:val="en-US" w:eastAsia="zh-CN"/>
                    </w:rPr>
                  </w:pPr>
                </w:p>
              </w:tc>
              <w:tc>
                <w:tcPr>
                  <w:tcW w:w="638" w:type="dxa"/>
                  <w:vAlign w:val="center"/>
                </w:tcPr>
                <w:p w14:paraId="77128211">
                  <w:pPr>
                    <w:snapToGrid w:val="0"/>
                    <w:spacing w:line="400" w:lineRule="exact"/>
                    <w:jc w:val="center"/>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排土场采取污染防治措施</w:t>
                  </w:r>
                </w:p>
              </w:tc>
              <w:tc>
                <w:tcPr>
                  <w:tcW w:w="4133" w:type="dxa"/>
                  <w:vAlign w:val="center"/>
                </w:tcPr>
                <w:p w14:paraId="66598AA1">
                  <w:pPr>
                    <w:numPr>
                      <w:ilvl w:val="0"/>
                      <w:numId w:val="2"/>
                    </w:num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排土场平台、边坡适时碾压，减少扰动。</w:t>
                  </w:r>
                </w:p>
                <w:p w14:paraId="16FAA860">
                  <w:pPr>
                    <w:numPr>
                      <w:ilvl w:val="0"/>
                      <w:numId w:val="2"/>
                    </w:num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排土场周边设洒水喷淋装置，及时洒水增湿，保证废石临时堆场表面废石保持一定的湿度，避免扬尘。</w:t>
                  </w:r>
                </w:p>
                <w:p w14:paraId="5D3F86F9">
                  <w:pPr>
                    <w:numPr>
                      <w:ilvl w:val="0"/>
                      <w:numId w:val="2"/>
                    </w:num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排土场周边及永久性平台应及时覆土，采取绿化措施，种植乔木、灌草，起到抑尘作用。</w:t>
                  </w:r>
                </w:p>
              </w:tc>
              <w:tc>
                <w:tcPr>
                  <w:tcW w:w="2083" w:type="dxa"/>
                  <w:vAlign w:val="center"/>
                </w:tcPr>
                <w:p w14:paraId="50D4840A">
                  <w:pPr>
                    <w:snapToGrid w:val="0"/>
                    <w:spacing w:line="400" w:lineRule="exact"/>
                    <w:jc w:val="left"/>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本项目在槽探附近设置临时堆场用于堆存槽探临时土石方，并使用篷布进行遮盖，减少了扬尘的产生，勘查结束后临时土石方进行回填。</w:t>
                  </w:r>
                </w:p>
              </w:tc>
              <w:tc>
                <w:tcPr>
                  <w:tcW w:w="288" w:type="dxa"/>
                  <w:vAlign w:val="center"/>
                </w:tcPr>
                <w:p w14:paraId="6AD62A6F">
                  <w:pPr>
                    <w:snapToGrid w:val="0"/>
                    <w:spacing w:line="400" w:lineRule="exact"/>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符合</w:t>
                  </w:r>
                </w:p>
              </w:tc>
            </w:tr>
            <w:tr w14:paraId="3207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Merge w:val="continue"/>
                  <w:vAlign w:val="center"/>
                </w:tcPr>
                <w:p w14:paraId="3400E124">
                  <w:pPr>
                    <w:snapToGrid w:val="0"/>
                    <w:spacing w:line="400" w:lineRule="exact"/>
                    <w:jc w:val="center"/>
                    <w:rPr>
                      <w:rFonts w:hint="eastAsia" w:cs="宋体"/>
                      <w:sz w:val="21"/>
                      <w:szCs w:val="21"/>
                      <w:highlight w:val="none"/>
                      <w:vertAlign w:val="baseline"/>
                      <w:lang w:val="en-US" w:eastAsia="zh-CN"/>
                    </w:rPr>
                  </w:pPr>
                </w:p>
              </w:tc>
              <w:tc>
                <w:tcPr>
                  <w:tcW w:w="638" w:type="dxa"/>
                  <w:vAlign w:val="center"/>
                </w:tcPr>
                <w:p w14:paraId="086C7BF4">
                  <w:pPr>
                    <w:snapToGrid w:val="0"/>
                    <w:spacing w:line="400" w:lineRule="exact"/>
                    <w:jc w:val="center"/>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地表水污染防治建议</w:t>
                  </w:r>
                </w:p>
              </w:tc>
              <w:tc>
                <w:tcPr>
                  <w:tcW w:w="4133" w:type="dxa"/>
                  <w:vAlign w:val="center"/>
                </w:tcPr>
                <w:p w14:paraId="2F34F4A4">
                  <w:pPr>
                    <w:numPr>
                      <w:ilvl w:val="0"/>
                      <w:numId w:val="3"/>
                    </w:num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生产废水：根据规划区矿产资源分布情况，各矿区分布较分散，需单独对除矿坑疏干水、选矿废水以外的其他工业废水进行处理，回用于露天采区洒水、道路洒水等，禁止直接排入区域内任何地表水体。以满足总体规划对含重金属废水回收利用的要求。</w:t>
                  </w:r>
                </w:p>
                <w:p w14:paraId="0E3EE207">
                  <w:pPr>
                    <w:numPr>
                      <w:ilvl w:val="0"/>
                      <w:numId w:val="3"/>
                    </w:num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废石、尾矿淋溶水：在废石场周边应设置导流渠和集排水设施，以减少废石淋溶水产生量；修建拦渣墙，以防止水土流失。尾矿库上游和两侧拦洪渠尽量减少降雨进入尾矿堆体的水量，并在尾矿库坝底设置一定容积的事故收集池，将这部分水收集后回用于生产，严禁直排。</w:t>
                  </w:r>
                </w:p>
                <w:p w14:paraId="520212A6">
                  <w:pPr>
                    <w:numPr>
                      <w:ilvl w:val="0"/>
                      <w:numId w:val="0"/>
                    </w:num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生活污水：根据矿区周边环境状况，矿区产生的生活污水主要采取收集后经三级化粪池处理后积肥或经小型地埋式污水处理设施处理达标后回用于道路浇洒或绿化。另外，若规划区涉及水环境敏感区，环评要求对于I类、Ⅱ类水域和Ⅲ类水域中划定的保护区等水体严禁设置排污口排放各类污水；废石场和尾矿库选址避开水源地保护区、自然保护区等各类保护区范围，做好防渗、雨水导排和渗滤液收集工作，各矿区严格控制开采范围，加强对废石场和尾矿库的监督和管理工作，加强对附近水源地的保护。</w:t>
                  </w:r>
                </w:p>
              </w:tc>
              <w:tc>
                <w:tcPr>
                  <w:tcW w:w="2083" w:type="dxa"/>
                  <w:vAlign w:val="center"/>
                </w:tcPr>
                <w:p w14:paraId="5405A1E0">
                  <w:pPr>
                    <w:numPr>
                      <w:ilvl w:val="0"/>
                      <w:numId w:val="4"/>
                    </w:num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本项目生产废水为钻井期产生的废水，将其收集到泥浆池，经沉淀处理后将固体和水分离，回用于清洗设备及泥浆的调配，不外排。</w:t>
                  </w:r>
                </w:p>
                <w:p w14:paraId="369D61F6">
                  <w:pPr>
                    <w:numPr>
                      <w:ilvl w:val="0"/>
                      <w:numId w:val="4"/>
                    </w:numPr>
                    <w:snapToGrid w:val="0"/>
                    <w:spacing w:line="400" w:lineRule="exact"/>
                    <w:jc w:val="left"/>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本项目废石堆存于临时堆场，设有篷布遮盖，无淋溶水。</w:t>
                  </w:r>
                </w:p>
                <w:p w14:paraId="6AB1AB36">
                  <w:p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本项目</w:t>
                  </w:r>
                  <w:r>
                    <w:rPr>
                      <w:rFonts w:hint="default" w:ascii="Times New Roman" w:hAnsi="Times New Roman" w:eastAsia="宋体" w:cs="Times New Roman"/>
                      <w:color w:val="auto"/>
                      <w:sz w:val="21"/>
                      <w:szCs w:val="21"/>
                      <w:lang w:val="en-US" w:eastAsia="zh-CN"/>
                    </w:rPr>
                    <w:t>生活污水排入</w:t>
                  </w:r>
                  <w:r>
                    <w:rPr>
                      <w:rFonts w:hint="eastAsia" w:cs="Times New Roman"/>
                      <w:color w:val="auto"/>
                      <w:sz w:val="21"/>
                      <w:szCs w:val="21"/>
                      <w:lang w:val="en-US" w:eastAsia="zh-CN"/>
                    </w:rPr>
                    <w:t>一体化污水处理设施</w:t>
                  </w:r>
                  <w:r>
                    <w:rPr>
                      <w:rFonts w:hint="default" w:ascii="Times New Roman" w:hAnsi="Times New Roman" w:eastAsia="宋体" w:cs="Times New Roman"/>
                      <w:color w:val="auto"/>
                      <w:sz w:val="21"/>
                      <w:szCs w:val="21"/>
                      <w:lang w:val="en-US" w:eastAsia="zh-CN"/>
                    </w:rPr>
                    <w:t>处理达标后，用于</w:t>
                  </w:r>
                  <w:r>
                    <w:rPr>
                      <w:rFonts w:hint="eastAsia"/>
                      <w:sz w:val="21"/>
                      <w:szCs w:val="21"/>
                      <w:lang w:val="en-US" w:eastAsia="zh-CN"/>
                    </w:rPr>
                    <w:t>洒水绿化</w:t>
                  </w:r>
                  <w:r>
                    <w:rPr>
                      <w:rFonts w:hint="default" w:ascii="Times New Roman" w:hAnsi="Times New Roman" w:eastAsia="宋体" w:cs="Times New Roman"/>
                      <w:color w:val="auto"/>
                      <w:sz w:val="21"/>
                      <w:szCs w:val="21"/>
                      <w:lang w:val="en-US" w:eastAsia="zh-CN"/>
                    </w:rPr>
                    <w:t>，不外排</w:t>
                  </w:r>
                  <w:r>
                    <w:rPr>
                      <w:rFonts w:hint="eastAsia" w:cs="Times New Roman"/>
                      <w:color w:val="auto"/>
                      <w:sz w:val="21"/>
                      <w:szCs w:val="21"/>
                      <w:lang w:val="en-US" w:eastAsia="zh-CN"/>
                    </w:rPr>
                    <w:t>；</w:t>
                  </w:r>
                  <w:r>
                    <w:rPr>
                      <w:rFonts w:hint="eastAsia" w:cs="宋体"/>
                      <w:sz w:val="21"/>
                      <w:szCs w:val="21"/>
                      <w:highlight w:val="none"/>
                      <w:vertAlign w:val="baseline"/>
                      <w:lang w:val="en-US" w:eastAsia="zh-CN"/>
                    </w:rPr>
                    <w:t>钻井期产生的废水收集到泥浆池经沉淀后回用于清洗设备及泥浆的调配，不外排。一体化污水处理设施采用HDPE防渗膜防渗，施工结束后防渗膜回收、占地及时恢复原貌。</w:t>
                  </w:r>
                </w:p>
              </w:tc>
              <w:tc>
                <w:tcPr>
                  <w:tcW w:w="288" w:type="dxa"/>
                  <w:vAlign w:val="center"/>
                </w:tcPr>
                <w:p w14:paraId="496ECE78">
                  <w:pPr>
                    <w:snapToGrid w:val="0"/>
                    <w:spacing w:line="400" w:lineRule="exact"/>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符合</w:t>
                  </w:r>
                </w:p>
              </w:tc>
            </w:tr>
            <w:tr w14:paraId="0326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696" w:type="dxa"/>
                  <w:vMerge w:val="continue"/>
                  <w:vAlign w:val="center"/>
                </w:tcPr>
                <w:p w14:paraId="74F0ED5E">
                  <w:pPr>
                    <w:snapToGrid w:val="0"/>
                    <w:spacing w:line="400" w:lineRule="exact"/>
                    <w:jc w:val="center"/>
                    <w:rPr>
                      <w:rFonts w:hint="eastAsia" w:cs="宋体"/>
                      <w:sz w:val="21"/>
                      <w:szCs w:val="21"/>
                      <w:highlight w:val="none"/>
                      <w:vertAlign w:val="baseline"/>
                      <w:lang w:val="en-US" w:eastAsia="zh-CN"/>
                    </w:rPr>
                  </w:pPr>
                </w:p>
              </w:tc>
              <w:tc>
                <w:tcPr>
                  <w:tcW w:w="638" w:type="dxa"/>
                  <w:vAlign w:val="center"/>
                </w:tcPr>
                <w:p w14:paraId="60F10F1F">
                  <w:pPr>
                    <w:snapToGrid w:val="0"/>
                    <w:spacing w:line="400" w:lineRule="exact"/>
                    <w:jc w:val="center"/>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地下水污染防治措施</w:t>
                  </w:r>
                </w:p>
              </w:tc>
              <w:tc>
                <w:tcPr>
                  <w:tcW w:w="4133" w:type="dxa"/>
                  <w:vAlign w:val="center"/>
                </w:tcPr>
                <w:p w14:paraId="1533180E">
                  <w:pPr>
                    <w:numPr>
                      <w:ilvl w:val="0"/>
                      <w:numId w:val="5"/>
                    </w:num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分区污染控制措施：重点污染防治区指位于地下或者半地下的生产功能单元，污染地下水环境的污染物泄漏后不容易被及时发现和处理的区域或部位。主要包括浓缩池，尾矿输送管道，污水管网，截污泵站，尾矿泵站，底流泵站，环水泵站，配水室，加速澄清池，储水池，强磁浮选药剂间内高效矿浆搅拌槽；一般污染防治区是指易产生工业、生活废水厂房以及运输工业、生活废水管线，污染地下水环境的物料泄漏后能被及时发现和处理的区域或部位，指裸露地面的生产功能单元，污染地下水环境的物料泄漏容易及时发现和处理的区域。主要包括厂区内重点污染防治区以外的其它建筑区，如厂区道路、办公区、公辅工程等。</w:t>
                  </w:r>
                </w:p>
                <w:p w14:paraId="470DD691">
                  <w:pPr>
                    <w:numPr>
                      <w:ilvl w:val="0"/>
                      <w:numId w:val="5"/>
                    </w:num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分区防渗措施：重点污染防治区建议使用钢筋混凝土，混凝土强度等级不宜小于C30，钢筋混凝土的抗渗等级不应小于P10，且表面应涂刷水泥基结晶型、喷涂聚脲等防水涂料，渗透系数不大于1.0×10</w:t>
                  </w:r>
                  <w:r>
                    <w:rPr>
                      <w:rFonts w:hint="eastAsia" w:cs="宋体"/>
                      <w:sz w:val="21"/>
                      <w:szCs w:val="21"/>
                      <w:highlight w:val="none"/>
                      <w:vertAlign w:val="superscript"/>
                      <w:lang w:val="en-US" w:eastAsia="zh-CN"/>
                    </w:rPr>
                    <w:t>-12</w:t>
                  </w:r>
                  <w:r>
                    <w:rPr>
                      <w:rFonts w:hint="eastAsia" w:cs="宋体"/>
                      <w:sz w:val="21"/>
                      <w:szCs w:val="21"/>
                      <w:highlight w:val="none"/>
                      <w:vertAlign w:val="baseline"/>
                      <w:lang w:val="en-US" w:eastAsia="zh-CN"/>
                    </w:rPr>
                    <w:t>cm/s。结构厚度不应小于300mm，最大裂缝宽度不应大于0.20mm，并不得贯通，钢筋的混凝土保护层厚度应根据结构的耐久性和环境类别选用，迎水面钢筋的混凝土保护层厚度不应小于50mm。一般污染防治区建议采用素土夯实，100mm厚碎石垫层，80mm厚C15细石混凝土随打随抹光。一般污染防治区抗渗混凝土的抗渗等级不宜小于P8，其厚度不宜小于100mm。确保防渗性能应与1.5m厚的粘土层，渗透系数1.0×10</w:t>
                  </w:r>
                  <w:r>
                    <w:rPr>
                      <w:rFonts w:hint="eastAsia" w:cs="宋体"/>
                      <w:sz w:val="21"/>
                      <w:szCs w:val="21"/>
                      <w:highlight w:val="none"/>
                      <w:vertAlign w:val="superscript"/>
                      <w:lang w:val="en-US" w:eastAsia="zh-CN"/>
                    </w:rPr>
                    <w:t>-7</w:t>
                  </w:r>
                  <w:r>
                    <w:rPr>
                      <w:rFonts w:hint="eastAsia" w:cs="宋体"/>
                      <w:sz w:val="21"/>
                      <w:szCs w:val="21"/>
                      <w:highlight w:val="none"/>
                      <w:vertAlign w:val="baseline"/>
                      <w:lang w:val="en-US" w:eastAsia="zh-CN"/>
                    </w:rPr>
                    <w:t>cm/s等效。</w:t>
                  </w:r>
                </w:p>
              </w:tc>
              <w:tc>
                <w:tcPr>
                  <w:tcW w:w="2083" w:type="dxa"/>
                  <w:vAlign w:val="center"/>
                </w:tcPr>
                <w:p w14:paraId="2D6C6F2A">
                  <w:pPr>
                    <w:snapToGrid w:val="0"/>
                    <w:spacing w:line="400" w:lineRule="exact"/>
                    <w:jc w:val="left"/>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本项目</w:t>
                  </w:r>
                  <w:r>
                    <w:rPr>
                      <w:rFonts w:hint="default" w:ascii="Times New Roman" w:hAnsi="Times New Roman" w:eastAsia="宋体" w:cs="Times New Roman"/>
                      <w:color w:val="auto"/>
                      <w:sz w:val="21"/>
                      <w:szCs w:val="21"/>
                      <w:lang w:val="en-US" w:eastAsia="zh-CN"/>
                    </w:rPr>
                    <w:t>生活污水排入</w:t>
                  </w:r>
                  <w:r>
                    <w:rPr>
                      <w:rFonts w:hint="eastAsia" w:cs="Times New Roman"/>
                      <w:color w:val="auto"/>
                      <w:sz w:val="21"/>
                      <w:szCs w:val="21"/>
                      <w:lang w:val="en-US" w:eastAsia="zh-CN"/>
                    </w:rPr>
                    <w:t>一体化污水处理设施</w:t>
                  </w:r>
                  <w:r>
                    <w:rPr>
                      <w:rFonts w:hint="default" w:ascii="Times New Roman" w:hAnsi="Times New Roman" w:eastAsia="宋体" w:cs="Times New Roman"/>
                      <w:color w:val="auto"/>
                      <w:sz w:val="21"/>
                      <w:szCs w:val="21"/>
                      <w:lang w:val="en-US" w:eastAsia="zh-CN"/>
                    </w:rPr>
                    <w:t>处理达标后，用于</w:t>
                  </w:r>
                  <w:r>
                    <w:rPr>
                      <w:rFonts w:hint="eastAsia"/>
                      <w:sz w:val="21"/>
                      <w:szCs w:val="21"/>
                      <w:lang w:val="en-US" w:eastAsia="zh-CN"/>
                    </w:rPr>
                    <w:t>洒水绿化</w:t>
                  </w:r>
                  <w:r>
                    <w:rPr>
                      <w:rFonts w:hint="default" w:ascii="Times New Roman" w:hAnsi="Times New Roman" w:eastAsia="宋体" w:cs="Times New Roman"/>
                      <w:color w:val="auto"/>
                      <w:sz w:val="21"/>
                      <w:szCs w:val="21"/>
                      <w:lang w:val="en-US" w:eastAsia="zh-CN"/>
                    </w:rPr>
                    <w:t>，不外排</w:t>
                  </w:r>
                  <w:r>
                    <w:rPr>
                      <w:rFonts w:hint="eastAsia" w:cs="Times New Roman"/>
                      <w:color w:val="auto"/>
                      <w:sz w:val="21"/>
                      <w:szCs w:val="21"/>
                      <w:lang w:val="en-US" w:eastAsia="zh-CN"/>
                    </w:rPr>
                    <w:t>；</w:t>
                  </w:r>
                  <w:r>
                    <w:rPr>
                      <w:rFonts w:hint="eastAsia" w:cs="宋体"/>
                      <w:sz w:val="21"/>
                      <w:szCs w:val="21"/>
                      <w:highlight w:val="none"/>
                      <w:vertAlign w:val="baseline"/>
                      <w:lang w:val="en-US" w:eastAsia="zh-CN"/>
                    </w:rPr>
                    <w:t>钻井期产生的废水收集到泥浆池经沉淀后回用于清洗设备及泥浆的调配，不外排。一体化污水处理设施采用HDPE防渗膜防渗，施工结束后防渗膜回收、占地及时恢复原貌。</w:t>
                  </w:r>
                </w:p>
              </w:tc>
              <w:tc>
                <w:tcPr>
                  <w:tcW w:w="288" w:type="dxa"/>
                  <w:vAlign w:val="center"/>
                </w:tcPr>
                <w:p w14:paraId="594F25B3">
                  <w:pPr>
                    <w:snapToGrid w:val="0"/>
                    <w:spacing w:line="400" w:lineRule="exact"/>
                    <w:jc w:val="center"/>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符合</w:t>
                  </w:r>
                </w:p>
              </w:tc>
            </w:tr>
            <w:tr w14:paraId="2E8B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696" w:type="dxa"/>
                  <w:vMerge w:val="continue"/>
                  <w:vAlign w:val="center"/>
                </w:tcPr>
                <w:p w14:paraId="2FEE7350">
                  <w:pPr>
                    <w:snapToGrid w:val="0"/>
                    <w:spacing w:line="400" w:lineRule="exact"/>
                    <w:jc w:val="center"/>
                    <w:rPr>
                      <w:rFonts w:hint="eastAsia" w:cs="宋体"/>
                      <w:sz w:val="21"/>
                      <w:szCs w:val="21"/>
                      <w:highlight w:val="none"/>
                      <w:vertAlign w:val="baseline"/>
                      <w:lang w:val="en-US" w:eastAsia="zh-CN"/>
                    </w:rPr>
                  </w:pPr>
                </w:p>
              </w:tc>
              <w:tc>
                <w:tcPr>
                  <w:tcW w:w="638" w:type="dxa"/>
                  <w:vAlign w:val="center"/>
                </w:tcPr>
                <w:p w14:paraId="7D9C5011">
                  <w:pPr>
                    <w:snapToGrid w:val="0"/>
                    <w:spacing w:line="400" w:lineRule="exact"/>
                    <w:jc w:val="center"/>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声环境影响防治建议</w:t>
                  </w:r>
                </w:p>
              </w:tc>
              <w:tc>
                <w:tcPr>
                  <w:tcW w:w="4133" w:type="dxa"/>
                  <w:vAlign w:val="center"/>
                </w:tcPr>
                <w:p w14:paraId="795CABA1">
                  <w:pPr>
                    <w:numPr>
                      <w:ilvl w:val="0"/>
                      <w:numId w:val="0"/>
                    </w:num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规划区除了各县市城区声环境执行《声环境质量标准》中一类区标准外，其余地区尚未进行声环境功能区划。根据《城市区域环境噪声适用区划分技术规范》，将主要铁路和公路两侧边界外35m区域内划为四类区，主要铁路公路两侧边界外35m以外地区划为二类区。工业厂界噪声执行《工业企业厂界环境噪声排放标准》（0812348-2008）中的三类标准。因此，合理安排运输计划和工业场地内设施布局，并结合选取低噪设备、设备，采取减震、隔声、消声、吸声等措施处理后，使矿山开采过程中噪声污染源对声环境质量的影响可满足各类声环境功能区划的要求。</w:t>
                  </w:r>
                </w:p>
              </w:tc>
              <w:tc>
                <w:tcPr>
                  <w:tcW w:w="2083" w:type="dxa"/>
                  <w:vAlign w:val="center"/>
                </w:tcPr>
                <w:p w14:paraId="60204A03">
                  <w:p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本项目选用低噪声设备，对噪声较大的设备采取基础减振措施，并加强机械设备的保养，保证机械设备的正常运转，以降低设备运转的噪声。</w:t>
                  </w:r>
                </w:p>
              </w:tc>
              <w:tc>
                <w:tcPr>
                  <w:tcW w:w="288" w:type="dxa"/>
                  <w:vAlign w:val="center"/>
                </w:tcPr>
                <w:p w14:paraId="036866E6">
                  <w:pPr>
                    <w:snapToGrid w:val="0"/>
                    <w:spacing w:line="400" w:lineRule="exact"/>
                    <w:jc w:val="center"/>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符合</w:t>
                  </w:r>
                </w:p>
              </w:tc>
            </w:tr>
            <w:tr w14:paraId="44AE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696" w:type="dxa"/>
                  <w:vMerge w:val="continue"/>
                  <w:vAlign w:val="center"/>
                </w:tcPr>
                <w:p w14:paraId="60A99E56">
                  <w:pPr>
                    <w:snapToGrid w:val="0"/>
                    <w:spacing w:line="400" w:lineRule="exact"/>
                    <w:jc w:val="center"/>
                    <w:rPr>
                      <w:rFonts w:hint="eastAsia" w:cs="宋体"/>
                      <w:sz w:val="21"/>
                      <w:szCs w:val="21"/>
                      <w:highlight w:val="none"/>
                      <w:vertAlign w:val="baseline"/>
                      <w:lang w:val="en-US" w:eastAsia="zh-CN"/>
                    </w:rPr>
                  </w:pPr>
                </w:p>
              </w:tc>
              <w:tc>
                <w:tcPr>
                  <w:tcW w:w="638" w:type="dxa"/>
                  <w:vAlign w:val="center"/>
                </w:tcPr>
                <w:p w14:paraId="146CBA17">
                  <w:pPr>
                    <w:snapToGrid w:val="0"/>
                    <w:spacing w:line="400" w:lineRule="exact"/>
                    <w:jc w:val="center"/>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固体废物处理处置措施建议</w:t>
                  </w:r>
                </w:p>
              </w:tc>
              <w:tc>
                <w:tcPr>
                  <w:tcW w:w="4133" w:type="dxa"/>
                  <w:vAlign w:val="center"/>
                </w:tcPr>
                <w:p w14:paraId="00B9DD78">
                  <w:pPr>
                    <w:snapToGrid w:val="0"/>
                    <w:spacing w:line="400" w:lineRule="exact"/>
                    <w:jc w:val="both"/>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1）废石堆场、尾矿库应采取防治粉尘污染的措施。1）为防止雨水径流进入废石堆场、尾矿库内，避免水量增加和滑坡，场地周边应设置导流渠。2）对金矿、铁矿等金属矿，以及滑石、菱镁矿、饰面材料和建筑石料等非金属矿区废石堆场应修建挡土墙、截洪沟和沉淀池，阻止周围雨水径流进入废石堆场，同时对废石堆场内淋溶水截留、沉淀，并回用于矿山开采或选矿用水。3）为防止尾矿流失，尾矿库构筑堤坝，禁止尾矿库中的废水直接排入环境。4）当天然基础层的渗透系数大于1.0×10</w:t>
                  </w:r>
                  <w:r>
                    <w:rPr>
                      <w:rFonts w:hint="eastAsia" w:cs="宋体"/>
                      <w:sz w:val="21"/>
                      <w:szCs w:val="21"/>
                      <w:highlight w:val="none"/>
                      <w:vertAlign w:val="superscript"/>
                      <w:lang w:val="en-US" w:eastAsia="zh-CN"/>
                    </w:rPr>
                    <w:t>-7</w:t>
                  </w:r>
                  <w:r>
                    <w:rPr>
                      <w:rFonts w:hint="eastAsia" w:cs="宋体"/>
                      <w:sz w:val="21"/>
                      <w:szCs w:val="21"/>
                      <w:highlight w:val="none"/>
                      <w:vertAlign w:val="baseline"/>
                      <w:lang w:val="en-US" w:eastAsia="zh-CN"/>
                    </w:rPr>
                    <w:t>cm/s时，定为Ⅱ类场的尾矿库应采用天然或人工材料构筑防渗层，防渗层的厚度应相当于渗透系数1.0×10</w:t>
                  </w:r>
                  <w:r>
                    <w:rPr>
                      <w:rFonts w:hint="eastAsia" w:cs="宋体"/>
                      <w:sz w:val="21"/>
                      <w:szCs w:val="21"/>
                      <w:highlight w:val="none"/>
                      <w:vertAlign w:val="superscript"/>
                      <w:lang w:val="en-US" w:eastAsia="zh-CN"/>
                    </w:rPr>
                    <w:t>-7</w:t>
                  </w:r>
                  <w:r>
                    <w:rPr>
                      <w:rFonts w:hint="eastAsia" w:cs="宋体"/>
                      <w:sz w:val="21"/>
                      <w:szCs w:val="21"/>
                      <w:highlight w:val="none"/>
                      <w:vertAlign w:val="baseline"/>
                      <w:lang w:val="en-US" w:eastAsia="zh-CN"/>
                    </w:rPr>
                    <w:t>cm/s和厚度1.5m的粘土层的防渗性能。5）为监控尾矿库渗透水对地下水的污染，定为Ⅱ类场的尾矿库周边至少应设置三口地下水质监控井。一口沿地下水流向设在尾矿库上游，作为对照井；第二口沿地下水流向设在尾矿库下游，作为污染监视监测井；第三口设在最可能出现扩散影响的尾矿库周边，作为污染扩散监测井。当地质和水文地质资料表明含水层埋藏较深，经论证认定地下水不会被污染时，可以不设置地下水质监控井。6）运营期应加强废石堆场、尾矿库管理，严禁Ⅱ类一般工业固体废物进入I类场；严禁危险废物混入尾矿库、废石排土场。7）运营期加强Ⅱ类场尾矿库周边及下游区域地下水位和水质的观测与监测。8）服务期满后及时对尾矿库和废石堆场进行复垦。</w:t>
                  </w:r>
                </w:p>
                <w:p w14:paraId="562C4217">
                  <w:pPr>
                    <w:numPr>
                      <w:ilvl w:val="0"/>
                      <w:numId w:val="0"/>
                    </w:numPr>
                    <w:snapToGrid w:val="0"/>
                    <w:spacing w:line="400" w:lineRule="exact"/>
                    <w:ind w:left="0" w:leftChars="0" w:firstLine="0" w:firstLineChars="0"/>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2）按照《尾矿库安全监督管理规定》《防治尾矿污染环境管理规定》《尾矿库安全技术规程》《尾矿库环境应急管理工作指南（试行）》等有关规定和标准的要求，开展污染隐患排查、落实应急保障措施，建立尾矿库环境应急管理体系。要通过经常性的污染隐患排查，确定排查和防范的重点部位，明确尾矿库下游的环境敏感保护目标，全面分析可能造成的次生灾害和衍生灾害，制定相应的切断污染源、消除和减轻污染的应急处置措施。对查出的污染隐患制定切实可行的整改方案，进行治理整改，并建立相关工作档案。</w:t>
                  </w:r>
                </w:p>
              </w:tc>
              <w:tc>
                <w:tcPr>
                  <w:tcW w:w="2083" w:type="dxa"/>
                  <w:vAlign w:val="center"/>
                </w:tcPr>
                <w:p w14:paraId="72F0B715">
                  <w:p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（1）本项目生活垃圾由垃圾箱收集，定期外运交由环卫部门处理。</w:t>
                  </w:r>
                </w:p>
                <w:p w14:paraId="3410886D">
                  <w:pPr>
                    <w:snapToGrid w:val="0"/>
                    <w:spacing w:line="400" w:lineRule="exact"/>
                    <w:jc w:val="left"/>
                    <w:rPr>
                      <w:rFonts w:hint="default" w:cs="宋体"/>
                      <w:sz w:val="21"/>
                      <w:szCs w:val="21"/>
                      <w:highlight w:val="none"/>
                      <w:vertAlign w:val="baseline"/>
                      <w:lang w:val="en-US" w:eastAsia="zh-CN"/>
                    </w:rPr>
                  </w:pPr>
                  <w:r>
                    <w:rPr>
                      <w:rFonts w:hint="eastAsia" w:cs="宋体"/>
                      <w:sz w:val="21"/>
                      <w:szCs w:val="21"/>
                      <w:highlight w:val="none"/>
                      <w:vertAlign w:val="baseline"/>
                      <w:lang w:val="en-US" w:eastAsia="zh-CN"/>
                    </w:rPr>
                    <w:t>（2）钻井泥浆：在钻探前，依据地形条件，预先在钻孔附近设置泥浆沉淀池；钻探期间，各孔涌出泥浆分别导至池内收集回用，不外排，施工结束后钻井废弃泥浆干化后和钻井岩屑用于场地平整。</w:t>
                  </w:r>
                </w:p>
                <w:p w14:paraId="7598DA51">
                  <w:p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3）施工结束对场地进行清理时，产生的未沾油防渗材料由施工单位集中回收利用，沾油废防渗材料和设备维修的废机油属于《国家危险废物名录》（2025年版）中的HW08废矿物油与含矿物油类危险废物（废物代码为900-249-08、900-214-08，危险特性为毒性和易燃性），设置一个可移动式危废暂存仓收集后，交由具有相应危险废物处置资质的单位进行接收、转运和处置。</w:t>
                  </w:r>
                </w:p>
                <w:p w14:paraId="149FE554">
                  <w:pPr>
                    <w:snapToGrid w:val="0"/>
                    <w:spacing w:line="400" w:lineRule="exact"/>
                    <w:jc w:val="center"/>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（4）临时土石方</w:t>
                  </w:r>
                </w:p>
                <w:p w14:paraId="2D32FA3F">
                  <w:pPr>
                    <w:snapToGrid w:val="0"/>
                    <w:spacing w:line="400" w:lineRule="exact"/>
                    <w:jc w:val="left"/>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本项目产生的土石方约为2039.5m</w:t>
                  </w:r>
                  <w:r>
                    <w:rPr>
                      <w:rFonts w:hint="eastAsia" w:cs="宋体"/>
                      <w:sz w:val="21"/>
                      <w:szCs w:val="21"/>
                      <w:highlight w:val="none"/>
                      <w:vertAlign w:val="superscript"/>
                      <w:lang w:val="en-US" w:eastAsia="zh-CN"/>
                    </w:rPr>
                    <w:t>3</w:t>
                  </w:r>
                  <w:r>
                    <w:rPr>
                      <w:rFonts w:hint="eastAsia" w:cs="宋体"/>
                      <w:sz w:val="21"/>
                      <w:szCs w:val="21"/>
                      <w:highlight w:val="none"/>
                      <w:vertAlign w:val="baseline"/>
                      <w:lang w:val="en-US" w:eastAsia="zh-CN"/>
                    </w:rPr>
                    <w:t>。在设计过程中充分利用了矿区的地形地貌，基本能够做到土石方的挖填平衡，均用于回填和场地平整。</w:t>
                  </w:r>
                </w:p>
              </w:tc>
              <w:tc>
                <w:tcPr>
                  <w:tcW w:w="288" w:type="dxa"/>
                  <w:vAlign w:val="center"/>
                </w:tcPr>
                <w:p w14:paraId="62667203">
                  <w:pPr>
                    <w:snapToGrid w:val="0"/>
                    <w:spacing w:line="400" w:lineRule="exact"/>
                    <w:jc w:val="center"/>
                    <w:rPr>
                      <w:rFonts w:hint="eastAsia" w:cs="宋体"/>
                      <w:sz w:val="21"/>
                      <w:szCs w:val="21"/>
                      <w:highlight w:val="none"/>
                      <w:vertAlign w:val="baseline"/>
                      <w:lang w:val="en-US" w:eastAsia="zh-CN"/>
                    </w:rPr>
                  </w:pPr>
                  <w:r>
                    <w:rPr>
                      <w:rFonts w:hint="eastAsia" w:cs="宋体"/>
                      <w:sz w:val="21"/>
                      <w:szCs w:val="21"/>
                      <w:highlight w:val="none"/>
                      <w:vertAlign w:val="baseline"/>
                      <w:lang w:val="en-US" w:eastAsia="zh-CN"/>
                    </w:rPr>
                    <w:t>符合</w:t>
                  </w:r>
                </w:p>
              </w:tc>
            </w:tr>
          </w:tbl>
          <w:p w14:paraId="5449E78E">
            <w:pPr>
              <w:snapToGrid w:val="0"/>
              <w:spacing w:line="400" w:lineRule="exact"/>
              <w:ind w:firstLine="480" w:firstLineChars="200"/>
              <w:rPr>
                <w:rFonts w:hint="eastAsia" w:ascii="Times New Roman" w:hAnsi="Times New Roman" w:eastAsia="宋体" w:cs="宋体"/>
                <w:highlight w:val="none"/>
              </w:rPr>
            </w:pPr>
            <w:r>
              <w:rPr>
                <w:rFonts w:hint="eastAsia" w:ascii="Times New Roman" w:hAnsi="Times New Roman" w:eastAsia="宋体" w:cs="宋体"/>
                <w:kern w:val="2"/>
                <w:sz w:val="24"/>
                <w:szCs w:val="24"/>
                <w:highlight w:val="none"/>
                <w:lang w:val="en-US" w:eastAsia="zh-CN" w:bidi="ar-SA"/>
              </w:rPr>
              <w:t>综上所述，本项目符合《新疆维吾尔自治区矿产资源总体规划（2021—2025年）环境影响报告书》的相关要求。</w:t>
            </w:r>
          </w:p>
        </w:tc>
      </w:tr>
      <w:tr w14:paraId="6279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jc w:val="center"/>
        </w:trPr>
        <w:tc>
          <w:tcPr>
            <w:tcW w:w="456" w:type="dxa"/>
            <w:vMerge w:val="restart"/>
            <w:vAlign w:val="center"/>
          </w:tcPr>
          <w:p w14:paraId="78AAAF50">
            <w:pPr>
              <w:autoSpaceDE w:val="0"/>
              <w:autoSpaceDN w:val="0"/>
              <w:adjustRightInd w:val="0"/>
              <w:snapToGrid w:val="0"/>
              <w:spacing w:line="430" w:lineRule="exact"/>
              <w:jc w:val="center"/>
              <w:rPr>
                <w:rFonts w:hint="eastAsia" w:cs="宋体"/>
                <w:kern w:val="0"/>
                <w:lang w:val="en-US" w:eastAsia="zh-CN"/>
              </w:rPr>
            </w:pPr>
          </w:p>
          <w:p w14:paraId="5255E4A4">
            <w:pPr>
              <w:autoSpaceDE w:val="0"/>
              <w:autoSpaceDN w:val="0"/>
              <w:adjustRightInd w:val="0"/>
              <w:snapToGrid w:val="0"/>
              <w:spacing w:line="430" w:lineRule="exact"/>
              <w:jc w:val="center"/>
              <w:rPr>
                <w:rFonts w:hint="eastAsia" w:cs="宋体"/>
                <w:kern w:val="0"/>
                <w:lang w:val="en-US" w:eastAsia="zh-CN"/>
              </w:rPr>
            </w:pPr>
          </w:p>
          <w:p w14:paraId="73E6727A">
            <w:pPr>
              <w:autoSpaceDE w:val="0"/>
              <w:autoSpaceDN w:val="0"/>
              <w:adjustRightInd w:val="0"/>
              <w:snapToGrid w:val="0"/>
              <w:spacing w:line="430" w:lineRule="exact"/>
              <w:jc w:val="center"/>
              <w:rPr>
                <w:rFonts w:hint="eastAsia" w:cs="宋体"/>
                <w:kern w:val="0"/>
                <w:lang w:val="en-US" w:eastAsia="zh-CN"/>
              </w:rPr>
            </w:pPr>
          </w:p>
          <w:p w14:paraId="53550F92">
            <w:pPr>
              <w:autoSpaceDE w:val="0"/>
              <w:autoSpaceDN w:val="0"/>
              <w:adjustRightInd w:val="0"/>
              <w:snapToGrid w:val="0"/>
              <w:spacing w:line="430" w:lineRule="exact"/>
              <w:jc w:val="center"/>
              <w:rPr>
                <w:rFonts w:hint="eastAsia" w:cs="宋体"/>
                <w:kern w:val="0"/>
                <w:lang w:val="en-US" w:eastAsia="zh-CN"/>
              </w:rPr>
            </w:pPr>
          </w:p>
          <w:p w14:paraId="63E0EB3A">
            <w:pPr>
              <w:autoSpaceDE w:val="0"/>
              <w:autoSpaceDN w:val="0"/>
              <w:adjustRightInd w:val="0"/>
              <w:snapToGrid w:val="0"/>
              <w:spacing w:line="430" w:lineRule="exact"/>
              <w:jc w:val="center"/>
              <w:rPr>
                <w:rFonts w:hint="eastAsia" w:cs="宋体"/>
                <w:kern w:val="0"/>
                <w:lang w:val="en-US" w:eastAsia="zh-CN"/>
              </w:rPr>
            </w:pPr>
          </w:p>
          <w:p w14:paraId="4A7D95E5">
            <w:pPr>
              <w:autoSpaceDE w:val="0"/>
              <w:autoSpaceDN w:val="0"/>
              <w:adjustRightInd w:val="0"/>
              <w:snapToGrid w:val="0"/>
              <w:spacing w:line="430" w:lineRule="exact"/>
              <w:jc w:val="center"/>
              <w:rPr>
                <w:rFonts w:hint="eastAsia" w:cs="宋体"/>
                <w:kern w:val="0"/>
                <w:lang w:val="en-US" w:eastAsia="zh-CN"/>
              </w:rPr>
            </w:pPr>
          </w:p>
          <w:p w14:paraId="2999D3E6">
            <w:pPr>
              <w:autoSpaceDE w:val="0"/>
              <w:autoSpaceDN w:val="0"/>
              <w:adjustRightInd w:val="0"/>
              <w:snapToGrid w:val="0"/>
              <w:spacing w:line="430" w:lineRule="exact"/>
              <w:jc w:val="center"/>
              <w:rPr>
                <w:rFonts w:hint="eastAsia" w:cs="宋体"/>
                <w:kern w:val="0"/>
                <w:lang w:val="en-US" w:eastAsia="zh-CN"/>
              </w:rPr>
            </w:pPr>
          </w:p>
          <w:p w14:paraId="45768847">
            <w:pPr>
              <w:autoSpaceDE w:val="0"/>
              <w:autoSpaceDN w:val="0"/>
              <w:adjustRightInd w:val="0"/>
              <w:snapToGrid w:val="0"/>
              <w:spacing w:line="430" w:lineRule="exact"/>
              <w:jc w:val="center"/>
              <w:rPr>
                <w:rFonts w:hint="eastAsia" w:cs="宋体"/>
                <w:kern w:val="0"/>
                <w:lang w:val="en-US" w:eastAsia="zh-CN"/>
              </w:rPr>
            </w:pPr>
          </w:p>
          <w:p w14:paraId="4681D18A">
            <w:pPr>
              <w:autoSpaceDE w:val="0"/>
              <w:autoSpaceDN w:val="0"/>
              <w:adjustRightInd w:val="0"/>
              <w:snapToGrid w:val="0"/>
              <w:spacing w:line="430" w:lineRule="exact"/>
              <w:jc w:val="center"/>
              <w:rPr>
                <w:rFonts w:hint="eastAsia" w:cs="宋体"/>
                <w:kern w:val="0"/>
                <w:lang w:val="en-US" w:eastAsia="zh-CN"/>
              </w:rPr>
            </w:pPr>
          </w:p>
          <w:p w14:paraId="74E4B18D">
            <w:pPr>
              <w:autoSpaceDE w:val="0"/>
              <w:autoSpaceDN w:val="0"/>
              <w:adjustRightInd w:val="0"/>
              <w:snapToGrid w:val="0"/>
              <w:spacing w:line="430" w:lineRule="exact"/>
              <w:jc w:val="center"/>
              <w:rPr>
                <w:rFonts w:hint="eastAsia" w:cs="宋体"/>
                <w:kern w:val="0"/>
                <w:lang w:val="en-US" w:eastAsia="zh-CN"/>
              </w:rPr>
            </w:pPr>
          </w:p>
          <w:p w14:paraId="337FC97B">
            <w:pPr>
              <w:autoSpaceDE w:val="0"/>
              <w:autoSpaceDN w:val="0"/>
              <w:adjustRightInd w:val="0"/>
              <w:snapToGrid w:val="0"/>
              <w:spacing w:line="430" w:lineRule="exact"/>
              <w:jc w:val="both"/>
              <w:rPr>
                <w:rFonts w:hint="eastAsia" w:cs="宋体"/>
                <w:kern w:val="0"/>
                <w:lang w:val="en-US" w:eastAsia="zh-CN"/>
              </w:rPr>
            </w:pPr>
          </w:p>
          <w:p w14:paraId="77701C3C">
            <w:pPr>
              <w:autoSpaceDE w:val="0"/>
              <w:autoSpaceDN w:val="0"/>
              <w:adjustRightInd w:val="0"/>
              <w:snapToGrid w:val="0"/>
              <w:spacing w:line="430" w:lineRule="exact"/>
              <w:jc w:val="center"/>
              <w:rPr>
                <w:rFonts w:hint="eastAsia" w:cs="宋体"/>
                <w:kern w:val="0"/>
                <w:lang w:val="en-US" w:eastAsia="zh-CN"/>
              </w:rPr>
            </w:pPr>
          </w:p>
          <w:p w14:paraId="743A1462">
            <w:pPr>
              <w:autoSpaceDE w:val="0"/>
              <w:autoSpaceDN w:val="0"/>
              <w:adjustRightInd w:val="0"/>
              <w:snapToGrid w:val="0"/>
              <w:spacing w:line="430" w:lineRule="exact"/>
              <w:jc w:val="both"/>
              <w:rPr>
                <w:rFonts w:hint="eastAsia" w:cs="宋体"/>
                <w:kern w:val="0"/>
                <w:lang w:val="en-US" w:eastAsia="zh-CN"/>
              </w:rPr>
            </w:pPr>
          </w:p>
          <w:p w14:paraId="0E1A735E">
            <w:pPr>
              <w:autoSpaceDE w:val="0"/>
              <w:autoSpaceDN w:val="0"/>
              <w:adjustRightInd w:val="0"/>
              <w:snapToGrid w:val="0"/>
              <w:spacing w:line="430" w:lineRule="exact"/>
              <w:jc w:val="both"/>
              <w:rPr>
                <w:rFonts w:hint="eastAsia" w:cs="宋体"/>
                <w:kern w:val="0"/>
                <w:lang w:val="en-US" w:eastAsia="zh-CN"/>
              </w:rPr>
            </w:pPr>
          </w:p>
          <w:p w14:paraId="55BE313D">
            <w:pPr>
              <w:autoSpaceDE w:val="0"/>
              <w:autoSpaceDN w:val="0"/>
              <w:adjustRightInd w:val="0"/>
              <w:snapToGrid w:val="0"/>
              <w:spacing w:line="430" w:lineRule="exact"/>
              <w:jc w:val="both"/>
              <w:rPr>
                <w:rFonts w:hint="eastAsia" w:cs="宋体"/>
                <w:kern w:val="0"/>
                <w:lang w:val="en-US" w:eastAsia="zh-CN"/>
              </w:rPr>
            </w:pPr>
          </w:p>
          <w:p w14:paraId="07601837">
            <w:pPr>
              <w:autoSpaceDE w:val="0"/>
              <w:autoSpaceDN w:val="0"/>
              <w:adjustRightInd w:val="0"/>
              <w:snapToGrid w:val="0"/>
              <w:spacing w:line="430" w:lineRule="exact"/>
              <w:jc w:val="both"/>
              <w:rPr>
                <w:rFonts w:hint="eastAsia" w:cs="宋体"/>
                <w:kern w:val="0"/>
                <w:lang w:val="en-US" w:eastAsia="zh-CN"/>
              </w:rPr>
            </w:pPr>
          </w:p>
          <w:p w14:paraId="275C464C">
            <w:pPr>
              <w:autoSpaceDE w:val="0"/>
              <w:autoSpaceDN w:val="0"/>
              <w:adjustRightInd w:val="0"/>
              <w:snapToGrid w:val="0"/>
              <w:spacing w:line="430" w:lineRule="exact"/>
              <w:jc w:val="both"/>
              <w:rPr>
                <w:rFonts w:hint="eastAsia" w:cs="宋体"/>
                <w:kern w:val="0"/>
                <w:lang w:val="en-US" w:eastAsia="zh-CN"/>
              </w:rPr>
            </w:pPr>
          </w:p>
          <w:p w14:paraId="6A5CB25D">
            <w:pPr>
              <w:autoSpaceDE w:val="0"/>
              <w:autoSpaceDN w:val="0"/>
              <w:adjustRightInd w:val="0"/>
              <w:snapToGrid w:val="0"/>
              <w:spacing w:line="430" w:lineRule="exact"/>
              <w:jc w:val="both"/>
              <w:rPr>
                <w:rFonts w:hint="eastAsia" w:cs="宋体"/>
                <w:kern w:val="0"/>
                <w:lang w:val="en-US" w:eastAsia="zh-CN"/>
              </w:rPr>
            </w:pPr>
          </w:p>
          <w:p w14:paraId="422737CA">
            <w:pPr>
              <w:autoSpaceDE w:val="0"/>
              <w:autoSpaceDN w:val="0"/>
              <w:adjustRightInd w:val="0"/>
              <w:snapToGrid w:val="0"/>
              <w:spacing w:line="430" w:lineRule="exact"/>
              <w:jc w:val="both"/>
              <w:rPr>
                <w:rFonts w:hint="eastAsia" w:cs="宋体"/>
                <w:kern w:val="0"/>
                <w:lang w:val="en-US" w:eastAsia="zh-CN"/>
              </w:rPr>
            </w:pPr>
          </w:p>
          <w:p w14:paraId="5340312D">
            <w:pPr>
              <w:autoSpaceDE w:val="0"/>
              <w:autoSpaceDN w:val="0"/>
              <w:adjustRightInd w:val="0"/>
              <w:snapToGrid w:val="0"/>
              <w:spacing w:line="430" w:lineRule="exact"/>
              <w:jc w:val="both"/>
              <w:rPr>
                <w:rFonts w:hint="eastAsia" w:cs="宋体"/>
                <w:kern w:val="0"/>
                <w:lang w:val="en-US" w:eastAsia="zh-CN"/>
              </w:rPr>
            </w:pPr>
          </w:p>
          <w:p w14:paraId="0BB3E436">
            <w:pPr>
              <w:autoSpaceDE w:val="0"/>
              <w:autoSpaceDN w:val="0"/>
              <w:adjustRightInd w:val="0"/>
              <w:snapToGrid w:val="0"/>
              <w:spacing w:line="430" w:lineRule="exact"/>
              <w:jc w:val="both"/>
              <w:rPr>
                <w:rFonts w:hint="eastAsia" w:cs="宋体"/>
                <w:kern w:val="0"/>
                <w:lang w:val="en-US" w:eastAsia="zh-CN"/>
              </w:rPr>
            </w:pPr>
          </w:p>
          <w:p w14:paraId="0C089129">
            <w:pPr>
              <w:autoSpaceDE w:val="0"/>
              <w:autoSpaceDN w:val="0"/>
              <w:adjustRightInd w:val="0"/>
              <w:snapToGrid w:val="0"/>
              <w:spacing w:line="430" w:lineRule="exact"/>
              <w:jc w:val="both"/>
              <w:rPr>
                <w:rFonts w:hint="eastAsia" w:cs="宋体"/>
                <w:kern w:val="0"/>
                <w:lang w:val="en-US" w:eastAsia="zh-CN"/>
              </w:rPr>
            </w:pPr>
          </w:p>
          <w:p w14:paraId="26611EF8">
            <w:pPr>
              <w:autoSpaceDE w:val="0"/>
              <w:autoSpaceDN w:val="0"/>
              <w:adjustRightInd w:val="0"/>
              <w:snapToGrid w:val="0"/>
              <w:spacing w:line="430" w:lineRule="exact"/>
              <w:jc w:val="both"/>
              <w:rPr>
                <w:rFonts w:hint="default" w:ascii="Times New Roman" w:hAnsi="Times New Roman" w:eastAsia="宋体" w:cs="宋体"/>
                <w:kern w:val="0"/>
                <w:lang w:val="en-US" w:eastAsia="zh-CN"/>
              </w:rPr>
            </w:pPr>
            <w:r>
              <w:rPr>
                <w:rFonts w:hint="eastAsia" w:cs="宋体"/>
                <w:kern w:val="0"/>
                <w:lang w:val="en-US" w:eastAsia="zh-CN"/>
              </w:rPr>
              <w:t>其他符合性分析</w:t>
            </w:r>
          </w:p>
        </w:tc>
        <w:tc>
          <w:tcPr>
            <w:tcW w:w="1250" w:type="dxa"/>
            <w:vAlign w:val="center"/>
          </w:tcPr>
          <w:p w14:paraId="4B8ABF3F">
            <w:pPr>
              <w:autoSpaceDE w:val="0"/>
              <w:autoSpaceDN w:val="0"/>
              <w:adjustRightInd w:val="0"/>
              <w:snapToGrid w:val="0"/>
              <w:spacing w:line="430" w:lineRule="exact"/>
              <w:jc w:val="center"/>
              <w:rPr>
                <w:rFonts w:hint="eastAsia" w:ascii="Times New Roman" w:hAnsi="Times New Roman" w:eastAsia="宋体" w:cs="宋体"/>
                <w:kern w:val="0"/>
              </w:rPr>
            </w:pPr>
            <w:r>
              <w:rPr>
                <w:rFonts w:hint="eastAsia" w:ascii="Times New Roman" w:hAnsi="Times New Roman" w:eastAsia="宋体" w:cs="宋体"/>
                <w:kern w:val="0"/>
              </w:rPr>
              <w:t>产业政策</w:t>
            </w:r>
          </w:p>
        </w:tc>
        <w:tc>
          <w:tcPr>
            <w:tcW w:w="7922" w:type="dxa"/>
            <w:gridSpan w:val="3"/>
            <w:vAlign w:val="center"/>
          </w:tcPr>
          <w:p w14:paraId="4A885FB7">
            <w:pPr>
              <w:snapToGrid w:val="0"/>
              <w:spacing w:line="400" w:lineRule="exact"/>
              <w:ind w:firstLine="480" w:firstLineChars="200"/>
              <w:rPr>
                <w:rFonts w:hint="eastAsia" w:cs="宋体"/>
                <w:highlight w:val="none"/>
                <w:lang w:val="en-US" w:eastAsia="zh-CN"/>
              </w:rPr>
            </w:pPr>
            <w:r>
              <w:rPr>
                <w:rFonts w:hint="eastAsia" w:ascii="Times New Roman" w:hAnsi="Times New Roman" w:eastAsia="宋体" w:cs="宋体"/>
                <w:kern w:val="2"/>
                <w:sz w:val="24"/>
                <w:szCs w:val="24"/>
                <w:highlight w:val="none"/>
                <w:lang w:val="en-US" w:eastAsia="zh-CN" w:bidi="ar-SA"/>
              </w:rPr>
              <w:t>根据《产业结构调整指导目录（2024年本）》，</w:t>
            </w:r>
            <w:r>
              <w:rPr>
                <w:rFonts w:hint="eastAsia" w:cs="宋体"/>
                <w:kern w:val="2"/>
                <w:sz w:val="24"/>
                <w:szCs w:val="24"/>
                <w:highlight w:val="none"/>
                <w:lang w:val="en-US" w:eastAsia="zh-CN" w:bidi="ar-SA"/>
              </w:rPr>
              <w:t>本</w:t>
            </w:r>
            <w:r>
              <w:rPr>
                <w:rFonts w:hint="eastAsia" w:ascii="Times New Roman" w:hAnsi="Times New Roman" w:eastAsia="宋体" w:cs="宋体"/>
                <w:kern w:val="2"/>
                <w:sz w:val="24"/>
                <w:szCs w:val="24"/>
                <w:highlight w:val="none"/>
                <w:lang w:val="en-US" w:eastAsia="zh-CN" w:bidi="ar-SA"/>
              </w:rPr>
              <w:t>项目为</w:t>
            </w:r>
            <w:r>
              <w:rPr>
                <w:rFonts w:hint="eastAsia" w:cs="宋体"/>
                <w:kern w:val="2"/>
                <w:sz w:val="24"/>
                <w:szCs w:val="24"/>
                <w:highlight w:val="none"/>
                <w:lang w:val="en-US" w:eastAsia="zh-CN" w:bidi="ar-SA"/>
              </w:rPr>
              <w:t>锰矿勘探</w:t>
            </w:r>
            <w:r>
              <w:rPr>
                <w:rFonts w:hint="eastAsia" w:ascii="Times New Roman" w:hAnsi="Times New Roman" w:eastAsia="宋体" w:cs="宋体"/>
                <w:kern w:val="2"/>
                <w:sz w:val="24"/>
                <w:szCs w:val="24"/>
                <w:highlight w:val="none"/>
                <w:lang w:val="en-US" w:eastAsia="zh-CN" w:bidi="ar-SA"/>
              </w:rPr>
              <w:t>，不属于鼓励类、限制类及淘汰类，为允许类。</w:t>
            </w:r>
            <w:r>
              <w:rPr>
                <w:rFonts w:hint="eastAsia" w:cs="宋体"/>
                <w:kern w:val="2"/>
                <w:sz w:val="24"/>
                <w:szCs w:val="24"/>
                <w:highlight w:val="none"/>
                <w:lang w:val="en-US" w:eastAsia="zh-CN" w:bidi="ar-SA"/>
              </w:rPr>
              <w:t>且本项目已取得探矿证（附件1），</w:t>
            </w:r>
            <w:r>
              <w:rPr>
                <w:rFonts w:hint="eastAsia" w:ascii="Times New Roman" w:hAnsi="Times New Roman" w:eastAsia="宋体" w:cs="宋体"/>
                <w:kern w:val="2"/>
                <w:sz w:val="24"/>
                <w:szCs w:val="24"/>
                <w:highlight w:val="none"/>
                <w:lang w:val="en-US" w:eastAsia="zh-CN" w:bidi="ar-SA"/>
              </w:rPr>
              <w:t>符合国家、地方的有关</w:t>
            </w:r>
            <w:r>
              <w:rPr>
                <w:rFonts w:hint="eastAsia" w:cs="宋体"/>
                <w:kern w:val="2"/>
                <w:sz w:val="24"/>
                <w:szCs w:val="24"/>
                <w:highlight w:val="none"/>
                <w:lang w:val="en-US" w:eastAsia="zh-CN" w:bidi="ar-SA"/>
              </w:rPr>
              <w:t>法律法规</w:t>
            </w:r>
            <w:r>
              <w:rPr>
                <w:rFonts w:hint="eastAsia" w:ascii="Times New Roman" w:hAnsi="Times New Roman" w:eastAsia="宋体" w:cs="宋体"/>
                <w:kern w:val="2"/>
                <w:sz w:val="24"/>
                <w:szCs w:val="24"/>
                <w:highlight w:val="none"/>
                <w:lang w:val="en-US" w:eastAsia="zh-CN" w:bidi="ar-SA"/>
              </w:rPr>
              <w:t>和政策规定</w:t>
            </w:r>
            <w:r>
              <w:rPr>
                <w:rFonts w:hint="eastAsia" w:cs="宋体"/>
                <w:kern w:val="2"/>
                <w:sz w:val="24"/>
                <w:szCs w:val="24"/>
                <w:highlight w:val="none"/>
                <w:lang w:val="en-US" w:eastAsia="zh-CN" w:bidi="ar-SA"/>
              </w:rPr>
              <w:t>，所以本</w:t>
            </w:r>
            <w:r>
              <w:rPr>
                <w:rFonts w:hint="eastAsia" w:ascii="Times New Roman" w:hAnsi="Times New Roman" w:eastAsia="宋体" w:cs="宋体"/>
                <w:kern w:val="2"/>
                <w:sz w:val="24"/>
                <w:szCs w:val="24"/>
                <w:highlight w:val="none"/>
                <w:lang w:val="en-US" w:eastAsia="zh-CN" w:bidi="ar-SA"/>
              </w:rPr>
              <w:t>项目符合国家产业政策。</w:t>
            </w:r>
          </w:p>
        </w:tc>
      </w:tr>
      <w:tr w14:paraId="7685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7" w:hRule="atLeast"/>
          <w:jc w:val="center"/>
        </w:trPr>
        <w:tc>
          <w:tcPr>
            <w:tcW w:w="456" w:type="dxa"/>
            <w:vMerge w:val="continue"/>
            <w:vAlign w:val="center"/>
          </w:tcPr>
          <w:p w14:paraId="02DBCBF2">
            <w:pPr>
              <w:autoSpaceDE w:val="0"/>
              <w:autoSpaceDN w:val="0"/>
              <w:adjustRightInd w:val="0"/>
              <w:snapToGrid w:val="0"/>
              <w:spacing w:line="430" w:lineRule="exact"/>
              <w:jc w:val="center"/>
            </w:pPr>
          </w:p>
        </w:tc>
        <w:tc>
          <w:tcPr>
            <w:tcW w:w="9172" w:type="dxa"/>
            <w:gridSpan w:val="4"/>
            <w:vAlign w:val="center"/>
          </w:tcPr>
          <w:p w14:paraId="1EA019A8">
            <w:pPr>
              <w:adjustRightInd w:val="0"/>
              <w:snapToGrid w:val="0"/>
              <w:spacing w:line="400" w:lineRule="exact"/>
              <w:jc w:val="left"/>
              <w:rPr>
                <w:rFonts w:ascii="Times New Roman" w:hAnsi="Times New Roman" w:eastAsia="宋体"/>
                <w:b/>
                <w:bCs/>
                <w:spacing w:val="-3"/>
              </w:rPr>
            </w:pPr>
            <w:r>
              <w:rPr>
                <w:rFonts w:hint="eastAsia"/>
                <w:b/>
                <w:bCs/>
                <w:spacing w:val="-3"/>
                <w:lang w:eastAsia="zh-CN"/>
              </w:rPr>
              <w:t>1.</w:t>
            </w:r>
            <w:r>
              <w:rPr>
                <w:rFonts w:hint="eastAsia"/>
                <w:b/>
                <w:bCs/>
                <w:spacing w:val="-3"/>
                <w:lang w:val="en-US" w:eastAsia="zh-CN"/>
              </w:rPr>
              <w:t>与自治区</w:t>
            </w:r>
            <w:r>
              <w:rPr>
                <w:rFonts w:hint="eastAsia" w:ascii="Times New Roman" w:hAnsi="Times New Roman" w:eastAsia="宋体"/>
                <w:b/>
                <w:bCs/>
                <w:spacing w:val="-3"/>
              </w:rPr>
              <w:t>生态环境分区管控</w:t>
            </w:r>
            <w:r>
              <w:rPr>
                <w:rFonts w:ascii="Times New Roman" w:hAnsi="Times New Roman" w:eastAsia="宋体"/>
                <w:b/>
                <w:bCs/>
                <w:spacing w:val="-3"/>
              </w:rPr>
              <w:t>符合性</w:t>
            </w:r>
          </w:p>
          <w:p w14:paraId="2E5A98A9">
            <w:pPr>
              <w:pStyle w:val="7"/>
              <w:spacing w:line="500" w:lineRule="exact"/>
              <w:jc w:val="center"/>
              <w:rPr>
                <w:rFonts w:ascii="Times New Roman" w:hAnsi="Times New Roman" w:eastAsia="宋体" w:cs="Times New Roman"/>
                <w:b/>
                <w:bCs/>
                <w:lang w:eastAsia="zh-CN"/>
              </w:rPr>
            </w:pPr>
            <w:r>
              <w:rPr>
                <w:rFonts w:ascii="Times New Roman" w:hAnsi="Times New Roman" w:eastAsia="宋体" w:cs="Times New Roman"/>
                <w:b/>
                <w:bCs/>
                <w:lang w:eastAsia="zh-CN"/>
              </w:rPr>
              <w:t>表1-</w:t>
            </w:r>
            <w:r>
              <w:rPr>
                <w:rFonts w:hint="eastAsia" w:ascii="Times New Roman" w:hAnsi="Times New Roman" w:eastAsia="宋体" w:cs="Times New Roman"/>
                <w:b/>
                <w:bCs/>
                <w:lang w:val="en-US" w:eastAsia="zh-CN"/>
              </w:rPr>
              <w:t>2</w:t>
            </w:r>
            <w:r>
              <w:rPr>
                <w:rFonts w:ascii="Times New Roman" w:hAnsi="Times New Roman" w:eastAsia="宋体" w:cs="Times New Roman"/>
                <w:b/>
                <w:bCs/>
                <w:lang w:eastAsia="zh-CN"/>
              </w:rPr>
              <w:t>与自治区</w:t>
            </w:r>
            <w:r>
              <w:rPr>
                <w:rFonts w:hint="eastAsia" w:ascii="Times New Roman" w:hAnsi="Times New Roman" w:eastAsia="宋体" w:cs="Times New Roman"/>
                <w:b/>
                <w:bCs/>
                <w:lang w:eastAsia="zh-CN"/>
              </w:rPr>
              <w:t>生态环境分区管控</w:t>
            </w:r>
            <w:r>
              <w:rPr>
                <w:rFonts w:ascii="Times New Roman" w:hAnsi="Times New Roman" w:eastAsia="宋体" w:cs="Times New Roman"/>
                <w:b/>
                <w:bCs/>
                <w:lang w:eastAsia="zh-CN"/>
              </w:rPr>
              <w:t>符合性分析</w:t>
            </w:r>
          </w:p>
          <w:tbl>
            <w:tblPr>
              <w:tblStyle w:val="16"/>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755"/>
              <w:gridCol w:w="3477"/>
              <w:gridCol w:w="3102"/>
              <w:gridCol w:w="859"/>
            </w:tblGrid>
            <w:tr w14:paraId="1164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719" w:type="dxa"/>
                  <w:vAlign w:val="center"/>
                </w:tcPr>
                <w:p w14:paraId="1A7A551D">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名称</w:t>
                  </w:r>
                </w:p>
              </w:tc>
              <w:tc>
                <w:tcPr>
                  <w:tcW w:w="4232" w:type="dxa"/>
                  <w:gridSpan w:val="2"/>
                  <w:vAlign w:val="center"/>
                </w:tcPr>
                <w:p w14:paraId="5F4A5F80">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文件要求</w:t>
                  </w:r>
                </w:p>
              </w:tc>
              <w:tc>
                <w:tcPr>
                  <w:tcW w:w="3102" w:type="dxa"/>
                  <w:vAlign w:val="center"/>
                </w:tcPr>
                <w:p w14:paraId="0D519730">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本项目</w:t>
                  </w:r>
                </w:p>
              </w:tc>
              <w:tc>
                <w:tcPr>
                  <w:tcW w:w="859" w:type="dxa"/>
                  <w:vAlign w:val="center"/>
                </w:tcPr>
                <w:p w14:paraId="657AD731">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符合性</w:t>
                  </w:r>
                </w:p>
              </w:tc>
            </w:tr>
            <w:tr w14:paraId="6B2D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719" w:type="dxa"/>
                  <w:vMerge w:val="restart"/>
                  <w:vAlign w:val="center"/>
                </w:tcPr>
                <w:p w14:paraId="143A37EE">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《新疆维吾尔自治区生态环境分区管控》</w:t>
                  </w:r>
                </w:p>
              </w:tc>
              <w:tc>
                <w:tcPr>
                  <w:tcW w:w="755" w:type="dxa"/>
                  <w:vAlign w:val="center"/>
                </w:tcPr>
                <w:p w14:paraId="7D354597">
                  <w:pPr>
                    <w:pStyle w:val="21"/>
                    <w:spacing w:before="65" w:line="228" w:lineRule="auto"/>
                    <w:ind w:left="42"/>
                    <w:jc w:val="center"/>
                    <w:rPr>
                      <w:rFonts w:hint="eastAsia" w:ascii="Times New Roman" w:hAnsi="Times New Roman" w:eastAsia="宋体"/>
                      <w:sz w:val="21"/>
                      <w:szCs w:val="21"/>
                      <w:lang w:eastAsia="zh-CN"/>
                    </w:rPr>
                  </w:pPr>
                  <w:r>
                    <w:rPr>
                      <w:rFonts w:hint="eastAsia" w:ascii="Times New Roman" w:hAnsi="Times New Roman" w:eastAsia="宋体"/>
                      <w:sz w:val="21"/>
                      <w:szCs w:val="21"/>
                      <w:lang w:eastAsia="zh-CN"/>
                    </w:rPr>
                    <w:t>生态保护红线</w:t>
                  </w:r>
                </w:p>
              </w:tc>
              <w:tc>
                <w:tcPr>
                  <w:tcW w:w="3477" w:type="dxa"/>
                  <w:vAlign w:val="center"/>
                </w:tcPr>
                <w:p w14:paraId="6FA4406A">
                  <w:pPr>
                    <w:pStyle w:val="21"/>
                    <w:spacing w:before="65" w:line="228" w:lineRule="auto"/>
                    <w:rPr>
                      <w:rFonts w:hint="eastAsia" w:ascii="Times New Roman" w:hAnsi="Times New Roman" w:eastAsia="宋体"/>
                      <w:sz w:val="21"/>
                      <w:szCs w:val="21"/>
                      <w:lang w:eastAsia="zh-CN"/>
                    </w:rPr>
                  </w:pPr>
                  <w:r>
                    <w:rPr>
                      <w:rFonts w:hint="eastAsia" w:ascii="Times New Roman" w:hAnsi="Times New Roman" w:eastAsia="宋体"/>
                      <w:sz w:val="21"/>
                      <w:szCs w:val="21"/>
                      <w:lang w:eastAsia="zh-CN"/>
                    </w:rPr>
                    <w:t>按照“生态功能不降低、面积不减少、性质不改变”的基本要求，对划定的生态保护红线实施严格管控，保障和维护国家生态安全的底线和生命线</w:t>
                  </w:r>
                  <w:r>
                    <w:rPr>
                      <w:rFonts w:hint="eastAsia" w:ascii="Times New Roman" w:hAnsi="Times New Roman"/>
                      <w:sz w:val="21"/>
                      <w:szCs w:val="21"/>
                      <w:lang w:eastAsia="zh-CN"/>
                    </w:rPr>
                    <w:t>。</w:t>
                  </w:r>
                </w:p>
              </w:tc>
              <w:tc>
                <w:tcPr>
                  <w:tcW w:w="3102" w:type="dxa"/>
                  <w:vAlign w:val="center"/>
                </w:tcPr>
                <w:p w14:paraId="09DD0438">
                  <w:pPr>
                    <w:pStyle w:val="21"/>
                    <w:spacing w:before="65" w:line="228" w:lineRule="auto"/>
                    <w:rPr>
                      <w:rFonts w:hint="eastAsia" w:ascii="Times New Roman" w:hAnsi="Times New Roman" w:eastAsia="宋体"/>
                      <w:sz w:val="21"/>
                      <w:szCs w:val="21"/>
                      <w:lang w:eastAsia="zh-CN"/>
                    </w:rPr>
                  </w:pPr>
                  <w:r>
                    <w:rPr>
                      <w:rFonts w:hint="eastAsia" w:ascii="Times New Roman" w:hAnsi="Times New Roman" w:eastAsia="宋体"/>
                      <w:sz w:val="21"/>
                      <w:szCs w:val="21"/>
                      <w:lang w:eastAsia="zh-CN"/>
                    </w:rPr>
                    <w:t>本项目位于民丰县与且末县交界区域，依据《新疆维吾尔自治区生态保护红线划定成果（2023年）》进行空间叠加分析，项目临时占地及所有工程点均位于生态保护红线以外，</w:t>
                  </w:r>
                  <w:r>
                    <w:rPr>
                      <w:rFonts w:hint="eastAsia" w:ascii="Times New Roman" w:hAnsi="Times New Roman" w:eastAsia="宋体"/>
                      <w:sz w:val="21"/>
                      <w:szCs w:val="21"/>
                      <w:lang w:val="en-US" w:eastAsia="zh-CN"/>
                    </w:rPr>
                    <w:t>勘查区南侧距离帕米尔</w:t>
                  </w:r>
                  <w:r>
                    <w:rPr>
                      <w:rFonts w:hint="eastAsia" w:ascii="Times New Roman" w:hAnsi="Times New Roman"/>
                      <w:sz w:val="21"/>
                      <w:szCs w:val="21"/>
                      <w:lang w:val="en-US" w:eastAsia="zh-CN"/>
                    </w:rPr>
                    <w:t>－</w:t>
                  </w:r>
                  <w:r>
                    <w:rPr>
                      <w:rFonts w:hint="eastAsia" w:ascii="Times New Roman" w:hAnsi="Times New Roman" w:eastAsia="宋体"/>
                      <w:sz w:val="21"/>
                      <w:szCs w:val="21"/>
                      <w:lang w:val="en-US" w:eastAsia="zh-CN"/>
                    </w:rPr>
                    <w:t>昆仑山水土流失防控生态保护红线区约5.02</w:t>
                  </w:r>
                  <w:r>
                    <w:rPr>
                      <w:rFonts w:hint="eastAsia" w:ascii="Times New Roman" w:hAnsi="Times New Roman" w:eastAsia="宋体"/>
                      <w:sz w:val="21"/>
                      <w:szCs w:val="21"/>
                      <w:lang w:eastAsia="zh-CN"/>
                    </w:rPr>
                    <w:t>千米</w:t>
                  </w:r>
                  <w:r>
                    <w:rPr>
                      <w:rFonts w:hint="eastAsia" w:ascii="Times New Roman" w:hAnsi="Times New Roman" w:eastAsia="宋体"/>
                      <w:sz w:val="21"/>
                      <w:szCs w:val="21"/>
                      <w:lang w:val="en-US" w:eastAsia="zh-CN"/>
                    </w:rPr>
                    <w:t>，勘查区东侧和东北分别距离昆仑山生物多样性维护生态保护红线区约10.4</w:t>
                  </w:r>
                  <w:r>
                    <w:rPr>
                      <w:rFonts w:hint="eastAsia" w:ascii="Times New Roman" w:hAnsi="Times New Roman" w:eastAsia="宋体"/>
                      <w:sz w:val="21"/>
                      <w:szCs w:val="21"/>
                      <w:lang w:eastAsia="zh-CN"/>
                    </w:rPr>
                    <w:t>千米</w:t>
                  </w:r>
                  <w:r>
                    <w:rPr>
                      <w:rFonts w:hint="eastAsia" w:ascii="Times New Roman" w:hAnsi="Times New Roman" w:eastAsia="宋体"/>
                      <w:sz w:val="21"/>
                      <w:szCs w:val="21"/>
                      <w:lang w:val="en-US" w:eastAsia="zh-CN"/>
                    </w:rPr>
                    <w:t>和7.82</w:t>
                  </w:r>
                  <w:r>
                    <w:rPr>
                      <w:rFonts w:hint="eastAsia" w:ascii="Times New Roman" w:hAnsi="Times New Roman" w:eastAsia="宋体"/>
                      <w:sz w:val="21"/>
                      <w:szCs w:val="21"/>
                      <w:lang w:eastAsia="zh-CN"/>
                    </w:rPr>
                    <w:t>千米</w:t>
                  </w:r>
                  <w:r>
                    <w:rPr>
                      <w:rFonts w:hint="eastAsia" w:ascii="Times New Roman" w:hAnsi="Times New Roman" w:eastAsia="宋体"/>
                      <w:sz w:val="21"/>
                      <w:szCs w:val="21"/>
                      <w:highlight w:val="none"/>
                      <w:lang w:eastAsia="zh-CN"/>
                    </w:rPr>
                    <w:t>，</w:t>
                  </w:r>
                  <w:r>
                    <w:rPr>
                      <w:rFonts w:hint="eastAsia" w:ascii="Times New Roman" w:hAnsi="Times New Roman" w:eastAsia="宋体"/>
                      <w:sz w:val="21"/>
                      <w:szCs w:val="21"/>
                      <w:lang w:eastAsia="zh-CN"/>
                    </w:rPr>
                    <w:t>不涉及自然保护区、饮用水水源保护区、公益林及重要湿地，符合自治区“三线一单”管控要求。</w:t>
                  </w:r>
                </w:p>
              </w:tc>
              <w:tc>
                <w:tcPr>
                  <w:tcW w:w="859" w:type="dxa"/>
                  <w:vAlign w:val="center"/>
                </w:tcPr>
                <w:p w14:paraId="6648E2BC">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符合</w:t>
                  </w:r>
                </w:p>
              </w:tc>
            </w:tr>
            <w:tr w14:paraId="2B07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7" w:hRule="atLeast"/>
                <w:jc w:val="center"/>
              </w:trPr>
              <w:tc>
                <w:tcPr>
                  <w:tcW w:w="719" w:type="dxa"/>
                  <w:vMerge w:val="continue"/>
                  <w:vAlign w:val="center"/>
                </w:tcPr>
                <w:p w14:paraId="10E3E8AA">
                  <w:pPr>
                    <w:adjustRightInd w:val="0"/>
                    <w:snapToGrid w:val="0"/>
                    <w:spacing w:line="400" w:lineRule="exact"/>
                    <w:jc w:val="center"/>
                    <w:rPr>
                      <w:rFonts w:hint="eastAsia" w:ascii="Times New Roman" w:hAnsi="Times New Roman" w:eastAsia="宋体" w:cs="宋体"/>
                      <w:sz w:val="21"/>
                      <w:szCs w:val="21"/>
                    </w:rPr>
                  </w:pPr>
                </w:p>
              </w:tc>
              <w:tc>
                <w:tcPr>
                  <w:tcW w:w="755" w:type="dxa"/>
                  <w:vAlign w:val="center"/>
                </w:tcPr>
                <w:p w14:paraId="1BEB2CC5">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环境质量底线</w:t>
                  </w:r>
                </w:p>
              </w:tc>
              <w:tc>
                <w:tcPr>
                  <w:tcW w:w="3477" w:type="dxa"/>
                  <w:vAlign w:val="center"/>
                </w:tcPr>
                <w:p w14:paraId="69EC6368">
                  <w:pPr>
                    <w:pStyle w:val="21"/>
                    <w:spacing w:before="65" w:line="228" w:lineRule="auto"/>
                    <w:rPr>
                      <w:rFonts w:hint="eastAsia" w:ascii="Times New Roman" w:hAnsi="Times New Roman" w:eastAsia="宋体"/>
                      <w:sz w:val="21"/>
                      <w:szCs w:val="21"/>
                      <w:lang w:eastAsia="zh-CN"/>
                    </w:rPr>
                  </w:pPr>
                  <w:r>
                    <w:rPr>
                      <w:rFonts w:hint="eastAsia" w:ascii="Times New Roman" w:hAnsi="Times New Roman" w:eastAsia="宋体"/>
                      <w:sz w:val="21"/>
                      <w:szCs w:val="21"/>
                      <w:lang w:eastAsia="zh-CN"/>
                    </w:rPr>
                    <w:t>全区水环境质量持续改善，受污染地表水体得到优先治理，饮用水安全保障水平持续提升，地下水超采得到严格控制，地下水水质保持稳定；全区环境空气质量有所提升，重污染天数持续减少，已达标城市环境空气质量保持稳定，未达标城市环境空气质量持续改善，沙尘影响严重地区做好防风固沙、生态环境保护修复等工作；全区土壤环境质量保持稳定，污染地块安全利用水平稳中有升，土壤环境风险得到进一步管控</w:t>
                  </w:r>
                  <w:r>
                    <w:rPr>
                      <w:rFonts w:hint="eastAsia" w:ascii="Times New Roman" w:hAnsi="Times New Roman"/>
                      <w:sz w:val="21"/>
                      <w:szCs w:val="21"/>
                      <w:lang w:eastAsia="zh-CN"/>
                    </w:rPr>
                    <w:t>。</w:t>
                  </w:r>
                </w:p>
              </w:tc>
              <w:tc>
                <w:tcPr>
                  <w:tcW w:w="3102" w:type="dxa"/>
                  <w:vAlign w:val="center"/>
                </w:tcPr>
                <w:p w14:paraId="4472CEE1">
                  <w:pPr>
                    <w:pStyle w:val="21"/>
                    <w:spacing w:before="65" w:line="228" w:lineRule="auto"/>
                    <w:rPr>
                      <w:rFonts w:hint="eastAsia" w:ascii="Times New Roman" w:hAnsi="Times New Roman" w:eastAsia="宋体"/>
                      <w:sz w:val="21"/>
                      <w:szCs w:val="21"/>
                      <w:lang w:eastAsia="zh-CN"/>
                    </w:rPr>
                  </w:pPr>
                  <w:r>
                    <w:rPr>
                      <w:rFonts w:hint="eastAsia" w:cs="宋体"/>
                      <w:sz w:val="21"/>
                      <w:szCs w:val="21"/>
                      <w:highlight w:val="none"/>
                      <w:vertAlign w:val="baseline"/>
                      <w:lang w:val="en-US" w:eastAsia="zh-CN"/>
                    </w:rPr>
                    <w:t>本项目生活污水排入一体化污水处理设施处理达标后，用于洒水绿化，不外排；</w:t>
                  </w:r>
                  <w:r>
                    <w:rPr>
                      <w:rFonts w:hint="eastAsia" w:ascii="Times New Roman" w:hAnsi="Times New Roman" w:eastAsia="宋体" w:cs="宋体"/>
                      <w:spacing w:val="6"/>
                      <w:sz w:val="21"/>
                      <w:szCs w:val="21"/>
                      <w:highlight w:val="none"/>
                    </w:rPr>
                    <w:t>钻井期产生的废水</w:t>
                  </w:r>
                  <w:r>
                    <w:rPr>
                      <w:rFonts w:hint="eastAsia" w:ascii="Times New Roman" w:hAnsi="Times New Roman" w:eastAsia="宋体" w:cs="宋体"/>
                      <w:spacing w:val="6"/>
                      <w:sz w:val="21"/>
                      <w:szCs w:val="21"/>
                      <w:highlight w:val="none"/>
                      <w:lang w:val="en-US" w:eastAsia="zh-CN"/>
                    </w:rPr>
                    <w:t>收集到泥浆池经沉淀后回用</w:t>
                  </w:r>
                  <w:r>
                    <w:rPr>
                      <w:rFonts w:hint="eastAsia" w:ascii="Times New Roman" w:hAnsi="Times New Roman" w:eastAsia="宋体" w:cs="宋体"/>
                      <w:spacing w:val="6"/>
                      <w:sz w:val="21"/>
                      <w:szCs w:val="21"/>
                      <w:highlight w:val="none"/>
                    </w:rPr>
                    <w:t>于清洗设备及泥浆的调配，不外排。</w:t>
                  </w:r>
                  <w:r>
                    <w:rPr>
                      <w:rFonts w:hint="eastAsia" w:ascii="Times New Roman" w:hAnsi="Times New Roman" w:eastAsia="宋体"/>
                      <w:sz w:val="21"/>
                      <w:szCs w:val="21"/>
                      <w:highlight w:val="none"/>
                      <w:lang w:eastAsia="zh-CN"/>
                    </w:rPr>
                    <w:t>不会对矿区水土环境造成污染，大气污染物主要为</w:t>
                  </w:r>
                  <w:r>
                    <w:rPr>
                      <w:rFonts w:hint="eastAsia" w:ascii="Times New Roman" w:hAnsi="Times New Roman"/>
                      <w:sz w:val="21"/>
                      <w:szCs w:val="21"/>
                      <w:highlight w:val="none"/>
                      <w:lang w:val="en-US" w:eastAsia="zh-CN"/>
                    </w:rPr>
                    <w:t>扬尘</w:t>
                  </w:r>
                  <w:r>
                    <w:rPr>
                      <w:rFonts w:hint="eastAsia" w:ascii="Times New Roman" w:hAnsi="Times New Roman" w:eastAsia="宋体"/>
                      <w:sz w:val="21"/>
                      <w:szCs w:val="21"/>
                      <w:highlight w:val="none"/>
                      <w:lang w:eastAsia="zh-CN"/>
                    </w:rPr>
                    <w:t>，采取相应措施后能够满足相关排放要求，对周边环境影响可接受。</w:t>
                  </w:r>
                </w:p>
              </w:tc>
              <w:tc>
                <w:tcPr>
                  <w:tcW w:w="859" w:type="dxa"/>
                  <w:vAlign w:val="center"/>
                </w:tcPr>
                <w:p w14:paraId="62E8EEF2">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符合</w:t>
                  </w:r>
                </w:p>
              </w:tc>
            </w:tr>
            <w:tr w14:paraId="711B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jc w:val="center"/>
              </w:trPr>
              <w:tc>
                <w:tcPr>
                  <w:tcW w:w="719" w:type="dxa"/>
                  <w:vMerge w:val="continue"/>
                  <w:vAlign w:val="center"/>
                </w:tcPr>
                <w:p w14:paraId="65D9CA15">
                  <w:pPr>
                    <w:adjustRightInd w:val="0"/>
                    <w:snapToGrid w:val="0"/>
                    <w:spacing w:line="400" w:lineRule="exact"/>
                    <w:jc w:val="center"/>
                    <w:rPr>
                      <w:rFonts w:hint="eastAsia" w:ascii="Times New Roman" w:hAnsi="Times New Roman" w:eastAsia="宋体" w:cs="宋体"/>
                      <w:sz w:val="21"/>
                      <w:szCs w:val="21"/>
                    </w:rPr>
                  </w:pPr>
                </w:p>
              </w:tc>
              <w:tc>
                <w:tcPr>
                  <w:tcW w:w="755" w:type="dxa"/>
                  <w:vAlign w:val="center"/>
                </w:tcPr>
                <w:p w14:paraId="2251E644">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资源利用上线</w:t>
                  </w:r>
                </w:p>
              </w:tc>
              <w:tc>
                <w:tcPr>
                  <w:tcW w:w="3477" w:type="dxa"/>
                  <w:vAlign w:val="center"/>
                </w:tcPr>
                <w:p w14:paraId="2D0BCA21">
                  <w:pPr>
                    <w:pStyle w:val="21"/>
                    <w:spacing w:before="65" w:line="228" w:lineRule="auto"/>
                    <w:rPr>
                      <w:rFonts w:hint="eastAsia" w:ascii="Times New Roman" w:hAnsi="Times New Roman" w:eastAsia="宋体"/>
                      <w:sz w:val="21"/>
                      <w:szCs w:val="21"/>
                      <w:lang w:eastAsia="zh-CN"/>
                    </w:rPr>
                  </w:pPr>
                  <w:r>
                    <w:rPr>
                      <w:rFonts w:hint="eastAsia" w:ascii="Times New Roman" w:hAnsi="Times New Roman" w:eastAsia="宋体"/>
                      <w:sz w:val="21"/>
                      <w:szCs w:val="21"/>
                      <w:lang w:eastAsia="zh-CN"/>
                    </w:rPr>
                    <w:t>强化节约集约利用，持续提升资源能源利用效率，水资源、土地资源、能源消耗等达到国家、自治区下达的总量和强度控制目标</w:t>
                  </w:r>
                  <w:r>
                    <w:rPr>
                      <w:rFonts w:hint="eastAsia" w:ascii="Times New Roman" w:hAnsi="Times New Roman"/>
                      <w:sz w:val="21"/>
                      <w:szCs w:val="21"/>
                      <w:lang w:eastAsia="zh-CN"/>
                    </w:rPr>
                    <w:t>。</w:t>
                  </w:r>
                </w:p>
              </w:tc>
              <w:tc>
                <w:tcPr>
                  <w:tcW w:w="3102" w:type="dxa"/>
                  <w:vAlign w:val="center"/>
                </w:tcPr>
                <w:p w14:paraId="6F688D55">
                  <w:pPr>
                    <w:pStyle w:val="21"/>
                    <w:spacing w:before="65" w:line="228" w:lineRule="auto"/>
                    <w:rPr>
                      <w:rFonts w:hint="eastAsia" w:ascii="Times New Roman" w:hAnsi="Times New Roman" w:eastAsia="宋体"/>
                      <w:sz w:val="21"/>
                      <w:szCs w:val="21"/>
                      <w:lang w:eastAsia="zh-CN"/>
                    </w:rPr>
                  </w:pPr>
                  <w:r>
                    <w:rPr>
                      <w:rFonts w:hint="eastAsia" w:ascii="Times New Roman" w:hAnsi="Times New Roman" w:eastAsia="宋体"/>
                      <w:sz w:val="21"/>
                      <w:szCs w:val="21"/>
                      <w:lang w:eastAsia="zh-CN"/>
                    </w:rPr>
                    <w:t>本项目主要利用资源为新鲜水和电，本项目用水量及耗电量较小，占地面积较小，对区域水资源、土地资源、能源消耗较小，不会超过资源利用上线</w:t>
                  </w:r>
                  <w:r>
                    <w:rPr>
                      <w:rFonts w:hint="eastAsia" w:ascii="Times New Roman" w:hAnsi="Times New Roman"/>
                      <w:sz w:val="21"/>
                      <w:szCs w:val="21"/>
                      <w:lang w:eastAsia="zh-CN"/>
                    </w:rPr>
                    <w:t>。</w:t>
                  </w:r>
                </w:p>
              </w:tc>
              <w:tc>
                <w:tcPr>
                  <w:tcW w:w="859" w:type="dxa"/>
                  <w:vAlign w:val="center"/>
                </w:tcPr>
                <w:p w14:paraId="72C46396">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符合</w:t>
                  </w:r>
                </w:p>
              </w:tc>
            </w:tr>
            <w:tr w14:paraId="29D4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719" w:type="dxa"/>
                  <w:vMerge w:val="continue"/>
                  <w:vAlign w:val="center"/>
                </w:tcPr>
                <w:p w14:paraId="11694C94">
                  <w:pPr>
                    <w:adjustRightInd w:val="0"/>
                    <w:snapToGrid w:val="0"/>
                    <w:spacing w:line="400" w:lineRule="exact"/>
                    <w:jc w:val="center"/>
                    <w:rPr>
                      <w:rFonts w:hint="eastAsia" w:ascii="Times New Roman" w:hAnsi="Times New Roman" w:eastAsia="宋体" w:cs="宋体"/>
                      <w:sz w:val="21"/>
                      <w:szCs w:val="21"/>
                    </w:rPr>
                  </w:pPr>
                </w:p>
              </w:tc>
              <w:tc>
                <w:tcPr>
                  <w:tcW w:w="755" w:type="dxa"/>
                  <w:vAlign w:val="center"/>
                </w:tcPr>
                <w:p w14:paraId="17A8F638">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环境管控单元</w:t>
                  </w:r>
                </w:p>
              </w:tc>
              <w:tc>
                <w:tcPr>
                  <w:tcW w:w="3477" w:type="dxa"/>
                  <w:vAlign w:val="center"/>
                </w:tcPr>
                <w:p w14:paraId="52B9C813">
                  <w:pPr>
                    <w:pStyle w:val="21"/>
                    <w:spacing w:before="65" w:line="228" w:lineRule="auto"/>
                    <w:rPr>
                      <w:rFonts w:hint="eastAsia" w:ascii="Times New Roman" w:hAnsi="Times New Roman" w:eastAsia="宋体"/>
                      <w:sz w:val="21"/>
                      <w:szCs w:val="21"/>
                      <w:lang w:eastAsia="zh-CN"/>
                    </w:rPr>
                  </w:pPr>
                  <w:r>
                    <w:rPr>
                      <w:rFonts w:hint="eastAsia" w:ascii="Times New Roman" w:hAnsi="Times New Roman" w:eastAsia="宋体"/>
                      <w:sz w:val="21"/>
                      <w:szCs w:val="21"/>
                      <w:lang w:eastAsia="zh-CN"/>
                    </w:rPr>
                    <w:t>自治区划定环境管控单元，分为优先保护单元、重点管控单元和一般管控单元三类，实施</w:t>
                  </w:r>
                </w:p>
                <w:p w14:paraId="68FB39AD">
                  <w:pPr>
                    <w:pStyle w:val="21"/>
                    <w:spacing w:before="65" w:line="228" w:lineRule="auto"/>
                    <w:rPr>
                      <w:rFonts w:hint="eastAsia" w:ascii="Times New Roman" w:hAnsi="Times New Roman" w:eastAsia="宋体"/>
                      <w:sz w:val="21"/>
                      <w:szCs w:val="21"/>
                      <w:lang w:eastAsia="zh-CN"/>
                    </w:rPr>
                  </w:pPr>
                  <w:r>
                    <w:rPr>
                      <w:rFonts w:hint="eastAsia" w:ascii="Times New Roman" w:hAnsi="Times New Roman" w:eastAsia="宋体"/>
                      <w:sz w:val="21"/>
                      <w:szCs w:val="21"/>
                      <w:lang w:eastAsia="zh-CN"/>
                    </w:rPr>
                    <w:t>分类管控。一般管控单元中，执行区域生态环境保护的基本要求，重点加强农业、生活等领域污染治理</w:t>
                  </w:r>
                  <w:r>
                    <w:rPr>
                      <w:rFonts w:hint="eastAsia" w:ascii="Times New Roman" w:hAnsi="Times New Roman"/>
                      <w:sz w:val="21"/>
                      <w:szCs w:val="21"/>
                      <w:lang w:eastAsia="zh-CN"/>
                    </w:rPr>
                    <w:t>。</w:t>
                  </w:r>
                </w:p>
              </w:tc>
              <w:tc>
                <w:tcPr>
                  <w:tcW w:w="3102" w:type="dxa"/>
                  <w:vAlign w:val="center"/>
                </w:tcPr>
                <w:p w14:paraId="27A515C4">
                  <w:pPr>
                    <w:pStyle w:val="21"/>
                    <w:spacing w:before="65" w:line="228" w:lineRule="auto"/>
                    <w:rPr>
                      <w:rFonts w:hint="eastAsia" w:ascii="Times New Roman" w:hAnsi="Times New Roman" w:eastAsia="宋体"/>
                      <w:sz w:val="21"/>
                      <w:szCs w:val="21"/>
                      <w:lang w:eastAsia="zh-CN"/>
                    </w:rPr>
                  </w:pPr>
                  <w:r>
                    <w:rPr>
                      <w:rFonts w:hint="eastAsia" w:ascii="Times New Roman" w:hAnsi="Times New Roman" w:eastAsia="宋体"/>
                      <w:sz w:val="21"/>
                      <w:szCs w:val="21"/>
                      <w:lang w:eastAsia="zh-CN"/>
                    </w:rPr>
                    <w:t>本工程实施后通过采取完善的污染治理措施，不会对站址周围大气环境、地表水环境、声环境、地下水、土壤环境产生明显影响</w:t>
                  </w:r>
                  <w:r>
                    <w:rPr>
                      <w:rFonts w:hint="eastAsia" w:ascii="Times New Roman" w:hAnsi="Times New Roman"/>
                      <w:sz w:val="21"/>
                      <w:szCs w:val="21"/>
                      <w:lang w:eastAsia="zh-CN"/>
                    </w:rPr>
                    <w:t>。</w:t>
                  </w:r>
                </w:p>
              </w:tc>
              <w:tc>
                <w:tcPr>
                  <w:tcW w:w="859" w:type="dxa"/>
                  <w:vAlign w:val="center"/>
                </w:tcPr>
                <w:p w14:paraId="79FD7618">
                  <w:pPr>
                    <w:adjustRightInd w:val="0"/>
                    <w:snapToGrid w:val="0"/>
                    <w:spacing w:line="4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符合</w:t>
                  </w:r>
                </w:p>
              </w:tc>
            </w:tr>
          </w:tbl>
          <w:p w14:paraId="3B812C95">
            <w:pPr>
              <w:adjustRightInd w:val="0"/>
              <w:snapToGrid w:val="0"/>
              <w:spacing w:line="400" w:lineRule="exact"/>
              <w:jc w:val="left"/>
              <w:rPr>
                <w:rFonts w:ascii="Times New Roman" w:hAnsi="Times New Roman" w:eastAsia="宋体"/>
                <w:b/>
                <w:bCs/>
                <w:spacing w:val="-3"/>
                <w:highlight w:val="none"/>
              </w:rPr>
            </w:pPr>
            <w:r>
              <w:rPr>
                <w:rFonts w:hint="eastAsia"/>
                <w:b/>
                <w:bCs/>
                <w:spacing w:val="-3"/>
                <w:lang w:val="en-US" w:eastAsia="zh-CN"/>
              </w:rPr>
              <w:t>2.</w:t>
            </w:r>
            <w:r>
              <w:rPr>
                <w:rFonts w:ascii="Times New Roman" w:hAnsi="Times New Roman" w:eastAsia="宋体"/>
                <w:b/>
                <w:bCs/>
                <w:spacing w:val="-3"/>
                <w:highlight w:val="none"/>
              </w:rPr>
              <w:t>《和田地区“三线一单”生态环境</w:t>
            </w:r>
            <w:r>
              <w:rPr>
                <w:rFonts w:hint="eastAsia"/>
                <w:b/>
                <w:bCs/>
                <w:spacing w:val="-3"/>
                <w:highlight w:val="none"/>
                <w:lang w:val="en-US" w:eastAsia="zh-CN"/>
              </w:rPr>
              <w:t>分区管控成果动态更新情况说明</w:t>
            </w:r>
            <w:r>
              <w:rPr>
                <w:rFonts w:ascii="Times New Roman" w:hAnsi="Times New Roman" w:eastAsia="宋体"/>
                <w:b/>
                <w:bCs/>
                <w:spacing w:val="-3"/>
                <w:highlight w:val="none"/>
              </w:rPr>
              <w:t>》</w:t>
            </w:r>
            <w:r>
              <w:rPr>
                <w:rFonts w:hint="eastAsia" w:ascii="Times New Roman" w:hAnsi="Times New Roman" w:eastAsia="宋体"/>
                <w:b/>
                <w:bCs/>
                <w:spacing w:val="-3"/>
                <w:highlight w:val="none"/>
              </w:rPr>
              <w:t>（202</w:t>
            </w:r>
            <w:r>
              <w:rPr>
                <w:rFonts w:hint="eastAsia"/>
                <w:b/>
                <w:bCs/>
                <w:spacing w:val="-3"/>
                <w:highlight w:val="none"/>
                <w:lang w:val="en-US" w:eastAsia="zh-CN"/>
              </w:rPr>
              <w:t>4</w:t>
            </w:r>
            <w:r>
              <w:rPr>
                <w:rFonts w:hint="eastAsia" w:ascii="Times New Roman" w:hAnsi="Times New Roman" w:eastAsia="宋体"/>
                <w:b/>
                <w:bCs/>
                <w:spacing w:val="-3"/>
                <w:highlight w:val="none"/>
              </w:rPr>
              <w:t>年更新）</w:t>
            </w:r>
            <w:r>
              <w:rPr>
                <w:rFonts w:ascii="Times New Roman" w:hAnsi="Times New Roman" w:eastAsia="宋体"/>
                <w:b/>
                <w:bCs/>
                <w:spacing w:val="-3"/>
                <w:highlight w:val="none"/>
              </w:rPr>
              <w:t>符合性</w:t>
            </w:r>
          </w:p>
          <w:p w14:paraId="0EDBFBA3">
            <w:pPr>
              <w:snapToGrid w:val="0"/>
              <w:spacing w:line="400" w:lineRule="exact"/>
              <w:ind w:firstLine="480" w:firstLineChars="200"/>
              <w:rPr>
                <w:rFonts w:hint="eastAsia" w:ascii="Times New Roman" w:hAnsi="Times New Roman" w:eastAsia="宋体" w:cs="宋体"/>
                <w:highlight w:val="none"/>
                <w:lang w:val="en-US" w:eastAsia="zh-CN"/>
              </w:rPr>
            </w:pPr>
            <w:r>
              <w:rPr>
                <w:rFonts w:hint="eastAsia" w:ascii="Times New Roman" w:hAnsi="Times New Roman" w:eastAsia="宋体" w:cs="宋体"/>
                <w:highlight w:val="none"/>
                <w:lang w:val="en-US" w:eastAsia="zh-CN"/>
              </w:rPr>
              <w:t>本</w:t>
            </w:r>
            <w:r>
              <w:rPr>
                <w:rFonts w:hint="eastAsia" w:cs="宋体"/>
                <w:highlight w:val="none"/>
                <w:lang w:val="en-US" w:eastAsia="zh-CN"/>
              </w:rPr>
              <w:t>项目</w:t>
            </w:r>
            <w:r>
              <w:rPr>
                <w:rFonts w:hint="eastAsia" w:ascii="Times New Roman" w:hAnsi="Times New Roman" w:eastAsia="宋体" w:cs="宋体"/>
                <w:highlight w:val="none"/>
                <w:lang w:val="en-US" w:eastAsia="zh-CN"/>
              </w:rPr>
              <w:t>位于民丰县和且末县，对照《</w:t>
            </w:r>
            <w:bookmarkStart w:id="3" w:name="_Toc19233"/>
            <w:bookmarkStart w:id="4" w:name="_Toc29014"/>
            <w:r>
              <w:rPr>
                <w:rFonts w:hint="eastAsia" w:ascii="Times New Roman" w:hAnsi="Times New Roman" w:eastAsia="宋体" w:cs="宋体"/>
                <w:highlight w:val="none"/>
                <w:lang w:val="en-US" w:eastAsia="zh-CN"/>
              </w:rPr>
              <w:t>和田地区</w:t>
            </w:r>
            <w:bookmarkEnd w:id="3"/>
            <w:bookmarkEnd w:id="4"/>
            <w:bookmarkStart w:id="5" w:name="_Toc722"/>
            <w:bookmarkStart w:id="6" w:name="_Toc2520"/>
            <w:r>
              <w:rPr>
                <w:rFonts w:hint="eastAsia" w:ascii="Times New Roman" w:hAnsi="Times New Roman" w:eastAsia="宋体" w:cs="宋体"/>
                <w:highlight w:val="none"/>
                <w:lang w:val="en-US" w:eastAsia="zh-CN"/>
              </w:rPr>
              <w:t>“三线一单”生态环境分区管控成果动态更新情况说明</w:t>
            </w:r>
            <w:bookmarkEnd w:id="5"/>
            <w:bookmarkEnd w:id="6"/>
            <w:r>
              <w:rPr>
                <w:rFonts w:hint="eastAsia" w:ascii="Times New Roman" w:hAnsi="Times New Roman" w:eastAsia="宋体" w:cs="宋体"/>
                <w:highlight w:val="none"/>
                <w:lang w:val="en-US" w:eastAsia="zh-CN"/>
              </w:rPr>
              <w:t>》</w:t>
            </w:r>
            <w:r>
              <w:rPr>
                <w:rFonts w:hint="eastAsia" w:cs="宋体"/>
                <w:highlight w:val="none"/>
                <w:lang w:val="en-US" w:eastAsia="zh-CN"/>
              </w:rPr>
              <w:t>（2024更新）</w:t>
            </w:r>
            <w:r>
              <w:rPr>
                <w:rFonts w:hint="eastAsia" w:ascii="Times New Roman" w:hAnsi="Times New Roman" w:eastAsia="宋体" w:cs="宋体"/>
                <w:highlight w:val="none"/>
                <w:lang w:val="en-US" w:eastAsia="zh-CN"/>
              </w:rPr>
              <w:t>，属于民丰县一般生态空间（单元编码：ZH65322710009）</w:t>
            </w:r>
            <w:r>
              <w:rPr>
                <w:rFonts w:hint="eastAsia" w:cs="宋体"/>
                <w:highlight w:val="none"/>
                <w:lang w:val="en-US" w:eastAsia="zh-CN"/>
              </w:rPr>
              <w:t>，为优先保护单元</w:t>
            </w:r>
            <w:r>
              <w:rPr>
                <w:rFonts w:hint="eastAsia" w:ascii="Times New Roman" w:hAnsi="Times New Roman" w:eastAsia="宋体" w:cs="宋体"/>
                <w:highlight w:val="none"/>
                <w:lang w:val="en-US" w:eastAsia="zh-CN"/>
              </w:rPr>
              <w:t>。项目与《和田地区“三线一单”生态环境分区管控成果动态更新情况说明》</w:t>
            </w:r>
            <w:r>
              <w:rPr>
                <w:rFonts w:hint="eastAsia" w:cs="宋体"/>
                <w:highlight w:val="none"/>
                <w:lang w:val="en-US" w:eastAsia="zh-CN"/>
              </w:rPr>
              <w:t>（2024更新）</w:t>
            </w:r>
            <w:r>
              <w:rPr>
                <w:rFonts w:hint="eastAsia" w:ascii="Times New Roman" w:hAnsi="Times New Roman" w:eastAsia="宋体" w:cs="宋体"/>
                <w:highlight w:val="none"/>
                <w:lang w:val="en-US" w:eastAsia="zh-CN"/>
              </w:rPr>
              <w:t>的符合性分析见表1-</w:t>
            </w:r>
            <w:r>
              <w:rPr>
                <w:rFonts w:hint="eastAsia" w:cs="宋体"/>
                <w:highlight w:val="none"/>
                <w:lang w:val="en-US" w:eastAsia="zh-CN"/>
              </w:rPr>
              <w:t>3</w:t>
            </w:r>
            <w:r>
              <w:rPr>
                <w:rFonts w:hint="eastAsia" w:ascii="Times New Roman" w:hAnsi="Times New Roman" w:eastAsia="宋体" w:cs="宋体"/>
                <w:highlight w:val="none"/>
                <w:lang w:val="en-US" w:eastAsia="zh-CN"/>
              </w:rPr>
              <w:t>，项目在和田地区生态环境分区管控单元位置示意图见附图</w:t>
            </w:r>
            <w:r>
              <w:rPr>
                <w:rFonts w:hint="eastAsia" w:cs="宋体"/>
                <w:highlight w:val="none"/>
                <w:lang w:val="en-US" w:eastAsia="zh-CN"/>
              </w:rPr>
              <w:t>3</w:t>
            </w:r>
            <w:r>
              <w:rPr>
                <w:rFonts w:hint="eastAsia" w:ascii="Times New Roman" w:hAnsi="Times New Roman" w:eastAsia="宋体" w:cs="宋体"/>
                <w:highlight w:val="none"/>
                <w:lang w:val="en-US" w:eastAsia="zh-CN"/>
              </w:rPr>
              <w:t>。</w:t>
            </w:r>
          </w:p>
          <w:p w14:paraId="33684364">
            <w:pPr>
              <w:pStyle w:val="7"/>
              <w:spacing w:line="500" w:lineRule="exact"/>
              <w:jc w:val="center"/>
              <w:rPr>
                <w:rFonts w:hint="eastAsia" w:ascii="Times New Roman" w:hAnsi="Times New Roman" w:eastAsia="宋体" w:cs="Times New Roman"/>
                <w:b/>
                <w:bCs/>
                <w:lang w:eastAsia="zh-CN"/>
              </w:rPr>
            </w:pPr>
            <w:r>
              <w:rPr>
                <w:rFonts w:ascii="Times New Roman" w:hAnsi="Times New Roman" w:eastAsia="宋体" w:cs="Times New Roman"/>
                <w:b/>
                <w:bCs/>
                <w:lang w:eastAsia="zh-CN"/>
              </w:rPr>
              <w:t>表1-</w:t>
            </w:r>
            <w:r>
              <w:rPr>
                <w:rFonts w:hint="eastAsia" w:ascii="Times New Roman" w:hAnsi="Times New Roman" w:eastAsia="宋体" w:cs="Times New Roman"/>
                <w:b/>
                <w:bCs/>
                <w:lang w:val="en-US" w:eastAsia="zh-CN"/>
              </w:rPr>
              <w:t>3</w:t>
            </w:r>
            <w:r>
              <w:rPr>
                <w:rFonts w:ascii="Times New Roman" w:hAnsi="Times New Roman" w:eastAsia="宋体" w:cs="Times New Roman"/>
                <w:b/>
                <w:bCs/>
                <w:lang w:eastAsia="zh-CN"/>
              </w:rPr>
              <w:t>符合性分析</w:t>
            </w:r>
          </w:p>
          <w:tbl>
            <w:tblPr>
              <w:tblStyle w:val="15"/>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5493"/>
              <w:gridCol w:w="1767"/>
              <w:gridCol w:w="833"/>
            </w:tblGrid>
            <w:tr w14:paraId="5CD6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2" w:hRule="atLeast"/>
                <w:jc w:val="center"/>
              </w:trPr>
              <w:tc>
                <w:tcPr>
                  <w:tcW w:w="5000" w:type="pct"/>
                  <w:gridSpan w:val="4"/>
                  <w:vAlign w:val="center"/>
                </w:tcPr>
                <w:p w14:paraId="7C8BF8B6">
                  <w:pPr>
                    <w:pStyle w:val="7"/>
                    <w:jc w:val="center"/>
                    <w:rPr>
                      <w:rFonts w:hint="eastAsia" w:ascii="Times New Roman" w:hAnsi="Times New Roman" w:eastAsia="宋体" w:cs="黑体"/>
                      <w:sz w:val="21"/>
                      <w:szCs w:val="21"/>
                      <w:highlight w:val="yellow"/>
                      <w:lang w:eastAsia="zh-CN"/>
                    </w:rPr>
                  </w:pPr>
                  <w:r>
                    <w:rPr>
                      <w:rFonts w:hint="eastAsia" w:ascii="Times New Roman" w:hAnsi="Times New Roman" w:eastAsia="宋体" w:cs="黑体"/>
                      <w:sz w:val="21"/>
                      <w:szCs w:val="21"/>
                      <w:highlight w:val="none"/>
                      <w:lang w:val="en-US" w:eastAsia="zh-CN"/>
                    </w:rPr>
                    <w:t>民丰县一般生态空间（单元编码：ZH65322710009）</w:t>
                  </w:r>
                </w:p>
              </w:tc>
            </w:tr>
            <w:tr w14:paraId="3F60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2" w:hRule="atLeast"/>
                <w:jc w:val="center"/>
              </w:trPr>
              <w:tc>
                <w:tcPr>
                  <w:tcW w:w="465" w:type="pct"/>
                  <w:vAlign w:val="center"/>
                </w:tcPr>
                <w:p w14:paraId="759AADCD">
                  <w:pPr>
                    <w:keepNext/>
                    <w:keepLines/>
                    <w:widowControl/>
                    <w:adjustRightInd w:val="0"/>
                    <w:snapToGrid w:val="0"/>
                    <w:jc w:val="center"/>
                    <w:outlineLvl w:val="2"/>
                    <w:rPr>
                      <w:rFonts w:ascii="Times New Roman" w:hAnsi="Times New Roman" w:eastAsia="宋体"/>
                      <w:bCs/>
                      <w:color w:val="000000"/>
                      <w:kern w:val="0"/>
                      <w:sz w:val="21"/>
                      <w:szCs w:val="21"/>
                      <w:highlight w:val="yellow"/>
                    </w:rPr>
                  </w:pPr>
                  <w:r>
                    <w:rPr>
                      <w:rFonts w:ascii="Times New Roman" w:hAnsi="Times New Roman" w:eastAsia="宋体"/>
                      <w:bCs/>
                      <w:color w:val="000000"/>
                      <w:kern w:val="0"/>
                      <w:sz w:val="21"/>
                      <w:szCs w:val="21"/>
                      <w:highlight w:val="none"/>
                    </w:rPr>
                    <w:t>管控维度</w:t>
                  </w:r>
                </w:p>
              </w:tc>
              <w:tc>
                <w:tcPr>
                  <w:tcW w:w="3078" w:type="pct"/>
                  <w:vAlign w:val="center"/>
                </w:tcPr>
                <w:p w14:paraId="701769B2">
                  <w:pPr>
                    <w:keepNext/>
                    <w:keepLines/>
                    <w:widowControl/>
                    <w:adjustRightInd w:val="0"/>
                    <w:snapToGrid w:val="0"/>
                    <w:jc w:val="center"/>
                    <w:outlineLvl w:val="2"/>
                    <w:rPr>
                      <w:rFonts w:ascii="Times New Roman" w:hAnsi="Times New Roman" w:eastAsia="宋体"/>
                      <w:bCs/>
                      <w:color w:val="000000"/>
                      <w:kern w:val="0"/>
                      <w:sz w:val="21"/>
                      <w:szCs w:val="21"/>
                      <w:highlight w:val="yellow"/>
                    </w:rPr>
                  </w:pPr>
                  <w:r>
                    <w:rPr>
                      <w:rFonts w:hint="eastAsia" w:ascii="Times New Roman" w:hAnsi="Times New Roman" w:eastAsia="宋体"/>
                      <w:bCs/>
                      <w:color w:val="000000"/>
                      <w:kern w:val="0"/>
                      <w:sz w:val="21"/>
                      <w:szCs w:val="21"/>
                      <w:highlight w:val="none"/>
                    </w:rPr>
                    <w:t>管控要求</w:t>
                  </w:r>
                </w:p>
              </w:tc>
              <w:tc>
                <w:tcPr>
                  <w:tcW w:w="990" w:type="pct"/>
                  <w:vAlign w:val="center"/>
                </w:tcPr>
                <w:p w14:paraId="0900EC85">
                  <w:pPr>
                    <w:keepNext/>
                    <w:keepLines/>
                    <w:widowControl/>
                    <w:adjustRightInd w:val="0"/>
                    <w:snapToGrid w:val="0"/>
                    <w:jc w:val="center"/>
                    <w:outlineLvl w:val="2"/>
                    <w:rPr>
                      <w:rFonts w:ascii="Times New Roman" w:hAnsi="Times New Roman" w:eastAsia="宋体"/>
                      <w:bCs/>
                      <w:color w:val="000000"/>
                      <w:kern w:val="0"/>
                      <w:sz w:val="21"/>
                      <w:szCs w:val="21"/>
                      <w:highlight w:val="yellow"/>
                    </w:rPr>
                  </w:pPr>
                  <w:r>
                    <w:rPr>
                      <w:rFonts w:hint="eastAsia" w:ascii="Times New Roman" w:hAnsi="Times New Roman" w:eastAsia="宋体"/>
                      <w:bCs/>
                      <w:color w:val="000000"/>
                      <w:kern w:val="0"/>
                      <w:sz w:val="21"/>
                      <w:szCs w:val="21"/>
                      <w:highlight w:val="none"/>
                    </w:rPr>
                    <w:t>本项目</w:t>
                  </w:r>
                </w:p>
              </w:tc>
              <w:tc>
                <w:tcPr>
                  <w:tcW w:w="466" w:type="pct"/>
                  <w:vAlign w:val="center"/>
                </w:tcPr>
                <w:p w14:paraId="4008D3A1">
                  <w:pPr>
                    <w:keepNext/>
                    <w:keepLines/>
                    <w:widowControl/>
                    <w:adjustRightInd w:val="0"/>
                    <w:snapToGrid w:val="0"/>
                    <w:jc w:val="center"/>
                    <w:outlineLvl w:val="2"/>
                    <w:rPr>
                      <w:rFonts w:ascii="Times New Roman" w:hAnsi="Times New Roman" w:eastAsia="宋体"/>
                      <w:bCs/>
                      <w:color w:val="000000"/>
                      <w:kern w:val="0"/>
                      <w:sz w:val="21"/>
                      <w:szCs w:val="21"/>
                      <w:highlight w:val="yellow"/>
                    </w:rPr>
                  </w:pPr>
                  <w:r>
                    <w:rPr>
                      <w:rFonts w:hint="eastAsia" w:ascii="Times New Roman" w:hAnsi="Times New Roman" w:eastAsia="宋体"/>
                      <w:bCs/>
                      <w:color w:val="000000"/>
                      <w:kern w:val="0"/>
                      <w:sz w:val="21"/>
                      <w:szCs w:val="21"/>
                      <w:highlight w:val="none"/>
                    </w:rPr>
                    <w:t>符合性</w:t>
                  </w:r>
                </w:p>
              </w:tc>
            </w:tr>
            <w:tr w14:paraId="5FA0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465" w:type="pct"/>
                  <w:vAlign w:val="center"/>
                </w:tcPr>
                <w:p w14:paraId="2675ACCE">
                  <w:pPr>
                    <w:autoSpaceDE w:val="0"/>
                    <w:autoSpaceDN w:val="0"/>
                    <w:adjustRightInd w:val="0"/>
                    <w:snapToGrid w:val="0"/>
                    <w:spacing w:line="240" w:lineRule="atLeast"/>
                    <w:jc w:val="center"/>
                    <w:rPr>
                      <w:rFonts w:ascii="Times New Roman" w:hAnsi="Times New Roman" w:eastAsia="宋体"/>
                      <w:color w:val="000000"/>
                      <w:kern w:val="0"/>
                      <w:sz w:val="21"/>
                      <w:szCs w:val="21"/>
                      <w:highlight w:val="none"/>
                    </w:rPr>
                  </w:pPr>
                  <w:r>
                    <w:rPr>
                      <w:rFonts w:ascii="Times New Roman" w:hAnsi="Times New Roman" w:eastAsia="宋体"/>
                      <w:color w:val="000000"/>
                      <w:kern w:val="0"/>
                      <w:sz w:val="21"/>
                      <w:szCs w:val="21"/>
                      <w:highlight w:val="none"/>
                    </w:rPr>
                    <w:t>空间</w:t>
                  </w:r>
                </w:p>
                <w:p w14:paraId="3EF8E7B9">
                  <w:pPr>
                    <w:autoSpaceDE w:val="0"/>
                    <w:autoSpaceDN w:val="0"/>
                    <w:adjustRightInd w:val="0"/>
                    <w:snapToGrid w:val="0"/>
                    <w:spacing w:line="240" w:lineRule="atLeast"/>
                    <w:jc w:val="center"/>
                    <w:rPr>
                      <w:rFonts w:ascii="Times New Roman" w:hAnsi="Times New Roman" w:eastAsia="宋体"/>
                      <w:color w:val="000000"/>
                      <w:kern w:val="0"/>
                      <w:sz w:val="21"/>
                      <w:szCs w:val="21"/>
                      <w:highlight w:val="none"/>
                    </w:rPr>
                  </w:pPr>
                  <w:r>
                    <w:rPr>
                      <w:rFonts w:ascii="Times New Roman" w:hAnsi="Times New Roman" w:eastAsia="宋体"/>
                      <w:color w:val="000000"/>
                      <w:kern w:val="0"/>
                      <w:sz w:val="21"/>
                      <w:szCs w:val="21"/>
                      <w:highlight w:val="none"/>
                    </w:rPr>
                    <w:t>布局</w:t>
                  </w:r>
                </w:p>
                <w:p w14:paraId="30273C45">
                  <w:pPr>
                    <w:autoSpaceDE w:val="0"/>
                    <w:autoSpaceDN w:val="0"/>
                    <w:adjustRightInd w:val="0"/>
                    <w:snapToGrid w:val="0"/>
                    <w:spacing w:line="240" w:lineRule="atLeast"/>
                    <w:jc w:val="center"/>
                    <w:rPr>
                      <w:rFonts w:ascii="Times New Roman" w:hAnsi="Times New Roman" w:eastAsia="宋体"/>
                      <w:b/>
                      <w:color w:val="000000"/>
                      <w:kern w:val="0"/>
                      <w:sz w:val="21"/>
                      <w:szCs w:val="21"/>
                      <w:highlight w:val="yellow"/>
                    </w:rPr>
                  </w:pPr>
                  <w:r>
                    <w:rPr>
                      <w:rFonts w:ascii="Times New Roman" w:hAnsi="Times New Roman" w:eastAsia="宋体"/>
                      <w:color w:val="000000"/>
                      <w:kern w:val="0"/>
                      <w:sz w:val="21"/>
                      <w:szCs w:val="21"/>
                      <w:highlight w:val="none"/>
                    </w:rPr>
                    <w:t>约束</w:t>
                  </w:r>
                </w:p>
              </w:tc>
              <w:tc>
                <w:tcPr>
                  <w:tcW w:w="3078" w:type="pct"/>
                  <w:vAlign w:val="center"/>
                </w:tcPr>
                <w:p w14:paraId="13022C94">
                  <w:pPr>
                    <w:keepNext/>
                    <w:keepLines/>
                    <w:widowControl/>
                    <w:adjustRightInd w:val="0"/>
                    <w:snapToGrid w:val="0"/>
                    <w:spacing w:line="360" w:lineRule="exact"/>
                    <w:outlineLvl w:val="2"/>
                    <w:rPr>
                      <w:rFonts w:hint="eastAsia" w:ascii="Times New Roman" w:hAnsi="Times New Roman" w:eastAsia="宋体" w:cs="Times New Roman"/>
                      <w:b w:val="0"/>
                      <w:bCs/>
                      <w:color w:val="000000"/>
                      <w:kern w:val="0"/>
                      <w:sz w:val="21"/>
                      <w:szCs w:val="21"/>
                      <w:highlight w:val="none"/>
                    </w:rPr>
                  </w:pPr>
                  <w:r>
                    <w:rPr>
                      <w:rFonts w:hint="eastAsia" w:ascii="Times New Roman" w:hAnsi="Times New Roman" w:eastAsia="宋体" w:cs="Times New Roman"/>
                      <w:b w:val="0"/>
                      <w:bCs/>
                      <w:color w:val="000000"/>
                      <w:kern w:val="0"/>
                      <w:sz w:val="21"/>
                      <w:szCs w:val="21"/>
                      <w:highlight w:val="none"/>
                    </w:rPr>
                    <w:t>执行优先保护单元中一般生态空间总体管控要求，对应相关属性执行防风固沙型功能极重要和重要区、生物多样性维护型功能极重要和重要区、水土流失预防型极敏感和敏感区、土地沙化预防型极敏感和敏感区、生态公益林关于空间布局约束的准入要求。</w:t>
                  </w:r>
                </w:p>
                <w:p w14:paraId="1E0DD5BD">
                  <w:pPr>
                    <w:keepNext/>
                    <w:keepLines/>
                    <w:widowControl/>
                    <w:numPr>
                      <w:ilvl w:val="0"/>
                      <w:numId w:val="0"/>
                    </w:numPr>
                    <w:adjustRightInd w:val="0"/>
                    <w:snapToGrid w:val="0"/>
                    <w:spacing w:line="360" w:lineRule="exact"/>
                    <w:outlineLvl w:val="2"/>
                    <w:rPr>
                      <w:rFonts w:hint="eastAsia" w:ascii="Times New Roman" w:hAnsi="Times New Roman" w:eastAsia="宋体" w:cs="Times New Roman"/>
                      <w:b w:val="0"/>
                      <w:bCs/>
                      <w:color w:val="000000"/>
                      <w:kern w:val="0"/>
                      <w:sz w:val="21"/>
                      <w:szCs w:val="21"/>
                      <w:lang w:val="en-US" w:eastAsia="zh-CN" w:bidi="ar-SA"/>
                    </w:rPr>
                  </w:pPr>
                  <w:r>
                    <w:rPr>
                      <w:rFonts w:hint="eastAsia" w:ascii="Times New Roman" w:hAnsi="Times New Roman" w:eastAsia="宋体" w:cs="Times New Roman"/>
                      <w:b w:val="0"/>
                      <w:bCs/>
                      <w:color w:val="000000"/>
                      <w:kern w:val="0"/>
                      <w:sz w:val="21"/>
                      <w:szCs w:val="21"/>
                      <w:lang w:val="en-US" w:eastAsia="zh-CN" w:bidi="ar-SA"/>
                    </w:rPr>
                    <w:t>1.</w:t>
                  </w:r>
                  <w:r>
                    <w:rPr>
                      <w:rFonts w:hint="eastAsia" w:ascii="Times New Roman" w:hAnsi="Times New Roman" w:eastAsia="宋体" w:cs="Times New Roman"/>
                      <w:b w:val="0"/>
                      <w:bCs/>
                      <w:color w:val="000000"/>
                      <w:kern w:val="0"/>
                      <w:sz w:val="21"/>
                      <w:szCs w:val="21"/>
                      <w:highlight w:val="none"/>
                    </w:rPr>
                    <w:t>优先保护单元中一般生态空间总体管控要求</w:t>
                  </w:r>
                  <w:r>
                    <w:rPr>
                      <w:rFonts w:hint="eastAsia" w:ascii="Times New Roman" w:hAnsi="Times New Roman" w:eastAsia="宋体" w:cs="Times New Roman"/>
                      <w:b w:val="0"/>
                      <w:bCs/>
                      <w:color w:val="000000"/>
                      <w:kern w:val="0"/>
                      <w:sz w:val="21"/>
                      <w:szCs w:val="21"/>
                      <w:highlight w:val="none"/>
                      <w:lang w:eastAsia="zh-CN"/>
                    </w:rPr>
                    <w:t>：</w:t>
                  </w:r>
                </w:p>
                <w:p w14:paraId="69576F08">
                  <w:pPr>
                    <w:keepNext/>
                    <w:keepLines/>
                    <w:widowControl/>
                    <w:numPr>
                      <w:ilvl w:val="0"/>
                      <w:numId w:val="0"/>
                    </w:numPr>
                    <w:adjustRightInd w:val="0"/>
                    <w:snapToGrid w:val="0"/>
                    <w:spacing w:line="360" w:lineRule="exact"/>
                    <w:outlineLvl w:val="2"/>
                    <w:rPr>
                      <w:rFonts w:hint="eastAsia" w:ascii="Times New Roman" w:hAnsi="Times New Roman" w:eastAsia="宋体" w:cs="Times New Roman"/>
                      <w:b w:val="0"/>
                      <w:bCs/>
                      <w:color w:val="000000"/>
                      <w:kern w:val="0"/>
                      <w:sz w:val="21"/>
                      <w:szCs w:val="21"/>
                      <w:highlight w:val="none"/>
                    </w:rPr>
                  </w:pPr>
                  <w:r>
                    <w:rPr>
                      <w:rFonts w:hint="eastAsia" w:ascii="Times New Roman" w:hAnsi="Times New Roman" w:eastAsia="宋体" w:cs="Times New Roman"/>
                      <w:b w:val="0"/>
                      <w:bCs/>
                      <w:color w:val="000000"/>
                      <w:kern w:val="0"/>
                      <w:sz w:val="21"/>
                      <w:szCs w:val="21"/>
                      <w:lang w:val="en-US" w:eastAsia="zh-CN" w:bidi="ar-SA"/>
                    </w:rPr>
                    <w:t>（1）</w:t>
                  </w:r>
                  <w:r>
                    <w:rPr>
                      <w:rFonts w:hint="eastAsia" w:ascii="Times New Roman" w:hAnsi="Times New Roman" w:eastAsia="宋体" w:cs="Times New Roman"/>
                      <w:b w:val="0"/>
                      <w:bCs/>
                      <w:color w:val="000000"/>
                      <w:kern w:val="0"/>
                      <w:sz w:val="21"/>
                      <w:szCs w:val="21"/>
                      <w:highlight w:val="none"/>
                    </w:rPr>
                    <w:t>生态保护红线外的生态空间，原则上按照限制开发区域的要求进行管理。</w:t>
                  </w:r>
                  <w:r>
                    <w:rPr>
                      <w:rFonts w:hint="eastAsia" w:ascii="Times New Roman" w:hAnsi="Times New Roman" w:eastAsia="宋体" w:cs="Times New Roman"/>
                      <w:b w:val="0"/>
                      <w:bCs/>
                      <w:color w:val="000000"/>
                      <w:kern w:val="0"/>
                      <w:sz w:val="21"/>
                      <w:szCs w:val="21"/>
                      <w:highlight w:val="none"/>
                    </w:rPr>
                    <w:br w:type="textWrapping"/>
                  </w:r>
                  <w:r>
                    <w:rPr>
                      <w:rFonts w:hint="eastAsia" w:ascii="Times New Roman" w:hAnsi="Times New Roman" w:eastAsia="宋体" w:cs="Times New Roman"/>
                      <w:b w:val="0"/>
                      <w:bCs/>
                      <w:color w:val="000000"/>
                      <w:kern w:val="0"/>
                      <w:sz w:val="21"/>
                      <w:szCs w:val="21"/>
                      <w:highlight w:val="none"/>
                    </w:rPr>
                    <w:t>（2）从严控制将生态空间转为城镇空间和农业空间。不得新增建设占用生态保护红线外的生态空间。农业开发不得占用生态保护红线外的生态空间，生态保护红线外的耕地，除符合国家生态退耕条件，并纳入国家生态退耕总体安排，或因国家重大生态工程建设需要外，不得随意转用。</w:t>
                  </w:r>
                </w:p>
                <w:p w14:paraId="54E34672">
                  <w:pPr>
                    <w:keepNext/>
                    <w:keepLines/>
                    <w:widowControl/>
                    <w:numPr>
                      <w:ilvl w:val="0"/>
                      <w:numId w:val="0"/>
                    </w:numPr>
                    <w:adjustRightInd w:val="0"/>
                    <w:snapToGrid w:val="0"/>
                    <w:spacing w:line="360" w:lineRule="exact"/>
                    <w:outlineLvl w:val="2"/>
                    <w:rPr>
                      <w:rFonts w:hint="eastAsia" w:ascii="Times New Roman" w:hAnsi="Times New Roman" w:eastAsia="宋体" w:cs="Times New Roman"/>
                      <w:b w:val="0"/>
                      <w:bCs/>
                      <w:color w:val="000000"/>
                      <w:kern w:val="0"/>
                      <w:sz w:val="21"/>
                      <w:szCs w:val="21"/>
                      <w:highlight w:val="none"/>
                    </w:rPr>
                  </w:pPr>
                  <w:r>
                    <w:rPr>
                      <w:rFonts w:hint="eastAsia" w:ascii="Times New Roman" w:hAnsi="Times New Roman" w:eastAsia="宋体" w:cs="Times New Roman"/>
                      <w:b w:val="0"/>
                      <w:bCs/>
                      <w:color w:val="000000"/>
                      <w:kern w:val="0"/>
                      <w:sz w:val="21"/>
                      <w:szCs w:val="21"/>
                      <w:highlight w:val="none"/>
                    </w:rPr>
                    <w:t>（3）在符合准入条件前提下，控制各类建设项目的规模和强度，可进行如下活动：交通、基础设施及其他线性工程，军事及安全保密、宗教、殡葬、综合防灾减灾、战略储备等特殊建设项目；重要矿产资源勘查开采项目；生态保护与修复类项目建设；依法批准的生态旅游及其配套设施建设活动，严格控制旅游开发的区域、开发强度、限定日客流量及旅游设施的建设；对于历史形成的合法现状建设用地，经评估对生态环境无影响的，可予以保留，但不得随意改变用途或进行改扩建；综合防灾减灾、粮食产能提升、战略储备等特殊建设项目。</w:t>
                  </w:r>
                </w:p>
                <w:p w14:paraId="23DFCCD4">
                  <w:pPr>
                    <w:keepNext/>
                    <w:keepLines/>
                    <w:widowControl/>
                    <w:numPr>
                      <w:ilvl w:val="0"/>
                      <w:numId w:val="0"/>
                    </w:numPr>
                    <w:adjustRightInd w:val="0"/>
                    <w:snapToGrid w:val="0"/>
                    <w:spacing w:line="360" w:lineRule="exact"/>
                    <w:outlineLvl w:val="2"/>
                    <w:rPr>
                      <w:rFonts w:hint="eastAsia" w:ascii="Times New Roman" w:hAnsi="Times New Roman" w:eastAsia="宋体" w:cs="Times New Roman"/>
                      <w:b w:val="0"/>
                      <w:bCs/>
                      <w:color w:val="000000"/>
                      <w:kern w:val="0"/>
                      <w:sz w:val="21"/>
                      <w:szCs w:val="21"/>
                      <w:highlight w:val="none"/>
                    </w:rPr>
                  </w:pPr>
                  <w:r>
                    <w:rPr>
                      <w:rFonts w:hint="eastAsia" w:ascii="Times New Roman" w:hAnsi="Times New Roman" w:eastAsia="宋体" w:cs="Times New Roman"/>
                      <w:b w:val="0"/>
                      <w:bCs/>
                      <w:color w:val="000000"/>
                      <w:kern w:val="0"/>
                      <w:sz w:val="21"/>
                      <w:szCs w:val="21"/>
                      <w:highlight w:val="none"/>
                    </w:rPr>
                    <w:t>（4）对于不符合生态保护要求、防洪安全的生产开发活动，应当逐步退出的活动：现有的围湖造田，应当按照国家规定的防洪标准进行治理，逐步退田还湖；对国有林场和坡度25度以上已经开垦种植的林地要逐步还林；对于违法建设和经评估对生态保护存在不利影响的，应当逐步退出。</w:t>
                  </w:r>
                </w:p>
                <w:p w14:paraId="251EAA3A">
                  <w:pPr>
                    <w:keepNext/>
                    <w:keepLines/>
                    <w:widowControl/>
                    <w:numPr>
                      <w:ilvl w:val="0"/>
                      <w:numId w:val="0"/>
                    </w:numPr>
                    <w:adjustRightInd w:val="0"/>
                    <w:snapToGrid w:val="0"/>
                    <w:spacing w:line="360" w:lineRule="exact"/>
                    <w:outlineLvl w:val="2"/>
                    <w:rPr>
                      <w:rFonts w:hint="eastAsia" w:ascii="Times New Roman" w:hAnsi="Times New Roman" w:eastAsia="宋体" w:cs="Times New Roman"/>
                      <w:b w:val="0"/>
                      <w:bCs/>
                      <w:color w:val="000000"/>
                      <w:kern w:val="0"/>
                      <w:sz w:val="21"/>
                      <w:szCs w:val="21"/>
                      <w:highlight w:val="none"/>
                      <w:lang w:eastAsia="zh-CN"/>
                    </w:rPr>
                  </w:pPr>
                  <w:r>
                    <w:rPr>
                      <w:rFonts w:hint="eastAsia" w:ascii="Times New Roman" w:hAnsi="Times New Roman" w:eastAsia="宋体" w:cs="Times New Roman"/>
                      <w:b w:val="0"/>
                      <w:bCs/>
                      <w:color w:val="000000"/>
                      <w:kern w:val="0"/>
                      <w:sz w:val="21"/>
                      <w:szCs w:val="21"/>
                      <w:lang w:val="en-US" w:eastAsia="zh-CN" w:bidi="ar-SA"/>
                    </w:rPr>
                    <w:t>2.</w:t>
                  </w:r>
                  <w:r>
                    <w:rPr>
                      <w:rFonts w:hint="eastAsia" w:ascii="Times New Roman" w:hAnsi="Times New Roman" w:eastAsia="宋体" w:cs="Times New Roman"/>
                      <w:b w:val="0"/>
                      <w:bCs/>
                      <w:color w:val="000000"/>
                      <w:kern w:val="0"/>
                      <w:sz w:val="21"/>
                      <w:szCs w:val="21"/>
                      <w:highlight w:val="none"/>
                    </w:rPr>
                    <w:t>防风固沙型功能极重要和重要区关于空间布局约束的准入要求</w:t>
                  </w:r>
                  <w:r>
                    <w:rPr>
                      <w:rFonts w:hint="eastAsia" w:ascii="Times New Roman" w:hAnsi="Times New Roman" w:eastAsia="宋体" w:cs="Times New Roman"/>
                      <w:b w:val="0"/>
                      <w:bCs/>
                      <w:color w:val="000000"/>
                      <w:kern w:val="0"/>
                      <w:sz w:val="21"/>
                      <w:szCs w:val="21"/>
                      <w:highlight w:val="none"/>
                      <w:lang w:eastAsia="zh-CN"/>
                    </w:rPr>
                    <w:t>：</w:t>
                  </w:r>
                </w:p>
                <w:p w14:paraId="60B26651">
                  <w:pPr>
                    <w:keepNext/>
                    <w:keepLines/>
                    <w:widowControl/>
                    <w:numPr>
                      <w:ilvl w:val="0"/>
                      <w:numId w:val="0"/>
                    </w:numPr>
                    <w:adjustRightInd w:val="0"/>
                    <w:snapToGrid w:val="0"/>
                    <w:spacing w:line="360" w:lineRule="exact"/>
                    <w:outlineLvl w:val="2"/>
                    <w:rPr>
                      <w:rFonts w:hint="eastAsia" w:ascii="Times New Roman" w:hAnsi="Times New Roman" w:eastAsia="宋体" w:cs="Times New Roman"/>
                      <w:b w:val="0"/>
                      <w:bCs/>
                      <w:color w:val="000000"/>
                      <w:kern w:val="0"/>
                      <w:sz w:val="21"/>
                      <w:szCs w:val="21"/>
                      <w:lang w:val="en-US" w:eastAsia="zh-CN" w:bidi="ar-SA"/>
                    </w:rPr>
                  </w:pPr>
                  <w:r>
                    <w:rPr>
                      <w:rFonts w:hint="eastAsia" w:ascii="Times New Roman" w:hAnsi="Times New Roman" w:eastAsia="宋体" w:cs="Times New Roman"/>
                      <w:b w:val="0"/>
                      <w:bCs/>
                      <w:color w:val="000000"/>
                      <w:kern w:val="0"/>
                      <w:sz w:val="21"/>
                      <w:szCs w:val="21"/>
                      <w:lang w:val="en-US" w:eastAsia="zh-CN" w:bidi="ar-SA"/>
                    </w:rPr>
                    <w:t>在沙化土地范围内从事开发建设活动的，必须事先就该项目可能对当地及相关地区生态产生的影响进行环境影响评价，依法提交环境影响报告；环境影响报告应当包括有关防沙治沙的内容。</w:t>
                  </w:r>
                </w:p>
                <w:p w14:paraId="26C15F35">
                  <w:pPr>
                    <w:keepNext/>
                    <w:keepLines/>
                    <w:widowControl/>
                    <w:numPr>
                      <w:ilvl w:val="0"/>
                      <w:numId w:val="6"/>
                    </w:numPr>
                    <w:adjustRightInd w:val="0"/>
                    <w:snapToGrid w:val="0"/>
                    <w:spacing w:line="360" w:lineRule="exact"/>
                    <w:outlineLvl w:val="2"/>
                    <w:rPr>
                      <w:rFonts w:hint="eastAsia" w:ascii="Times New Roman" w:hAnsi="Times New Roman" w:eastAsia="宋体" w:cs="Times New Roman"/>
                      <w:b w:val="0"/>
                      <w:bCs/>
                      <w:color w:val="000000"/>
                      <w:kern w:val="0"/>
                      <w:sz w:val="21"/>
                      <w:szCs w:val="21"/>
                      <w:highlight w:val="none"/>
                      <w:lang w:eastAsia="zh-CN"/>
                    </w:rPr>
                  </w:pPr>
                  <w:r>
                    <w:rPr>
                      <w:rFonts w:hint="eastAsia" w:ascii="Times New Roman" w:hAnsi="Times New Roman" w:eastAsia="宋体" w:cs="Times New Roman"/>
                      <w:b w:val="0"/>
                      <w:bCs/>
                      <w:color w:val="000000"/>
                      <w:kern w:val="0"/>
                      <w:sz w:val="21"/>
                      <w:szCs w:val="21"/>
                      <w:highlight w:val="none"/>
                    </w:rPr>
                    <w:t>生物多样性维护型功能极重要和重要区关于空间布局约束的准入要求</w:t>
                  </w:r>
                  <w:r>
                    <w:rPr>
                      <w:rFonts w:hint="eastAsia" w:ascii="Times New Roman" w:hAnsi="Times New Roman" w:eastAsia="宋体" w:cs="Times New Roman"/>
                      <w:b w:val="0"/>
                      <w:bCs/>
                      <w:color w:val="000000"/>
                      <w:kern w:val="0"/>
                      <w:sz w:val="21"/>
                      <w:szCs w:val="21"/>
                      <w:highlight w:val="none"/>
                      <w:lang w:eastAsia="zh-CN"/>
                    </w:rPr>
                    <w:t>：</w:t>
                  </w:r>
                </w:p>
                <w:p w14:paraId="6C2BF755">
                  <w:pPr>
                    <w:keepNext/>
                    <w:keepLines/>
                    <w:widowControl/>
                    <w:numPr>
                      <w:ilvl w:val="0"/>
                      <w:numId w:val="0"/>
                    </w:numPr>
                    <w:adjustRightInd w:val="0"/>
                    <w:snapToGrid w:val="0"/>
                    <w:spacing w:line="360" w:lineRule="exact"/>
                    <w:outlineLvl w:val="2"/>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禁止损害或不利于维护重要物种栖息地的经济社会活动和生产方式，如无序采矿、毁林开荒、湿地和草地开垦、道路建设等。防止生态建设导致栖息环境的改变。禁止新建纺织印染、制革、造纸、石化、化工、医药、金属冶炼等水污染或大气污染较重的项目。禁止大规模水电开发和林纸一体化产业发展。停止一切导致生态继续退化的人为破坏活动。防止生态建设导致栖息地环境的改变。</w:t>
                  </w:r>
                </w:p>
                <w:p w14:paraId="5B4C72C4">
                  <w:pPr>
                    <w:keepNext/>
                    <w:keepLines/>
                    <w:widowControl/>
                    <w:numPr>
                      <w:ilvl w:val="0"/>
                      <w:numId w:val="0"/>
                    </w:numPr>
                    <w:adjustRightInd w:val="0"/>
                    <w:snapToGrid w:val="0"/>
                    <w:spacing w:line="360" w:lineRule="exact"/>
                    <w:outlineLvl w:val="2"/>
                    <w:rPr>
                      <w:rFonts w:hint="eastAsia" w:ascii="Times New Roman" w:hAnsi="Times New Roman" w:eastAsia="宋体" w:cs="Times New Roman"/>
                      <w:b w:val="0"/>
                      <w:bCs/>
                      <w:color w:val="000000"/>
                      <w:kern w:val="0"/>
                      <w:sz w:val="21"/>
                      <w:szCs w:val="21"/>
                      <w:highlight w:val="none"/>
                      <w:lang w:eastAsia="zh-CN"/>
                    </w:rPr>
                  </w:pPr>
                  <w:r>
                    <w:rPr>
                      <w:rFonts w:hint="eastAsia"/>
                      <w:sz w:val="21"/>
                      <w:szCs w:val="21"/>
                      <w:lang w:val="en-US" w:eastAsia="zh-CN"/>
                    </w:rPr>
                    <w:t>4.</w:t>
                  </w:r>
                  <w:r>
                    <w:rPr>
                      <w:rFonts w:hint="eastAsia" w:ascii="Times New Roman" w:hAnsi="Times New Roman" w:eastAsia="宋体" w:cs="Times New Roman"/>
                      <w:b w:val="0"/>
                      <w:bCs/>
                      <w:color w:val="000000"/>
                      <w:kern w:val="0"/>
                      <w:sz w:val="21"/>
                      <w:szCs w:val="21"/>
                      <w:highlight w:val="none"/>
                    </w:rPr>
                    <w:t>水土流失预防型极敏感和敏感区关于空间布局约束的准入要求</w:t>
                  </w:r>
                  <w:r>
                    <w:rPr>
                      <w:rFonts w:hint="eastAsia" w:ascii="Times New Roman" w:hAnsi="Times New Roman" w:eastAsia="宋体" w:cs="Times New Roman"/>
                      <w:b w:val="0"/>
                      <w:bCs/>
                      <w:color w:val="000000"/>
                      <w:kern w:val="0"/>
                      <w:sz w:val="21"/>
                      <w:szCs w:val="21"/>
                      <w:highlight w:val="none"/>
                      <w:lang w:eastAsia="zh-CN"/>
                    </w:rPr>
                    <w:t>：</w:t>
                  </w:r>
                </w:p>
                <w:p w14:paraId="4A07B088">
                  <w:pPr>
                    <w:keepNext/>
                    <w:keepLines/>
                    <w:widowControl/>
                    <w:numPr>
                      <w:ilvl w:val="0"/>
                      <w:numId w:val="0"/>
                    </w:numPr>
                    <w:adjustRightInd w:val="0"/>
                    <w:snapToGrid w:val="0"/>
                    <w:spacing w:line="360" w:lineRule="exact"/>
                    <w:outlineLvl w:val="2"/>
                    <w:rPr>
                      <w:rFonts w:hint="eastAsia" w:ascii="Times New Roman" w:hAnsi="Times New Roman" w:eastAsia="宋体" w:cs="Times New Roman"/>
                      <w:b w:val="0"/>
                      <w:bCs/>
                      <w:color w:val="000000"/>
                      <w:kern w:val="0"/>
                      <w:sz w:val="21"/>
                      <w:szCs w:val="21"/>
                      <w:highlight w:val="none"/>
                      <w:lang w:val="en-US" w:eastAsia="zh-CN"/>
                    </w:rPr>
                  </w:pPr>
                  <w:r>
                    <w:rPr>
                      <w:rFonts w:hint="eastAsia" w:ascii="Times New Roman" w:hAnsi="Times New Roman" w:eastAsia="宋体" w:cs="Times New Roman"/>
                      <w:b w:val="0"/>
                      <w:bCs/>
                      <w:color w:val="000000"/>
                      <w:kern w:val="0"/>
                      <w:sz w:val="21"/>
                      <w:szCs w:val="21"/>
                      <w:highlight w:val="none"/>
                      <w:lang w:val="en-US" w:eastAsia="zh-CN"/>
                    </w:rPr>
                    <w:t>禁止陡坡垦殖和过度放牧，禁止新建土地资源高消耗产业，禁止在崩塌、滑坡危险区和泥石流易发区从事取土、挖砂、采石等可能造成水土流失的活动，禁止非法开垦、开发等活动，严格保护植被、沙壳、结皮等具有水土保持功能的原生地貌，保护野生动物，保护河流水质。</w:t>
                  </w:r>
                </w:p>
                <w:p w14:paraId="59DBA320">
                  <w:pPr>
                    <w:pStyle w:val="12"/>
                    <w:ind w:left="0" w:leftChars="0" w:firstLine="0" w:firstLineChars="0"/>
                    <w:rPr>
                      <w:rFonts w:hint="eastAsia" w:ascii="Times New Roman" w:hAnsi="Times New Roman" w:eastAsia="宋体" w:cs="Times New Roman"/>
                      <w:b w:val="0"/>
                      <w:bCs/>
                      <w:color w:val="000000"/>
                      <w:kern w:val="0"/>
                      <w:sz w:val="21"/>
                      <w:szCs w:val="21"/>
                      <w:highlight w:val="none"/>
                      <w:lang w:eastAsia="zh-CN"/>
                    </w:rPr>
                  </w:pPr>
                  <w:r>
                    <w:rPr>
                      <w:rFonts w:hint="eastAsia" w:ascii="Times New Roman" w:hAnsi="Times New Roman" w:eastAsia="宋体" w:cs="Times New Roman"/>
                      <w:b w:val="0"/>
                      <w:bCs/>
                      <w:color w:val="000000"/>
                      <w:kern w:val="0"/>
                      <w:sz w:val="21"/>
                      <w:szCs w:val="21"/>
                      <w:highlight w:val="none"/>
                      <w:lang w:val="en-US" w:eastAsia="zh-CN"/>
                    </w:rPr>
                    <w:t>5.</w:t>
                  </w:r>
                  <w:r>
                    <w:rPr>
                      <w:rFonts w:hint="eastAsia" w:ascii="Times New Roman" w:hAnsi="Times New Roman" w:eastAsia="宋体" w:cs="Times New Roman"/>
                      <w:b w:val="0"/>
                      <w:bCs/>
                      <w:color w:val="000000"/>
                      <w:kern w:val="0"/>
                      <w:sz w:val="21"/>
                      <w:szCs w:val="21"/>
                      <w:highlight w:val="none"/>
                    </w:rPr>
                    <w:t>土地沙化预防型极敏感和敏感区关于空间布局约束的准入要求</w:t>
                  </w:r>
                  <w:r>
                    <w:rPr>
                      <w:rFonts w:hint="eastAsia" w:ascii="Times New Roman" w:hAnsi="Times New Roman" w:eastAsia="宋体" w:cs="Times New Roman"/>
                      <w:b w:val="0"/>
                      <w:bCs/>
                      <w:color w:val="000000"/>
                      <w:kern w:val="0"/>
                      <w:sz w:val="21"/>
                      <w:szCs w:val="21"/>
                      <w:highlight w:val="none"/>
                      <w:lang w:eastAsia="zh-CN"/>
                    </w:rPr>
                    <w:t>：</w:t>
                  </w:r>
                </w:p>
                <w:p w14:paraId="068D1C2B">
                  <w:pPr>
                    <w:pStyle w:val="12"/>
                    <w:ind w:left="0" w:leftChars="0" w:firstLine="0" w:firstLineChars="0"/>
                    <w:rPr>
                      <w:rFonts w:hint="eastAsia" w:ascii="Times New Roman" w:hAnsi="Times New Roman" w:eastAsia="宋体" w:cs="Times New Roman"/>
                      <w:b w:val="0"/>
                      <w:bCs/>
                      <w:color w:val="000000"/>
                      <w:kern w:val="0"/>
                      <w:sz w:val="21"/>
                      <w:szCs w:val="21"/>
                      <w:highlight w:val="none"/>
                      <w:lang w:eastAsia="zh-CN"/>
                    </w:rPr>
                  </w:pPr>
                  <w:r>
                    <w:rPr>
                      <w:rFonts w:hint="eastAsia" w:ascii="Times New Roman" w:hAnsi="Times New Roman" w:eastAsia="宋体" w:cs="Times New Roman"/>
                      <w:b w:val="0"/>
                      <w:bCs/>
                      <w:color w:val="000000"/>
                      <w:kern w:val="0"/>
                      <w:sz w:val="21"/>
                      <w:szCs w:val="21"/>
                      <w:highlight w:val="none"/>
                      <w:lang w:eastAsia="zh-CN"/>
                    </w:rPr>
                    <w:t>禁止发展高耗水工业。禁止砍伐、樵采、开垦、放牧、采药、狩猎、勘探、开矿和滥用水资源等一切破坏植被的活动；禁止在国家沙化土地封禁保护区范围内安置移民。禁止在沙化土地上砍挖灌木、药材及其他固沙植物。除了抚育更新性质的采伐外，禁止对防风固沙林网、林带进行采伐。对林木更新困难地区已有的防风固沙林网、林带，禁止采伐。</w:t>
                  </w:r>
                </w:p>
                <w:p w14:paraId="05445B61">
                  <w:pPr>
                    <w:pStyle w:val="12"/>
                    <w:ind w:left="0" w:leftChars="0" w:firstLine="0" w:firstLineChars="0"/>
                    <w:rPr>
                      <w:rFonts w:hint="default"/>
                      <w:sz w:val="21"/>
                      <w:szCs w:val="21"/>
                      <w:lang w:val="en-US" w:eastAsia="zh-CN"/>
                    </w:rPr>
                  </w:pPr>
                  <w:r>
                    <w:rPr>
                      <w:rFonts w:hint="eastAsia" w:ascii="Times New Roman" w:hAnsi="Times New Roman" w:eastAsia="宋体" w:cs="Times New Roman"/>
                      <w:b w:val="0"/>
                      <w:bCs/>
                      <w:color w:val="000000"/>
                      <w:kern w:val="0"/>
                      <w:sz w:val="21"/>
                      <w:szCs w:val="21"/>
                      <w:highlight w:val="none"/>
                      <w:lang w:val="en-US" w:eastAsia="zh-CN"/>
                    </w:rPr>
                    <w:t>6.</w:t>
                  </w:r>
                  <w:r>
                    <w:rPr>
                      <w:rFonts w:hint="eastAsia" w:ascii="Times New Roman" w:hAnsi="Times New Roman" w:eastAsia="宋体" w:cs="Times New Roman"/>
                      <w:b w:val="0"/>
                      <w:bCs/>
                      <w:color w:val="000000"/>
                      <w:kern w:val="0"/>
                      <w:sz w:val="21"/>
                      <w:szCs w:val="21"/>
                      <w:highlight w:val="none"/>
                    </w:rPr>
                    <w:t>生态公益林关于空间布局约束的准入要求</w:t>
                  </w:r>
                  <w:r>
                    <w:rPr>
                      <w:rFonts w:hint="eastAsia" w:ascii="Times New Roman" w:hAnsi="Times New Roman" w:eastAsia="宋体" w:cs="Times New Roman"/>
                      <w:b w:val="0"/>
                      <w:bCs/>
                      <w:color w:val="000000"/>
                      <w:kern w:val="0"/>
                      <w:sz w:val="21"/>
                      <w:szCs w:val="21"/>
                      <w:highlight w:val="none"/>
                      <w:lang w:eastAsia="zh-CN"/>
                    </w:rPr>
                    <w:t>：</w:t>
                  </w:r>
                </w:p>
                <w:p w14:paraId="43ED66A1">
                  <w:pPr>
                    <w:pStyle w:val="12"/>
                    <w:ind w:left="0" w:leftChars="0" w:firstLine="0" w:firstLineChars="0"/>
                    <w:rPr>
                      <w:rFonts w:ascii="Times New Roman" w:hAnsi="Times New Roman" w:eastAsia="宋体"/>
                      <w:b/>
                      <w:color w:val="000000"/>
                      <w:kern w:val="0"/>
                      <w:sz w:val="21"/>
                      <w:szCs w:val="21"/>
                      <w:highlight w:val="yellow"/>
                    </w:rPr>
                  </w:pPr>
                  <w:r>
                    <w:rPr>
                      <w:rFonts w:hint="eastAsia" w:ascii="Times New Roman" w:hAnsi="Times New Roman" w:eastAsia="宋体" w:cs="Times New Roman"/>
                      <w:b w:val="0"/>
                      <w:bCs/>
                      <w:color w:val="000000"/>
                      <w:kern w:val="0"/>
                      <w:sz w:val="21"/>
                      <w:szCs w:val="21"/>
                      <w:highlight w:val="none"/>
                      <w:lang w:val="en-US" w:eastAsia="zh-CN" w:bidi="ar-SA"/>
                    </w:rPr>
                    <w:t>严格控制勘查、开采矿藏和工程建设使用国家级公益林地。确需使用的应当依法办理使用林地手续。经审核审批同意使用的国家级公益林地按照相关规定实行占补平衡。</w:t>
                  </w:r>
                </w:p>
              </w:tc>
              <w:tc>
                <w:tcPr>
                  <w:tcW w:w="990" w:type="pct"/>
                  <w:vAlign w:val="center"/>
                </w:tcPr>
                <w:p w14:paraId="6AF37A75">
                  <w:pPr>
                    <w:keepNext/>
                    <w:keepLines/>
                    <w:widowControl/>
                    <w:numPr>
                      <w:ilvl w:val="0"/>
                      <w:numId w:val="0"/>
                    </w:numPr>
                    <w:adjustRightInd w:val="0"/>
                    <w:snapToGrid w:val="0"/>
                    <w:spacing w:line="360" w:lineRule="exact"/>
                    <w:jc w:val="left"/>
                    <w:outlineLvl w:val="2"/>
                    <w:rPr>
                      <w:rFonts w:hint="eastAsia"/>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bidi="ar-SA"/>
                    </w:rPr>
                    <w:t>1.</w:t>
                  </w:r>
                  <w:r>
                    <w:rPr>
                      <w:rFonts w:hint="eastAsia" w:ascii="Times New Roman" w:hAnsi="Times New Roman" w:eastAsia="宋体"/>
                      <w:bCs/>
                      <w:color w:val="000000"/>
                      <w:kern w:val="0"/>
                      <w:sz w:val="21"/>
                      <w:szCs w:val="21"/>
                      <w:highlight w:val="none"/>
                    </w:rPr>
                    <w:t>本项目为陆地矿产资源勘查，</w:t>
                  </w:r>
                  <w:r>
                    <w:rPr>
                      <w:rFonts w:hint="eastAsia"/>
                      <w:bCs/>
                      <w:color w:val="000000"/>
                      <w:kern w:val="0"/>
                      <w:sz w:val="21"/>
                      <w:szCs w:val="21"/>
                      <w:highlight w:val="none"/>
                      <w:lang w:val="en-US" w:eastAsia="zh-CN"/>
                    </w:rPr>
                    <w:t>勘查矿种为锰矿，符合《新疆维吾尔自治区和田地区矿产资源总体规划（2021—2025年）》要求，勘查范围内均不涉及军事禁区、自然保护地、重大工程项目、历史文物保护区、生态保护红线、永久基本农田、城镇开发边界，且与周边矿权不存在重叠。</w:t>
                  </w:r>
                </w:p>
                <w:p w14:paraId="2B0E582A">
                  <w:pPr>
                    <w:pStyle w:val="12"/>
                    <w:numPr>
                      <w:ilvl w:val="0"/>
                      <w:numId w:val="0"/>
                    </w:numPr>
                    <w:rPr>
                      <w:rFonts w:hint="eastAsia" w:ascii="Times New Roman" w:hAnsi="Times New Roman" w:eastAsia="宋体" w:cs="Times New Roman"/>
                      <w:bCs/>
                      <w:color w:val="000000"/>
                      <w:kern w:val="0"/>
                      <w:sz w:val="21"/>
                      <w:szCs w:val="21"/>
                      <w:highlight w:val="none"/>
                      <w:lang w:val="en-US" w:eastAsia="zh-CN"/>
                    </w:rPr>
                  </w:pPr>
                  <w:r>
                    <w:rPr>
                      <w:rFonts w:hint="eastAsia"/>
                      <w:sz w:val="21"/>
                      <w:szCs w:val="21"/>
                      <w:highlight w:val="none"/>
                      <w:lang w:val="en-US" w:eastAsia="zh-CN"/>
                    </w:rPr>
                    <w:t>2.</w:t>
                  </w:r>
                  <w:r>
                    <w:rPr>
                      <w:rFonts w:hint="eastAsia" w:ascii="Times New Roman" w:hAnsi="Times New Roman" w:eastAsia="宋体"/>
                      <w:bCs/>
                      <w:color w:val="000000"/>
                      <w:kern w:val="0"/>
                      <w:sz w:val="21"/>
                      <w:szCs w:val="21"/>
                      <w:highlight w:val="none"/>
                    </w:rPr>
                    <w:t>本项目为</w:t>
                  </w:r>
                  <w:r>
                    <w:rPr>
                      <w:rFonts w:hint="eastAsia"/>
                      <w:bCs/>
                      <w:color w:val="000000"/>
                      <w:kern w:val="0"/>
                      <w:sz w:val="21"/>
                      <w:szCs w:val="21"/>
                      <w:highlight w:val="none"/>
                      <w:lang w:val="en-US" w:eastAsia="zh-CN"/>
                    </w:rPr>
                    <w:t>锰矿</w:t>
                  </w:r>
                  <w:r>
                    <w:rPr>
                      <w:rFonts w:hint="eastAsia" w:ascii="Times New Roman" w:hAnsi="Times New Roman" w:eastAsia="宋体"/>
                      <w:bCs/>
                      <w:color w:val="000000"/>
                      <w:kern w:val="0"/>
                      <w:sz w:val="21"/>
                      <w:szCs w:val="21"/>
                      <w:highlight w:val="none"/>
                    </w:rPr>
                    <w:t>勘查</w:t>
                  </w:r>
                  <w:r>
                    <w:rPr>
                      <w:rFonts w:hint="eastAsia"/>
                      <w:bCs/>
                      <w:color w:val="000000"/>
                      <w:kern w:val="0"/>
                      <w:sz w:val="21"/>
                      <w:szCs w:val="21"/>
                      <w:highlight w:val="none"/>
                      <w:lang w:eastAsia="zh-CN"/>
                    </w:rPr>
                    <w:t>，</w:t>
                  </w:r>
                  <w:r>
                    <w:rPr>
                      <w:rFonts w:hint="eastAsia"/>
                      <w:bCs/>
                      <w:color w:val="000000"/>
                      <w:kern w:val="0"/>
                      <w:sz w:val="21"/>
                      <w:szCs w:val="21"/>
                      <w:highlight w:val="none"/>
                      <w:lang w:val="en-US" w:eastAsia="zh-CN"/>
                    </w:rPr>
                    <w:t>位于非沙化土地，</w:t>
                  </w:r>
                  <w:r>
                    <w:rPr>
                      <w:rFonts w:hint="eastAsia" w:ascii="Times New Roman" w:hAnsi="Times New Roman" w:eastAsia="宋体" w:cs="Times New Roman"/>
                      <w:bCs/>
                      <w:color w:val="000000"/>
                      <w:kern w:val="0"/>
                      <w:sz w:val="21"/>
                      <w:szCs w:val="21"/>
                      <w:highlight w:val="none"/>
                      <w:lang w:val="en-US" w:eastAsia="zh-CN"/>
                    </w:rPr>
                    <w:t>在地质勘查前，编制了环境影响评价文件，其中对</w:t>
                  </w:r>
                  <w:r>
                    <w:rPr>
                      <w:rFonts w:hint="eastAsia" w:cs="Times New Roman"/>
                      <w:bCs/>
                      <w:color w:val="000000"/>
                      <w:kern w:val="0"/>
                      <w:sz w:val="21"/>
                      <w:szCs w:val="21"/>
                      <w:highlight w:val="none"/>
                      <w:lang w:val="en-US" w:eastAsia="zh-CN"/>
                    </w:rPr>
                    <w:t>防沙治沙</w:t>
                  </w:r>
                  <w:r>
                    <w:rPr>
                      <w:rFonts w:hint="eastAsia" w:ascii="Times New Roman" w:hAnsi="Times New Roman" w:eastAsia="宋体" w:cs="Times New Roman"/>
                      <w:bCs/>
                      <w:color w:val="000000"/>
                      <w:kern w:val="0"/>
                      <w:sz w:val="21"/>
                      <w:szCs w:val="21"/>
                      <w:highlight w:val="none"/>
                      <w:lang w:val="en-US" w:eastAsia="zh-CN"/>
                    </w:rPr>
                    <w:t>相关内容进行了分析，并制定对应环保措施。</w:t>
                  </w:r>
                </w:p>
                <w:p w14:paraId="616A5CDB">
                  <w:pPr>
                    <w:pStyle w:val="12"/>
                    <w:numPr>
                      <w:ilvl w:val="0"/>
                      <w:numId w:val="0"/>
                    </w:numPr>
                    <w:rPr>
                      <w:rFonts w:hint="eastAsia"/>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3.</w:t>
                  </w:r>
                  <w:r>
                    <w:rPr>
                      <w:rFonts w:hint="eastAsia" w:ascii="Times New Roman" w:hAnsi="Times New Roman" w:eastAsia="宋体"/>
                      <w:bCs/>
                      <w:color w:val="000000"/>
                      <w:kern w:val="0"/>
                      <w:sz w:val="21"/>
                      <w:szCs w:val="21"/>
                      <w:highlight w:val="none"/>
                    </w:rPr>
                    <w:t>本项目为</w:t>
                  </w:r>
                  <w:r>
                    <w:rPr>
                      <w:rFonts w:hint="eastAsia"/>
                      <w:bCs/>
                      <w:color w:val="000000"/>
                      <w:kern w:val="0"/>
                      <w:sz w:val="21"/>
                      <w:szCs w:val="21"/>
                      <w:highlight w:val="none"/>
                      <w:lang w:val="en-US" w:eastAsia="zh-CN"/>
                    </w:rPr>
                    <w:t>锰矿</w:t>
                  </w:r>
                  <w:r>
                    <w:rPr>
                      <w:rFonts w:hint="eastAsia" w:ascii="Times New Roman" w:hAnsi="Times New Roman" w:eastAsia="宋体"/>
                      <w:bCs/>
                      <w:color w:val="000000"/>
                      <w:kern w:val="0"/>
                      <w:sz w:val="21"/>
                      <w:szCs w:val="21"/>
                      <w:highlight w:val="none"/>
                    </w:rPr>
                    <w:t>勘查</w:t>
                  </w:r>
                  <w:r>
                    <w:rPr>
                      <w:rFonts w:hint="eastAsia"/>
                      <w:bCs/>
                      <w:color w:val="000000"/>
                      <w:kern w:val="0"/>
                      <w:sz w:val="21"/>
                      <w:szCs w:val="21"/>
                      <w:highlight w:val="none"/>
                      <w:lang w:eastAsia="zh-CN"/>
                    </w:rPr>
                    <w:t>，</w:t>
                  </w:r>
                  <w:r>
                    <w:rPr>
                      <w:rFonts w:hint="eastAsia"/>
                      <w:bCs/>
                      <w:color w:val="000000"/>
                      <w:kern w:val="0"/>
                      <w:sz w:val="21"/>
                      <w:szCs w:val="21"/>
                      <w:highlight w:val="none"/>
                      <w:lang w:val="en-US" w:eastAsia="zh-CN"/>
                    </w:rPr>
                    <w:t>勘探区植被覆盖度低、自然环境恶劣、食源差、隐蔽性差，野生动物种类稀少，勘探工程影响小。</w:t>
                  </w:r>
                </w:p>
                <w:p w14:paraId="6075F9D0">
                  <w:pPr>
                    <w:pStyle w:val="12"/>
                    <w:numPr>
                      <w:ilvl w:val="0"/>
                      <w:numId w:val="0"/>
                    </w:numPr>
                    <w:rPr>
                      <w:rFonts w:hint="eastAsia"/>
                      <w:bCs/>
                      <w:color w:val="000000"/>
                      <w:kern w:val="0"/>
                      <w:sz w:val="21"/>
                      <w:szCs w:val="21"/>
                      <w:highlight w:val="none"/>
                      <w:lang w:val="en-US" w:eastAsia="zh-CN"/>
                    </w:rPr>
                  </w:pPr>
                  <w:r>
                    <w:rPr>
                      <w:rFonts w:hint="eastAsia"/>
                      <w:bCs/>
                      <w:color w:val="000000"/>
                      <w:kern w:val="0"/>
                      <w:sz w:val="21"/>
                      <w:szCs w:val="21"/>
                      <w:highlight w:val="none"/>
                      <w:lang w:val="en-US" w:eastAsia="zh-CN"/>
                    </w:rPr>
                    <w:t>4.本项目所在区域不属于水土流失重点预防区和重点治理区。</w:t>
                  </w:r>
                  <w:r>
                    <w:rPr>
                      <w:rFonts w:hint="eastAsia" w:ascii="Times New Roman" w:hAnsi="Times New Roman" w:eastAsia="宋体" w:cs="Times New Roman"/>
                      <w:bCs/>
                      <w:color w:val="000000"/>
                      <w:kern w:val="0"/>
                      <w:sz w:val="21"/>
                      <w:szCs w:val="21"/>
                      <w:highlight w:val="none"/>
                      <w:lang w:val="en-US" w:eastAsia="zh-CN"/>
                    </w:rPr>
                    <w:t>在地质勘查前，编制了环境影响评价文件，其中对</w:t>
                  </w:r>
                  <w:r>
                    <w:rPr>
                      <w:rFonts w:hint="eastAsia" w:cs="Times New Roman"/>
                      <w:bCs/>
                      <w:color w:val="000000"/>
                      <w:kern w:val="0"/>
                      <w:sz w:val="21"/>
                      <w:szCs w:val="21"/>
                      <w:highlight w:val="none"/>
                      <w:lang w:val="en-US" w:eastAsia="zh-CN"/>
                    </w:rPr>
                    <w:t>水土流失</w:t>
                  </w:r>
                  <w:r>
                    <w:rPr>
                      <w:rFonts w:hint="eastAsia" w:ascii="Times New Roman" w:hAnsi="Times New Roman" w:eastAsia="宋体" w:cs="Times New Roman"/>
                      <w:bCs/>
                      <w:color w:val="000000"/>
                      <w:kern w:val="0"/>
                      <w:sz w:val="21"/>
                      <w:szCs w:val="21"/>
                      <w:highlight w:val="none"/>
                      <w:lang w:val="en-US" w:eastAsia="zh-CN"/>
                    </w:rPr>
                    <w:t>相关内容进行了分析，并制定对应环保措施。</w:t>
                  </w:r>
                </w:p>
                <w:p w14:paraId="0FF74B88">
                  <w:pPr>
                    <w:pStyle w:val="12"/>
                    <w:numPr>
                      <w:ilvl w:val="0"/>
                      <w:numId w:val="0"/>
                    </w:numPr>
                    <w:rPr>
                      <w:rFonts w:hint="eastAsia"/>
                      <w:bCs/>
                      <w:color w:val="000000"/>
                      <w:kern w:val="0"/>
                      <w:sz w:val="21"/>
                      <w:szCs w:val="21"/>
                      <w:highlight w:val="none"/>
                      <w:lang w:val="en-US" w:eastAsia="zh-CN"/>
                    </w:rPr>
                  </w:pPr>
                  <w:r>
                    <w:rPr>
                      <w:rFonts w:hint="eastAsia"/>
                      <w:bCs/>
                      <w:color w:val="000000"/>
                      <w:kern w:val="0"/>
                      <w:sz w:val="21"/>
                      <w:szCs w:val="21"/>
                      <w:highlight w:val="none"/>
                      <w:lang w:val="en-US" w:eastAsia="zh-CN"/>
                    </w:rPr>
                    <w:t>5.</w:t>
                  </w:r>
                  <w:r>
                    <w:rPr>
                      <w:rFonts w:hint="eastAsia" w:ascii="Times New Roman" w:hAnsi="Times New Roman" w:eastAsia="宋体"/>
                      <w:bCs/>
                      <w:color w:val="000000"/>
                      <w:kern w:val="0"/>
                      <w:sz w:val="21"/>
                      <w:szCs w:val="21"/>
                      <w:highlight w:val="none"/>
                    </w:rPr>
                    <w:t>本项目</w:t>
                  </w:r>
                  <w:r>
                    <w:rPr>
                      <w:rFonts w:hint="eastAsia"/>
                      <w:bCs/>
                      <w:color w:val="000000"/>
                      <w:kern w:val="0"/>
                      <w:sz w:val="21"/>
                      <w:szCs w:val="21"/>
                      <w:highlight w:val="none"/>
                      <w:lang w:val="en-US" w:eastAsia="zh-CN"/>
                    </w:rPr>
                    <w:t>位于非沙化土地，项目实际占地范围较小，施工时间短，施工结束后及时对临时占地范围内场地进行平整和清理，尽量利用施工时产生的表层土对临时占地进行覆盖，采用自然恢复的方式对区域植被进行恢复。本项目对区域土地沙化影响不大。</w:t>
                  </w:r>
                </w:p>
                <w:p w14:paraId="333FFF17">
                  <w:pPr>
                    <w:pStyle w:val="12"/>
                    <w:numPr>
                      <w:ilvl w:val="0"/>
                      <w:numId w:val="0"/>
                    </w:numPr>
                    <w:rPr>
                      <w:rFonts w:hint="default"/>
                      <w:bCs/>
                      <w:color w:val="000000"/>
                      <w:kern w:val="0"/>
                      <w:sz w:val="21"/>
                      <w:szCs w:val="21"/>
                      <w:highlight w:val="none"/>
                      <w:lang w:val="en-US" w:eastAsia="zh-CN"/>
                    </w:rPr>
                  </w:pPr>
                  <w:r>
                    <w:rPr>
                      <w:rFonts w:hint="eastAsia"/>
                      <w:bCs/>
                      <w:color w:val="000000"/>
                      <w:kern w:val="0"/>
                      <w:sz w:val="21"/>
                      <w:szCs w:val="21"/>
                      <w:highlight w:val="none"/>
                      <w:lang w:val="en-US" w:eastAsia="zh-CN"/>
                    </w:rPr>
                    <w:t>6.本项目占地为裸地，不涉及生态公益林。</w:t>
                  </w:r>
                </w:p>
              </w:tc>
              <w:tc>
                <w:tcPr>
                  <w:tcW w:w="466" w:type="pct"/>
                  <w:vAlign w:val="center"/>
                </w:tcPr>
                <w:p w14:paraId="4C6F40BA">
                  <w:pPr>
                    <w:keepNext/>
                    <w:keepLines/>
                    <w:widowControl/>
                    <w:adjustRightInd w:val="0"/>
                    <w:snapToGrid w:val="0"/>
                    <w:spacing w:line="360" w:lineRule="exact"/>
                    <w:jc w:val="center"/>
                    <w:outlineLvl w:val="2"/>
                    <w:rPr>
                      <w:rFonts w:ascii="Times New Roman" w:hAnsi="Times New Roman" w:eastAsia="宋体"/>
                      <w:bCs/>
                      <w:color w:val="000000"/>
                      <w:kern w:val="0"/>
                      <w:sz w:val="21"/>
                      <w:szCs w:val="21"/>
                      <w:highlight w:val="yellow"/>
                    </w:rPr>
                  </w:pPr>
                  <w:r>
                    <w:rPr>
                      <w:rFonts w:hint="eastAsia" w:ascii="Times New Roman" w:hAnsi="Times New Roman" w:eastAsia="宋体"/>
                      <w:bCs/>
                      <w:color w:val="000000"/>
                      <w:kern w:val="0"/>
                      <w:sz w:val="21"/>
                      <w:szCs w:val="21"/>
                      <w:highlight w:val="none"/>
                    </w:rPr>
                    <w:t>符合</w:t>
                  </w:r>
                </w:p>
              </w:tc>
            </w:tr>
          </w:tbl>
          <w:p w14:paraId="1A9BD185">
            <w:pPr>
              <w:keepNext/>
              <w:keepLines/>
              <w:widowControl/>
              <w:adjustRightInd w:val="0"/>
              <w:snapToGrid w:val="0"/>
              <w:spacing w:line="480" w:lineRule="exact"/>
              <w:ind w:left="48" w:leftChars="20" w:right="48" w:rightChars="20" w:firstLine="480"/>
              <w:jc w:val="left"/>
              <w:outlineLvl w:val="2"/>
              <w:rPr>
                <w:rFonts w:hint="default"/>
                <w:b/>
                <w:bCs w:val="0"/>
                <w:color w:val="000000"/>
                <w:kern w:val="0"/>
                <w:highlight w:val="none"/>
                <w:lang w:val="en-US" w:eastAsia="zh-CN"/>
              </w:rPr>
            </w:pPr>
            <w:r>
              <w:rPr>
                <w:rFonts w:ascii="Times New Roman" w:hAnsi="Times New Roman" w:eastAsia="宋体"/>
                <w:bCs/>
                <w:color w:val="000000"/>
                <w:kern w:val="0"/>
                <w:highlight w:val="none"/>
              </w:rPr>
              <w:t>综上所述，本项目建设符合</w:t>
            </w:r>
            <w:r>
              <w:rPr>
                <w:rFonts w:hint="eastAsia" w:ascii="Times New Roman" w:hAnsi="Times New Roman" w:eastAsia="宋体" w:cs="宋体"/>
                <w:highlight w:val="none"/>
                <w:lang w:val="en-US" w:eastAsia="zh-CN"/>
              </w:rPr>
              <w:t>《和田地区“三线一单”生态环境分区管控成果动态更新情况说明》</w:t>
            </w:r>
            <w:r>
              <w:rPr>
                <w:rFonts w:hint="eastAsia" w:cs="宋体"/>
                <w:highlight w:val="none"/>
                <w:lang w:val="en-US" w:eastAsia="zh-CN"/>
              </w:rPr>
              <w:t>（2024更新）</w:t>
            </w:r>
            <w:r>
              <w:rPr>
                <w:rFonts w:ascii="Times New Roman" w:hAnsi="Times New Roman" w:eastAsia="宋体"/>
                <w:bCs/>
                <w:color w:val="000000"/>
                <w:kern w:val="0"/>
                <w:highlight w:val="none"/>
              </w:rPr>
              <w:t>管理要求。</w:t>
            </w:r>
          </w:p>
          <w:p w14:paraId="2328D3AA">
            <w:pPr>
              <w:keepNext/>
              <w:keepLines/>
              <w:widowControl/>
              <w:numPr>
                <w:ilvl w:val="0"/>
                <w:numId w:val="0"/>
              </w:numPr>
              <w:adjustRightInd w:val="0"/>
              <w:snapToGrid w:val="0"/>
              <w:spacing w:line="480" w:lineRule="exact"/>
              <w:ind w:left="0" w:leftChars="0" w:right="48" w:rightChars="20" w:firstLine="0" w:firstLineChars="0"/>
              <w:jc w:val="left"/>
              <w:outlineLvl w:val="2"/>
              <w:rPr>
                <w:rFonts w:hint="eastAsia" w:ascii="Times New Roman" w:hAnsi="Times New Roman" w:eastAsia="宋体"/>
                <w:b/>
                <w:bCs w:val="0"/>
                <w:spacing w:val="-3"/>
                <w:highlight w:val="none"/>
                <w:lang w:val="en-US" w:eastAsia="zh-CN"/>
              </w:rPr>
            </w:pPr>
            <w:r>
              <w:rPr>
                <w:rFonts w:hint="eastAsia" w:cs="Times New Roman"/>
                <w:b/>
                <w:bCs w:val="0"/>
                <w:spacing w:val="-3"/>
                <w:kern w:val="2"/>
                <w:sz w:val="24"/>
                <w:szCs w:val="24"/>
                <w:lang w:val="en-US" w:eastAsia="zh-CN" w:bidi="ar-SA"/>
              </w:rPr>
              <w:t>4.</w:t>
            </w:r>
            <w:r>
              <w:rPr>
                <w:rFonts w:hint="eastAsia" w:ascii="Times New Roman" w:hAnsi="Times New Roman" w:eastAsia="宋体"/>
                <w:b/>
                <w:bCs w:val="0"/>
                <w:spacing w:val="-3"/>
                <w:highlight w:val="none"/>
                <w:lang w:val="en-US" w:eastAsia="zh-CN"/>
              </w:rPr>
              <w:t>与《巴音郭楞蒙古自治州“三线一单”生态环境分区管控动态更新成果（2023年）》（巴政办发〔2024〕32号）符合性</w:t>
            </w:r>
          </w:p>
          <w:p w14:paraId="72AEE236">
            <w:pPr>
              <w:keepNext/>
              <w:keepLines/>
              <w:widowControl/>
              <w:adjustRightInd w:val="0"/>
              <w:snapToGrid w:val="0"/>
              <w:spacing w:line="480" w:lineRule="exact"/>
              <w:ind w:left="48" w:leftChars="20" w:right="48" w:rightChars="20" w:firstLine="480"/>
              <w:jc w:val="left"/>
              <w:outlineLvl w:val="2"/>
              <w:rPr>
                <w:rFonts w:hint="eastAsia"/>
                <w:lang w:val="en-US" w:eastAsia="zh-CN"/>
              </w:rPr>
            </w:pPr>
            <w:r>
              <w:rPr>
                <w:rFonts w:hint="eastAsia" w:ascii="Times New Roman" w:hAnsi="Times New Roman" w:eastAsia="宋体" w:cs="宋体"/>
                <w:highlight w:val="none"/>
                <w:lang w:val="en-US" w:eastAsia="zh-CN"/>
              </w:rPr>
              <w:t>本</w:t>
            </w:r>
            <w:r>
              <w:rPr>
                <w:rFonts w:hint="eastAsia" w:cs="宋体"/>
                <w:highlight w:val="none"/>
                <w:lang w:val="en-US" w:eastAsia="zh-CN"/>
              </w:rPr>
              <w:t>项目</w:t>
            </w:r>
            <w:r>
              <w:rPr>
                <w:rFonts w:hint="eastAsia" w:ascii="Times New Roman" w:hAnsi="Times New Roman" w:eastAsia="宋体" w:cs="宋体"/>
                <w:highlight w:val="none"/>
                <w:lang w:val="en-US" w:eastAsia="zh-CN"/>
              </w:rPr>
              <w:t>位于民丰县和且末县，</w:t>
            </w:r>
            <w:r>
              <w:rPr>
                <w:rFonts w:hint="eastAsia"/>
                <w:lang w:val="en-US" w:eastAsia="zh-CN"/>
              </w:rPr>
              <w:t>对照巴州“三线一单”生态环境分区管控动态更新成果（2023年）可知，属于且末</w:t>
            </w:r>
            <w:r>
              <w:rPr>
                <w:rFonts w:hint="eastAsia"/>
              </w:rPr>
              <w:t>县一般</w:t>
            </w:r>
            <w:r>
              <w:rPr>
                <w:rFonts w:hint="eastAsia"/>
                <w:lang w:val="en-US" w:eastAsia="zh-CN"/>
              </w:rPr>
              <w:t>生态空间（单元编码：</w:t>
            </w:r>
            <w:r>
              <w:rPr>
                <w:rFonts w:hint="default"/>
                <w:lang w:val="en-US" w:eastAsia="zh-CN"/>
              </w:rPr>
              <w:t>ZH</w:t>
            </w:r>
            <w:r>
              <w:rPr>
                <w:rFonts w:hint="eastAsia"/>
                <w:lang w:val="en-US" w:eastAsia="zh-CN"/>
              </w:rPr>
              <w:t>65282510008），为优先保护单元。项目与《巴音郭楞蒙古自治州“三线一单”生态环境分区管控动态更新成果（2023年）》的符合性分析见表1-4，项目在巴音郭楞蒙古自治州“三线一单”生态环境分区管控单元位置示意图见附图3。</w:t>
            </w:r>
          </w:p>
          <w:p w14:paraId="790267D6">
            <w:pPr>
              <w:pStyle w:val="10"/>
              <w:rPr>
                <w:rFonts w:hint="eastAsia"/>
                <w:lang w:val="en-US" w:eastAsia="zh-CN"/>
              </w:rPr>
            </w:pPr>
          </w:p>
          <w:tbl>
            <w:tblPr>
              <w:tblStyle w:val="15"/>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5493"/>
              <w:gridCol w:w="1767"/>
              <w:gridCol w:w="833"/>
            </w:tblGrid>
            <w:tr w14:paraId="5551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000" w:type="pct"/>
                  <w:gridSpan w:val="4"/>
                  <w:vAlign w:val="center"/>
                </w:tcPr>
                <w:p w14:paraId="62271986">
                  <w:pPr>
                    <w:pStyle w:val="7"/>
                    <w:jc w:val="center"/>
                    <w:rPr>
                      <w:rFonts w:hint="eastAsia" w:ascii="Times New Roman" w:hAnsi="Times New Roman" w:eastAsia="宋体" w:cs="黑体"/>
                      <w:sz w:val="21"/>
                      <w:szCs w:val="21"/>
                      <w:highlight w:val="yellow"/>
                      <w:lang w:eastAsia="zh-CN"/>
                    </w:rPr>
                  </w:pPr>
                  <w:r>
                    <w:rPr>
                      <w:rFonts w:hint="eastAsia"/>
                      <w:lang w:val="en-US" w:eastAsia="zh-CN"/>
                    </w:rPr>
                    <w:t>且末</w:t>
                  </w:r>
                  <w:r>
                    <w:rPr>
                      <w:rFonts w:hint="eastAsia"/>
                    </w:rPr>
                    <w:t>县一般</w:t>
                  </w:r>
                  <w:r>
                    <w:rPr>
                      <w:rFonts w:hint="eastAsia"/>
                      <w:lang w:val="en-US" w:eastAsia="zh-CN"/>
                    </w:rPr>
                    <w:t>生态空间</w:t>
                  </w:r>
                  <w:r>
                    <w:rPr>
                      <w:rFonts w:hint="eastAsia" w:ascii="Times New Roman" w:hAnsi="Times New Roman" w:eastAsia="宋体" w:cs="黑体"/>
                      <w:sz w:val="21"/>
                      <w:szCs w:val="21"/>
                      <w:highlight w:val="none"/>
                      <w:lang w:val="en-US" w:eastAsia="zh-CN"/>
                    </w:rPr>
                    <w:t>（单元编码：ZH65282510008）</w:t>
                  </w:r>
                </w:p>
              </w:tc>
            </w:tr>
            <w:tr w14:paraId="3838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65" w:type="pct"/>
                  <w:vAlign w:val="center"/>
                </w:tcPr>
                <w:p w14:paraId="0E403CBF">
                  <w:pPr>
                    <w:keepNext/>
                    <w:keepLines/>
                    <w:widowControl/>
                    <w:adjustRightInd w:val="0"/>
                    <w:snapToGrid w:val="0"/>
                    <w:jc w:val="center"/>
                    <w:outlineLvl w:val="2"/>
                    <w:rPr>
                      <w:rFonts w:ascii="Times New Roman" w:hAnsi="Times New Roman" w:eastAsia="宋体"/>
                      <w:bCs/>
                      <w:color w:val="000000"/>
                      <w:kern w:val="0"/>
                      <w:sz w:val="21"/>
                      <w:szCs w:val="21"/>
                      <w:highlight w:val="yellow"/>
                    </w:rPr>
                  </w:pPr>
                  <w:r>
                    <w:rPr>
                      <w:rFonts w:ascii="Times New Roman" w:hAnsi="Times New Roman" w:eastAsia="宋体"/>
                      <w:bCs/>
                      <w:color w:val="000000"/>
                      <w:kern w:val="0"/>
                      <w:sz w:val="21"/>
                      <w:szCs w:val="21"/>
                      <w:highlight w:val="none"/>
                    </w:rPr>
                    <w:t>管控维度</w:t>
                  </w:r>
                </w:p>
              </w:tc>
              <w:tc>
                <w:tcPr>
                  <w:tcW w:w="3078" w:type="pct"/>
                  <w:vAlign w:val="center"/>
                </w:tcPr>
                <w:p w14:paraId="3B62BF76">
                  <w:pPr>
                    <w:keepNext/>
                    <w:keepLines/>
                    <w:widowControl/>
                    <w:adjustRightInd w:val="0"/>
                    <w:snapToGrid w:val="0"/>
                    <w:jc w:val="center"/>
                    <w:outlineLvl w:val="2"/>
                    <w:rPr>
                      <w:rFonts w:ascii="Times New Roman" w:hAnsi="Times New Roman" w:eastAsia="宋体"/>
                      <w:bCs/>
                      <w:color w:val="000000"/>
                      <w:kern w:val="0"/>
                      <w:sz w:val="21"/>
                      <w:szCs w:val="21"/>
                      <w:highlight w:val="yellow"/>
                    </w:rPr>
                  </w:pPr>
                  <w:r>
                    <w:rPr>
                      <w:rFonts w:hint="eastAsia" w:ascii="Times New Roman" w:hAnsi="Times New Roman" w:eastAsia="宋体"/>
                      <w:bCs/>
                      <w:color w:val="000000"/>
                      <w:kern w:val="0"/>
                      <w:sz w:val="21"/>
                      <w:szCs w:val="21"/>
                      <w:highlight w:val="none"/>
                    </w:rPr>
                    <w:t>管控要求</w:t>
                  </w:r>
                </w:p>
              </w:tc>
              <w:tc>
                <w:tcPr>
                  <w:tcW w:w="990" w:type="pct"/>
                  <w:vAlign w:val="center"/>
                </w:tcPr>
                <w:p w14:paraId="4434C389">
                  <w:pPr>
                    <w:keepNext/>
                    <w:keepLines/>
                    <w:widowControl/>
                    <w:adjustRightInd w:val="0"/>
                    <w:snapToGrid w:val="0"/>
                    <w:jc w:val="center"/>
                    <w:outlineLvl w:val="2"/>
                    <w:rPr>
                      <w:rFonts w:ascii="Times New Roman" w:hAnsi="Times New Roman" w:eastAsia="宋体"/>
                      <w:bCs/>
                      <w:color w:val="000000"/>
                      <w:kern w:val="0"/>
                      <w:sz w:val="21"/>
                      <w:szCs w:val="21"/>
                      <w:highlight w:val="yellow"/>
                    </w:rPr>
                  </w:pPr>
                  <w:r>
                    <w:rPr>
                      <w:rFonts w:hint="eastAsia" w:ascii="Times New Roman" w:hAnsi="Times New Roman" w:eastAsia="宋体"/>
                      <w:bCs/>
                      <w:color w:val="000000"/>
                      <w:kern w:val="0"/>
                      <w:sz w:val="21"/>
                      <w:szCs w:val="21"/>
                      <w:highlight w:val="none"/>
                    </w:rPr>
                    <w:t>本项目</w:t>
                  </w:r>
                </w:p>
              </w:tc>
              <w:tc>
                <w:tcPr>
                  <w:tcW w:w="466" w:type="pct"/>
                  <w:vAlign w:val="center"/>
                </w:tcPr>
                <w:p w14:paraId="3127EA39">
                  <w:pPr>
                    <w:keepNext/>
                    <w:keepLines/>
                    <w:widowControl/>
                    <w:adjustRightInd w:val="0"/>
                    <w:snapToGrid w:val="0"/>
                    <w:jc w:val="center"/>
                    <w:outlineLvl w:val="2"/>
                    <w:rPr>
                      <w:rFonts w:ascii="Times New Roman" w:hAnsi="Times New Roman" w:eastAsia="宋体"/>
                      <w:bCs/>
                      <w:color w:val="000000"/>
                      <w:kern w:val="0"/>
                      <w:sz w:val="21"/>
                      <w:szCs w:val="21"/>
                      <w:highlight w:val="yellow"/>
                    </w:rPr>
                  </w:pPr>
                  <w:r>
                    <w:rPr>
                      <w:rFonts w:hint="eastAsia" w:ascii="Times New Roman" w:hAnsi="Times New Roman" w:eastAsia="宋体"/>
                      <w:bCs/>
                      <w:color w:val="000000"/>
                      <w:kern w:val="0"/>
                      <w:sz w:val="21"/>
                      <w:szCs w:val="21"/>
                      <w:highlight w:val="none"/>
                    </w:rPr>
                    <w:t>符合性</w:t>
                  </w:r>
                </w:p>
              </w:tc>
            </w:tr>
            <w:tr w14:paraId="7CB9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465" w:type="pct"/>
                  <w:vAlign w:val="center"/>
                </w:tcPr>
                <w:p w14:paraId="0DA337E9">
                  <w:pPr>
                    <w:autoSpaceDE w:val="0"/>
                    <w:autoSpaceDN w:val="0"/>
                    <w:adjustRightInd w:val="0"/>
                    <w:snapToGrid w:val="0"/>
                    <w:spacing w:line="240" w:lineRule="atLeast"/>
                    <w:jc w:val="center"/>
                    <w:rPr>
                      <w:rFonts w:ascii="Times New Roman" w:hAnsi="Times New Roman" w:eastAsia="宋体"/>
                      <w:b w:val="0"/>
                      <w:bCs w:val="0"/>
                      <w:color w:val="000000"/>
                      <w:kern w:val="0"/>
                      <w:sz w:val="21"/>
                      <w:szCs w:val="21"/>
                      <w:highlight w:val="none"/>
                    </w:rPr>
                  </w:pPr>
                  <w:r>
                    <w:rPr>
                      <w:rFonts w:ascii="Times New Roman" w:hAnsi="Times New Roman" w:eastAsia="宋体"/>
                      <w:b w:val="0"/>
                      <w:bCs w:val="0"/>
                      <w:color w:val="000000"/>
                      <w:kern w:val="0"/>
                      <w:sz w:val="21"/>
                      <w:szCs w:val="21"/>
                      <w:highlight w:val="none"/>
                    </w:rPr>
                    <w:t>空间</w:t>
                  </w:r>
                </w:p>
                <w:p w14:paraId="334A0E35">
                  <w:pPr>
                    <w:autoSpaceDE w:val="0"/>
                    <w:autoSpaceDN w:val="0"/>
                    <w:adjustRightInd w:val="0"/>
                    <w:snapToGrid w:val="0"/>
                    <w:spacing w:line="240" w:lineRule="atLeast"/>
                    <w:jc w:val="center"/>
                    <w:rPr>
                      <w:rFonts w:ascii="Times New Roman" w:hAnsi="Times New Roman" w:eastAsia="宋体"/>
                      <w:b w:val="0"/>
                      <w:bCs w:val="0"/>
                      <w:color w:val="000000"/>
                      <w:kern w:val="0"/>
                      <w:sz w:val="21"/>
                      <w:szCs w:val="21"/>
                      <w:highlight w:val="none"/>
                    </w:rPr>
                  </w:pPr>
                  <w:r>
                    <w:rPr>
                      <w:rFonts w:ascii="Times New Roman" w:hAnsi="Times New Roman" w:eastAsia="宋体"/>
                      <w:b w:val="0"/>
                      <w:bCs w:val="0"/>
                      <w:color w:val="000000"/>
                      <w:kern w:val="0"/>
                      <w:sz w:val="21"/>
                      <w:szCs w:val="21"/>
                      <w:highlight w:val="none"/>
                    </w:rPr>
                    <w:t>布局</w:t>
                  </w:r>
                </w:p>
                <w:p w14:paraId="08029CB3">
                  <w:pPr>
                    <w:autoSpaceDE w:val="0"/>
                    <w:autoSpaceDN w:val="0"/>
                    <w:adjustRightInd w:val="0"/>
                    <w:snapToGrid w:val="0"/>
                    <w:spacing w:line="240" w:lineRule="atLeast"/>
                    <w:jc w:val="center"/>
                    <w:rPr>
                      <w:rFonts w:ascii="Times New Roman" w:hAnsi="Times New Roman" w:eastAsia="宋体"/>
                      <w:b w:val="0"/>
                      <w:bCs w:val="0"/>
                      <w:color w:val="000000"/>
                      <w:kern w:val="0"/>
                      <w:sz w:val="21"/>
                      <w:szCs w:val="21"/>
                      <w:highlight w:val="none"/>
                    </w:rPr>
                  </w:pPr>
                  <w:r>
                    <w:rPr>
                      <w:rFonts w:ascii="Times New Roman" w:hAnsi="Times New Roman" w:eastAsia="宋体"/>
                      <w:b w:val="0"/>
                      <w:bCs w:val="0"/>
                      <w:color w:val="000000"/>
                      <w:kern w:val="0"/>
                      <w:sz w:val="21"/>
                      <w:szCs w:val="21"/>
                      <w:highlight w:val="none"/>
                    </w:rPr>
                    <w:t>约束</w:t>
                  </w:r>
                </w:p>
              </w:tc>
              <w:tc>
                <w:tcPr>
                  <w:tcW w:w="3078" w:type="pct"/>
                  <w:vAlign w:val="center"/>
                </w:tcPr>
                <w:p w14:paraId="129BF2DF">
                  <w:pPr>
                    <w:pStyle w:val="12"/>
                    <w:ind w:left="0" w:leftChars="0" w:firstLine="0" w:firstLineChars="0"/>
                    <w:rPr>
                      <w:rFonts w:hint="eastAsia" w:ascii="Times New Roman" w:hAnsi="Times New Roman" w:eastAsia="宋体"/>
                      <w:b w:val="0"/>
                      <w:bCs w:val="0"/>
                      <w:color w:val="000000"/>
                      <w:kern w:val="0"/>
                      <w:sz w:val="21"/>
                      <w:szCs w:val="21"/>
                      <w:highlight w:val="none"/>
                    </w:rPr>
                  </w:pPr>
                  <w:r>
                    <w:rPr>
                      <w:rFonts w:hint="eastAsia" w:ascii="Times New Roman" w:hAnsi="Times New Roman" w:eastAsia="宋体"/>
                      <w:b w:val="0"/>
                      <w:bCs w:val="0"/>
                      <w:color w:val="000000"/>
                      <w:kern w:val="0"/>
                      <w:sz w:val="21"/>
                      <w:szCs w:val="21"/>
                      <w:highlight w:val="none"/>
                    </w:rPr>
                    <w:t>1.执行总体管控要求。</w:t>
                  </w:r>
                </w:p>
                <w:p w14:paraId="312E646C">
                  <w:pPr>
                    <w:pStyle w:val="12"/>
                    <w:ind w:left="0" w:leftChars="0" w:firstLine="0" w:firstLineChars="0"/>
                    <w:rPr>
                      <w:rFonts w:ascii="Times New Roman" w:hAnsi="Times New Roman" w:eastAsia="宋体"/>
                      <w:b w:val="0"/>
                      <w:bCs w:val="0"/>
                      <w:color w:val="000000"/>
                      <w:kern w:val="0"/>
                      <w:sz w:val="21"/>
                      <w:szCs w:val="21"/>
                      <w:highlight w:val="none"/>
                    </w:rPr>
                  </w:pPr>
                  <w:r>
                    <w:rPr>
                      <w:rFonts w:hint="eastAsia" w:ascii="Times New Roman" w:hAnsi="Times New Roman" w:eastAsia="宋体"/>
                      <w:b w:val="0"/>
                      <w:bCs w:val="0"/>
                      <w:color w:val="000000"/>
                      <w:kern w:val="0"/>
                      <w:sz w:val="21"/>
                      <w:szCs w:val="21"/>
                      <w:highlight w:val="none"/>
                    </w:rPr>
                    <w:t>2.严格执行主体功能区划，明确不同功能区的环境准入条件和污染物排放标准；限制开发区，坚持保护优先，严格限制高污染项目，允许已列入规划的矿产项目、现有矿山企业，景区旅游开发项目以及水库、机场、公路、工业园区等项目合理开发。科学制定并严格实施县域规划，形成有利于污染物处理及扩散的区域空间格局。</w:t>
                  </w:r>
                </w:p>
              </w:tc>
              <w:tc>
                <w:tcPr>
                  <w:tcW w:w="990" w:type="pct"/>
                  <w:vAlign w:val="center"/>
                </w:tcPr>
                <w:p w14:paraId="2B299715">
                  <w:pPr>
                    <w:pStyle w:val="12"/>
                    <w:numPr>
                      <w:ilvl w:val="0"/>
                      <w:numId w:val="0"/>
                    </w:numPr>
                    <w:rPr>
                      <w:rFonts w:hint="default" w:eastAsia="宋体"/>
                      <w:sz w:val="21"/>
                      <w:szCs w:val="21"/>
                      <w:lang w:val="en-US" w:eastAsia="zh-CN"/>
                    </w:rPr>
                  </w:pPr>
                  <w:r>
                    <w:rPr>
                      <w:rFonts w:hint="default" w:eastAsia="宋体"/>
                      <w:sz w:val="21"/>
                      <w:szCs w:val="21"/>
                      <w:lang w:val="en-US" w:eastAsia="zh-CN"/>
                    </w:rPr>
                    <w:t>本项目已依法取得所在区域的探矿权，探矿证号：XT6500002025102040000049，属于已列入规划的矿产项目，符合相关要求。</w:t>
                  </w:r>
                </w:p>
              </w:tc>
              <w:tc>
                <w:tcPr>
                  <w:tcW w:w="466" w:type="pct"/>
                  <w:vAlign w:val="center"/>
                </w:tcPr>
                <w:p w14:paraId="68997B66">
                  <w:pPr>
                    <w:keepNext/>
                    <w:keepLines/>
                    <w:widowControl/>
                    <w:adjustRightInd w:val="0"/>
                    <w:snapToGrid w:val="0"/>
                    <w:spacing w:line="360" w:lineRule="exact"/>
                    <w:jc w:val="center"/>
                    <w:outlineLvl w:val="2"/>
                    <w:rPr>
                      <w:rFonts w:ascii="Times New Roman" w:hAnsi="Times New Roman" w:eastAsia="宋体"/>
                      <w:bCs/>
                      <w:color w:val="000000"/>
                      <w:kern w:val="0"/>
                      <w:sz w:val="21"/>
                      <w:szCs w:val="21"/>
                      <w:highlight w:val="yellow"/>
                    </w:rPr>
                  </w:pPr>
                  <w:r>
                    <w:rPr>
                      <w:rFonts w:hint="eastAsia" w:ascii="Times New Roman" w:hAnsi="Times New Roman" w:eastAsia="宋体"/>
                      <w:bCs/>
                      <w:color w:val="000000"/>
                      <w:kern w:val="0"/>
                      <w:sz w:val="21"/>
                      <w:szCs w:val="21"/>
                      <w:highlight w:val="none"/>
                    </w:rPr>
                    <w:t>符合</w:t>
                  </w:r>
                </w:p>
              </w:tc>
            </w:tr>
          </w:tbl>
          <w:p w14:paraId="5F086E56">
            <w:pPr>
              <w:keepNext/>
              <w:keepLines/>
              <w:widowControl/>
              <w:adjustRightInd w:val="0"/>
              <w:snapToGrid w:val="0"/>
              <w:spacing w:line="480" w:lineRule="exact"/>
              <w:ind w:left="48" w:leftChars="20" w:right="48" w:rightChars="20" w:firstLine="480"/>
              <w:jc w:val="left"/>
              <w:outlineLvl w:val="2"/>
              <w:rPr>
                <w:rFonts w:hint="eastAsia"/>
              </w:rPr>
            </w:pPr>
            <w:r>
              <w:rPr>
                <w:rFonts w:ascii="Times New Roman" w:hAnsi="Times New Roman" w:eastAsia="宋体"/>
                <w:bCs/>
                <w:color w:val="000000"/>
                <w:kern w:val="0"/>
                <w:highlight w:val="none"/>
              </w:rPr>
              <w:t>综上所述，本项目建设符合</w:t>
            </w:r>
            <w:r>
              <w:rPr>
                <w:rFonts w:hint="eastAsia" w:ascii="Times New Roman" w:hAnsi="Times New Roman" w:eastAsia="宋体" w:cs="宋体"/>
                <w:highlight w:val="none"/>
                <w:lang w:val="en-US" w:eastAsia="zh-CN"/>
              </w:rPr>
              <w:t>《</w:t>
            </w:r>
            <w:r>
              <w:rPr>
                <w:rFonts w:hint="eastAsia"/>
                <w:lang w:val="en-US" w:eastAsia="zh-CN"/>
              </w:rPr>
              <w:t>巴音郭楞蒙古自治州“三线一单”生态环境分区管控动态更新成果（2023年）</w:t>
            </w:r>
            <w:r>
              <w:rPr>
                <w:rFonts w:hint="eastAsia" w:ascii="Times New Roman" w:hAnsi="Times New Roman" w:eastAsia="宋体" w:cs="宋体"/>
                <w:highlight w:val="none"/>
                <w:lang w:val="en-US" w:eastAsia="zh-CN"/>
              </w:rPr>
              <w:t>》</w:t>
            </w:r>
            <w:r>
              <w:rPr>
                <w:rFonts w:ascii="Times New Roman" w:hAnsi="Times New Roman" w:eastAsia="宋体"/>
                <w:bCs/>
                <w:color w:val="000000"/>
                <w:kern w:val="0"/>
                <w:highlight w:val="none"/>
              </w:rPr>
              <w:t>管理要求。</w:t>
            </w:r>
          </w:p>
          <w:p w14:paraId="5D4C3D96">
            <w:pPr>
              <w:keepNext/>
              <w:keepLines/>
              <w:widowControl/>
              <w:adjustRightInd w:val="0"/>
              <w:snapToGrid w:val="0"/>
              <w:spacing w:line="480" w:lineRule="exact"/>
              <w:ind w:right="48" w:rightChars="20"/>
              <w:jc w:val="left"/>
              <w:outlineLvl w:val="2"/>
              <w:rPr>
                <w:rFonts w:ascii="Times New Roman" w:hAnsi="Times New Roman" w:eastAsia="宋体"/>
                <w:b/>
                <w:bCs w:val="0"/>
                <w:color w:val="000000"/>
                <w:kern w:val="0"/>
                <w:highlight w:val="none"/>
              </w:rPr>
            </w:pPr>
            <w:r>
              <w:rPr>
                <w:rFonts w:hint="eastAsia"/>
                <w:b/>
                <w:bCs w:val="0"/>
                <w:spacing w:val="-3"/>
                <w:highlight w:val="none"/>
                <w:lang w:val="en-US" w:eastAsia="zh-CN"/>
              </w:rPr>
              <w:t>4.</w:t>
            </w:r>
            <w:r>
              <w:rPr>
                <w:rFonts w:hint="eastAsia" w:ascii="Times New Roman" w:hAnsi="Times New Roman" w:eastAsia="宋体"/>
                <w:b/>
                <w:bCs w:val="0"/>
                <w:spacing w:val="-3"/>
                <w:highlight w:val="none"/>
              </w:rPr>
              <w:t>相关环保政策符合性分析</w:t>
            </w:r>
          </w:p>
          <w:p w14:paraId="75F930C5">
            <w:pPr>
              <w:pStyle w:val="7"/>
              <w:spacing w:line="500" w:lineRule="exact"/>
              <w:jc w:val="center"/>
              <w:rPr>
                <w:rFonts w:hint="eastAsia" w:ascii="Times New Roman" w:hAnsi="Times New Roman" w:eastAsia="宋体" w:cs="Times New Roman"/>
                <w:b/>
                <w:bCs/>
                <w:lang w:eastAsia="zh-CN"/>
              </w:rPr>
            </w:pPr>
            <w:bookmarkStart w:id="7" w:name="_Ref170916712"/>
            <w:bookmarkStart w:id="8" w:name="_Hlk188379158"/>
            <w:bookmarkStart w:id="9" w:name="_Hlk188379463"/>
            <w:r>
              <w:rPr>
                <w:rFonts w:hint="eastAsia" w:ascii="Times New Roman" w:hAnsi="Times New Roman" w:eastAsia="宋体" w:cs="Times New Roman"/>
                <w:b/>
                <w:bCs/>
                <w:lang w:eastAsia="zh-CN"/>
              </w:rPr>
              <w:t>表</w:t>
            </w:r>
            <w:bookmarkEnd w:id="7"/>
            <w:r>
              <w:rPr>
                <w:rFonts w:hint="eastAsia" w:ascii="Times New Roman" w:hAnsi="Times New Roman" w:eastAsia="宋体" w:cs="Times New Roman"/>
                <w:b/>
                <w:bCs/>
                <w:lang w:eastAsia="zh-CN"/>
              </w:rPr>
              <w:t>1-</w:t>
            </w:r>
            <w:r>
              <w:rPr>
                <w:rFonts w:hint="eastAsia" w:ascii="Times New Roman" w:hAnsi="Times New Roman" w:eastAsia="宋体" w:cs="Times New Roman"/>
                <w:b/>
                <w:bCs/>
                <w:lang w:val="en-US" w:eastAsia="zh-CN"/>
              </w:rPr>
              <w:t>4</w:t>
            </w:r>
            <w:r>
              <w:rPr>
                <w:rFonts w:hint="eastAsia" w:ascii="Times New Roman" w:hAnsi="Times New Roman" w:eastAsia="宋体" w:cs="Times New Roman"/>
                <w:b/>
                <w:bCs/>
                <w:lang w:eastAsia="zh-CN"/>
              </w:rPr>
              <w:t>本项目与相关环保政策的符合性分析一览表</w:t>
            </w:r>
          </w:p>
          <w:bookmarkEnd w:id="8"/>
          <w:tbl>
            <w:tblPr>
              <w:tblStyle w:val="15"/>
              <w:tblW w:w="50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21"/>
              <w:gridCol w:w="4218"/>
              <w:gridCol w:w="3075"/>
              <w:gridCol w:w="485"/>
            </w:tblGrid>
            <w:tr w14:paraId="3AF1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43" w:type="pct"/>
                  <w:gridSpan w:val="2"/>
                  <w:vAlign w:val="center"/>
                </w:tcPr>
                <w:p w14:paraId="324D2F1C">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bookmarkStart w:id="10" w:name="_Hlk173973223"/>
                  <w:r>
                    <w:rPr>
                      <w:rFonts w:hint="eastAsia" w:ascii="Times New Roman" w:hAnsi="Times New Roman" w:eastAsia="宋体" w:cs="Times New Roman"/>
                      <w:bCs/>
                      <w:color w:val="000000"/>
                      <w:kern w:val="0"/>
                      <w:sz w:val="21"/>
                      <w:szCs w:val="21"/>
                      <w:highlight w:val="none"/>
                      <w:lang w:val="en-US" w:eastAsia="zh-CN"/>
                    </w:rPr>
                    <w:t>相关环保政策及要求</w:t>
                  </w:r>
                </w:p>
              </w:tc>
              <w:tc>
                <w:tcPr>
                  <w:tcW w:w="1689" w:type="pct"/>
                  <w:vAlign w:val="center"/>
                </w:tcPr>
                <w:p w14:paraId="4F0DF24F">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本项目拟采取的措施</w:t>
                  </w:r>
                </w:p>
              </w:tc>
              <w:tc>
                <w:tcPr>
                  <w:tcW w:w="266" w:type="pct"/>
                  <w:vAlign w:val="center"/>
                </w:tcPr>
                <w:p w14:paraId="76830723">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符合性</w:t>
                  </w:r>
                </w:p>
              </w:tc>
            </w:tr>
            <w:tr w14:paraId="2991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725" w:type="pct"/>
                  <w:vAlign w:val="center"/>
                </w:tcPr>
                <w:p w14:paraId="28F36F62">
                  <w:pPr>
                    <w:keepNext/>
                    <w:keepLines/>
                    <w:widowControl/>
                    <w:adjustRightInd w:val="0"/>
                    <w:snapToGrid w:val="0"/>
                    <w:spacing w:line="360" w:lineRule="exact"/>
                    <w:jc w:val="lef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新疆维吾尔自治区重点行业生态环境准入条件（2024年）</w:t>
                  </w:r>
                </w:p>
              </w:tc>
              <w:tc>
                <w:tcPr>
                  <w:tcW w:w="2317" w:type="pct"/>
                  <w:vAlign w:val="center"/>
                </w:tcPr>
                <w:p w14:paraId="79DE8AFB">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建设项目应符合国家、自治区相关法律法</w:t>
                  </w:r>
                  <w:r>
                    <w:rPr>
                      <w:rFonts w:hint="eastAsia" w:cs="Times New Roman"/>
                      <w:bCs/>
                      <w:color w:val="000000"/>
                      <w:kern w:val="0"/>
                      <w:sz w:val="21"/>
                      <w:szCs w:val="21"/>
                      <w:highlight w:val="none"/>
                      <w:lang w:val="en-US" w:eastAsia="zh-CN"/>
                    </w:rPr>
                    <w:t>规和</w:t>
                  </w:r>
                  <w:r>
                    <w:rPr>
                      <w:rFonts w:hint="eastAsia" w:ascii="Times New Roman" w:hAnsi="Times New Roman" w:eastAsia="宋体" w:cs="Times New Roman"/>
                      <w:bCs/>
                      <w:color w:val="000000"/>
                      <w:kern w:val="0"/>
                      <w:sz w:val="21"/>
                      <w:szCs w:val="21"/>
                      <w:highlight w:val="none"/>
                      <w:lang w:val="en-US" w:eastAsia="zh-CN"/>
                    </w:rPr>
                    <w:t>规章、产业政策要求，采用的工艺、技术和设备应符合《产业结构调整指导目录》《产业转移指导目录》《鼓励外商投资产业目录》《西部地区鼓励类产业目录》等相关要求，不得采用国家和自治区限制、淘汰或禁止使用的工艺、技术和设备。在环评审批中，严格落实国家及自治区有关行业产能替代、压减等措施。</w:t>
                  </w:r>
                </w:p>
              </w:tc>
              <w:tc>
                <w:tcPr>
                  <w:tcW w:w="1689" w:type="pct"/>
                  <w:vAlign w:val="center"/>
                </w:tcPr>
                <w:p w14:paraId="34AED089">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根据《产业结构调整指导目录（2024年本）》，本项目为锰矿勘探，不属于鼓励类、限制类及淘汰类，为允许类。且本项目已取得探矿证（附件1），符合国家、地方的有关</w:t>
                  </w:r>
                  <w:r>
                    <w:rPr>
                      <w:rFonts w:hint="eastAsia" w:cs="Times New Roman"/>
                      <w:bCs/>
                      <w:color w:val="000000"/>
                      <w:kern w:val="0"/>
                      <w:sz w:val="21"/>
                      <w:szCs w:val="21"/>
                      <w:highlight w:val="none"/>
                      <w:lang w:val="en-US" w:eastAsia="zh-CN"/>
                    </w:rPr>
                    <w:t>法律法规</w:t>
                  </w:r>
                  <w:r>
                    <w:rPr>
                      <w:rFonts w:hint="eastAsia" w:ascii="Times New Roman" w:hAnsi="Times New Roman" w:eastAsia="宋体" w:cs="Times New Roman"/>
                      <w:bCs/>
                      <w:color w:val="000000"/>
                      <w:kern w:val="0"/>
                      <w:sz w:val="21"/>
                      <w:szCs w:val="21"/>
                      <w:highlight w:val="none"/>
                      <w:lang w:val="en-US" w:eastAsia="zh-CN"/>
                    </w:rPr>
                    <w:t>和政策规定，所以本项目符合国家产业政策</w:t>
                  </w:r>
                </w:p>
              </w:tc>
              <w:tc>
                <w:tcPr>
                  <w:tcW w:w="266" w:type="pct"/>
                  <w:vAlign w:val="center"/>
                </w:tcPr>
                <w:p w14:paraId="702EE783">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1D11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0" w:hRule="atLeast"/>
                <w:jc w:val="center"/>
              </w:trPr>
              <w:tc>
                <w:tcPr>
                  <w:tcW w:w="725" w:type="pct"/>
                  <w:vAlign w:val="center"/>
                </w:tcPr>
                <w:p w14:paraId="61C44137">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bookmarkStart w:id="11" w:name="_Hlk170921152"/>
                  <w:r>
                    <w:rPr>
                      <w:rFonts w:hint="eastAsia" w:ascii="Times New Roman" w:hAnsi="Times New Roman" w:eastAsia="宋体" w:cs="Times New Roman"/>
                      <w:bCs/>
                      <w:color w:val="000000"/>
                      <w:kern w:val="0"/>
                      <w:sz w:val="21"/>
                      <w:szCs w:val="21"/>
                      <w:highlight w:val="none"/>
                      <w:lang w:val="en-US" w:eastAsia="zh-CN"/>
                    </w:rPr>
                    <w:t>绿色地质勘查工作规范</w:t>
                  </w:r>
                  <w:r>
                    <w:rPr>
                      <w:rFonts w:hint="eastAsia" w:cs="Times New Roman"/>
                      <w:bCs/>
                      <w:color w:val="000000"/>
                      <w:kern w:val="0"/>
                      <w:sz w:val="21"/>
                      <w:szCs w:val="21"/>
                      <w:highlight w:val="none"/>
                      <w:lang w:val="en-US" w:eastAsia="zh-CN"/>
                    </w:rPr>
                    <w:t>（</w:t>
                  </w:r>
                  <w:r>
                    <w:rPr>
                      <w:rFonts w:ascii="Times New Roman" w:hAnsi="Times New Roman" w:eastAsia="宋体" w:cs="Times New Roman"/>
                      <w:bCs/>
                      <w:color w:val="000000"/>
                      <w:kern w:val="0"/>
                      <w:sz w:val="21"/>
                      <w:szCs w:val="21"/>
                      <w:highlight w:val="none"/>
                      <w:lang w:val="en-US" w:eastAsia="zh-CN"/>
                    </w:rPr>
                    <w:t>DZ/T0374-2021</w:t>
                  </w:r>
                  <w:r>
                    <w:rPr>
                      <w:rFonts w:hint="eastAsia" w:cs="Times New Roman"/>
                      <w:bCs/>
                      <w:color w:val="000000"/>
                      <w:kern w:val="0"/>
                      <w:sz w:val="21"/>
                      <w:szCs w:val="21"/>
                      <w:highlight w:val="none"/>
                      <w:lang w:val="en-US" w:eastAsia="zh-CN"/>
                    </w:rPr>
                    <w:t>）</w:t>
                  </w:r>
                </w:p>
              </w:tc>
              <w:tc>
                <w:tcPr>
                  <w:tcW w:w="2317" w:type="pct"/>
                  <w:vAlign w:val="center"/>
                </w:tcPr>
                <w:p w14:paraId="2BD4F74E">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编制地质勘查设计前，应就地质勘查工作部署对水、大气、声、土壤、野生动植物、自然遗迹和人文遗迹等的环境影响进行分析，确定主要的环境影响因素，制定环境保护、环境修复措施，编制经费预算，作为绿色勘查内容体现在勘查设计中，可以单独成章，也可以融入到相关章节</w:t>
                  </w:r>
                  <w:r>
                    <w:rPr>
                      <w:rFonts w:hint="eastAsia" w:cs="Times New Roman"/>
                      <w:bCs/>
                      <w:color w:val="000000"/>
                      <w:kern w:val="0"/>
                      <w:sz w:val="21"/>
                      <w:szCs w:val="21"/>
                      <w:highlight w:val="none"/>
                      <w:lang w:val="en-US" w:eastAsia="zh-CN"/>
                    </w:rPr>
                    <w:t>。</w:t>
                  </w:r>
                </w:p>
              </w:tc>
              <w:tc>
                <w:tcPr>
                  <w:tcW w:w="1689" w:type="pct"/>
                  <w:vAlign w:val="center"/>
                </w:tcPr>
                <w:p w14:paraId="10BADE6A">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本项目在地质勘查前，编制了环境影响评价文件，其中对环境保护相关内容进行了分析，并制定对应环保措施。</w:t>
                  </w:r>
                </w:p>
              </w:tc>
              <w:tc>
                <w:tcPr>
                  <w:tcW w:w="266" w:type="pct"/>
                  <w:vAlign w:val="center"/>
                </w:tcPr>
                <w:p w14:paraId="1DED50FD">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bookmarkEnd w:id="11"/>
            <w:tr w14:paraId="5E29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atLeast"/>
                <w:jc w:val="center"/>
              </w:trPr>
              <w:tc>
                <w:tcPr>
                  <w:tcW w:w="725" w:type="pct"/>
                  <w:vAlign w:val="center"/>
                </w:tcPr>
                <w:p w14:paraId="45ED77B0">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中华人民共和国草原法</w:t>
                  </w:r>
                </w:p>
              </w:tc>
              <w:tc>
                <w:tcPr>
                  <w:tcW w:w="2317" w:type="pct"/>
                  <w:vAlign w:val="center"/>
                </w:tcPr>
                <w:p w14:paraId="37A1E40F">
                  <w:pPr>
                    <w:keepNext/>
                    <w:keepLines/>
                    <w:widowControl/>
                    <w:adjustRightInd w:val="0"/>
                    <w:snapToGrid w:val="0"/>
                    <w:spacing w:line="360" w:lineRule="exact"/>
                    <w:outlineLvl w:val="2"/>
                    <w:rPr>
                      <w:rFonts w:hint="eastAsia"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第三十八条 进行矿藏开采和工程建设，应当不占或者少占草原；确需征收、征用或者使用草原的，必须经省级以上人民政府草原行政主管部门审核同意后，依照有关土地管理的法律、行政法规办理建设用地审批手续。</w:t>
                  </w:r>
                </w:p>
                <w:p w14:paraId="5B48497E">
                  <w:pPr>
                    <w:keepNext/>
                    <w:keepLines/>
                    <w:widowControl/>
                    <w:adjustRightInd w:val="0"/>
                    <w:snapToGrid w:val="0"/>
                    <w:spacing w:line="360" w:lineRule="exact"/>
                    <w:outlineLvl w:val="2"/>
                    <w:rPr>
                      <w:rFonts w:hint="eastAsia"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第四十条 需要临时占用草原的，应当经县级以上地方人民政府草原行政主管部门审核同意。临时占用草原的期限不得超过二年，并不得在临时占用的草原上修建永久性建筑物、构筑物；占用期满，用地单位必须恢复草原植被并及时退还。</w:t>
                  </w:r>
                </w:p>
                <w:p w14:paraId="00E85DB5">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第五十条　在草原上从事采土、采砂、采石等作业活动，应当报县级人民政府草原行政主管部门批准；开采矿产资源的，并应当依法办理有关手续。经批准在草原上从事本条第一款所列活动的，应当在规定的时间、区域内，按照准许的采挖方式作业，并采取保护草原植被的措施。</w:t>
                  </w:r>
                </w:p>
              </w:tc>
              <w:tc>
                <w:tcPr>
                  <w:tcW w:w="1689" w:type="pct"/>
                  <w:vAlign w:val="center"/>
                </w:tcPr>
                <w:p w14:paraId="008CD4EF">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本项目属于地质勘探活动，矿区属矿业权空白区，且不涉及生态敏感区，勘探区至县城已建有交通运输道路，不占用、破坏草原，已办理探矿证，项目勘探符合国家法律法规。</w:t>
                  </w:r>
                </w:p>
              </w:tc>
              <w:tc>
                <w:tcPr>
                  <w:tcW w:w="266" w:type="pct"/>
                  <w:vAlign w:val="center"/>
                </w:tcPr>
                <w:p w14:paraId="4B964E60">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007C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5" w:hRule="atLeast"/>
                <w:jc w:val="center"/>
              </w:trPr>
              <w:tc>
                <w:tcPr>
                  <w:tcW w:w="1321" w:type="dxa"/>
                  <w:vAlign w:val="center"/>
                </w:tcPr>
                <w:p w14:paraId="5569D0A6">
                  <w:pPr>
                    <w:keepNext/>
                    <w:keepLines/>
                    <w:widowControl/>
                    <w:adjustRightInd w:val="0"/>
                    <w:snapToGrid w:val="0"/>
                    <w:spacing w:line="360" w:lineRule="exact"/>
                    <w:jc w:val="lef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新疆维吾尔自治区国民经济和社会发展第十五个五年规划纲要</w:t>
                  </w:r>
                </w:p>
              </w:tc>
              <w:tc>
                <w:tcPr>
                  <w:tcW w:w="4218" w:type="dxa"/>
                  <w:vAlign w:val="center"/>
                </w:tcPr>
                <w:p w14:paraId="48DE80DE">
                  <w:pPr>
                    <w:keepNext/>
                    <w:keepLines/>
                    <w:widowControl/>
                    <w:numPr>
                      <w:ilvl w:val="0"/>
                      <w:numId w:val="7"/>
                    </w:numPr>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加快建设绿色矿业及加工产业集群</w:t>
                  </w:r>
                </w:p>
                <w:p w14:paraId="2585535B">
                  <w:pPr>
                    <w:keepNext/>
                    <w:keepLines/>
                    <w:widowControl/>
                    <w:adjustRightInd w:val="0"/>
                    <w:snapToGrid w:val="0"/>
                    <w:spacing w:line="360" w:lineRule="exact"/>
                    <w:outlineLvl w:val="2"/>
                    <w:rPr>
                      <w:rFonts w:hint="eastAsia"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统筹矿产资源勘查、开发与保护，逐步形成涵盖矿产资源全生命周期的绿色矿业全产业链。</w:t>
                  </w:r>
                </w:p>
                <w:p w14:paraId="3B139271">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加强矿产资源勘查。实施新一轮找矿突破战略行动，围绕阿尔泰、东一西准噶尔、东一西一西南天山、昆仑一阿尔金等重点成矿区带，开展重要矿产资源调查评价和勘探开发。尽快形成一批战略性矿产和优势矿产勘查后备区、战略接续区，新发现一批找矿靶区和矿产地。持续整治“圈而不探”行为，加快矿产资源“探转采”步伐。完善多元化地质勘查投入模式，推动国有资本、鼓励社会资本加大勘查投入。</w:t>
                  </w:r>
                </w:p>
              </w:tc>
              <w:tc>
                <w:tcPr>
                  <w:tcW w:w="1689" w:type="pct"/>
                  <w:vAlign w:val="center"/>
                </w:tcPr>
                <w:p w14:paraId="354092BF">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本项目为固体矿产地质勘探，在严格落实各项污染防治措施的前提下，项目建设对环境影响较小。</w:t>
                  </w:r>
                </w:p>
              </w:tc>
              <w:tc>
                <w:tcPr>
                  <w:tcW w:w="266" w:type="pct"/>
                  <w:vAlign w:val="center"/>
                </w:tcPr>
                <w:p w14:paraId="410FA685">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7B49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5" w:hRule="atLeast"/>
                <w:jc w:val="center"/>
              </w:trPr>
              <w:tc>
                <w:tcPr>
                  <w:tcW w:w="725" w:type="pct"/>
                  <w:vAlign w:val="center"/>
                </w:tcPr>
                <w:p w14:paraId="1BE72553">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新疆生态环境保护“十四五”规划</w:t>
                  </w:r>
                </w:p>
              </w:tc>
              <w:tc>
                <w:tcPr>
                  <w:tcW w:w="2317" w:type="pct"/>
                  <w:vAlign w:val="center"/>
                </w:tcPr>
                <w:p w14:paraId="047DA965">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实施最严格的生态保护制度。坚决遏制“两高”项目盲目发展，严格执行能源、矿产资源开发自治区人民政府“一支笔”审批制度、环境保护“一票否决”制度，落实“三线一单”生态环境分区管控要求，守住生态保护红线、环境质量底线和资源利用上线，实施生态环境准入清单管控。</w:t>
                  </w:r>
                </w:p>
              </w:tc>
              <w:tc>
                <w:tcPr>
                  <w:tcW w:w="1689" w:type="pct"/>
                  <w:vAlign w:val="center"/>
                </w:tcPr>
                <w:p w14:paraId="09182269">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矿产地质勘探项目不属于“高污染、高环境风险产品”的工业项目；不涉及生态敏感区，不涉及生态保护红线，“三废”及噪声对区域环境质量影响小，不会突破区域环境质量底线；新鲜水和柴油消耗不会突破区域资源利用上线，符合和田地区生态环境准入清单的要求。</w:t>
                  </w:r>
                </w:p>
              </w:tc>
              <w:tc>
                <w:tcPr>
                  <w:tcW w:w="266" w:type="pct"/>
                  <w:vAlign w:val="center"/>
                </w:tcPr>
                <w:p w14:paraId="34C8A4C7">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1016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25" w:type="pct"/>
                  <w:vAlign w:val="center"/>
                </w:tcPr>
                <w:p w14:paraId="0F2008BC">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新疆维吾尔自治区环境保护条例</w:t>
                  </w:r>
                </w:p>
              </w:tc>
              <w:tc>
                <w:tcPr>
                  <w:tcW w:w="2317" w:type="pct"/>
                  <w:vAlign w:val="center"/>
                </w:tcPr>
                <w:p w14:paraId="057787AC">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第九条各级人民政府应当支持开展能源节约、资源循环利用、新能源开发、污染治理、生态修复等领域关键技术攻关，鼓励使用清洁能源，支持发展节能环保产业。第三十一条对不符合国家产业政策、严重污染水环境的生产项目全部予以取缔。鼓励钢铁、纺织印染、造纸、石油石化、化工、制革等高耗水企业开展废水深度处理回用</w:t>
                  </w:r>
                  <w:r>
                    <w:rPr>
                      <w:rFonts w:hint="eastAsia" w:cs="Times New Roman"/>
                      <w:bCs/>
                      <w:color w:val="000000"/>
                      <w:kern w:val="0"/>
                      <w:sz w:val="21"/>
                      <w:szCs w:val="21"/>
                      <w:highlight w:val="none"/>
                      <w:lang w:val="en-US" w:eastAsia="zh-CN"/>
                    </w:rPr>
                    <w:t>。</w:t>
                  </w:r>
                </w:p>
              </w:tc>
              <w:tc>
                <w:tcPr>
                  <w:tcW w:w="1689" w:type="pct"/>
                  <w:vAlign w:val="center"/>
                </w:tcPr>
                <w:p w14:paraId="4382E479">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本项目污染物均采取了有效的污染防治措施；项目</w:t>
                  </w:r>
                  <w:r>
                    <w:rPr>
                      <w:rFonts w:hint="eastAsia" w:cs="Times New Roman"/>
                      <w:bCs/>
                      <w:color w:val="000000"/>
                      <w:kern w:val="0"/>
                      <w:sz w:val="21"/>
                      <w:szCs w:val="21"/>
                      <w:highlight w:val="none"/>
                      <w:lang w:val="en-US" w:eastAsia="zh-CN"/>
                    </w:rPr>
                    <w:t>符合国家产业政策要求</w:t>
                  </w:r>
                  <w:r>
                    <w:rPr>
                      <w:rFonts w:hint="eastAsia" w:ascii="Times New Roman" w:hAnsi="Times New Roman" w:eastAsia="宋体" w:cs="Times New Roman"/>
                      <w:bCs/>
                      <w:color w:val="000000"/>
                      <w:kern w:val="0"/>
                      <w:sz w:val="21"/>
                      <w:szCs w:val="21"/>
                      <w:highlight w:val="none"/>
                      <w:lang w:val="en-US" w:eastAsia="zh-CN"/>
                    </w:rPr>
                    <w:t>。</w:t>
                  </w:r>
                </w:p>
              </w:tc>
              <w:tc>
                <w:tcPr>
                  <w:tcW w:w="266" w:type="pct"/>
                  <w:vAlign w:val="center"/>
                </w:tcPr>
                <w:p w14:paraId="62316476">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263B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25" w:type="pct"/>
                  <w:vAlign w:val="center"/>
                </w:tcPr>
                <w:p w14:paraId="20AB6DE8">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新疆维吾尔自治区大气污染防治条例</w:t>
                  </w:r>
                </w:p>
              </w:tc>
              <w:tc>
                <w:tcPr>
                  <w:tcW w:w="2317" w:type="pct"/>
                  <w:vAlign w:val="center"/>
                </w:tcPr>
                <w:p w14:paraId="511092D9">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各级人民政府应当加强对建设施工、矿产资源开采、物料运输的扬尘和沙尘污染的治理，保持道路清洁、控制料堆和渣土堆放，科学合理扩大绿地、水面、湿地、地面铺装和防风固沙绿化面积，防治扬尘污染</w:t>
                  </w:r>
                  <w:r>
                    <w:rPr>
                      <w:rFonts w:hint="eastAsia" w:cs="Times New Roman"/>
                      <w:bCs/>
                      <w:color w:val="000000"/>
                      <w:kern w:val="0"/>
                      <w:sz w:val="21"/>
                      <w:szCs w:val="21"/>
                      <w:highlight w:val="none"/>
                      <w:lang w:val="en-US" w:eastAsia="zh-CN"/>
                    </w:rPr>
                    <w:t>。</w:t>
                  </w:r>
                </w:p>
              </w:tc>
              <w:tc>
                <w:tcPr>
                  <w:tcW w:w="1689" w:type="pct"/>
                  <w:vAlign w:val="center"/>
                </w:tcPr>
                <w:p w14:paraId="3AE709AD">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本项目为固体矿产地质勘探，勘探过程中采取</w:t>
                  </w:r>
                  <w:r>
                    <w:rPr>
                      <w:rFonts w:hint="eastAsia" w:cs="Times New Roman"/>
                      <w:bCs/>
                      <w:color w:val="000000"/>
                      <w:kern w:val="0"/>
                      <w:sz w:val="21"/>
                      <w:szCs w:val="21"/>
                      <w:highlight w:val="none"/>
                      <w:lang w:val="en-US" w:eastAsia="zh-CN"/>
                    </w:rPr>
                    <w:t>对</w:t>
                  </w:r>
                  <w:r>
                    <w:rPr>
                      <w:rFonts w:hint="eastAsia" w:ascii="Times New Roman" w:hAnsi="Times New Roman" w:eastAsia="宋体" w:cs="Times New Roman"/>
                      <w:bCs/>
                      <w:color w:val="000000"/>
                      <w:kern w:val="0"/>
                      <w:sz w:val="21"/>
                      <w:szCs w:val="21"/>
                      <w:highlight w:val="none"/>
                      <w:lang w:val="en-US" w:eastAsia="zh-CN"/>
                    </w:rPr>
                    <w:t>易起尘物料进行遮盖、运输车辆低速慢行并</w:t>
                  </w:r>
                  <w:r>
                    <w:rPr>
                      <w:rFonts w:hint="eastAsia" w:cs="Times New Roman"/>
                      <w:bCs/>
                      <w:color w:val="000000"/>
                      <w:kern w:val="0"/>
                      <w:sz w:val="21"/>
                      <w:szCs w:val="21"/>
                      <w:highlight w:val="none"/>
                      <w:lang w:val="en-US" w:eastAsia="zh-CN"/>
                    </w:rPr>
                    <w:t>进行</w:t>
                  </w:r>
                  <w:r>
                    <w:rPr>
                      <w:rFonts w:hint="eastAsia" w:ascii="Times New Roman" w:hAnsi="Times New Roman" w:eastAsia="宋体" w:cs="Times New Roman"/>
                      <w:bCs/>
                      <w:color w:val="000000"/>
                      <w:kern w:val="0"/>
                      <w:sz w:val="21"/>
                      <w:szCs w:val="21"/>
                      <w:highlight w:val="none"/>
                      <w:lang w:val="en-US" w:eastAsia="zh-CN"/>
                    </w:rPr>
                    <w:t>密闭或遮盖等措施，</w:t>
                  </w:r>
                  <w:r>
                    <w:rPr>
                      <w:rFonts w:hint="eastAsia" w:cs="Times New Roman"/>
                      <w:bCs/>
                      <w:color w:val="000000"/>
                      <w:kern w:val="0"/>
                      <w:sz w:val="21"/>
                      <w:szCs w:val="21"/>
                      <w:highlight w:val="none"/>
                      <w:lang w:val="en-US" w:eastAsia="zh-CN"/>
                    </w:rPr>
                    <w:t>防止</w:t>
                  </w:r>
                  <w:r>
                    <w:rPr>
                      <w:rFonts w:hint="eastAsia" w:ascii="Times New Roman" w:hAnsi="Times New Roman" w:eastAsia="宋体" w:cs="Times New Roman"/>
                      <w:bCs/>
                      <w:color w:val="000000"/>
                      <w:kern w:val="0"/>
                      <w:sz w:val="21"/>
                      <w:szCs w:val="21"/>
                      <w:highlight w:val="none"/>
                      <w:lang w:val="en-US" w:eastAsia="zh-CN"/>
                    </w:rPr>
                    <w:t>大气污染。</w:t>
                  </w:r>
                </w:p>
              </w:tc>
              <w:tc>
                <w:tcPr>
                  <w:tcW w:w="266" w:type="pct"/>
                  <w:vAlign w:val="center"/>
                </w:tcPr>
                <w:p w14:paraId="12036D3C">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70F6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25" w:type="pct"/>
                  <w:vAlign w:val="center"/>
                </w:tcPr>
                <w:p w14:paraId="25920546">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bCs/>
                      <w:color w:val="000000"/>
                      <w:kern w:val="0"/>
                      <w:sz w:val="21"/>
                      <w:szCs w:val="21"/>
                    </w:rPr>
                    <w:t>关于重点区域执行大气污染物特别排放限值的公告</w:t>
                  </w:r>
                </w:p>
              </w:tc>
              <w:tc>
                <w:tcPr>
                  <w:tcW w:w="2317" w:type="pct"/>
                  <w:vAlign w:val="center"/>
                </w:tcPr>
                <w:p w14:paraId="1016F0D0">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bCs/>
                      <w:color w:val="000000"/>
                      <w:kern w:val="0"/>
                      <w:sz w:val="21"/>
                      <w:szCs w:val="21"/>
                    </w:rPr>
                    <w:t>自治区大气污染防治重点区域内的火电、钢铁、水泥、石化行业和燃煤锅炉执行大气污染物特别排放限值，对重点区域重点行业的污染物排放标准进行了更严格的约束和规定，二氧化硫及氮氧化物排放将减少一半以上。</w:t>
                  </w:r>
                </w:p>
              </w:tc>
              <w:tc>
                <w:tcPr>
                  <w:tcW w:w="1689" w:type="pct"/>
                  <w:vAlign w:val="center"/>
                </w:tcPr>
                <w:p w14:paraId="237285AE">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bCs/>
                      <w:color w:val="000000"/>
                      <w:kern w:val="0"/>
                      <w:sz w:val="21"/>
                      <w:szCs w:val="21"/>
                    </w:rPr>
                    <w:t>本项目位于</w:t>
                  </w:r>
                  <w:r>
                    <w:rPr>
                      <w:rFonts w:hint="eastAsia"/>
                      <w:bCs/>
                      <w:color w:val="000000"/>
                      <w:kern w:val="0"/>
                      <w:sz w:val="21"/>
                      <w:szCs w:val="21"/>
                      <w:lang w:eastAsia="zh-CN"/>
                    </w:rPr>
                    <w:t>民丰县东南约1</w:t>
                  </w:r>
                  <w:r>
                    <w:rPr>
                      <w:rFonts w:hint="eastAsia"/>
                      <w:bCs/>
                      <w:color w:val="000000"/>
                      <w:kern w:val="0"/>
                      <w:sz w:val="21"/>
                      <w:szCs w:val="21"/>
                      <w:lang w:val="en-US" w:eastAsia="zh-CN"/>
                    </w:rPr>
                    <w:t>3</w:t>
                  </w:r>
                  <w:r>
                    <w:rPr>
                      <w:rFonts w:hint="eastAsia"/>
                      <w:bCs/>
                      <w:color w:val="000000"/>
                      <w:kern w:val="0"/>
                      <w:sz w:val="21"/>
                      <w:szCs w:val="21"/>
                      <w:lang w:eastAsia="zh-CN"/>
                    </w:rPr>
                    <w:t>0km处</w:t>
                  </w:r>
                  <w:r>
                    <w:rPr>
                      <w:rFonts w:hint="eastAsia"/>
                      <w:bCs/>
                      <w:color w:val="000000"/>
                      <w:kern w:val="0"/>
                      <w:sz w:val="21"/>
                      <w:szCs w:val="21"/>
                    </w:rPr>
                    <w:t>，不在大气污染防治重点区域。</w:t>
                  </w:r>
                </w:p>
              </w:tc>
              <w:tc>
                <w:tcPr>
                  <w:tcW w:w="266" w:type="pct"/>
                  <w:vAlign w:val="center"/>
                </w:tcPr>
                <w:p w14:paraId="5BBF2694">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bCs/>
                      <w:color w:val="000000"/>
                      <w:kern w:val="0"/>
                      <w:sz w:val="21"/>
                      <w:szCs w:val="21"/>
                    </w:rPr>
                    <w:t>符合</w:t>
                  </w:r>
                </w:p>
              </w:tc>
            </w:tr>
            <w:tr w14:paraId="614A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25" w:type="pct"/>
                  <w:vMerge w:val="restart"/>
                  <w:vAlign w:val="center"/>
                </w:tcPr>
                <w:p w14:paraId="73C690D4">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矿山生态环境保护与恢复治理技术规范（试行）</w:t>
                  </w:r>
                </w:p>
              </w:tc>
              <w:tc>
                <w:tcPr>
                  <w:tcW w:w="2317" w:type="pct"/>
                  <w:vAlign w:val="center"/>
                </w:tcPr>
                <w:p w14:paraId="2E95267D">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禁止在依法划定的自然保护区、风景名胜区、森林公园、饮用水水源保护区、文物古迹所在地、地质遗迹保护区、基本农田保护区等重要生态保护地以及其他法律法规规定的禁采区域内采矿。禁止在重要道路、航道两侧及重要生态环境敏感目标可视范围内进行对景观破坏明显的露天开采。</w:t>
                  </w:r>
                </w:p>
              </w:tc>
              <w:tc>
                <w:tcPr>
                  <w:tcW w:w="1689" w:type="pct"/>
                  <w:vAlign w:val="center"/>
                </w:tcPr>
                <w:p w14:paraId="419A5819">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不涉及自然保护区，风景名胜区，森林公园、饮用水水源保护区、文物古迹所在地、地质遗迹保护区、基本农田保护区等重要生态保护地以及其他法律法规规定的禁采区域内采矿。本项目为固体矿产地质勘探，不进行开采工作。</w:t>
                  </w:r>
                </w:p>
              </w:tc>
              <w:tc>
                <w:tcPr>
                  <w:tcW w:w="266" w:type="pct"/>
                  <w:vAlign w:val="center"/>
                </w:tcPr>
                <w:p w14:paraId="46855B25">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5756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25" w:type="pct"/>
                  <w:vMerge w:val="continue"/>
                  <w:vAlign w:val="center"/>
                </w:tcPr>
                <w:p w14:paraId="2099CE21">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p>
              </w:tc>
              <w:tc>
                <w:tcPr>
                  <w:tcW w:w="2317" w:type="pct"/>
                  <w:vAlign w:val="center"/>
                </w:tcPr>
                <w:p w14:paraId="12A86AC5">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探矿活动结束后，应根据景观相似原则，对探矿活动造成的土壤、植被和地表景观破坏进行恢复。</w:t>
                  </w:r>
                </w:p>
                <w:p w14:paraId="5DB22787">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对水文地质条件、土地耕作及道路安全有影响或</w:t>
                  </w:r>
                  <w:r>
                    <w:rPr>
                      <w:rFonts w:hint="eastAsia" w:cs="Times New Roman"/>
                      <w:bCs/>
                      <w:color w:val="000000"/>
                      <w:kern w:val="0"/>
                      <w:sz w:val="21"/>
                      <w:szCs w:val="21"/>
                      <w:highlight w:val="none"/>
                      <w:lang w:val="en-US" w:eastAsia="zh-CN"/>
                    </w:rPr>
                    <w:t>位于</w:t>
                  </w:r>
                  <w:r>
                    <w:rPr>
                      <w:rFonts w:hint="eastAsia" w:ascii="Times New Roman" w:hAnsi="Times New Roman" w:eastAsia="宋体" w:cs="Times New Roman"/>
                      <w:bCs/>
                      <w:color w:val="000000"/>
                      <w:kern w:val="0"/>
                      <w:sz w:val="21"/>
                      <w:szCs w:val="21"/>
                      <w:highlight w:val="none"/>
                      <w:lang w:val="en-US" w:eastAsia="zh-CN"/>
                    </w:rPr>
                    <w:t>重要建筑物附近的钻孔或坑井应予回填封闭，并恢复其原有生态功能。</w:t>
                  </w:r>
                </w:p>
              </w:tc>
              <w:tc>
                <w:tcPr>
                  <w:tcW w:w="1689" w:type="pct"/>
                  <w:vAlign w:val="center"/>
                </w:tcPr>
                <w:p w14:paraId="61AB76D9">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本项目施工结束后，施工机械、设备及时撤离，对临时占地进行清理平整，废水和固体废物全部妥善处置，禁止现场遗留；尽量利用施工时产生的表层土对临时占地进行覆盖，植被主要靠自然恢复。</w:t>
                  </w:r>
                </w:p>
                <w:p w14:paraId="739CDEDE">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项目区周边无耕地，江、河、湖、海防护堤和重要建筑物。</w:t>
                  </w:r>
                </w:p>
              </w:tc>
              <w:tc>
                <w:tcPr>
                  <w:tcW w:w="266" w:type="pct"/>
                  <w:vAlign w:val="center"/>
                </w:tcPr>
                <w:p w14:paraId="0F108029">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5C2A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25" w:type="pct"/>
                  <w:vAlign w:val="center"/>
                </w:tcPr>
                <w:p w14:paraId="28D0E2B8">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ascii="Times New Roman" w:hAnsi="Times New Roman" w:eastAsia="宋体" w:cs="Times New Roman"/>
                      <w:bCs/>
                      <w:color w:val="000000"/>
                      <w:kern w:val="0"/>
                      <w:sz w:val="21"/>
                      <w:szCs w:val="21"/>
                      <w:highlight w:val="none"/>
                      <w:lang w:val="en-US" w:eastAsia="zh-CN"/>
                    </w:rPr>
                    <w:t>空气质量持续改善行动</w:t>
                  </w:r>
                  <w:r>
                    <w:rPr>
                      <w:rFonts w:hint="eastAsia" w:ascii="Times New Roman" w:hAnsi="Times New Roman" w:eastAsia="宋体" w:cs="Times New Roman"/>
                      <w:bCs/>
                      <w:color w:val="000000"/>
                      <w:kern w:val="0"/>
                      <w:sz w:val="21"/>
                      <w:szCs w:val="21"/>
                      <w:highlight w:val="none"/>
                      <w:lang w:val="en-US" w:eastAsia="zh-CN"/>
                    </w:rPr>
                    <w:t>计划</w:t>
                  </w:r>
                </w:p>
              </w:tc>
              <w:tc>
                <w:tcPr>
                  <w:tcW w:w="2317" w:type="pct"/>
                  <w:vAlign w:val="center"/>
                </w:tcPr>
                <w:p w14:paraId="7841C31F">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推进矿山生态环境综合整治。新建矿山原则上要同步建设铁路专用线或采用其他清洁运输方式。到2025年，京津冀及周边地区原则上不再新建露天矿山（省级矿产资源规划确定的重点开采区或经安全论证不宜采用地下开采</w:t>
                  </w:r>
                  <w:bookmarkStart w:id="44" w:name="_GoBack"/>
                  <w:bookmarkEnd w:id="44"/>
                  <w:r>
                    <w:rPr>
                      <w:rFonts w:hint="eastAsia" w:ascii="Times New Roman" w:hAnsi="Times New Roman" w:eastAsia="宋体" w:cs="Times New Roman"/>
                      <w:bCs/>
                      <w:color w:val="000000"/>
                      <w:kern w:val="0"/>
                      <w:sz w:val="21"/>
                      <w:szCs w:val="21"/>
                      <w:highlight w:val="none"/>
                      <w:lang w:val="en-US" w:eastAsia="zh-CN"/>
                    </w:rPr>
                    <w:t>方式的除外）。对限期整改仍不达标的矿山，根据安全生产、水土保持、生态环境等要求依法关闭。</w:t>
                  </w:r>
                </w:p>
              </w:tc>
              <w:tc>
                <w:tcPr>
                  <w:tcW w:w="1689" w:type="pct"/>
                  <w:vAlign w:val="center"/>
                </w:tcPr>
                <w:p w14:paraId="7D15290C">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本项目为矿山勘探工程，不进行开采工作。</w:t>
                  </w:r>
                </w:p>
              </w:tc>
              <w:tc>
                <w:tcPr>
                  <w:tcW w:w="266" w:type="pct"/>
                  <w:vAlign w:val="center"/>
                </w:tcPr>
                <w:p w14:paraId="27723DBE">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27A0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321" w:type="dxa"/>
                  <w:vAlign w:val="center"/>
                </w:tcPr>
                <w:p w14:paraId="1FA82A07">
                  <w:pPr>
                    <w:keepNext/>
                    <w:keepLines/>
                    <w:widowControl/>
                    <w:adjustRightInd w:val="0"/>
                    <w:snapToGrid w:val="0"/>
                    <w:spacing w:line="360" w:lineRule="exact"/>
                    <w:outlineLvl w:val="2"/>
                    <w:rPr>
                      <w:rFonts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pPr>
                  <w:r>
                    <w:rPr>
                      <w:rFonts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新疆维吾尔自治区</w:t>
                  </w:r>
                  <w: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2025年</w:t>
                  </w:r>
                </w:p>
                <w:p w14:paraId="600584DB">
                  <w:pPr>
                    <w:keepNext/>
                    <w:keepLines/>
                    <w:widowControl/>
                    <w:adjustRightInd w:val="0"/>
                    <w:snapToGrid w:val="0"/>
                    <w:spacing w:line="360" w:lineRule="exact"/>
                    <w:outlineLvl w:val="2"/>
                    <w:rPr>
                      <w:rFonts w:ascii="Times New Roman" w:hAnsi="Times New Roman" w:eastAsia="宋体" w:cs="Times New Roman"/>
                      <w:bCs/>
                      <w:color w:val="000000"/>
                      <w:kern w:val="0"/>
                      <w:sz w:val="21"/>
                      <w:szCs w:val="21"/>
                      <w:highlight w:val="none"/>
                      <w:lang w:val="en-US" w:eastAsia="zh-CN"/>
                    </w:rPr>
                  </w:pPr>
                  <w: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空气质量持续改善行动实施方案</w:t>
                  </w:r>
                </w:p>
              </w:tc>
              <w:tc>
                <w:tcPr>
                  <w:tcW w:w="4218" w:type="dxa"/>
                  <w:vAlign w:val="center"/>
                </w:tcPr>
                <w:p w14:paraId="30B3D6A9">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 w:val="0"/>
                      <w:bCs/>
                      <w:color w:val="000000" w:themeColor="text1"/>
                      <w:kern w:val="0"/>
                      <w:sz w:val="21"/>
                      <w:szCs w:val="21"/>
                      <w:highlight w:val="none"/>
                      <w:lang w:val="en-US" w:eastAsia="zh-CN"/>
                      <w14:textFill>
                        <w14:solidFill>
                          <w14:schemeClr w14:val="tx1"/>
                        </w14:solidFill>
                      </w14:textFill>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tc>
              <w:tc>
                <w:tcPr>
                  <w:tcW w:w="3075" w:type="dxa"/>
                  <w:vAlign w:val="center"/>
                </w:tcPr>
                <w:p w14:paraId="6A870B98">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本项目为矿山勘探工程，不进行开采工作。</w:t>
                  </w:r>
                </w:p>
              </w:tc>
              <w:tc>
                <w:tcPr>
                  <w:tcW w:w="485" w:type="dxa"/>
                  <w:vAlign w:val="center"/>
                </w:tcPr>
                <w:p w14:paraId="63BE0C7B">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符合</w:t>
                  </w:r>
                </w:p>
              </w:tc>
            </w:tr>
            <w:tr w14:paraId="11C9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25" w:type="pct"/>
                  <w:vMerge w:val="restart"/>
                  <w:vAlign w:val="center"/>
                </w:tcPr>
                <w:p w14:paraId="469BB67C">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p>
                <w:p w14:paraId="175D84B2">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p>
                <w:p w14:paraId="349FF859">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中华人民共和国河道管理条例</w:t>
                  </w:r>
                </w:p>
              </w:tc>
              <w:tc>
                <w:tcPr>
                  <w:tcW w:w="2317" w:type="pct"/>
                  <w:vAlign w:val="center"/>
                </w:tcPr>
                <w:p w14:paraId="24D65008">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在河道管理范围内，水域和土地的利用应当符合江河行洪、输水和航运的要求；滩地的利用，应当由河道主管机关会同土地管理等有关部门制定规划，报县级以上地方人民政府批准后实施。</w:t>
                  </w:r>
                </w:p>
              </w:tc>
              <w:tc>
                <w:tcPr>
                  <w:tcW w:w="1689" w:type="pct"/>
                  <w:vAlign w:val="center"/>
                </w:tcPr>
                <w:p w14:paraId="3EA57FA6">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本项目仅取用少量河水，不对水域和土地进行开发和利用。</w:t>
                  </w:r>
                </w:p>
              </w:tc>
              <w:tc>
                <w:tcPr>
                  <w:tcW w:w="266" w:type="pct"/>
                  <w:vAlign w:val="center"/>
                </w:tcPr>
                <w:p w14:paraId="451AEC17">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2246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25" w:type="pct"/>
                  <w:vMerge w:val="continue"/>
                  <w:vAlign w:val="center"/>
                </w:tcPr>
                <w:p w14:paraId="1049ED31">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p>
              </w:tc>
              <w:tc>
                <w:tcPr>
                  <w:tcW w:w="2317" w:type="pct"/>
                  <w:vAlign w:val="center"/>
                </w:tcPr>
                <w:p w14:paraId="0A5260F9">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在河道管理范围内进行下列活动，必须报经河道主管机关批准</w:t>
                  </w:r>
                  <w:r>
                    <w:rPr>
                      <w:rFonts w:hint="eastAsia" w:cs="Times New Roman"/>
                      <w:bCs/>
                      <w:color w:val="000000"/>
                      <w:kern w:val="0"/>
                      <w:sz w:val="21"/>
                      <w:szCs w:val="21"/>
                      <w:highlight w:val="none"/>
                      <w:lang w:val="en-US" w:eastAsia="zh-CN"/>
                    </w:rPr>
                    <w:t>；</w:t>
                  </w:r>
                  <w:r>
                    <w:rPr>
                      <w:rFonts w:hint="eastAsia" w:ascii="Times New Roman" w:hAnsi="Times New Roman" w:eastAsia="宋体" w:cs="Times New Roman"/>
                      <w:bCs/>
                      <w:color w:val="000000"/>
                      <w:kern w:val="0"/>
                      <w:sz w:val="21"/>
                      <w:szCs w:val="21"/>
                      <w:highlight w:val="none"/>
                      <w:lang w:val="en-US" w:eastAsia="zh-CN"/>
                    </w:rPr>
                    <w:t>涉及其他部门的，由河道主管机关会同有关部门批准：</w:t>
                  </w:r>
                </w:p>
                <w:p w14:paraId="0F1FE695">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w:t>
                  </w:r>
                  <w:r>
                    <w:rPr>
                      <w:rFonts w:hint="eastAsia" w:ascii="Times New Roman" w:hAnsi="Times New Roman" w:eastAsia="宋体" w:cs="Times New Roman"/>
                      <w:bCs/>
                      <w:color w:val="000000"/>
                      <w:kern w:val="0"/>
                      <w:sz w:val="21"/>
                      <w:szCs w:val="21"/>
                      <w:highlight w:val="none"/>
                      <w:lang w:val="en-US" w:eastAsia="zh-CN"/>
                    </w:rPr>
                    <w:t>一</w:t>
                  </w:r>
                  <w:r>
                    <w:rPr>
                      <w:rFonts w:hint="eastAsia" w:cs="Times New Roman"/>
                      <w:bCs/>
                      <w:color w:val="000000"/>
                      <w:kern w:val="0"/>
                      <w:sz w:val="21"/>
                      <w:szCs w:val="21"/>
                      <w:highlight w:val="none"/>
                      <w:lang w:val="en-US" w:eastAsia="zh-CN"/>
                    </w:rPr>
                    <w:t>）</w:t>
                  </w:r>
                  <w:r>
                    <w:rPr>
                      <w:rFonts w:hint="eastAsia" w:ascii="Times New Roman" w:hAnsi="Times New Roman" w:eastAsia="宋体" w:cs="Times New Roman"/>
                      <w:bCs/>
                      <w:color w:val="000000"/>
                      <w:kern w:val="0"/>
                      <w:sz w:val="21"/>
                      <w:szCs w:val="21"/>
                      <w:highlight w:val="none"/>
                      <w:lang w:val="en-US" w:eastAsia="zh-CN"/>
                    </w:rPr>
                    <w:t>采砂、取土、淘金、弃置砂石或者淤泥；</w:t>
                  </w:r>
                </w:p>
                <w:p w14:paraId="4D553E56">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w:t>
                  </w:r>
                  <w:r>
                    <w:rPr>
                      <w:rFonts w:hint="eastAsia" w:ascii="Times New Roman" w:hAnsi="Times New Roman" w:eastAsia="宋体" w:cs="Times New Roman"/>
                      <w:bCs/>
                      <w:color w:val="000000"/>
                      <w:kern w:val="0"/>
                      <w:sz w:val="21"/>
                      <w:szCs w:val="21"/>
                      <w:highlight w:val="none"/>
                      <w:lang w:val="en-US" w:eastAsia="zh-CN"/>
                    </w:rPr>
                    <w:t>二</w:t>
                  </w:r>
                  <w:r>
                    <w:rPr>
                      <w:rFonts w:hint="eastAsia" w:cs="Times New Roman"/>
                      <w:bCs/>
                      <w:color w:val="000000"/>
                      <w:kern w:val="0"/>
                      <w:sz w:val="21"/>
                      <w:szCs w:val="21"/>
                      <w:highlight w:val="none"/>
                      <w:lang w:val="en-US" w:eastAsia="zh-CN"/>
                    </w:rPr>
                    <w:t>）</w:t>
                  </w:r>
                  <w:r>
                    <w:rPr>
                      <w:rFonts w:hint="eastAsia" w:ascii="Times New Roman" w:hAnsi="Times New Roman" w:eastAsia="宋体" w:cs="Times New Roman"/>
                      <w:bCs/>
                      <w:color w:val="000000"/>
                      <w:kern w:val="0"/>
                      <w:sz w:val="21"/>
                      <w:szCs w:val="21"/>
                      <w:highlight w:val="none"/>
                      <w:lang w:val="en-US" w:eastAsia="zh-CN"/>
                    </w:rPr>
                    <w:t>爆破、钻探、挖筑鱼塘；</w:t>
                  </w:r>
                </w:p>
                <w:p w14:paraId="3CD237CA">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w:t>
                  </w:r>
                  <w:r>
                    <w:rPr>
                      <w:rFonts w:hint="eastAsia" w:ascii="Times New Roman" w:hAnsi="Times New Roman" w:eastAsia="宋体" w:cs="Times New Roman"/>
                      <w:bCs/>
                      <w:color w:val="000000"/>
                      <w:kern w:val="0"/>
                      <w:sz w:val="21"/>
                      <w:szCs w:val="21"/>
                      <w:highlight w:val="none"/>
                      <w:lang w:val="en-US" w:eastAsia="zh-CN"/>
                    </w:rPr>
                    <w:t>三</w:t>
                  </w:r>
                  <w:r>
                    <w:rPr>
                      <w:rFonts w:hint="eastAsia" w:cs="Times New Roman"/>
                      <w:bCs/>
                      <w:color w:val="000000"/>
                      <w:kern w:val="0"/>
                      <w:sz w:val="21"/>
                      <w:szCs w:val="21"/>
                      <w:highlight w:val="none"/>
                      <w:lang w:val="en-US" w:eastAsia="zh-CN"/>
                    </w:rPr>
                    <w:t>）</w:t>
                  </w:r>
                  <w:r>
                    <w:rPr>
                      <w:rFonts w:hint="eastAsia" w:ascii="Times New Roman" w:hAnsi="Times New Roman" w:eastAsia="宋体" w:cs="Times New Roman"/>
                      <w:bCs/>
                      <w:color w:val="000000"/>
                      <w:kern w:val="0"/>
                      <w:sz w:val="21"/>
                      <w:szCs w:val="21"/>
                      <w:highlight w:val="none"/>
                      <w:lang w:val="en-US" w:eastAsia="zh-CN"/>
                    </w:rPr>
                    <w:t>在河道滩地存放物料、修建厂房或者其他建筑设施；</w:t>
                  </w:r>
                </w:p>
                <w:p w14:paraId="2BF672D7">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w:t>
                  </w:r>
                  <w:r>
                    <w:rPr>
                      <w:rFonts w:hint="eastAsia" w:ascii="Times New Roman" w:hAnsi="Times New Roman" w:eastAsia="宋体" w:cs="Times New Roman"/>
                      <w:bCs/>
                      <w:color w:val="000000"/>
                      <w:kern w:val="0"/>
                      <w:sz w:val="21"/>
                      <w:szCs w:val="21"/>
                      <w:highlight w:val="none"/>
                      <w:lang w:val="en-US" w:eastAsia="zh-CN"/>
                    </w:rPr>
                    <w:t>四</w:t>
                  </w:r>
                  <w:r>
                    <w:rPr>
                      <w:rFonts w:hint="eastAsia" w:cs="Times New Roman"/>
                      <w:bCs/>
                      <w:color w:val="000000"/>
                      <w:kern w:val="0"/>
                      <w:sz w:val="21"/>
                      <w:szCs w:val="21"/>
                      <w:highlight w:val="none"/>
                      <w:lang w:val="en-US" w:eastAsia="zh-CN"/>
                    </w:rPr>
                    <w:t>）</w:t>
                  </w:r>
                  <w:r>
                    <w:rPr>
                      <w:rFonts w:hint="eastAsia" w:ascii="Times New Roman" w:hAnsi="Times New Roman" w:eastAsia="宋体" w:cs="Times New Roman"/>
                      <w:bCs/>
                      <w:color w:val="000000"/>
                      <w:kern w:val="0"/>
                      <w:sz w:val="21"/>
                      <w:szCs w:val="21"/>
                      <w:highlight w:val="none"/>
                      <w:lang w:val="en-US" w:eastAsia="zh-CN"/>
                    </w:rPr>
                    <w:t>在河道滩地开采地下资源及进行考古发掘。</w:t>
                  </w:r>
                </w:p>
              </w:tc>
              <w:tc>
                <w:tcPr>
                  <w:tcW w:w="1689" w:type="pct"/>
                  <w:vAlign w:val="center"/>
                </w:tcPr>
                <w:p w14:paraId="6F7166C3">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本项目建设地点不在河道管理范围内，且仅在河道取用少量的水，不进行其他施工作业。</w:t>
                  </w:r>
                </w:p>
              </w:tc>
              <w:tc>
                <w:tcPr>
                  <w:tcW w:w="266" w:type="pct"/>
                  <w:vAlign w:val="center"/>
                </w:tcPr>
                <w:p w14:paraId="67D28E12">
                  <w:pPr>
                    <w:keepNext/>
                    <w:keepLines/>
                    <w:widowControl/>
                    <w:adjustRightInd w:val="0"/>
                    <w:snapToGrid w:val="0"/>
                    <w:spacing w:line="360" w:lineRule="exact"/>
                    <w:jc w:val="center"/>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符合</w:t>
                  </w:r>
                </w:p>
              </w:tc>
            </w:tr>
            <w:tr w14:paraId="03CF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25" w:type="pct"/>
                  <w:vAlign w:val="center"/>
                </w:tcPr>
                <w:p w14:paraId="1106BE1D">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ascii="Times New Roman" w:hAnsi="Times New Roman" w:eastAsia="宋体" w:cs="Times New Roman"/>
                      <w:bCs/>
                      <w:color w:val="000000"/>
                      <w:kern w:val="0"/>
                      <w:sz w:val="21"/>
                      <w:szCs w:val="21"/>
                      <w:highlight w:val="none"/>
                      <w:lang w:val="en-US" w:eastAsia="zh-CN"/>
                    </w:rPr>
                    <w:t>危险废物贮存污染控制标准</w:t>
                  </w:r>
                </w:p>
              </w:tc>
              <w:tc>
                <w:tcPr>
                  <w:tcW w:w="2317" w:type="pct"/>
                  <w:vAlign w:val="center"/>
                </w:tcPr>
                <w:p w14:paraId="2543E2CB">
                  <w:pPr>
                    <w:keepNext/>
                    <w:keepLines/>
                    <w:widowControl/>
                    <w:adjustRightInd w:val="0"/>
                    <w:snapToGrid w:val="0"/>
                    <w:spacing w:line="360" w:lineRule="exact"/>
                    <w:outlineLvl w:val="2"/>
                    <w:rPr>
                      <w:rFonts w:hint="eastAsia"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6.1.1 贮存设施应根据危险废物的形态、物理化学性质、包装形式和污染物迁移途径，采取必要的防风、防晒、防雨、防漏、防渗、防腐以及其他环境污染防治措施，不应露天堆放危险废物。</w:t>
                  </w:r>
                </w:p>
                <w:p w14:paraId="5CB508CF">
                  <w:pPr>
                    <w:keepNext/>
                    <w:keepLines/>
                    <w:widowControl/>
                    <w:adjustRightInd w:val="0"/>
                    <w:snapToGrid w:val="0"/>
                    <w:spacing w:line="360" w:lineRule="exact"/>
                    <w:outlineLvl w:val="2"/>
                    <w:rPr>
                      <w:rFonts w:hint="eastAsia"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6.1.2 贮存设施应根据危险废物的类别、数量、形态、物理化学性质和污染防治等要求设置必要的贮存分区，避免不相容的危险废物接触、混合。</w:t>
                  </w:r>
                </w:p>
              </w:tc>
              <w:tc>
                <w:tcPr>
                  <w:tcW w:w="1689" w:type="pct"/>
                  <w:vAlign w:val="center"/>
                </w:tcPr>
                <w:p w14:paraId="708439EB">
                  <w:pPr>
                    <w:keepNext/>
                    <w:keepLines/>
                    <w:widowControl/>
                    <w:adjustRightInd w:val="0"/>
                    <w:snapToGrid w:val="0"/>
                    <w:spacing w:line="360" w:lineRule="exact"/>
                    <w:outlineLvl w:val="2"/>
                    <w:rPr>
                      <w:rFonts w:hint="eastAsia"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本项目沾油的废防渗材料和设备维修废机油等危废通过可移动式危废暂存仓收集后，交由具有相应危险废物处置资质的单位进行接收、转运和处置。可移动式危废暂存仓采用全封闭的双层结构（内胆+外壳），符合6.1.1的要求。</w:t>
                  </w:r>
                </w:p>
                <w:p w14:paraId="452BE492">
                  <w:pPr>
                    <w:keepNext/>
                    <w:keepLines/>
                    <w:widowControl/>
                    <w:adjustRightInd w:val="0"/>
                    <w:snapToGrid w:val="0"/>
                    <w:spacing w:line="360" w:lineRule="exact"/>
                    <w:outlineLvl w:val="2"/>
                    <w:rPr>
                      <w:rFonts w:hint="default"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仓内设置隔板，实现不相容危废的分隔贮存，并张贴分区标识，符合6.1.2分区贮存的要求。</w:t>
                  </w:r>
                </w:p>
              </w:tc>
              <w:tc>
                <w:tcPr>
                  <w:tcW w:w="266" w:type="pct"/>
                  <w:vAlign w:val="center"/>
                </w:tcPr>
                <w:p w14:paraId="6BC368CE">
                  <w:pPr>
                    <w:keepNext/>
                    <w:keepLines/>
                    <w:widowControl/>
                    <w:adjustRightInd w:val="0"/>
                    <w:snapToGrid w:val="0"/>
                    <w:spacing w:line="360" w:lineRule="exact"/>
                    <w:jc w:val="center"/>
                    <w:outlineLvl w:val="2"/>
                    <w:rPr>
                      <w:rFonts w:hint="default" w:ascii="Times New Roman" w:hAnsi="Times New Roman" w:eastAsia="宋体"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符合</w:t>
                  </w:r>
                </w:p>
              </w:tc>
            </w:tr>
            <w:tr w14:paraId="5D7A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25" w:type="pct"/>
                  <w:vAlign w:val="center"/>
                </w:tcPr>
                <w:p w14:paraId="5D654F45">
                  <w:pPr>
                    <w:keepNext/>
                    <w:keepLines/>
                    <w:widowControl/>
                    <w:adjustRightInd w:val="0"/>
                    <w:snapToGrid w:val="0"/>
                    <w:spacing w:line="360" w:lineRule="exact"/>
                    <w:outlineLvl w:val="2"/>
                    <w:rPr>
                      <w:rFonts w:hint="eastAsia"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危险废物收集贮存运输技术规范</w:t>
                  </w:r>
                </w:p>
              </w:tc>
              <w:tc>
                <w:tcPr>
                  <w:tcW w:w="2317" w:type="pct"/>
                  <w:vAlign w:val="center"/>
                </w:tcPr>
                <w:p w14:paraId="49870E8E">
                  <w:pPr>
                    <w:keepNext/>
                    <w:keepLines/>
                    <w:widowControl/>
                    <w:adjustRightInd w:val="0"/>
                    <w:snapToGrid w:val="0"/>
                    <w:spacing w:line="360" w:lineRule="exact"/>
                    <w:outlineLvl w:val="2"/>
                    <w:rPr>
                      <w:rFonts w:hint="eastAsia"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6.4贮存危险废物时应按危险废物的种类和特性进行分区贮存，每个贮存区域之间宜设置挡墙间隔，并应设置防雨、防火、防雷、防扬尘装置。</w:t>
                  </w:r>
                </w:p>
              </w:tc>
              <w:tc>
                <w:tcPr>
                  <w:tcW w:w="1689" w:type="pct"/>
                  <w:vAlign w:val="center"/>
                </w:tcPr>
                <w:p w14:paraId="449D3321">
                  <w:pPr>
                    <w:keepNext/>
                    <w:keepLines/>
                    <w:widowControl/>
                    <w:adjustRightInd w:val="0"/>
                    <w:snapToGrid w:val="0"/>
                    <w:spacing w:line="360" w:lineRule="exact"/>
                    <w:outlineLvl w:val="2"/>
                    <w:rPr>
                      <w:rFonts w:hint="eastAsia" w:ascii="Times New Roman" w:hAnsi="Times New Roman" w:eastAsia="宋体"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本项目沾油的废防渗材料和设备维修废机油等危废通过可移动式危废暂存仓收集后，交由具有相应危险废物处置资质的单位进行接收、转运和处置。可移动式危废暂存仓采用全封闭的双层结构（内胆+外壳）；仓内设置隔板，实现不相容危废的分隔贮存，并张贴分区标识，符合6.4的要求。</w:t>
                  </w:r>
                </w:p>
              </w:tc>
              <w:tc>
                <w:tcPr>
                  <w:tcW w:w="266" w:type="pct"/>
                  <w:vAlign w:val="center"/>
                </w:tcPr>
                <w:p w14:paraId="006738FB">
                  <w:pPr>
                    <w:keepNext/>
                    <w:keepLines/>
                    <w:widowControl/>
                    <w:adjustRightInd w:val="0"/>
                    <w:snapToGrid w:val="0"/>
                    <w:spacing w:line="360" w:lineRule="exact"/>
                    <w:jc w:val="center"/>
                    <w:outlineLvl w:val="2"/>
                    <w:rPr>
                      <w:rFonts w:hint="default" w:ascii="Times New Roman" w:hAnsi="Times New Roman" w:eastAsia="宋体" w:cs="Times New Roman"/>
                      <w:bCs/>
                      <w:color w:val="000000"/>
                      <w:kern w:val="0"/>
                      <w:sz w:val="21"/>
                      <w:szCs w:val="21"/>
                      <w:highlight w:val="none"/>
                      <w:lang w:val="en-US" w:eastAsia="zh-CN"/>
                    </w:rPr>
                  </w:pPr>
                  <w:r>
                    <w:rPr>
                      <w:rFonts w:hint="eastAsia" w:cs="Times New Roman"/>
                      <w:bCs/>
                      <w:color w:val="000000"/>
                      <w:kern w:val="0"/>
                      <w:sz w:val="21"/>
                      <w:szCs w:val="21"/>
                      <w:highlight w:val="none"/>
                      <w:lang w:val="en-US" w:eastAsia="zh-CN"/>
                    </w:rPr>
                    <w:t>符合</w:t>
                  </w:r>
                </w:p>
              </w:tc>
            </w:tr>
            <w:bookmarkEnd w:id="9"/>
            <w:bookmarkEnd w:id="10"/>
          </w:tbl>
          <w:p w14:paraId="799687EB">
            <w:pPr>
              <w:autoSpaceDE w:val="0"/>
              <w:autoSpaceDN w:val="0"/>
              <w:adjustRightInd w:val="0"/>
              <w:snapToGrid w:val="0"/>
              <w:spacing w:line="430" w:lineRule="exact"/>
              <w:jc w:val="both"/>
              <w:rPr>
                <w:rFonts w:hint="eastAsia" w:ascii="Times New Roman" w:hAnsi="Times New Roman" w:eastAsia="宋体" w:cs="宋体"/>
                <w:kern w:val="0"/>
              </w:rPr>
            </w:pPr>
          </w:p>
        </w:tc>
      </w:tr>
    </w:tbl>
    <w:p w14:paraId="5A32AFFD">
      <w:pPr>
        <w:rPr>
          <w:rFonts w:hint="eastAsia" w:ascii="Times New Roman" w:hAnsi="Times New Roman" w:eastAsia="宋体" w:cs="黑体"/>
          <w:b w:val="0"/>
          <w:bCs/>
          <w:sz w:val="30"/>
          <w:szCs w:val="30"/>
        </w:rPr>
      </w:pPr>
      <w:r>
        <w:rPr>
          <w:rFonts w:hint="eastAsia" w:ascii="Times New Roman" w:hAnsi="Times New Roman" w:eastAsia="宋体" w:cs="黑体"/>
          <w:b w:val="0"/>
          <w:bCs/>
          <w:sz w:val="30"/>
          <w:szCs w:val="30"/>
        </w:rPr>
        <w:br w:type="page"/>
      </w:r>
    </w:p>
    <w:p w14:paraId="660A9077">
      <w:pPr>
        <w:pStyle w:val="2"/>
        <w:snapToGrid w:val="0"/>
        <w:spacing w:before="0" w:after="0" w:line="360" w:lineRule="auto"/>
        <w:jc w:val="center"/>
        <w:rPr>
          <w:rFonts w:hint="eastAsia" w:ascii="Times New Roman" w:hAnsi="Times New Roman" w:eastAsia="宋体" w:cs="黑体"/>
          <w:b w:val="0"/>
          <w:bCs/>
          <w:sz w:val="30"/>
          <w:szCs w:val="30"/>
        </w:rPr>
      </w:pPr>
      <w:r>
        <w:rPr>
          <w:rFonts w:hint="eastAsia" w:ascii="Times New Roman" w:hAnsi="Times New Roman" w:eastAsia="宋体" w:cs="黑体"/>
          <w:b w:val="0"/>
          <w:bCs/>
          <w:sz w:val="30"/>
          <w:szCs w:val="30"/>
        </w:rPr>
        <w:t>二、建设内容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9238"/>
      </w:tblGrid>
      <w:tr w14:paraId="3BB2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452" w:type="dxa"/>
            <w:vAlign w:val="center"/>
          </w:tcPr>
          <w:p w14:paraId="7B54E0C6">
            <w:pPr>
              <w:snapToGrid w:val="0"/>
              <w:jc w:val="center"/>
              <w:rPr>
                <w:rFonts w:hint="default" w:ascii="Times New Roman" w:hAnsi="Times New Roman" w:eastAsia="宋体" w:cs="Times New Roman"/>
              </w:rPr>
            </w:pPr>
            <w:r>
              <w:rPr>
                <w:rFonts w:hint="default" w:ascii="Times New Roman" w:hAnsi="Times New Roman" w:eastAsia="宋体" w:cs="Times New Roman"/>
              </w:rPr>
              <w:t>地理位置</w:t>
            </w:r>
          </w:p>
        </w:tc>
        <w:tc>
          <w:tcPr>
            <w:tcW w:w="9238" w:type="dxa"/>
          </w:tcPr>
          <w:p w14:paraId="513F11DB">
            <w:pPr>
              <w:snapToGrid w:val="0"/>
              <w:spacing w:line="500" w:lineRule="exact"/>
              <w:ind w:firstLine="480" w:firstLineChars="200"/>
              <w:rPr>
                <w:rFonts w:hint="default" w:ascii="Times New Roman" w:hAnsi="Times New Roman" w:eastAsia="宋体" w:cs="Times New Roman"/>
                <w:lang w:val="en-US"/>
              </w:rPr>
            </w:pPr>
            <w:r>
              <w:rPr>
                <w:rFonts w:hint="default" w:ascii="Times New Roman" w:hAnsi="Times New Roman" w:eastAsia="宋体" w:cs="Times New Roman"/>
                <w:kern w:val="0"/>
                <w:sz w:val="24"/>
                <w:szCs w:val="24"/>
                <w:lang w:val="en-US" w:eastAsia="zh-CN" w:bidi="ar-SA"/>
              </w:rPr>
              <w:t>本项目</w:t>
            </w:r>
            <w:r>
              <w:rPr>
                <w:rFonts w:hint="default" w:ascii="Times New Roman" w:hAnsi="Times New Roman" w:cs="Times New Roman"/>
                <w:kern w:val="0"/>
                <w:sz w:val="24"/>
                <w:szCs w:val="24"/>
                <w:lang w:val="en-US" w:eastAsia="zh-CN" w:bidi="ar-SA"/>
              </w:rPr>
              <w:t>位于</w:t>
            </w:r>
            <w:r>
              <w:rPr>
                <w:rFonts w:hint="default" w:ascii="Times New Roman" w:hAnsi="Times New Roman" w:eastAsia="宋体" w:cs="Times New Roman"/>
                <w:kern w:val="0"/>
                <w:sz w:val="24"/>
                <w:szCs w:val="24"/>
                <w:lang w:val="en-US" w:eastAsia="zh-CN" w:bidi="ar-SA"/>
              </w:rPr>
              <w:t>新疆维吾尔自治区和田地区民丰县东南</w:t>
            </w:r>
            <w:r>
              <w:rPr>
                <w:rFonts w:hint="default" w:ascii="Times New Roman" w:hAnsi="Times New Roman" w:cs="Times New Roman"/>
                <w:kern w:val="0"/>
                <w:sz w:val="24"/>
                <w:szCs w:val="24"/>
                <w:lang w:val="en-US" w:eastAsia="zh-CN" w:bidi="ar-SA"/>
              </w:rPr>
              <w:t>108°</w:t>
            </w:r>
            <w:r>
              <w:rPr>
                <w:rFonts w:hint="default" w:ascii="Times New Roman" w:hAnsi="Times New Roman" w:eastAsia="宋体" w:cs="Times New Roman"/>
                <w:kern w:val="0"/>
                <w:sz w:val="24"/>
                <w:szCs w:val="24"/>
                <w:lang w:val="en-US" w:eastAsia="zh-CN" w:bidi="ar-SA"/>
              </w:rPr>
              <w:t>约1</w:t>
            </w:r>
            <w:r>
              <w:rPr>
                <w:rFonts w:hint="default" w:ascii="Times New Roman" w:hAnsi="Times New Roman" w:cs="Times New Roman"/>
                <w:kern w:val="0"/>
                <w:sz w:val="24"/>
                <w:szCs w:val="24"/>
                <w:lang w:val="en-US" w:eastAsia="zh-CN" w:bidi="ar-SA"/>
              </w:rPr>
              <w:t>3</w:t>
            </w:r>
            <w:r>
              <w:rPr>
                <w:rFonts w:hint="default" w:ascii="Times New Roman" w:hAnsi="Times New Roman" w:eastAsia="宋体" w:cs="Times New Roman"/>
                <w:kern w:val="0"/>
                <w:sz w:val="24"/>
                <w:szCs w:val="24"/>
                <w:lang w:val="en-US" w:eastAsia="zh-CN" w:bidi="ar-SA"/>
              </w:rPr>
              <w:t>0km处</w:t>
            </w:r>
            <w:bookmarkStart w:id="12" w:name="_Hlk167562716"/>
            <w:r>
              <w:rPr>
                <w:rFonts w:hint="default" w:ascii="Times New Roman" w:hAnsi="Times New Roman" w:eastAsia="宋体" w:cs="Times New Roman"/>
                <w:kern w:val="0"/>
                <w:sz w:val="24"/>
                <w:szCs w:val="24"/>
                <w:lang w:val="en-US" w:eastAsia="zh-CN" w:bidi="ar-SA"/>
              </w:rPr>
              <w:t>，东经</w:t>
            </w:r>
            <w:r>
              <w:rPr>
                <w:rFonts w:hint="default" w:ascii="Times New Roman" w:hAnsi="Times New Roman" w:eastAsia="宋体" w:cs="Times New Roman"/>
                <w:lang w:val="en-US"/>
              </w:rPr>
              <w:t>84</w:t>
            </w:r>
            <w:r>
              <w:rPr>
                <w:rFonts w:hint="default" w:ascii="Times New Roman" w:hAnsi="Times New Roman" w:eastAsia="宋体" w:cs="Times New Roman"/>
                <w:spacing w:val="6"/>
                <w:kern w:val="0"/>
                <w:sz w:val="24"/>
                <w:szCs w:val="24"/>
                <w:lang w:val="en-US" w:eastAsia="zh-CN" w:bidi="ar-SA"/>
              </w:rPr>
              <w:t>°</w:t>
            </w:r>
            <w:r>
              <w:rPr>
                <w:rFonts w:hint="default" w:ascii="Times New Roman" w:hAnsi="Times New Roman" w:cs="Times New Roman"/>
                <w:spacing w:val="6"/>
                <w:kern w:val="0"/>
                <w:sz w:val="24"/>
                <w:szCs w:val="24"/>
                <w:lang w:val="en-US" w:eastAsia="zh-CN" w:bidi="ar-SA"/>
              </w:rPr>
              <w:t>04</w:t>
            </w:r>
            <w:r>
              <w:rPr>
                <w:rFonts w:hint="default" w:ascii="Times New Roman" w:hAnsi="Times New Roman" w:eastAsia="宋体" w:cs="Times New Roman"/>
                <w:spacing w:val="6"/>
                <w:kern w:val="0"/>
                <w:sz w:val="24"/>
                <w:szCs w:val="24"/>
                <w:lang w:val="en-US" w:eastAsia="zh-CN" w:bidi="ar-SA"/>
              </w:rPr>
              <w:t>′</w:t>
            </w:r>
            <w:r>
              <w:rPr>
                <w:rFonts w:hint="default" w:ascii="Times New Roman" w:hAnsi="Times New Roman" w:cs="Times New Roman"/>
                <w:spacing w:val="6"/>
                <w:kern w:val="0"/>
                <w:sz w:val="24"/>
                <w:szCs w:val="24"/>
                <w:lang w:val="en-US" w:eastAsia="zh-CN" w:bidi="ar-SA"/>
              </w:rPr>
              <w:t>30.000</w:t>
            </w:r>
            <w:r>
              <w:rPr>
                <w:rFonts w:hint="default" w:ascii="Times New Roman" w:hAnsi="Times New Roman" w:eastAsia="宋体" w:cs="Times New Roman"/>
                <w:spacing w:val="6"/>
                <w:kern w:val="0"/>
                <w:sz w:val="24"/>
                <w:szCs w:val="24"/>
                <w:lang w:val="en-US" w:eastAsia="zh-CN" w:bidi="ar-SA"/>
              </w:rPr>
              <w:t>″-84°11′50</w:t>
            </w:r>
            <w:r>
              <w:rPr>
                <w:rFonts w:hint="default" w:ascii="Times New Roman" w:hAnsi="Times New Roman" w:cs="Times New Roman"/>
                <w:spacing w:val="6"/>
                <w:kern w:val="0"/>
                <w:sz w:val="24"/>
                <w:szCs w:val="24"/>
                <w:lang w:val="en-US" w:eastAsia="zh-CN" w:bidi="ar-SA"/>
              </w:rPr>
              <w:t>.000</w:t>
            </w:r>
            <w:r>
              <w:rPr>
                <w:rFonts w:hint="default" w:ascii="Times New Roman" w:hAnsi="Times New Roman" w:eastAsia="宋体" w:cs="Times New Roman"/>
                <w:spacing w:val="6"/>
                <w:kern w:val="0"/>
                <w:sz w:val="24"/>
                <w:szCs w:val="24"/>
                <w:lang w:val="en-US" w:eastAsia="zh-CN" w:bidi="ar-SA"/>
              </w:rPr>
              <w:t>″</w:t>
            </w:r>
            <w:r>
              <w:rPr>
                <w:rFonts w:hint="default" w:ascii="Times New Roman" w:hAnsi="Times New Roman" w:eastAsia="宋体" w:cs="Times New Roman"/>
                <w:kern w:val="0"/>
                <w:sz w:val="24"/>
                <w:szCs w:val="24"/>
                <w:lang w:val="en-US" w:eastAsia="zh-CN" w:bidi="ar-SA"/>
              </w:rPr>
              <w:t>；北纬36°</w:t>
            </w:r>
            <w:r>
              <w:rPr>
                <w:rFonts w:hint="default" w:ascii="Times New Roman" w:hAnsi="Times New Roman" w:cs="Times New Roman"/>
                <w:kern w:val="0"/>
                <w:sz w:val="24"/>
                <w:szCs w:val="24"/>
                <w:lang w:val="en-US" w:eastAsia="zh-CN" w:bidi="ar-SA"/>
              </w:rPr>
              <w:t>39</w:t>
            </w:r>
            <w:r>
              <w:rPr>
                <w:rFonts w:hint="default" w:ascii="Times New Roman" w:hAnsi="Times New Roman" w:eastAsia="宋体" w:cs="Times New Roman"/>
                <w:kern w:val="0"/>
                <w:sz w:val="24"/>
                <w:szCs w:val="24"/>
                <w:lang w:val="en-US" w:eastAsia="zh-CN" w:bidi="ar-SA"/>
              </w:rPr>
              <w:t>′</w:t>
            </w:r>
            <w:r>
              <w:rPr>
                <w:rFonts w:hint="default" w:ascii="Times New Roman" w:hAnsi="Times New Roman" w:cs="Times New Roman"/>
                <w:kern w:val="0"/>
                <w:sz w:val="24"/>
                <w:szCs w:val="24"/>
                <w:lang w:val="en-US" w:eastAsia="zh-CN" w:bidi="ar-SA"/>
              </w:rPr>
              <w:t>20</w:t>
            </w:r>
            <w:r>
              <w:rPr>
                <w:rFonts w:hint="default" w:ascii="Times New Roman" w:hAnsi="Times New Roman" w:eastAsia="宋体" w:cs="Times New Roman"/>
                <w:kern w:val="0"/>
                <w:sz w:val="24"/>
                <w:szCs w:val="24"/>
                <w:lang w:val="en-US" w:eastAsia="zh-CN" w:bidi="ar-SA"/>
              </w:rPr>
              <w:t>.000″-36°</w:t>
            </w:r>
            <w:r>
              <w:rPr>
                <w:rFonts w:hint="default" w:ascii="Times New Roman" w:hAnsi="Times New Roman" w:cs="Times New Roman"/>
                <w:kern w:val="0"/>
                <w:sz w:val="24"/>
                <w:szCs w:val="24"/>
                <w:lang w:val="en-US" w:eastAsia="zh-CN" w:bidi="ar-SA"/>
              </w:rPr>
              <w:t>41</w:t>
            </w:r>
            <w:r>
              <w:rPr>
                <w:rFonts w:hint="default" w:ascii="Times New Roman" w:hAnsi="Times New Roman" w:eastAsia="宋体" w:cs="Times New Roman"/>
                <w:kern w:val="0"/>
                <w:sz w:val="24"/>
                <w:szCs w:val="24"/>
                <w:lang w:val="en-US" w:eastAsia="zh-CN" w:bidi="ar-SA"/>
              </w:rPr>
              <w:t>′</w:t>
            </w:r>
            <w:r>
              <w:rPr>
                <w:rFonts w:hint="default" w:ascii="Times New Roman" w:hAnsi="Times New Roman" w:cs="Times New Roman"/>
                <w:kern w:val="0"/>
                <w:sz w:val="24"/>
                <w:szCs w:val="24"/>
                <w:lang w:val="en-US" w:eastAsia="zh-CN" w:bidi="ar-SA"/>
              </w:rPr>
              <w:t>50</w:t>
            </w:r>
            <w:r>
              <w:rPr>
                <w:rFonts w:hint="default" w:ascii="Times New Roman" w:hAnsi="Times New Roman" w:eastAsia="宋体" w:cs="Times New Roman"/>
                <w:kern w:val="0"/>
                <w:sz w:val="24"/>
                <w:szCs w:val="24"/>
                <w:lang w:val="en-US" w:eastAsia="zh-CN" w:bidi="ar-SA"/>
              </w:rPr>
              <w:t>.000″，面积</w:t>
            </w:r>
            <w:r>
              <w:rPr>
                <w:rFonts w:hint="default" w:ascii="Times New Roman" w:hAnsi="Times New Roman" w:cs="Times New Roman"/>
                <w:kern w:val="0"/>
                <w:sz w:val="24"/>
                <w:szCs w:val="24"/>
                <w:lang w:val="en-US" w:eastAsia="zh-CN" w:bidi="ar-SA"/>
              </w:rPr>
              <w:t>50.50</w:t>
            </w:r>
            <w:r>
              <w:rPr>
                <w:rFonts w:hint="default" w:ascii="Times New Roman" w:hAnsi="Times New Roman" w:eastAsia="宋体" w:cs="Times New Roman"/>
                <w:kern w:val="0"/>
                <w:sz w:val="24"/>
                <w:szCs w:val="24"/>
                <w:lang w:val="en-US" w:eastAsia="zh-CN" w:bidi="ar-SA"/>
              </w:rPr>
              <w:t>km</w:t>
            </w:r>
            <w:r>
              <w:rPr>
                <w:rFonts w:hint="default" w:ascii="Times New Roman" w:hAnsi="Times New Roman" w:eastAsia="宋体" w:cs="Times New Roman"/>
                <w:kern w:val="0"/>
                <w:sz w:val="24"/>
                <w:szCs w:val="24"/>
                <w:vertAlign w:val="superscript"/>
                <w:lang w:val="en-US" w:eastAsia="zh-CN" w:bidi="ar-SA"/>
              </w:rPr>
              <w:t>2</w:t>
            </w:r>
            <w:bookmarkEnd w:id="12"/>
            <w:r>
              <w:rPr>
                <w:rFonts w:hint="default" w:ascii="Times New Roman" w:hAnsi="Times New Roman" w:eastAsia="宋体" w:cs="Times New Roman"/>
                <w:kern w:val="0"/>
                <w:sz w:val="24"/>
                <w:szCs w:val="24"/>
                <w:lang w:val="en-US" w:eastAsia="zh-CN" w:bidi="ar-SA"/>
              </w:rPr>
              <w:t>。</w:t>
            </w:r>
            <w:r>
              <w:rPr>
                <w:rFonts w:hint="eastAsia" w:cs="Times New Roman"/>
                <w:kern w:val="0"/>
                <w:sz w:val="24"/>
                <w:szCs w:val="24"/>
                <w:lang w:val="en-US" w:eastAsia="zh-CN" w:bidi="ar-SA"/>
              </w:rPr>
              <w:t>项目区地理位置图详见附图1。</w:t>
            </w:r>
          </w:p>
        </w:tc>
      </w:tr>
      <w:tr w14:paraId="7EC6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6" w:hRule="atLeast"/>
          <w:jc w:val="center"/>
        </w:trPr>
        <w:tc>
          <w:tcPr>
            <w:tcW w:w="452" w:type="dxa"/>
            <w:vAlign w:val="center"/>
          </w:tcPr>
          <w:p w14:paraId="6F7C9ADA">
            <w:pPr>
              <w:snapToGrid w:val="0"/>
              <w:spacing w:line="500" w:lineRule="exact"/>
              <w:jc w:val="center"/>
              <w:rPr>
                <w:rFonts w:hint="default" w:ascii="Times New Roman" w:hAnsi="Times New Roman" w:eastAsia="宋体" w:cs="Times New Roman"/>
              </w:rPr>
            </w:pPr>
            <w:r>
              <w:rPr>
                <w:rFonts w:hint="default" w:ascii="Times New Roman" w:hAnsi="Times New Roman" w:eastAsia="宋体" w:cs="Times New Roman"/>
              </w:rPr>
              <w:t>项目组成及规模</w:t>
            </w:r>
          </w:p>
        </w:tc>
        <w:tc>
          <w:tcPr>
            <w:tcW w:w="9238" w:type="dxa"/>
          </w:tcPr>
          <w:p w14:paraId="4670A72B">
            <w:pPr>
              <w:pStyle w:val="21"/>
              <w:spacing w:before="56" w:line="360" w:lineRule="auto"/>
              <w:outlineLvl w:val="1"/>
              <w:rPr>
                <w:rFonts w:hint="default" w:ascii="Times New Roman" w:hAnsi="Times New Roman" w:eastAsia="宋体" w:cs="Times New Roman"/>
                <w:lang w:eastAsia="zh-CN"/>
              </w:rPr>
            </w:pPr>
            <w:r>
              <w:rPr>
                <w:rFonts w:hint="default" w:ascii="Times New Roman" w:hAnsi="Times New Roman" w:cs="Times New Roman"/>
                <w:b/>
                <w:bCs/>
                <w:spacing w:val="-4"/>
                <w:lang w:val="en-US" w:eastAsia="zh-CN"/>
              </w:rPr>
              <w:t>1.</w:t>
            </w:r>
            <w:r>
              <w:rPr>
                <w:rFonts w:hint="default" w:ascii="Times New Roman" w:hAnsi="Times New Roman" w:eastAsia="宋体" w:cs="Times New Roman"/>
                <w:b/>
                <w:bCs/>
                <w:spacing w:val="-4"/>
                <w:lang w:eastAsia="zh-CN"/>
              </w:rPr>
              <w:t>项目由来</w:t>
            </w:r>
          </w:p>
          <w:p w14:paraId="1F9E1ED8">
            <w:pPr>
              <w:pStyle w:val="20"/>
              <w:ind w:firstLine="480"/>
              <w:rPr>
                <w:rFonts w:hint="default" w:ascii="Times New Roman" w:hAnsi="Times New Roman" w:eastAsia="宋体" w:cs="Times New Roman"/>
              </w:rPr>
            </w:pPr>
            <w:r>
              <w:rPr>
                <w:rFonts w:hint="default" w:ascii="Times New Roman" w:hAnsi="Times New Roman" w:cs="Times New Roman"/>
                <w:lang w:eastAsia="zh-CN"/>
              </w:rPr>
              <w:t>和田昆冈聚源矿业有限责任公司</w:t>
            </w:r>
            <w:r>
              <w:rPr>
                <w:rFonts w:hint="default" w:ascii="Times New Roman" w:hAnsi="Times New Roman" w:eastAsia="宋体" w:cs="Times New Roman"/>
              </w:rPr>
              <w:t>于</w:t>
            </w:r>
            <w:r>
              <w:rPr>
                <w:rFonts w:hint="default" w:ascii="Times New Roman" w:hAnsi="Times New Roman" w:cs="Times New Roman"/>
              </w:rPr>
              <w:t>202</w:t>
            </w:r>
            <w:r>
              <w:rPr>
                <w:rFonts w:hint="default" w:ascii="Times New Roman" w:hAnsi="Times New Roman" w:cs="Times New Roman"/>
                <w:lang w:val="en-US" w:eastAsia="zh-CN"/>
              </w:rPr>
              <w:t>5</w:t>
            </w:r>
            <w:r>
              <w:rPr>
                <w:rFonts w:hint="default" w:ascii="Times New Roman" w:hAnsi="Times New Roman" w:eastAsia="宋体" w:cs="Times New Roman"/>
              </w:rPr>
              <w:t>年</w:t>
            </w:r>
            <w:r>
              <w:rPr>
                <w:rFonts w:hint="default" w:ascii="Times New Roman" w:hAnsi="Times New Roman" w:cs="Times New Roman"/>
                <w:lang w:val="en-US" w:eastAsia="zh-CN"/>
              </w:rPr>
              <w:t>10</w:t>
            </w:r>
            <w:r>
              <w:rPr>
                <w:rFonts w:hint="default" w:ascii="Times New Roman" w:hAnsi="Times New Roman" w:eastAsia="宋体" w:cs="Times New Roman"/>
              </w:rPr>
              <w:t>月</w:t>
            </w:r>
            <w:r>
              <w:rPr>
                <w:rFonts w:hint="default" w:ascii="Times New Roman" w:hAnsi="Times New Roman" w:cs="Times New Roman"/>
                <w:lang w:val="en-US" w:eastAsia="zh-CN"/>
              </w:rPr>
              <w:t>13</w:t>
            </w:r>
            <w:r>
              <w:rPr>
                <w:rFonts w:hint="default" w:ascii="Times New Roman" w:hAnsi="Times New Roman" w:eastAsia="宋体" w:cs="Times New Roman"/>
              </w:rPr>
              <w:t>日</w:t>
            </w:r>
            <w:r>
              <w:rPr>
                <w:rFonts w:hint="default" w:ascii="Times New Roman" w:hAnsi="Times New Roman" w:eastAsia="宋体" w:cs="Times New Roman"/>
                <w:lang w:val="en-US" w:eastAsia="zh-CN"/>
              </w:rPr>
              <w:t>获取了</w:t>
            </w:r>
            <w:r>
              <w:rPr>
                <w:rFonts w:hint="default" w:ascii="Times New Roman" w:hAnsi="Times New Roman" w:eastAsia="宋体" w:cs="Times New Roman"/>
              </w:rPr>
              <w:t>“</w:t>
            </w:r>
            <w:r>
              <w:rPr>
                <w:rFonts w:hint="default" w:ascii="Times New Roman" w:hAnsi="Times New Roman" w:eastAsia="宋体" w:cs="Times New Roman"/>
                <w:lang w:val="en-US" w:eastAsia="zh-CN"/>
              </w:rPr>
              <w:t>新疆民丰县阿卡苏盖提坎锰矿普查</w:t>
            </w:r>
            <w:r>
              <w:rPr>
                <w:rFonts w:hint="default" w:ascii="Times New Roman" w:hAnsi="Times New Roman" w:eastAsia="宋体" w:cs="Times New Roman"/>
              </w:rPr>
              <w:t>”探矿权，勘查矿种为</w:t>
            </w:r>
            <w:r>
              <w:rPr>
                <w:rFonts w:hint="default" w:ascii="Times New Roman" w:hAnsi="Times New Roman" w:cs="Times New Roman"/>
                <w:lang w:val="en-US" w:eastAsia="zh-CN"/>
              </w:rPr>
              <w:t>锰</w:t>
            </w:r>
            <w:r>
              <w:rPr>
                <w:rFonts w:hint="default" w:ascii="Times New Roman" w:hAnsi="Times New Roman" w:eastAsia="宋体" w:cs="Times New Roman"/>
              </w:rPr>
              <w:t>矿，</w:t>
            </w:r>
            <w:r>
              <w:rPr>
                <w:rFonts w:hint="default" w:ascii="Times New Roman" w:hAnsi="Times New Roman" w:eastAsia="宋体" w:cs="Times New Roman"/>
                <w:lang w:val="en-US" w:eastAsia="zh-CN"/>
              </w:rPr>
              <w:t>勘探许可证号</w:t>
            </w:r>
            <w:r>
              <w:rPr>
                <w:rFonts w:hint="default" w:ascii="Times New Roman" w:hAnsi="Times New Roman" w:eastAsia="宋体" w:cs="Times New Roman"/>
              </w:rPr>
              <w:t>：</w:t>
            </w:r>
            <w:r>
              <w:rPr>
                <w:rFonts w:hint="default" w:ascii="Times New Roman" w:hAnsi="Times New Roman" w:cs="Times New Roman"/>
                <w:lang w:val="en-US" w:eastAsia="zh-CN"/>
              </w:rPr>
              <w:t>X</w:t>
            </w:r>
            <w:r>
              <w:rPr>
                <w:rFonts w:hint="default" w:ascii="Times New Roman" w:hAnsi="Times New Roman" w:eastAsia="宋体" w:cs="Times New Roman"/>
              </w:rPr>
              <w:t>T65000020</w:t>
            </w:r>
            <w:r>
              <w:rPr>
                <w:rFonts w:hint="default" w:ascii="Times New Roman" w:hAnsi="Times New Roman" w:cs="Times New Roman"/>
                <w:lang w:val="en-US" w:eastAsia="zh-CN"/>
              </w:rPr>
              <w:t>25102040000049</w:t>
            </w:r>
            <w:r>
              <w:rPr>
                <w:rFonts w:hint="default" w:ascii="Times New Roman" w:hAnsi="Times New Roman" w:eastAsia="宋体" w:cs="Times New Roman"/>
              </w:rPr>
              <w:t>，勘查面积为</w:t>
            </w:r>
            <w:r>
              <w:rPr>
                <w:rFonts w:hint="default" w:ascii="Times New Roman" w:hAnsi="Times New Roman" w:cs="Times New Roman"/>
                <w:lang w:val="en-US" w:eastAsia="zh-CN"/>
              </w:rPr>
              <w:t>50.50</w:t>
            </w:r>
            <w:r>
              <w:rPr>
                <w:rFonts w:hint="default" w:ascii="Times New Roman" w:hAnsi="Times New Roman" w:eastAsia="宋体" w:cs="Times New Roman"/>
              </w:rPr>
              <w:t>km</w:t>
            </w:r>
            <w:r>
              <w:rPr>
                <w:rFonts w:hint="default" w:ascii="Times New Roman" w:hAnsi="Times New Roman" w:eastAsia="宋体" w:cs="Times New Roman"/>
                <w:vertAlign w:val="superscript"/>
              </w:rPr>
              <w:t>2</w:t>
            </w:r>
            <w:r>
              <w:rPr>
                <w:rFonts w:hint="default" w:ascii="Times New Roman" w:hAnsi="Times New Roman" w:eastAsia="宋体" w:cs="Times New Roman"/>
              </w:rPr>
              <w:t>。</w:t>
            </w:r>
          </w:p>
          <w:p w14:paraId="601E5447">
            <w:pPr>
              <w:pStyle w:val="21"/>
              <w:spacing w:before="56" w:line="360" w:lineRule="auto"/>
              <w:outlineLvl w:val="1"/>
              <w:rPr>
                <w:rFonts w:hint="default" w:ascii="Times New Roman" w:hAnsi="Times New Roman" w:cs="Times New Roman"/>
                <w:b/>
                <w:bCs/>
                <w:spacing w:val="-4"/>
                <w:lang w:val="en-US" w:eastAsia="zh-CN"/>
              </w:rPr>
            </w:pPr>
            <w:r>
              <w:rPr>
                <w:rFonts w:hint="default" w:ascii="Times New Roman" w:hAnsi="Times New Roman" w:cs="Times New Roman"/>
                <w:b/>
                <w:bCs/>
                <w:spacing w:val="-4"/>
                <w:lang w:val="en-US" w:eastAsia="zh-CN"/>
              </w:rPr>
              <w:t>2.项目基本概况</w:t>
            </w:r>
          </w:p>
          <w:p w14:paraId="7DCBF88D">
            <w:pPr>
              <w:pStyle w:val="20"/>
              <w:ind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（1）探矿权有效期：202</w:t>
            </w:r>
            <w:r>
              <w:rPr>
                <w:rFonts w:hint="default" w:ascii="Times New Roman" w:hAnsi="Times New Roman" w:cs="Times New Roman"/>
                <w:lang w:val="en-US" w:eastAsia="zh-CN"/>
              </w:rPr>
              <w:t>5</w:t>
            </w:r>
            <w:r>
              <w:rPr>
                <w:rFonts w:hint="default" w:ascii="Times New Roman" w:hAnsi="Times New Roman" w:eastAsia="宋体" w:cs="Times New Roman"/>
                <w:lang w:eastAsia="zh-CN"/>
              </w:rPr>
              <w:t>年</w:t>
            </w:r>
            <w:r>
              <w:rPr>
                <w:rFonts w:hint="default" w:ascii="Times New Roman" w:hAnsi="Times New Roman" w:cs="Times New Roman"/>
                <w:lang w:val="en-US" w:eastAsia="zh-CN"/>
              </w:rPr>
              <w:t>10</w:t>
            </w:r>
            <w:r>
              <w:rPr>
                <w:rFonts w:hint="default" w:ascii="Times New Roman" w:hAnsi="Times New Roman" w:eastAsia="宋体" w:cs="Times New Roman"/>
                <w:lang w:eastAsia="zh-CN"/>
              </w:rPr>
              <w:t>月</w:t>
            </w:r>
            <w:r>
              <w:rPr>
                <w:rFonts w:hint="default" w:ascii="Times New Roman" w:hAnsi="Times New Roman" w:cs="Times New Roman"/>
                <w:lang w:val="en-US" w:eastAsia="zh-CN"/>
              </w:rPr>
              <w:t>13</w:t>
            </w:r>
            <w:r>
              <w:rPr>
                <w:rFonts w:hint="default" w:ascii="Times New Roman" w:hAnsi="Times New Roman" w:eastAsia="宋体" w:cs="Times New Roman"/>
                <w:lang w:eastAsia="zh-CN"/>
              </w:rPr>
              <w:t>日至20</w:t>
            </w:r>
            <w:r>
              <w:rPr>
                <w:rFonts w:hint="default" w:ascii="Times New Roman" w:hAnsi="Times New Roman" w:cs="Times New Roman"/>
                <w:lang w:val="en-US" w:eastAsia="zh-CN"/>
              </w:rPr>
              <w:t>30</w:t>
            </w:r>
            <w:r>
              <w:rPr>
                <w:rFonts w:hint="default" w:ascii="Times New Roman" w:hAnsi="Times New Roman" w:eastAsia="宋体" w:cs="Times New Roman"/>
                <w:lang w:eastAsia="zh-CN"/>
              </w:rPr>
              <w:t>年</w:t>
            </w:r>
            <w:r>
              <w:rPr>
                <w:rFonts w:hint="default" w:ascii="Times New Roman" w:hAnsi="Times New Roman" w:cs="Times New Roman"/>
                <w:lang w:val="en-US" w:eastAsia="zh-CN"/>
              </w:rPr>
              <w:t>10</w:t>
            </w:r>
            <w:r>
              <w:rPr>
                <w:rFonts w:hint="default" w:ascii="Times New Roman" w:hAnsi="Times New Roman" w:eastAsia="宋体" w:cs="Times New Roman"/>
                <w:lang w:eastAsia="zh-CN"/>
              </w:rPr>
              <w:t>月</w:t>
            </w:r>
            <w:r>
              <w:rPr>
                <w:rFonts w:hint="default" w:ascii="Times New Roman" w:hAnsi="Times New Roman" w:cs="Times New Roman"/>
                <w:lang w:val="en-US" w:eastAsia="zh-CN"/>
              </w:rPr>
              <w:t>13</w:t>
            </w:r>
            <w:r>
              <w:rPr>
                <w:rFonts w:hint="default" w:ascii="Times New Roman" w:hAnsi="Times New Roman" w:eastAsia="宋体" w:cs="Times New Roman"/>
                <w:lang w:eastAsia="zh-CN"/>
              </w:rPr>
              <w:t>日</w:t>
            </w:r>
          </w:p>
          <w:p w14:paraId="3504233A">
            <w:pPr>
              <w:pStyle w:val="20"/>
              <w:ind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（2）探查矿种：</w:t>
            </w:r>
            <w:r>
              <w:rPr>
                <w:rFonts w:hint="default" w:ascii="Times New Roman" w:hAnsi="Times New Roman" w:cs="Times New Roman"/>
                <w:lang w:val="en-US" w:eastAsia="zh-CN"/>
              </w:rPr>
              <w:t>锰</w:t>
            </w:r>
            <w:r>
              <w:rPr>
                <w:rFonts w:hint="default" w:ascii="Times New Roman" w:hAnsi="Times New Roman" w:cs="Times New Roman"/>
                <w:spacing w:val="-3"/>
              </w:rPr>
              <w:t>矿</w:t>
            </w:r>
          </w:p>
          <w:p w14:paraId="03529B05">
            <w:pPr>
              <w:pStyle w:val="20"/>
              <w:ind w:firstLine="480"/>
              <w:rPr>
                <w:rFonts w:hint="default" w:ascii="Times New Roman" w:hAnsi="Times New Roman" w:eastAsia="宋体" w:cs="Times New Roman"/>
                <w:lang w:val="en-US" w:eastAsia="zh-CN"/>
              </w:rPr>
            </w:pPr>
            <w:r>
              <w:rPr>
                <w:rFonts w:hint="default" w:ascii="Times New Roman" w:hAnsi="Times New Roman" w:eastAsia="宋体" w:cs="Times New Roman"/>
                <w:lang w:eastAsia="zh-CN"/>
              </w:rPr>
              <w:t>（3）探矿方式：</w:t>
            </w:r>
            <w:r>
              <w:rPr>
                <w:rFonts w:hint="default" w:ascii="Times New Roman" w:hAnsi="Times New Roman" w:cs="Times New Roman"/>
                <w:lang w:eastAsia="zh-CN"/>
              </w:rPr>
              <w:t>1:</w:t>
            </w:r>
            <w:r>
              <w:rPr>
                <w:rFonts w:hint="default" w:ascii="Times New Roman" w:hAnsi="Times New Roman" w:cs="Times New Roman"/>
                <w:lang w:val="en-US" w:eastAsia="zh-CN"/>
              </w:rPr>
              <w:t>25000</w:t>
            </w:r>
            <w:r>
              <w:rPr>
                <w:rFonts w:hint="default" w:ascii="Times New Roman" w:hAnsi="Times New Roman" w:cs="Times New Roman"/>
                <w:lang w:eastAsia="zh-CN"/>
              </w:rPr>
              <w:t>水系沉积物测量、1:1</w:t>
            </w:r>
            <w:r>
              <w:rPr>
                <w:rFonts w:hint="default" w:ascii="Times New Roman" w:hAnsi="Times New Roman" w:cs="Times New Roman"/>
                <w:lang w:val="en-US" w:eastAsia="zh-CN"/>
              </w:rPr>
              <w:t>0000</w:t>
            </w:r>
            <w:r>
              <w:rPr>
                <w:rFonts w:hint="default" w:ascii="Times New Roman" w:hAnsi="Times New Roman" w:cs="Times New Roman"/>
                <w:lang w:eastAsia="zh-CN"/>
              </w:rPr>
              <w:t>航磁面积测量、1:1</w:t>
            </w:r>
            <w:r>
              <w:rPr>
                <w:rFonts w:hint="default" w:ascii="Times New Roman" w:hAnsi="Times New Roman" w:cs="Times New Roman"/>
                <w:lang w:val="en-US" w:eastAsia="zh-CN"/>
              </w:rPr>
              <w:t>0000</w:t>
            </w:r>
            <w:r>
              <w:rPr>
                <w:rFonts w:hint="default" w:ascii="Times New Roman" w:hAnsi="Times New Roman" w:cs="Times New Roman"/>
                <w:lang w:eastAsia="zh-CN"/>
              </w:rPr>
              <w:t>地化剖面测量、1:1万地质草测、1:</w:t>
            </w:r>
            <w:r>
              <w:rPr>
                <w:rFonts w:hint="eastAsia" w:ascii="Times New Roman" w:hAnsi="Times New Roman" w:cs="Times New Roman"/>
                <w:lang w:eastAsia="zh-CN"/>
              </w:rPr>
              <w:t>2000</w:t>
            </w:r>
            <w:r>
              <w:rPr>
                <w:rFonts w:hint="default" w:ascii="Times New Roman" w:hAnsi="Times New Roman" w:cs="Times New Roman"/>
                <w:lang w:eastAsia="zh-CN"/>
              </w:rPr>
              <w:t>地质草测、地表槽探揭露，钻探深部验证工程及其他地质工作等。</w:t>
            </w:r>
          </w:p>
          <w:p w14:paraId="7CA120EB">
            <w:pPr>
              <w:pStyle w:val="20"/>
              <w:ind w:firstLine="480"/>
              <w:rPr>
                <w:rFonts w:hint="default" w:ascii="Times New Roman" w:hAnsi="Times New Roman" w:eastAsia="宋体" w:cs="Times New Roman"/>
                <w:highlight w:val="none"/>
                <w:lang w:val="en-US" w:eastAsia="zh-CN"/>
              </w:rPr>
            </w:pPr>
            <w:r>
              <w:rPr>
                <w:rFonts w:hint="default" w:ascii="Times New Roman" w:hAnsi="Times New Roman" w:eastAsia="宋体" w:cs="Times New Roman"/>
                <w:lang w:eastAsia="zh-CN"/>
              </w:rPr>
              <w:t>（4）工程投资</w:t>
            </w:r>
            <w:r>
              <w:rPr>
                <w:rFonts w:hint="default" w:ascii="Times New Roman" w:hAnsi="Times New Roman" w:eastAsia="宋体" w:cs="Times New Roman"/>
                <w:highlight w:val="none"/>
                <w:lang w:eastAsia="zh-CN"/>
              </w:rPr>
              <w:t>：</w:t>
            </w:r>
            <w:r>
              <w:rPr>
                <w:rFonts w:hint="default" w:ascii="Times New Roman" w:hAnsi="Times New Roman" w:eastAsia="宋体" w:cs="Times New Roman"/>
                <w:highlight w:val="none"/>
                <w:lang w:val="en-US" w:eastAsia="zh-CN"/>
              </w:rPr>
              <w:t>项目总投资</w:t>
            </w:r>
            <w:r>
              <w:rPr>
                <w:rFonts w:hint="default" w:ascii="Times New Roman" w:hAnsi="Times New Roman" w:cs="Times New Roman"/>
                <w:highlight w:val="none"/>
                <w:lang w:val="en-US" w:eastAsia="zh-CN"/>
              </w:rPr>
              <w:t>541.91</w:t>
            </w:r>
            <w:r>
              <w:rPr>
                <w:rFonts w:hint="default" w:ascii="Times New Roman" w:hAnsi="Times New Roman" w:eastAsia="宋体" w:cs="Times New Roman"/>
                <w:highlight w:val="none"/>
                <w:lang w:eastAsia="zh-CN"/>
              </w:rPr>
              <w:t>万元，</w:t>
            </w:r>
            <w:r>
              <w:rPr>
                <w:rFonts w:hint="default" w:ascii="Times New Roman" w:hAnsi="Times New Roman" w:eastAsia="宋体" w:cs="Times New Roman"/>
                <w:highlight w:val="none"/>
                <w:lang w:val="en-US" w:eastAsia="zh-CN"/>
              </w:rPr>
              <w:t>其中环保投资</w:t>
            </w:r>
            <w:r>
              <w:rPr>
                <w:rFonts w:hint="default" w:ascii="Times New Roman" w:hAnsi="Times New Roman" w:cs="Times New Roman"/>
                <w:highlight w:val="none"/>
                <w:lang w:val="en-US" w:eastAsia="zh-CN"/>
              </w:rPr>
              <w:t>51</w:t>
            </w:r>
            <w:r>
              <w:rPr>
                <w:rFonts w:hint="default" w:ascii="Times New Roman" w:hAnsi="Times New Roman" w:eastAsia="宋体" w:cs="Times New Roman"/>
                <w:highlight w:val="none"/>
                <w:lang w:val="en-US" w:eastAsia="zh-CN"/>
              </w:rPr>
              <w:t>万元，占总投资的</w:t>
            </w:r>
            <w:r>
              <w:rPr>
                <w:rFonts w:hint="default" w:ascii="Times New Roman" w:hAnsi="Times New Roman" w:cs="Times New Roman"/>
                <w:highlight w:val="none"/>
                <w:lang w:val="en-US" w:eastAsia="zh-CN"/>
              </w:rPr>
              <w:t>9.41</w:t>
            </w:r>
            <w:r>
              <w:rPr>
                <w:rFonts w:hint="default" w:ascii="Times New Roman" w:hAnsi="Times New Roman" w:eastAsia="宋体" w:cs="Times New Roman"/>
                <w:highlight w:val="none"/>
                <w:lang w:val="en-US" w:eastAsia="zh-CN"/>
              </w:rPr>
              <w:t>%</w:t>
            </w:r>
          </w:p>
          <w:p w14:paraId="4F863DF3">
            <w:pPr>
              <w:pStyle w:val="20"/>
              <w:ind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（5）勘查面积：</w:t>
            </w:r>
            <w:r>
              <w:rPr>
                <w:rFonts w:hint="default" w:ascii="Times New Roman" w:hAnsi="Times New Roman" w:cs="Times New Roman"/>
                <w:lang w:val="en-US" w:eastAsia="zh-CN"/>
              </w:rPr>
              <w:t>50.50</w:t>
            </w:r>
            <w:r>
              <w:rPr>
                <w:rFonts w:hint="default" w:ascii="Times New Roman" w:hAnsi="Times New Roman" w:eastAsia="宋体" w:cs="Times New Roman"/>
                <w:lang w:eastAsia="zh-CN"/>
              </w:rPr>
              <w:t>km</w:t>
            </w:r>
            <w:r>
              <w:rPr>
                <w:rFonts w:hint="default" w:ascii="Times New Roman" w:hAnsi="Times New Roman" w:eastAsia="宋体" w:cs="Times New Roman"/>
                <w:vertAlign w:val="superscript"/>
                <w:lang w:eastAsia="zh-CN"/>
              </w:rPr>
              <w:t>2</w:t>
            </w:r>
          </w:p>
          <w:p w14:paraId="4BAE1109">
            <w:pPr>
              <w:pStyle w:val="20"/>
              <w:ind w:firstLine="480"/>
              <w:rPr>
                <w:rFonts w:hint="default" w:ascii="Times New Roman" w:hAnsi="Times New Roman" w:eastAsia="宋体" w:cs="Times New Roman"/>
                <w:spacing w:val="-3"/>
                <w:lang w:eastAsia="zh-CN"/>
              </w:rPr>
            </w:pPr>
            <w:r>
              <w:rPr>
                <w:rFonts w:hint="default" w:ascii="Times New Roman" w:hAnsi="Times New Roman" w:eastAsia="宋体" w:cs="Times New Roman"/>
                <w:lang w:eastAsia="zh-CN"/>
              </w:rPr>
              <w:t>（6）总体工作部署</w:t>
            </w:r>
            <w:r>
              <w:rPr>
                <w:rFonts w:hint="default" w:ascii="Times New Roman" w:hAnsi="Times New Roman" w:eastAsia="宋体" w:cs="Times New Roman"/>
                <w:spacing w:val="-3"/>
                <w:lang w:eastAsia="zh-CN"/>
              </w:rPr>
              <w:t>：</w:t>
            </w:r>
          </w:p>
          <w:p w14:paraId="7F2049EA">
            <w:pPr>
              <w:pStyle w:val="20"/>
              <w:ind w:firstLine="480"/>
              <w:rPr>
                <w:rFonts w:hint="default" w:ascii="Times New Roman" w:hAnsi="Times New Roman" w:cs="Times New Roman"/>
                <w:vertAlign w:val="baseline"/>
                <w:lang w:val="en-US" w:eastAsia="zh-CN"/>
              </w:rPr>
            </w:pPr>
            <w:r>
              <w:rPr>
                <w:rFonts w:hint="default" w:ascii="Times New Roman" w:hAnsi="Times New Roman" w:cs="Times New Roman"/>
                <w:lang w:eastAsia="zh-CN"/>
              </w:rPr>
              <w:t>1:</w:t>
            </w:r>
            <w:r>
              <w:rPr>
                <w:rFonts w:hint="default" w:ascii="Times New Roman" w:hAnsi="Times New Roman" w:cs="Times New Roman"/>
                <w:lang w:val="en-US" w:eastAsia="zh-CN"/>
              </w:rPr>
              <w:t>25000</w:t>
            </w:r>
            <w:r>
              <w:rPr>
                <w:rFonts w:hint="default" w:ascii="Times New Roman" w:hAnsi="Times New Roman" w:cs="Times New Roman"/>
                <w:lang w:eastAsia="zh-CN"/>
              </w:rPr>
              <w:t>水系沉积物测量50.50</w:t>
            </w:r>
            <w:r>
              <w:rPr>
                <w:rFonts w:hint="default" w:ascii="Times New Roman" w:hAnsi="Times New Roman" w:eastAsia="宋体" w:cs="Times New Roman"/>
                <w:lang w:eastAsia="zh-CN"/>
              </w:rPr>
              <w:t>km</w:t>
            </w:r>
            <w:r>
              <w:rPr>
                <w:rFonts w:hint="default" w:ascii="Times New Roman" w:hAnsi="Times New Roman" w:cs="Times New Roman"/>
                <w:vertAlign w:val="superscript"/>
                <w:lang w:val="en-US" w:eastAsia="zh-CN"/>
              </w:rPr>
              <w:t>2</w:t>
            </w:r>
            <w:r>
              <w:rPr>
                <w:rFonts w:hint="default" w:ascii="Times New Roman" w:hAnsi="Times New Roman" w:cs="Times New Roman"/>
                <w:lang w:eastAsia="zh-CN"/>
              </w:rPr>
              <w:t>，1:1</w:t>
            </w:r>
            <w:r>
              <w:rPr>
                <w:rFonts w:hint="default" w:ascii="Times New Roman" w:hAnsi="Times New Roman" w:cs="Times New Roman"/>
                <w:lang w:val="en-US" w:eastAsia="zh-CN"/>
              </w:rPr>
              <w:t>0000</w:t>
            </w:r>
            <w:r>
              <w:rPr>
                <w:rFonts w:hint="default" w:ascii="Times New Roman" w:hAnsi="Times New Roman" w:cs="Times New Roman"/>
                <w:lang w:eastAsia="zh-CN"/>
              </w:rPr>
              <w:t>航磁面积测量</w:t>
            </w:r>
            <w:r>
              <w:rPr>
                <w:rFonts w:hint="default" w:ascii="Times New Roman" w:hAnsi="Times New Roman" w:cs="Times New Roman"/>
                <w:lang w:val="en-US" w:eastAsia="zh-CN"/>
              </w:rPr>
              <w:t>50.50</w:t>
            </w:r>
            <w:r>
              <w:rPr>
                <w:rFonts w:hint="default" w:ascii="Times New Roman" w:hAnsi="Times New Roman" w:eastAsia="宋体" w:cs="Times New Roman"/>
                <w:lang w:eastAsia="zh-CN"/>
              </w:rPr>
              <w:t>km</w:t>
            </w:r>
            <w:r>
              <w:rPr>
                <w:rFonts w:hint="default" w:ascii="Times New Roman" w:hAnsi="Times New Roman" w:cs="Times New Roman"/>
                <w:vertAlign w:val="superscript"/>
                <w:lang w:val="en-US" w:eastAsia="zh-CN"/>
              </w:rPr>
              <w:t>2</w:t>
            </w:r>
            <w:r>
              <w:rPr>
                <w:rFonts w:hint="default" w:ascii="Times New Roman" w:hAnsi="Times New Roman" w:cs="Times New Roman"/>
                <w:lang w:eastAsia="zh-CN"/>
              </w:rPr>
              <w:t>，1:1</w:t>
            </w:r>
            <w:r>
              <w:rPr>
                <w:rFonts w:hint="default" w:ascii="Times New Roman" w:hAnsi="Times New Roman" w:cs="Times New Roman"/>
                <w:lang w:val="en-US" w:eastAsia="zh-CN"/>
              </w:rPr>
              <w:t>0000</w:t>
            </w:r>
            <w:r>
              <w:rPr>
                <w:rFonts w:hint="default" w:ascii="Times New Roman" w:hAnsi="Times New Roman" w:cs="Times New Roman"/>
                <w:lang w:eastAsia="zh-CN"/>
              </w:rPr>
              <w:t>地化剖面测量</w:t>
            </w:r>
            <w:r>
              <w:rPr>
                <w:rFonts w:hint="default" w:ascii="Times New Roman" w:hAnsi="Times New Roman" w:cs="Times New Roman"/>
                <w:lang w:val="en-US" w:eastAsia="zh-CN"/>
              </w:rPr>
              <w:t>20km，</w:t>
            </w:r>
            <w:r>
              <w:rPr>
                <w:rFonts w:hint="default" w:ascii="Times New Roman" w:hAnsi="Times New Roman" w:cs="Times New Roman"/>
                <w:lang w:eastAsia="zh-CN"/>
              </w:rPr>
              <w:t>1:1万地质草测50.50</w:t>
            </w:r>
            <w:r>
              <w:rPr>
                <w:rFonts w:hint="default" w:ascii="Times New Roman" w:hAnsi="Times New Roman" w:eastAsia="宋体" w:cs="Times New Roman"/>
                <w:lang w:eastAsia="zh-CN"/>
              </w:rPr>
              <w:t>km</w:t>
            </w:r>
            <w:r>
              <w:rPr>
                <w:rFonts w:hint="default" w:ascii="Times New Roman" w:hAnsi="Times New Roman" w:cs="Times New Roman"/>
                <w:vertAlign w:val="superscript"/>
                <w:lang w:val="en-US" w:eastAsia="zh-CN"/>
              </w:rPr>
              <w:t>2</w:t>
            </w:r>
            <w:r>
              <w:rPr>
                <w:rFonts w:hint="default" w:ascii="Times New Roman" w:hAnsi="Times New Roman" w:cs="Times New Roman"/>
                <w:lang w:eastAsia="zh-CN"/>
              </w:rPr>
              <w:t>、1:</w:t>
            </w:r>
            <w:r>
              <w:rPr>
                <w:rFonts w:hint="eastAsia" w:ascii="Times New Roman" w:hAnsi="Times New Roman" w:cs="Times New Roman"/>
                <w:lang w:eastAsia="zh-CN"/>
              </w:rPr>
              <w:t>2000</w:t>
            </w:r>
            <w:r>
              <w:rPr>
                <w:rFonts w:hint="default" w:ascii="Times New Roman" w:hAnsi="Times New Roman" w:cs="Times New Roman"/>
                <w:lang w:eastAsia="zh-CN"/>
              </w:rPr>
              <w:t>地质草测</w:t>
            </w:r>
            <w:r>
              <w:rPr>
                <w:rFonts w:hint="default" w:ascii="Times New Roman" w:hAnsi="Times New Roman" w:cs="Times New Roman"/>
                <w:lang w:val="en-US" w:eastAsia="zh-CN"/>
              </w:rPr>
              <w:t>1.5</w:t>
            </w:r>
            <w:r>
              <w:rPr>
                <w:rFonts w:hint="default" w:ascii="Times New Roman" w:hAnsi="Times New Roman" w:eastAsia="宋体" w:cs="Times New Roman"/>
                <w:lang w:eastAsia="zh-CN"/>
              </w:rPr>
              <w:t>km</w:t>
            </w:r>
            <w:r>
              <w:rPr>
                <w:rFonts w:hint="default" w:ascii="Times New Roman" w:hAnsi="Times New Roman" w:cs="Times New Roman"/>
                <w:vertAlign w:val="superscript"/>
                <w:lang w:val="en-US" w:eastAsia="zh-CN"/>
              </w:rPr>
              <w:t>2</w:t>
            </w:r>
            <w:r>
              <w:rPr>
                <w:rFonts w:hint="default" w:ascii="Times New Roman" w:hAnsi="Times New Roman" w:cs="Times New Roman"/>
                <w:vertAlign w:val="baseline"/>
                <w:lang w:val="en-US" w:eastAsia="zh-CN"/>
              </w:rPr>
              <w:t>、1:10000地质剖面测量20km、1:2000地质剖面测量5km、1:1000勘查线地质剖面测量2.0km</w:t>
            </w:r>
            <w:r>
              <w:rPr>
                <w:rFonts w:hint="default" w:ascii="Times New Roman" w:hAnsi="Times New Roman" w:cs="Times New Roman"/>
                <w:vertAlign w:val="superscript"/>
                <w:lang w:val="en-US" w:eastAsia="zh-CN"/>
              </w:rPr>
              <w:t>2</w:t>
            </w:r>
            <w:r>
              <w:rPr>
                <w:rFonts w:hint="default" w:ascii="Times New Roman" w:hAnsi="Times New Roman" w:cs="Times New Roman"/>
                <w:vertAlign w:val="baseline"/>
                <w:lang w:val="en-US" w:eastAsia="zh-CN"/>
              </w:rPr>
              <w:t>，</w:t>
            </w:r>
            <w:r>
              <w:rPr>
                <w:rFonts w:hint="default" w:ascii="Times New Roman" w:hAnsi="Times New Roman" w:eastAsia="宋体" w:cs="Times New Roman"/>
                <w:lang w:eastAsia="zh-CN"/>
              </w:rPr>
              <w:t>槽探</w:t>
            </w:r>
            <w:r>
              <w:rPr>
                <w:rFonts w:hint="default" w:ascii="Times New Roman" w:hAnsi="Times New Roman" w:cs="Times New Roman"/>
                <w:lang w:val="en-US" w:eastAsia="zh-CN"/>
              </w:rPr>
              <w:t>2000</w:t>
            </w:r>
            <w:r>
              <w:rPr>
                <w:rFonts w:hint="default" w:ascii="Times New Roman" w:hAnsi="Times New Roman" w:eastAsia="宋体" w:cs="Times New Roman"/>
                <w:lang w:eastAsia="zh-CN"/>
              </w:rPr>
              <w:t>m</w:t>
            </w:r>
            <w:r>
              <w:rPr>
                <w:rFonts w:hint="default" w:ascii="Times New Roman" w:hAnsi="Times New Roman" w:cs="Times New Roman"/>
                <w:vertAlign w:val="superscript"/>
                <w:lang w:val="en-US" w:eastAsia="zh-CN"/>
              </w:rPr>
              <w:t>3</w:t>
            </w:r>
            <w:r>
              <w:rPr>
                <w:rFonts w:hint="default" w:ascii="Times New Roman" w:hAnsi="Times New Roman" w:cs="Times New Roman"/>
                <w:lang w:eastAsia="zh-CN"/>
              </w:rPr>
              <w:t>，</w:t>
            </w:r>
            <w:r>
              <w:rPr>
                <w:rFonts w:hint="default" w:ascii="Times New Roman" w:hAnsi="Times New Roman" w:eastAsia="宋体" w:cs="Times New Roman"/>
                <w:lang w:eastAsia="zh-CN"/>
              </w:rPr>
              <w:t>钻探</w:t>
            </w:r>
            <w:r>
              <w:rPr>
                <w:rFonts w:hint="default" w:ascii="Times New Roman" w:hAnsi="Times New Roman" w:cs="Times New Roman"/>
                <w:lang w:val="en-US" w:eastAsia="zh-CN"/>
              </w:rPr>
              <w:t>1000</w:t>
            </w:r>
            <w:r>
              <w:rPr>
                <w:rFonts w:hint="default" w:ascii="Times New Roman" w:hAnsi="Times New Roman" w:eastAsia="宋体" w:cs="Times New Roman"/>
                <w:lang w:eastAsia="zh-CN"/>
              </w:rPr>
              <w:t>m</w:t>
            </w:r>
            <w:r>
              <w:rPr>
                <w:rFonts w:hint="default" w:ascii="Times New Roman" w:hAnsi="Times New Roman" w:cs="Times New Roman"/>
                <w:lang w:eastAsia="zh-CN"/>
              </w:rPr>
              <w:t>，</w:t>
            </w:r>
            <w:r>
              <w:rPr>
                <w:rFonts w:hint="default" w:ascii="Times New Roman" w:hAnsi="Times New Roman" w:cs="Times New Roman"/>
                <w:lang w:val="en-US" w:eastAsia="zh-CN"/>
              </w:rPr>
              <w:t>基本分析样450件、组合分析样5件、物相分析样5件、化探分析样1500件、一般岩矿分析样40件、内检样30件、外检样30件、小体重样20件。</w:t>
            </w:r>
          </w:p>
          <w:p w14:paraId="4E950D57">
            <w:pPr>
              <w:pStyle w:val="21"/>
              <w:spacing w:before="56" w:line="360" w:lineRule="auto"/>
              <w:outlineLvl w:val="1"/>
              <w:rPr>
                <w:rFonts w:hint="default" w:ascii="Times New Roman" w:hAnsi="Times New Roman" w:cs="Times New Roman"/>
                <w:b/>
                <w:bCs/>
                <w:spacing w:val="-4"/>
                <w:lang w:val="en-US" w:eastAsia="zh-CN"/>
              </w:rPr>
            </w:pPr>
            <w:r>
              <w:rPr>
                <w:rFonts w:hint="default" w:ascii="Times New Roman" w:hAnsi="Times New Roman" w:cs="Times New Roman"/>
                <w:b/>
                <w:bCs/>
                <w:spacing w:val="-4"/>
                <w:lang w:val="en-US" w:eastAsia="zh-CN"/>
              </w:rPr>
              <w:t>3.建设内容及规模</w:t>
            </w:r>
          </w:p>
          <w:p w14:paraId="6C073FB2">
            <w:pPr>
              <w:pStyle w:val="20"/>
              <w:ind w:firstLine="480"/>
              <w:rPr>
                <w:rFonts w:hint="default" w:ascii="Times New Roman" w:hAnsi="Times New Roman" w:eastAsia="宋体" w:cs="Times New Roman"/>
                <w:b/>
                <w:bCs/>
                <w:lang w:eastAsia="zh-CN"/>
              </w:rPr>
            </w:pPr>
            <w:r>
              <w:rPr>
                <w:rFonts w:hint="default" w:ascii="Times New Roman" w:hAnsi="Times New Roman" w:eastAsia="宋体" w:cs="Times New Roman"/>
              </w:rPr>
              <w:t>本项目为矿区地质勘探活动，主要为勘探工程施工，不涉及矿区开采运营。本项目组成及主要环境问题见表2-</w:t>
            </w:r>
            <w:r>
              <w:rPr>
                <w:rFonts w:hint="default" w:ascii="Times New Roman" w:hAnsi="Times New Roman" w:cs="Times New Roman"/>
                <w:lang w:val="en-US" w:eastAsia="zh-CN"/>
              </w:rPr>
              <w:t>1</w:t>
            </w:r>
            <w:r>
              <w:rPr>
                <w:rFonts w:hint="default" w:ascii="Times New Roman" w:hAnsi="Times New Roman" w:eastAsia="宋体" w:cs="Times New Roman"/>
              </w:rPr>
              <w:t>。</w:t>
            </w:r>
          </w:p>
          <w:p w14:paraId="3A12ACFF">
            <w:pPr>
              <w:pStyle w:val="7"/>
              <w:spacing w:line="500" w:lineRule="exact"/>
              <w:jc w:val="center"/>
              <w:rPr>
                <w:rFonts w:hint="default" w:ascii="Times New Roman" w:hAnsi="Times New Roman" w:eastAsia="宋体" w:cs="Times New Roman"/>
                <w:b/>
                <w:bCs/>
                <w:lang w:eastAsia="zh-CN"/>
              </w:rPr>
            </w:pPr>
          </w:p>
          <w:p w14:paraId="77CC473D">
            <w:pPr>
              <w:pStyle w:val="7"/>
              <w:spacing w:line="500" w:lineRule="exact"/>
              <w:jc w:val="center"/>
              <w:rPr>
                <w:rFonts w:hint="default" w:ascii="Times New Roman" w:hAnsi="Times New Roman" w:eastAsia="宋体" w:cs="Times New Roman"/>
                <w:b/>
                <w:bCs/>
                <w:lang w:eastAsia="zh-CN"/>
              </w:rPr>
            </w:pPr>
            <w:r>
              <w:rPr>
                <w:rFonts w:hint="default" w:ascii="Times New Roman" w:hAnsi="Times New Roman" w:eastAsia="宋体" w:cs="Times New Roman"/>
                <w:b/>
                <w:bCs/>
                <w:lang w:eastAsia="zh-CN"/>
              </w:rPr>
              <w:t>表2-</w:t>
            </w:r>
            <w:r>
              <w:rPr>
                <w:rFonts w:hint="default" w:ascii="Times New Roman" w:hAnsi="Times New Roman" w:eastAsia="宋体" w:cs="Times New Roman"/>
                <w:b/>
                <w:bCs/>
                <w:lang w:val="en-US" w:eastAsia="zh-CN"/>
              </w:rPr>
              <w:t>1</w:t>
            </w:r>
            <w:r>
              <w:rPr>
                <w:rFonts w:hint="default" w:ascii="Times New Roman" w:hAnsi="Times New Roman" w:eastAsia="宋体" w:cs="Times New Roman"/>
                <w:b/>
                <w:bCs/>
                <w:lang w:eastAsia="zh-CN"/>
              </w:rPr>
              <w:t>建设项目组成一览表</w:t>
            </w:r>
          </w:p>
          <w:tbl>
            <w:tblPr>
              <w:tblStyle w:val="16"/>
              <w:tblpPr w:leftFromText="180" w:rightFromText="180" w:vertAnchor="text" w:horzAnchor="page" w:tblpX="110" w:tblpY="82"/>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
              <w:gridCol w:w="1339"/>
              <w:gridCol w:w="7296"/>
            </w:tblGrid>
            <w:tr w14:paraId="7E73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949" w:type="pct"/>
                  <w:gridSpan w:val="2"/>
                  <w:vAlign w:val="center"/>
                </w:tcPr>
                <w:p w14:paraId="2EFFBBEC">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项目组成</w:t>
                  </w:r>
                </w:p>
              </w:tc>
              <w:tc>
                <w:tcPr>
                  <w:tcW w:w="4050" w:type="pct"/>
                  <w:vAlign w:val="center"/>
                </w:tcPr>
                <w:p w14:paraId="2866B8AF">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工程内容与规模</w:t>
                  </w:r>
                </w:p>
              </w:tc>
            </w:tr>
            <w:tr w14:paraId="2C13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06" w:type="pct"/>
                  <w:vMerge w:val="restart"/>
                  <w:vAlign w:val="center"/>
                </w:tcPr>
                <w:p w14:paraId="3351BDDA">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主体工程</w:t>
                  </w:r>
                </w:p>
              </w:tc>
              <w:tc>
                <w:tcPr>
                  <w:tcW w:w="743" w:type="pct"/>
                  <w:shd w:val="clear" w:color="auto" w:fill="auto"/>
                  <w:vAlign w:val="center"/>
                </w:tcPr>
                <w:p w14:paraId="6D38A60B">
                  <w:pPr>
                    <w:pStyle w:val="20"/>
                    <w:spacing w:line="240" w:lineRule="auto"/>
                    <w:ind w:firstLine="0" w:firstLineChars="0"/>
                    <w:jc w:val="center"/>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地质测量</w:t>
                  </w:r>
                </w:p>
              </w:tc>
              <w:tc>
                <w:tcPr>
                  <w:tcW w:w="4050" w:type="pct"/>
                  <w:shd w:val="clear" w:color="auto" w:fill="auto"/>
                  <w:vAlign w:val="center"/>
                </w:tcPr>
                <w:p w14:paraId="33585F1C">
                  <w:pPr>
                    <w:pStyle w:val="20"/>
                    <w:spacing w:line="240" w:lineRule="auto"/>
                    <w:ind w:firstLine="0" w:firstLineChars="0"/>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1:1万地质草测50.50km</w:t>
                  </w:r>
                  <w:r>
                    <w:rPr>
                      <w:rFonts w:hint="default" w:ascii="Times New Roman" w:hAnsi="Times New Roman" w:cs="Times New Roman"/>
                      <w:spacing w:val="6"/>
                      <w:sz w:val="21"/>
                      <w:szCs w:val="21"/>
                      <w:vertAlign w:val="superscript"/>
                      <w:lang w:val="en-US" w:eastAsia="zh-CN"/>
                    </w:rPr>
                    <w:t>2</w:t>
                  </w:r>
                  <w:r>
                    <w:rPr>
                      <w:rFonts w:hint="default" w:ascii="Times New Roman" w:hAnsi="Times New Roman" w:cs="Times New Roman"/>
                      <w:spacing w:val="6"/>
                      <w:sz w:val="21"/>
                      <w:szCs w:val="21"/>
                      <w:lang w:val="en-US" w:eastAsia="zh-CN"/>
                    </w:rPr>
                    <w:t>；1:</w:t>
                  </w:r>
                  <w:r>
                    <w:rPr>
                      <w:rFonts w:hint="eastAsia" w:ascii="Times New Roman" w:hAnsi="Times New Roman" w:cs="Times New Roman"/>
                      <w:spacing w:val="6"/>
                      <w:sz w:val="21"/>
                      <w:szCs w:val="21"/>
                      <w:lang w:val="en-US" w:eastAsia="zh-CN"/>
                    </w:rPr>
                    <w:t>2000</w:t>
                  </w:r>
                  <w:r>
                    <w:rPr>
                      <w:rFonts w:hint="default" w:ascii="Times New Roman" w:hAnsi="Times New Roman" w:cs="Times New Roman"/>
                      <w:spacing w:val="6"/>
                      <w:sz w:val="21"/>
                      <w:szCs w:val="21"/>
                      <w:lang w:val="en-US" w:eastAsia="zh-CN"/>
                    </w:rPr>
                    <w:t>地质草测1.5km</w:t>
                  </w:r>
                  <w:r>
                    <w:rPr>
                      <w:rFonts w:hint="default" w:ascii="Times New Roman" w:hAnsi="Times New Roman" w:cs="Times New Roman"/>
                      <w:spacing w:val="6"/>
                      <w:sz w:val="21"/>
                      <w:szCs w:val="21"/>
                      <w:vertAlign w:val="superscript"/>
                      <w:lang w:val="en-US" w:eastAsia="zh-CN"/>
                    </w:rPr>
                    <w:t>2</w:t>
                  </w:r>
                  <w:r>
                    <w:rPr>
                      <w:rFonts w:hint="default" w:ascii="Times New Roman" w:hAnsi="Times New Roman" w:cs="Times New Roman"/>
                      <w:spacing w:val="6"/>
                      <w:sz w:val="21"/>
                      <w:szCs w:val="21"/>
                      <w:lang w:val="en-US" w:eastAsia="zh-CN"/>
                    </w:rPr>
                    <w:t>；1:10000地质剖面测量20km；1:2000地质剖面测量5km；1:1000勘查线地质剖面测量2.0km</w:t>
                  </w:r>
                  <w:r>
                    <w:rPr>
                      <w:rFonts w:hint="default" w:ascii="Times New Roman" w:hAnsi="Times New Roman" w:cs="Times New Roman"/>
                      <w:spacing w:val="6"/>
                      <w:sz w:val="21"/>
                      <w:szCs w:val="21"/>
                      <w:vertAlign w:val="superscript"/>
                      <w:lang w:val="en-US" w:eastAsia="zh-CN"/>
                    </w:rPr>
                    <w:t>2</w:t>
                  </w:r>
                  <w:r>
                    <w:rPr>
                      <w:rFonts w:hint="default" w:ascii="Times New Roman" w:hAnsi="Times New Roman" w:cs="Times New Roman"/>
                      <w:spacing w:val="6"/>
                      <w:sz w:val="21"/>
                      <w:szCs w:val="21"/>
                      <w:lang w:val="en-US" w:eastAsia="zh-CN"/>
                    </w:rPr>
                    <w:t>。</w:t>
                  </w:r>
                </w:p>
              </w:tc>
            </w:tr>
            <w:tr w14:paraId="2D5C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06" w:type="pct"/>
                  <w:vMerge w:val="continue"/>
                  <w:vAlign w:val="center"/>
                </w:tcPr>
                <w:p w14:paraId="1419C7E4">
                  <w:pPr>
                    <w:pStyle w:val="20"/>
                    <w:spacing w:line="240" w:lineRule="auto"/>
                    <w:ind w:firstLine="0" w:firstLineChars="0"/>
                    <w:jc w:val="center"/>
                    <w:rPr>
                      <w:rFonts w:hint="default" w:ascii="Times New Roman" w:hAnsi="Times New Roman" w:eastAsia="宋体" w:cs="Times New Roman"/>
                      <w:spacing w:val="6"/>
                      <w:sz w:val="21"/>
                      <w:szCs w:val="21"/>
                    </w:rPr>
                  </w:pPr>
                </w:p>
              </w:tc>
              <w:tc>
                <w:tcPr>
                  <w:tcW w:w="743" w:type="pct"/>
                  <w:shd w:val="clear" w:color="auto" w:fill="auto"/>
                  <w:vAlign w:val="center"/>
                </w:tcPr>
                <w:p w14:paraId="37B85F96">
                  <w:pPr>
                    <w:pStyle w:val="20"/>
                    <w:spacing w:line="240" w:lineRule="auto"/>
                    <w:ind w:firstLine="0" w:firstLineChars="0"/>
                    <w:jc w:val="center"/>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物探</w:t>
                  </w:r>
                </w:p>
              </w:tc>
              <w:tc>
                <w:tcPr>
                  <w:tcW w:w="4050" w:type="pct"/>
                  <w:shd w:val="clear" w:color="auto" w:fill="auto"/>
                  <w:vAlign w:val="center"/>
                </w:tcPr>
                <w:p w14:paraId="232934A4">
                  <w:pPr>
                    <w:pStyle w:val="20"/>
                    <w:spacing w:line="240" w:lineRule="auto"/>
                    <w:ind w:firstLine="0" w:firstLineChars="0"/>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1:10000航磁面积测量50.50km</w:t>
                  </w:r>
                  <w:r>
                    <w:rPr>
                      <w:rFonts w:hint="default" w:ascii="Times New Roman" w:hAnsi="Times New Roman" w:cs="Times New Roman"/>
                      <w:spacing w:val="6"/>
                      <w:sz w:val="21"/>
                      <w:szCs w:val="21"/>
                      <w:vertAlign w:val="superscript"/>
                      <w:lang w:val="en-US" w:eastAsia="zh-CN"/>
                    </w:rPr>
                    <w:t>2</w:t>
                  </w:r>
                  <w:r>
                    <w:rPr>
                      <w:rFonts w:hint="default" w:ascii="Times New Roman" w:hAnsi="Times New Roman" w:cs="Times New Roman"/>
                      <w:spacing w:val="6"/>
                      <w:sz w:val="21"/>
                      <w:szCs w:val="21"/>
                      <w:lang w:val="en-US" w:eastAsia="zh-CN"/>
                    </w:rPr>
                    <w:t>。</w:t>
                  </w:r>
                </w:p>
              </w:tc>
            </w:tr>
            <w:tr w14:paraId="3931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06" w:type="pct"/>
                  <w:vMerge w:val="continue"/>
                  <w:vAlign w:val="center"/>
                </w:tcPr>
                <w:p w14:paraId="62617CD0">
                  <w:pPr>
                    <w:pStyle w:val="20"/>
                    <w:spacing w:line="240" w:lineRule="auto"/>
                    <w:ind w:firstLine="0" w:firstLineChars="0"/>
                    <w:jc w:val="center"/>
                    <w:rPr>
                      <w:rFonts w:hint="default" w:ascii="Times New Roman" w:hAnsi="Times New Roman" w:eastAsia="宋体" w:cs="Times New Roman"/>
                      <w:spacing w:val="6"/>
                      <w:sz w:val="21"/>
                      <w:szCs w:val="21"/>
                    </w:rPr>
                  </w:pPr>
                </w:p>
              </w:tc>
              <w:tc>
                <w:tcPr>
                  <w:tcW w:w="743" w:type="pct"/>
                  <w:shd w:val="clear" w:color="auto" w:fill="auto"/>
                  <w:vAlign w:val="center"/>
                </w:tcPr>
                <w:p w14:paraId="76A763A1">
                  <w:pPr>
                    <w:pStyle w:val="20"/>
                    <w:spacing w:line="240" w:lineRule="auto"/>
                    <w:ind w:firstLine="0" w:firstLineChars="0"/>
                    <w:jc w:val="center"/>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化探</w:t>
                  </w:r>
                </w:p>
              </w:tc>
              <w:tc>
                <w:tcPr>
                  <w:tcW w:w="4050" w:type="pct"/>
                  <w:shd w:val="clear" w:color="auto" w:fill="auto"/>
                  <w:vAlign w:val="center"/>
                </w:tcPr>
                <w:p w14:paraId="0CF85355">
                  <w:pPr>
                    <w:pStyle w:val="20"/>
                    <w:spacing w:line="240" w:lineRule="auto"/>
                    <w:ind w:firstLine="0" w:firstLineChars="0"/>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1:25000水系沉积物测量50.50km</w:t>
                  </w:r>
                  <w:r>
                    <w:rPr>
                      <w:rFonts w:hint="default" w:ascii="Times New Roman" w:hAnsi="Times New Roman" w:cs="Times New Roman"/>
                      <w:spacing w:val="6"/>
                      <w:sz w:val="21"/>
                      <w:szCs w:val="21"/>
                      <w:vertAlign w:val="superscript"/>
                      <w:lang w:val="en-US" w:eastAsia="zh-CN"/>
                    </w:rPr>
                    <w:t>2</w:t>
                  </w:r>
                  <w:r>
                    <w:rPr>
                      <w:rFonts w:hint="default" w:ascii="Times New Roman" w:hAnsi="Times New Roman" w:cs="Times New Roman"/>
                      <w:spacing w:val="6"/>
                      <w:sz w:val="21"/>
                      <w:szCs w:val="21"/>
                      <w:lang w:val="en-US" w:eastAsia="zh-CN"/>
                    </w:rPr>
                    <w:t>；1:10000地化剖面测量20km</w:t>
                  </w:r>
                  <w:r>
                    <w:rPr>
                      <w:rFonts w:hint="default" w:ascii="Times New Roman" w:hAnsi="Times New Roman" w:cs="Times New Roman"/>
                      <w:spacing w:val="6"/>
                      <w:sz w:val="21"/>
                      <w:szCs w:val="21"/>
                      <w:vertAlign w:val="baseline"/>
                      <w:lang w:val="en-US" w:eastAsia="zh-CN"/>
                    </w:rPr>
                    <w:t>。</w:t>
                  </w:r>
                </w:p>
              </w:tc>
            </w:tr>
            <w:tr w14:paraId="75D7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06" w:type="pct"/>
                  <w:vMerge w:val="continue"/>
                  <w:vAlign w:val="center"/>
                </w:tcPr>
                <w:p w14:paraId="30CD7206">
                  <w:pPr>
                    <w:pStyle w:val="20"/>
                    <w:spacing w:line="240" w:lineRule="auto"/>
                    <w:ind w:firstLine="0" w:firstLineChars="0"/>
                    <w:jc w:val="center"/>
                    <w:rPr>
                      <w:rFonts w:hint="default" w:ascii="Times New Roman" w:hAnsi="Times New Roman" w:eastAsia="宋体" w:cs="Times New Roman"/>
                      <w:spacing w:val="6"/>
                      <w:sz w:val="21"/>
                      <w:szCs w:val="21"/>
                    </w:rPr>
                  </w:pPr>
                </w:p>
              </w:tc>
              <w:tc>
                <w:tcPr>
                  <w:tcW w:w="743" w:type="pct"/>
                  <w:shd w:val="clear" w:color="auto" w:fill="auto"/>
                  <w:vAlign w:val="center"/>
                </w:tcPr>
                <w:p w14:paraId="5AE4FC7F">
                  <w:pPr>
                    <w:pStyle w:val="20"/>
                    <w:spacing w:line="240" w:lineRule="auto"/>
                    <w:ind w:firstLine="0" w:firstLineChars="0"/>
                    <w:jc w:val="center"/>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探槽</w:t>
                  </w:r>
                </w:p>
              </w:tc>
              <w:tc>
                <w:tcPr>
                  <w:tcW w:w="4050" w:type="pct"/>
                  <w:shd w:val="clear" w:color="auto" w:fill="auto"/>
                  <w:vAlign w:val="center"/>
                </w:tcPr>
                <w:p w14:paraId="61AB87B6">
                  <w:pPr>
                    <w:pStyle w:val="20"/>
                    <w:spacing w:line="240" w:lineRule="auto"/>
                    <w:ind w:firstLine="0" w:firstLineChars="0"/>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槽探初步设计</w:t>
                  </w:r>
                  <w:r>
                    <w:rPr>
                      <w:rFonts w:hint="default" w:ascii="Times New Roman" w:hAnsi="Times New Roman" w:cs="Times New Roman"/>
                      <w:spacing w:val="6"/>
                      <w:sz w:val="21"/>
                      <w:szCs w:val="21"/>
                      <w:highlight w:val="none"/>
                      <w:lang w:val="en-US" w:eastAsia="zh-CN"/>
                    </w:rPr>
                    <w:t>800m</w:t>
                  </w:r>
                  <w:r>
                    <w:rPr>
                      <w:rFonts w:hint="default" w:ascii="Times New Roman" w:hAnsi="Times New Roman" w:cs="Times New Roman"/>
                      <w:spacing w:val="6"/>
                      <w:sz w:val="21"/>
                      <w:szCs w:val="21"/>
                      <w:highlight w:val="none"/>
                      <w:vertAlign w:val="superscript"/>
                      <w:lang w:val="en-US" w:eastAsia="zh-CN"/>
                    </w:rPr>
                    <w:t>3</w:t>
                  </w:r>
                  <w:r>
                    <w:rPr>
                      <w:rFonts w:hint="default" w:ascii="Times New Roman" w:hAnsi="Times New Roman" w:cs="Times New Roman"/>
                      <w:spacing w:val="6"/>
                      <w:sz w:val="21"/>
                      <w:szCs w:val="21"/>
                      <w:highlight w:val="none"/>
                      <w:lang w:val="en-US" w:eastAsia="zh-CN"/>
                    </w:rPr>
                    <w:t>（4条），预留1200m</w:t>
                  </w:r>
                  <w:r>
                    <w:rPr>
                      <w:rFonts w:hint="default" w:ascii="Times New Roman" w:hAnsi="Times New Roman" w:cs="Times New Roman"/>
                      <w:spacing w:val="6"/>
                      <w:sz w:val="21"/>
                      <w:szCs w:val="21"/>
                      <w:highlight w:val="none"/>
                      <w:vertAlign w:val="superscript"/>
                      <w:lang w:val="en-US" w:eastAsia="zh-CN"/>
                    </w:rPr>
                    <w:t>3</w:t>
                  </w:r>
                  <w:r>
                    <w:rPr>
                      <w:rFonts w:hint="default" w:ascii="Times New Roman" w:hAnsi="Times New Roman" w:cs="Times New Roman"/>
                      <w:spacing w:val="6"/>
                      <w:sz w:val="21"/>
                      <w:szCs w:val="21"/>
                      <w:highlight w:val="none"/>
                      <w:lang w:val="en-US" w:eastAsia="zh-CN"/>
                    </w:rPr>
                    <w:t>工作量，合计工作量2000m</w:t>
                  </w:r>
                  <w:r>
                    <w:rPr>
                      <w:rFonts w:hint="default" w:ascii="Times New Roman" w:hAnsi="Times New Roman" w:cs="Times New Roman"/>
                      <w:spacing w:val="6"/>
                      <w:sz w:val="21"/>
                      <w:szCs w:val="21"/>
                      <w:highlight w:val="none"/>
                      <w:vertAlign w:val="superscript"/>
                      <w:lang w:val="en-US" w:eastAsia="zh-CN"/>
                    </w:rPr>
                    <w:t>3</w:t>
                  </w:r>
                  <w:r>
                    <w:rPr>
                      <w:rFonts w:hint="default" w:ascii="Times New Roman" w:hAnsi="Times New Roman" w:cs="Times New Roman"/>
                      <w:spacing w:val="6"/>
                      <w:sz w:val="21"/>
                      <w:szCs w:val="21"/>
                      <w:highlight w:val="none"/>
                      <w:vertAlign w:val="baseline"/>
                      <w:lang w:val="en-US" w:eastAsia="zh-CN"/>
                    </w:rPr>
                    <w:t>。</w:t>
                  </w:r>
                </w:p>
              </w:tc>
            </w:tr>
            <w:tr w14:paraId="2CB9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06" w:type="pct"/>
                  <w:vMerge w:val="continue"/>
                  <w:vAlign w:val="center"/>
                </w:tcPr>
                <w:p w14:paraId="6CA7831F">
                  <w:pPr>
                    <w:pStyle w:val="20"/>
                    <w:spacing w:line="240" w:lineRule="auto"/>
                    <w:ind w:firstLine="0" w:firstLineChars="0"/>
                    <w:jc w:val="center"/>
                    <w:rPr>
                      <w:rFonts w:hint="default" w:ascii="Times New Roman" w:hAnsi="Times New Roman" w:eastAsia="宋体" w:cs="Times New Roman"/>
                      <w:spacing w:val="6"/>
                      <w:sz w:val="21"/>
                      <w:szCs w:val="21"/>
                    </w:rPr>
                  </w:pPr>
                </w:p>
              </w:tc>
              <w:tc>
                <w:tcPr>
                  <w:tcW w:w="743" w:type="pct"/>
                  <w:shd w:val="clear" w:color="auto" w:fill="auto"/>
                  <w:vAlign w:val="center"/>
                </w:tcPr>
                <w:p w14:paraId="4B959BA5">
                  <w:pPr>
                    <w:pStyle w:val="20"/>
                    <w:spacing w:line="240" w:lineRule="auto"/>
                    <w:ind w:firstLine="0" w:firstLineChars="0"/>
                    <w:jc w:val="center"/>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钻探</w:t>
                  </w:r>
                </w:p>
              </w:tc>
              <w:tc>
                <w:tcPr>
                  <w:tcW w:w="4050" w:type="pct"/>
                  <w:shd w:val="clear" w:color="auto" w:fill="auto"/>
                  <w:vAlign w:val="center"/>
                </w:tcPr>
                <w:p w14:paraId="2A07CFCE">
                  <w:pPr>
                    <w:pStyle w:val="20"/>
                    <w:spacing w:line="240" w:lineRule="auto"/>
                    <w:ind w:firstLine="0" w:firstLineChars="0"/>
                    <w:rPr>
                      <w:rFonts w:hint="default" w:ascii="Times New Roman" w:hAnsi="Times New Roman" w:eastAsia="宋体" w:cs="Times New Roman"/>
                      <w:spacing w:val="6"/>
                      <w:kern w:val="0"/>
                      <w:sz w:val="21"/>
                      <w:szCs w:val="21"/>
                      <w:vertAlign w:val="superscript"/>
                      <w:lang w:val="en-US" w:eastAsia="zh-CN" w:bidi="ar-SA"/>
                    </w:rPr>
                  </w:pPr>
                  <w:r>
                    <w:rPr>
                      <w:rFonts w:hint="default" w:ascii="Times New Roman" w:hAnsi="Times New Roman" w:cs="Times New Roman"/>
                      <w:spacing w:val="6"/>
                      <w:sz w:val="21"/>
                      <w:szCs w:val="21"/>
                      <w:lang w:val="en-US" w:eastAsia="zh-CN"/>
                    </w:rPr>
                    <w:t>钻探工程初步针对区内Mn1、Mn2号矿体布设，设计工作量500米，</w:t>
                  </w:r>
                  <w:r>
                    <w:rPr>
                      <w:rFonts w:hint="default" w:ascii="Times New Roman" w:hAnsi="Times New Roman" w:cs="Times New Roman"/>
                      <w:spacing w:val="6"/>
                      <w:sz w:val="21"/>
                      <w:szCs w:val="21"/>
                      <w:highlight w:val="none"/>
                      <w:lang w:val="en-US" w:eastAsia="zh-CN"/>
                    </w:rPr>
                    <w:t>预留500m工作量，合计工作量1000m。</w:t>
                  </w:r>
                </w:p>
              </w:tc>
            </w:tr>
            <w:tr w14:paraId="5126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06" w:type="pct"/>
                  <w:vMerge w:val="continue"/>
                  <w:vAlign w:val="center"/>
                </w:tcPr>
                <w:p w14:paraId="3B110CDC">
                  <w:pPr>
                    <w:pStyle w:val="20"/>
                    <w:spacing w:line="240" w:lineRule="auto"/>
                    <w:ind w:firstLine="0" w:firstLineChars="0"/>
                    <w:jc w:val="center"/>
                    <w:rPr>
                      <w:rFonts w:hint="default" w:ascii="Times New Roman" w:hAnsi="Times New Roman" w:eastAsia="宋体" w:cs="Times New Roman"/>
                      <w:spacing w:val="6"/>
                      <w:sz w:val="21"/>
                      <w:szCs w:val="21"/>
                    </w:rPr>
                  </w:pPr>
                </w:p>
              </w:tc>
              <w:tc>
                <w:tcPr>
                  <w:tcW w:w="743" w:type="pct"/>
                  <w:shd w:val="clear" w:color="auto" w:fill="auto"/>
                  <w:vAlign w:val="center"/>
                </w:tcPr>
                <w:p w14:paraId="5243D56F">
                  <w:pPr>
                    <w:pStyle w:val="20"/>
                    <w:spacing w:line="240" w:lineRule="auto"/>
                    <w:ind w:firstLine="0" w:firstLineChars="0"/>
                    <w:jc w:val="center"/>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样品采集与测试</w:t>
                  </w:r>
                </w:p>
              </w:tc>
              <w:tc>
                <w:tcPr>
                  <w:tcW w:w="4050" w:type="pct"/>
                  <w:shd w:val="clear" w:color="auto" w:fill="auto"/>
                  <w:vAlign w:val="center"/>
                </w:tcPr>
                <w:p w14:paraId="1296D3D2">
                  <w:pPr>
                    <w:pStyle w:val="20"/>
                    <w:spacing w:line="240" w:lineRule="auto"/>
                    <w:ind w:firstLine="0" w:firstLineChars="0"/>
                    <w:rPr>
                      <w:rFonts w:hint="default" w:ascii="Times New Roman" w:hAnsi="Times New Roman" w:cs="Times New Roman"/>
                      <w:spacing w:val="6"/>
                      <w:sz w:val="21"/>
                      <w:szCs w:val="21"/>
                      <w:lang w:val="en-US" w:eastAsia="zh-CN"/>
                    </w:rPr>
                  </w:pPr>
                  <w:r>
                    <w:rPr>
                      <w:rFonts w:hint="default" w:ascii="Times New Roman" w:hAnsi="Times New Roman" w:cs="Times New Roman"/>
                      <w:spacing w:val="6"/>
                      <w:sz w:val="21"/>
                      <w:szCs w:val="21"/>
                      <w:lang w:val="en-US" w:eastAsia="zh-CN"/>
                    </w:rPr>
                    <w:t>样品采集：基本分析样450件、组合分析样5件、物相分析样5件、化探分析样1500件、一般岩矿分析样40件、内检样30件、外检样30件、小体重样20件。</w:t>
                  </w:r>
                </w:p>
                <w:p w14:paraId="6FB45E43">
                  <w:pPr>
                    <w:pStyle w:val="20"/>
                    <w:spacing w:line="240" w:lineRule="auto"/>
                    <w:ind w:firstLine="0" w:firstLineChars="0"/>
                    <w:rPr>
                      <w:rFonts w:hint="default" w:ascii="Times New Roman" w:hAnsi="Times New Roman" w:eastAsia="宋体" w:cs="Times New Roman"/>
                      <w:spacing w:val="6"/>
                      <w:kern w:val="0"/>
                      <w:sz w:val="21"/>
                      <w:szCs w:val="21"/>
                      <w:lang w:val="en-US" w:eastAsia="zh-CN" w:bidi="ar-SA"/>
                    </w:rPr>
                  </w:pPr>
                  <w:r>
                    <w:rPr>
                      <w:rFonts w:hint="default" w:ascii="Times New Roman" w:hAnsi="Times New Roman" w:cs="Times New Roman"/>
                      <w:spacing w:val="6"/>
                      <w:sz w:val="21"/>
                      <w:szCs w:val="21"/>
                      <w:lang w:val="en-US" w:eastAsia="zh-CN"/>
                    </w:rPr>
                    <w:t>样品测试：交由有资质的单位进行分析测试。</w:t>
                  </w:r>
                </w:p>
              </w:tc>
            </w:tr>
            <w:tr w14:paraId="74CA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restart"/>
                  <w:vAlign w:val="center"/>
                </w:tcPr>
                <w:p w14:paraId="4D17AD89">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储运工程</w:t>
                  </w:r>
                </w:p>
              </w:tc>
              <w:tc>
                <w:tcPr>
                  <w:tcW w:w="743" w:type="pct"/>
                  <w:vAlign w:val="center"/>
                </w:tcPr>
                <w:p w14:paraId="5F8BCA29">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施工道路</w:t>
                  </w:r>
                </w:p>
              </w:tc>
              <w:tc>
                <w:tcPr>
                  <w:tcW w:w="4050" w:type="pct"/>
                  <w:vAlign w:val="center"/>
                </w:tcPr>
                <w:p w14:paraId="3155034E">
                  <w:pPr>
                    <w:pStyle w:val="20"/>
                    <w:spacing w:line="240" w:lineRule="auto"/>
                    <w:ind w:firstLine="0" w:firstLineChars="0"/>
                    <w:jc w:val="both"/>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highlight w:val="none"/>
                    </w:rPr>
                    <w:t>矿区内部</w:t>
                  </w:r>
                  <w:r>
                    <w:rPr>
                      <w:rFonts w:hint="default" w:ascii="Times New Roman" w:hAnsi="Times New Roman" w:cs="Times New Roman"/>
                      <w:spacing w:val="6"/>
                      <w:sz w:val="21"/>
                      <w:szCs w:val="21"/>
                      <w:highlight w:val="none"/>
                      <w:lang w:val="en-US" w:eastAsia="zh-CN"/>
                    </w:rPr>
                    <w:t>有已建道路，可以满足本项目探矿需要，无需新建道路</w:t>
                  </w:r>
                  <w:r>
                    <w:rPr>
                      <w:rFonts w:hint="default" w:ascii="Times New Roman" w:hAnsi="Times New Roman" w:cs="Times New Roman"/>
                      <w:spacing w:val="6"/>
                      <w:sz w:val="21"/>
                      <w:szCs w:val="21"/>
                      <w:highlight w:val="none"/>
                      <w:lang w:eastAsia="zh-CN"/>
                    </w:rPr>
                    <w:t>；</w:t>
                  </w:r>
                  <w:r>
                    <w:rPr>
                      <w:rFonts w:hint="default" w:ascii="Times New Roman" w:hAnsi="Times New Roman" w:cs="Times New Roman"/>
                      <w:spacing w:val="6"/>
                      <w:sz w:val="21"/>
                      <w:szCs w:val="21"/>
                      <w:highlight w:val="none"/>
                      <w:lang w:val="en-US" w:eastAsia="zh-CN"/>
                    </w:rPr>
                    <w:t>沿216国道可到达勘查区北部山前坎土块一带，后有简易砂石路可到达勘查区，运距3.9km</w:t>
                  </w:r>
                  <w:r>
                    <w:rPr>
                      <w:rFonts w:hint="default" w:ascii="Times New Roman" w:hAnsi="Times New Roman" w:cs="Times New Roman"/>
                      <w:spacing w:val="6"/>
                      <w:sz w:val="21"/>
                      <w:szCs w:val="21"/>
                      <w:highlight w:val="none"/>
                    </w:rPr>
                    <w:t>。</w:t>
                  </w:r>
                </w:p>
              </w:tc>
            </w:tr>
            <w:tr w14:paraId="3F87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continue"/>
                  <w:vAlign w:val="center"/>
                </w:tcPr>
                <w:p w14:paraId="3FF92FCC">
                  <w:pPr>
                    <w:pStyle w:val="20"/>
                    <w:spacing w:line="240" w:lineRule="auto"/>
                    <w:ind w:firstLine="0" w:firstLineChars="0"/>
                    <w:jc w:val="center"/>
                    <w:rPr>
                      <w:rFonts w:hint="default" w:ascii="Times New Roman" w:hAnsi="Times New Roman" w:eastAsia="宋体" w:cs="Times New Roman"/>
                      <w:spacing w:val="3"/>
                      <w:sz w:val="21"/>
                      <w:szCs w:val="21"/>
                    </w:rPr>
                  </w:pPr>
                </w:p>
              </w:tc>
              <w:tc>
                <w:tcPr>
                  <w:tcW w:w="743" w:type="pct"/>
                  <w:vAlign w:val="center"/>
                </w:tcPr>
                <w:p w14:paraId="67660A43">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临时堆场</w:t>
                  </w:r>
                </w:p>
              </w:tc>
              <w:tc>
                <w:tcPr>
                  <w:tcW w:w="4050" w:type="pct"/>
                  <w:vAlign w:val="center"/>
                </w:tcPr>
                <w:p w14:paraId="2AD9B567">
                  <w:pPr>
                    <w:pStyle w:val="20"/>
                    <w:spacing w:line="240" w:lineRule="auto"/>
                    <w:ind w:firstLine="0" w:firstLineChars="0"/>
                    <w:rPr>
                      <w:rFonts w:hint="default" w:ascii="Times New Roman" w:hAnsi="Times New Roman" w:eastAsia="宋体" w:cs="Times New Roman"/>
                      <w:spacing w:val="9"/>
                      <w:sz w:val="21"/>
                      <w:szCs w:val="21"/>
                      <w:lang w:eastAsia="zh-CN"/>
                    </w:rPr>
                  </w:pPr>
                  <w:r>
                    <w:rPr>
                      <w:rFonts w:hint="default" w:ascii="Times New Roman" w:hAnsi="Times New Roman" w:eastAsia="宋体" w:cs="Times New Roman"/>
                      <w:spacing w:val="9"/>
                      <w:sz w:val="21"/>
                      <w:szCs w:val="21"/>
                      <w:lang w:eastAsia="zh-CN"/>
                    </w:rPr>
                    <w:t>在TC</w:t>
                  </w:r>
                  <w:r>
                    <w:rPr>
                      <w:rFonts w:hint="default" w:ascii="Times New Roman" w:hAnsi="Times New Roman" w:cs="Times New Roman"/>
                      <w:spacing w:val="9"/>
                      <w:sz w:val="21"/>
                      <w:szCs w:val="21"/>
                      <w:lang w:val="en-US" w:eastAsia="zh-CN"/>
                    </w:rPr>
                    <w:t>0-1</w:t>
                  </w:r>
                  <w:r>
                    <w:rPr>
                      <w:rFonts w:hint="default" w:ascii="Times New Roman" w:hAnsi="Times New Roman" w:eastAsia="宋体" w:cs="Times New Roman"/>
                      <w:spacing w:val="9"/>
                      <w:sz w:val="21"/>
                      <w:szCs w:val="21"/>
                      <w:lang w:eastAsia="zh-CN"/>
                    </w:rPr>
                    <w:t>、TC</w:t>
                  </w:r>
                  <w:r>
                    <w:rPr>
                      <w:rFonts w:hint="default" w:ascii="Times New Roman" w:hAnsi="Times New Roman" w:cs="Times New Roman"/>
                      <w:spacing w:val="9"/>
                      <w:sz w:val="21"/>
                      <w:szCs w:val="21"/>
                      <w:lang w:val="en-US" w:eastAsia="zh-CN"/>
                    </w:rPr>
                    <w:t>15-1</w:t>
                  </w:r>
                  <w:r>
                    <w:rPr>
                      <w:rFonts w:hint="default" w:ascii="Times New Roman" w:hAnsi="Times New Roman" w:eastAsia="宋体" w:cs="Times New Roman"/>
                      <w:spacing w:val="9"/>
                      <w:sz w:val="21"/>
                      <w:szCs w:val="21"/>
                      <w:lang w:eastAsia="zh-CN"/>
                    </w:rPr>
                    <w:t>、TC</w:t>
                  </w:r>
                  <w:r>
                    <w:rPr>
                      <w:rFonts w:hint="default" w:ascii="Times New Roman" w:hAnsi="Times New Roman" w:cs="Times New Roman"/>
                      <w:spacing w:val="9"/>
                      <w:sz w:val="21"/>
                      <w:szCs w:val="21"/>
                      <w:lang w:val="en-US" w:eastAsia="zh-CN"/>
                    </w:rPr>
                    <w:t>7-1、</w:t>
                  </w:r>
                  <w:r>
                    <w:rPr>
                      <w:rFonts w:hint="default" w:ascii="Times New Roman" w:hAnsi="Times New Roman" w:eastAsia="宋体" w:cs="Times New Roman"/>
                      <w:spacing w:val="9"/>
                      <w:sz w:val="21"/>
                      <w:szCs w:val="21"/>
                      <w:lang w:eastAsia="zh-CN"/>
                    </w:rPr>
                    <w:t>TC</w:t>
                  </w:r>
                  <w:r>
                    <w:rPr>
                      <w:rFonts w:hint="default" w:ascii="Times New Roman" w:hAnsi="Times New Roman" w:cs="Times New Roman"/>
                      <w:spacing w:val="9"/>
                      <w:sz w:val="21"/>
                      <w:szCs w:val="21"/>
                      <w:lang w:val="en-US" w:eastAsia="zh-CN"/>
                    </w:rPr>
                    <w:t>8-1</w:t>
                  </w:r>
                  <w:r>
                    <w:rPr>
                      <w:rFonts w:hint="default" w:ascii="Times New Roman" w:hAnsi="Times New Roman" w:eastAsia="宋体" w:cs="Times New Roman"/>
                      <w:spacing w:val="9"/>
                      <w:sz w:val="21"/>
                      <w:szCs w:val="21"/>
                      <w:lang w:eastAsia="zh-CN"/>
                    </w:rPr>
                    <w:t>探槽旁各设置一个</w:t>
                  </w:r>
                  <w:r>
                    <w:rPr>
                      <w:rFonts w:hint="default" w:ascii="Times New Roman" w:hAnsi="Times New Roman" w:cs="Times New Roman"/>
                      <w:spacing w:val="9"/>
                      <w:sz w:val="21"/>
                      <w:szCs w:val="21"/>
                      <w:highlight w:val="none"/>
                      <w:lang w:eastAsia="zh-CN"/>
                    </w:rPr>
                    <w:t>200</w:t>
                  </w:r>
                  <w:r>
                    <w:rPr>
                      <w:rFonts w:hint="default" w:ascii="Times New Roman" w:hAnsi="Times New Roman" w:eastAsia="宋体" w:cs="Times New Roman"/>
                      <w:spacing w:val="9"/>
                      <w:sz w:val="21"/>
                      <w:szCs w:val="21"/>
                      <w:lang w:eastAsia="zh-CN"/>
                    </w:rPr>
                    <w:t>m</w:t>
                  </w:r>
                  <w:r>
                    <w:rPr>
                      <w:rFonts w:hint="default" w:ascii="Times New Roman" w:hAnsi="Times New Roman" w:eastAsia="宋体" w:cs="Times New Roman"/>
                      <w:spacing w:val="9"/>
                      <w:sz w:val="21"/>
                      <w:szCs w:val="21"/>
                      <w:vertAlign w:val="superscript"/>
                      <w:lang w:eastAsia="zh-CN"/>
                    </w:rPr>
                    <w:t>2</w:t>
                  </w:r>
                  <w:r>
                    <w:rPr>
                      <w:rFonts w:hint="default" w:ascii="Times New Roman" w:hAnsi="Times New Roman" w:eastAsia="宋体" w:cs="Times New Roman"/>
                      <w:spacing w:val="9"/>
                      <w:sz w:val="21"/>
                      <w:szCs w:val="21"/>
                      <w:lang w:eastAsia="zh-CN"/>
                    </w:rPr>
                    <w:t>的临时堆放场，用于存放槽探过程挖出的土方及废石，每个探槽取样结束后及时进行回填（堆放高度不宜超过1.5m，确保堆填边坡稳定。探槽上方禁止堆放土石，预防形成</w:t>
                  </w:r>
                  <w:r>
                    <w:rPr>
                      <w:rFonts w:hint="default" w:ascii="Times New Roman" w:hAnsi="Times New Roman" w:cs="Times New Roman"/>
                      <w:spacing w:val="9"/>
                      <w:sz w:val="21"/>
                      <w:szCs w:val="21"/>
                      <w:lang w:eastAsia="zh-CN"/>
                    </w:rPr>
                    <w:t>滑坡</w:t>
                  </w:r>
                  <w:r>
                    <w:rPr>
                      <w:rFonts w:hint="default" w:ascii="Times New Roman" w:hAnsi="Times New Roman" w:eastAsia="宋体" w:cs="Times New Roman"/>
                      <w:spacing w:val="9"/>
                      <w:sz w:val="21"/>
                      <w:szCs w:val="21"/>
                      <w:lang w:eastAsia="zh-CN"/>
                    </w:rPr>
                    <w:t>或坡面泥石流等次生灾害）。临时堆放场设置环场截水沟，引导雨水扰流，坡脚设置沙袋挡墙，堆放的临时土石方及时用防尘网遮盖。</w:t>
                  </w:r>
                </w:p>
              </w:tc>
            </w:tr>
            <w:tr w14:paraId="1488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restart"/>
                  <w:vAlign w:val="center"/>
                </w:tcPr>
                <w:p w14:paraId="7D69AD34">
                  <w:pPr>
                    <w:pStyle w:val="21"/>
                    <w:spacing w:before="65" w:line="229" w:lineRule="auto"/>
                    <w:jc w:val="center"/>
                    <w:rPr>
                      <w:rFonts w:hint="default" w:ascii="Times New Roman" w:hAnsi="Times New Roman" w:eastAsia="宋体" w:cs="Times New Roman"/>
                      <w:spacing w:val="3"/>
                      <w:sz w:val="21"/>
                      <w:szCs w:val="21"/>
                    </w:rPr>
                  </w:pPr>
                  <w:r>
                    <w:rPr>
                      <w:rFonts w:hint="default" w:ascii="Times New Roman" w:hAnsi="Times New Roman" w:eastAsia="宋体" w:cs="Times New Roman"/>
                      <w:spacing w:val="1"/>
                      <w:sz w:val="21"/>
                      <w:szCs w:val="21"/>
                      <w:lang w:eastAsia="zh-CN"/>
                    </w:rPr>
                    <w:t>公用工程</w:t>
                  </w:r>
                </w:p>
              </w:tc>
              <w:tc>
                <w:tcPr>
                  <w:tcW w:w="743" w:type="pct"/>
                  <w:vAlign w:val="center"/>
                </w:tcPr>
                <w:p w14:paraId="7A8CDC4A">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供电</w:t>
                  </w:r>
                </w:p>
              </w:tc>
              <w:tc>
                <w:tcPr>
                  <w:tcW w:w="4050" w:type="pct"/>
                  <w:vAlign w:val="center"/>
                </w:tcPr>
                <w:p w14:paraId="2383B696">
                  <w:pPr>
                    <w:pStyle w:val="20"/>
                    <w:spacing w:line="240" w:lineRule="auto"/>
                    <w:ind w:firstLine="0" w:firstLineChars="0"/>
                    <w:rPr>
                      <w:rFonts w:hint="default" w:ascii="Times New Roman" w:hAnsi="Times New Roman" w:eastAsia="宋体" w:cs="Times New Roman"/>
                      <w:spacing w:val="6"/>
                      <w:sz w:val="21"/>
                      <w:szCs w:val="21"/>
                      <w:highlight w:val="yellow"/>
                    </w:rPr>
                  </w:pPr>
                  <w:r>
                    <w:rPr>
                      <w:rFonts w:hint="default" w:ascii="Times New Roman" w:hAnsi="Times New Roman" w:eastAsia="宋体" w:cs="Times New Roman"/>
                      <w:spacing w:val="6"/>
                      <w:sz w:val="21"/>
                      <w:szCs w:val="21"/>
                      <w:highlight w:val="none"/>
                    </w:rPr>
                    <w:t>设置</w:t>
                  </w:r>
                  <w:r>
                    <w:rPr>
                      <w:rFonts w:hint="default" w:ascii="Times New Roman" w:hAnsi="Times New Roman" w:cs="Times New Roman"/>
                      <w:spacing w:val="6"/>
                      <w:sz w:val="21"/>
                      <w:szCs w:val="21"/>
                      <w:lang w:val="en-US" w:eastAsia="zh-CN"/>
                    </w:rPr>
                    <w:t>两</w:t>
                  </w:r>
                  <w:r>
                    <w:rPr>
                      <w:rFonts w:hint="default" w:ascii="Times New Roman" w:hAnsi="Times New Roman" w:cs="Times New Roman"/>
                      <w:spacing w:val="6"/>
                      <w:sz w:val="21"/>
                      <w:szCs w:val="21"/>
                    </w:rPr>
                    <w:t>台大功率柴油发电机，提供生活</w:t>
                  </w:r>
                  <w:r>
                    <w:rPr>
                      <w:rFonts w:hint="default" w:ascii="Times New Roman" w:hAnsi="Times New Roman" w:cs="Times New Roman"/>
                      <w:spacing w:val="6"/>
                      <w:sz w:val="21"/>
                      <w:szCs w:val="21"/>
                      <w:lang w:val="en-US" w:eastAsia="zh-CN"/>
                    </w:rPr>
                    <w:t>和生产</w:t>
                  </w:r>
                  <w:r>
                    <w:rPr>
                      <w:rFonts w:hint="default" w:ascii="Times New Roman" w:hAnsi="Times New Roman" w:cs="Times New Roman"/>
                      <w:spacing w:val="6"/>
                      <w:sz w:val="21"/>
                      <w:szCs w:val="21"/>
                    </w:rPr>
                    <w:t>用电</w:t>
                  </w:r>
                  <w:r>
                    <w:rPr>
                      <w:rFonts w:hint="default" w:ascii="Times New Roman" w:hAnsi="Times New Roman" w:cs="Times New Roman"/>
                      <w:spacing w:val="6"/>
                      <w:sz w:val="21"/>
                      <w:szCs w:val="21"/>
                      <w:highlight w:val="none"/>
                      <w:lang w:eastAsia="zh-CN"/>
                    </w:rPr>
                    <w:t>；</w:t>
                  </w:r>
                  <w:r>
                    <w:rPr>
                      <w:rFonts w:hint="default" w:ascii="Times New Roman" w:hAnsi="Times New Roman" w:cs="Times New Roman"/>
                      <w:spacing w:val="6"/>
                      <w:sz w:val="21"/>
                      <w:szCs w:val="21"/>
                      <w:lang w:val="en-US" w:eastAsia="zh-CN"/>
                    </w:rPr>
                    <w:t>项目自备油罐车从民丰县拉运柴油，运距180km，</w:t>
                  </w:r>
                  <w:r>
                    <w:rPr>
                      <w:rFonts w:hint="default" w:ascii="Times New Roman" w:hAnsi="Times New Roman" w:cs="Times New Roman"/>
                      <w:spacing w:val="6"/>
                      <w:sz w:val="21"/>
                      <w:szCs w:val="21"/>
                      <w:highlight w:val="none"/>
                      <w:lang w:val="en-US" w:eastAsia="zh-CN"/>
                    </w:rPr>
                    <w:t>用于施工机械设备使用。</w:t>
                  </w:r>
                </w:p>
              </w:tc>
            </w:tr>
            <w:tr w14:paraId="3FC0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continue"/>
                  <w:vAlign w:val="center"/>
                </w:tcPr>
                <w:p w14:paraId="0BC8EBE3">
                  <w:pPr>
                    <w:pStyle w:val="20"/>
                    <w:spacing w:line="240" w:lineRule="auto"/>
                    <w:ind w:firstLine="0" w:firstLineChars="0"/>
                    <w:jc w:val="center"/>
                    <w:rPr>
                      <w:rFonts w:hint="default" w:ascii="Times New Roman" w:hAnsi="Times New Roman" w:eastAsia="宋体" w:cs="Times New Roman"/>
                      <w:spacing w:val="3"/>
                      <w:sz w:val="21"/>
                      <w:szCs w:val="21"/>
                    </w:rPr>
                  </w:pPr>
                </w:p>
              </w:tc>
              <w:tc>
                <w:tcPr>
                  <w:tcW w:w="743" w:type="pct"/>
                  <w:vAlign w:val="center"/>
                </w:tcPr>
                <w:p w14:paraId="0B6F4E55">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供水</w:t>
                  </w:r>
                </w:p>
              </w:tc>
              <w:tc>
                <w:tcPr>
                  <w:tcW w:w="4050" w:type="pct"/>
                  <w:vAlign w:val="center"/>
                </w:tcPr>
                <w:p w14:paraId="3F6961E4">
                  <w:pPr>
                    <w:pStyle w:val="20"/>
                    <w:spacing w:line="240" w:lineRule="auto"/>
                    <w:ind w:firstLine="0" w:firstLineChars="0"/>
                    <w:rPr>
                      <w:rFonts w:hint="default" w:ascii="Times New Roman" w:hAnsi="Times New Roman" w:eastAsia="宋体" w:cs="Times New Roman"/>
                      <w:spacing w:val="6"/>
                      <w:sz w:val="21"/>
                      <w:szCs w:val="21"/>
                      <w:highlight w:val="yellow"/>
                      <w:lang w:val="en-US" w:eastAsia="zh-CN"/>
                    </w:rPr>
                  </w:pPr>
                  <w:r>
                    <w:rPr>
                      <w:rFonts w:hint="default" w:ascii="Times New Roman" w:hAnsi="Times New Roman" w:eastAsia="宋体" w:cs="Times New Roman"/>
                      <w:spacing w:val="6"/>
                      <w:sz w:val="21"/>
                      <w:szCs w:val="21"/>
                      <w:highlight w:val="none"/>
                      <w:lang w:val="en-US" w:eastAsia="zh-CN"/>
                    </w:rPr>
                    <w:t>生产用水和生活用水均取自项目区</w:t>
                  </w:r>
                  <w:r>
                    <w:rPr>
                      <w:rFonts w:hint="default" w:ascii="Times New Roman" w:hAnsi="Times New Roman" w:cs="Times New Roman"/>
                      <w:spacing w:val="6"/>
                      <w:sz w:val="21"/>
                      <w:szCs w:val="21"/>
                      <w:highlight w:val="none"/>
                      <w:lang w:val="en-US" w:eastAsia="zh-CN"/>
                    </w:rPr>
                    <w:t>内部的博斯坦托格拉克河</w:t>
                  </w:r>
                  <w:r>
                    <w:rPr>
                      <w:rFonts w:hint="default" w:ascii="Times New Roman" w:hAnsi="Times New Roman" w:eastAsia="宋体" w:cs="Times New Roman"/>
                      <w:spacing w:val="6"/>
                      <w:sz w:val="21"/>
                      <w:szCs w:val="21"/>
                      <w:highlight w:val="none"/>
                      <w:lang w:val="en-US" w:eastAsia="zh-CN"/>
                    </w:rPr>
                    <w:t>（</w:t>
                  </w:r>
                  <w:r>
                    <w:rPr>
                      <w:rFonts w:hint="default" w:ascii="Times New Roman" w:hAnsi="Times New Roman" w:cs="Times New Roman"/>
                      <w:spacing w:val="6"/>
                      <w:sz w:val="21"/>
                      <w:szCs w:val="21"/>
                      <w:highlight w:val="none"/>
                      <w:lang w:val="en-US" w:eastAsia="zh-CN"/>
                    </w:rPr>
                    <w:t>季节性</w:t>
                  </w:r>
                  <w:r>
                    <w:rPr>
                      <w:rFonts w:hint="default" w:ascii="Times New Roman" w:hAnsi="Times New Roman" w:eastAsia="宋体" w:cs="Times New Roman"/>
                      <w:spacing w:val="6"/>
                      <w:sz w:val="21"/>
                      <w:szCs w:val="21"/>
                      <w:highlight w:val="none"/>
                      <w:lang w:val="en-US" w:eastAsia="zh-CN"/>
                    </w:rPr>
                    <w:t>河流），</w:t>
                  </w:r>
                  <w:r>
                    <w:rPr>
                      <w:rFonts w:hint="default" w:ascii="Times New Roman" w:hAnsi="Times New Roman" w:cs="Times New Roman"/>
                      <w:spacing w:val="6"/>
                      <w:sz w:val="21"/>
                      <w:szCs w:val="21"/>
                      <w:highlight w:val="none"/>
                      <w:lang w:val="en-US" w:eastAsia="zh-CN"/>
                    </w:rPr>
                    <w:t>河流</w:t>
                  </w:r>
                  <w:r>
                    <w:rPr>
                      <w:rFonts w:hint="default" w:ascii="Times New Roman" w:hAnsi="Times New Roman" w:eastAsia="宋体" w:cs="Times New Roman"/>
                      <w:spacing w:val="6"/>
                      <w:sz w:val="21"/>
                      <w:szCs w:val="21"/>
                      <w:highlight w:val="none"/>
                      <w:lang w:val="en-US" w:eastAsia="zh-CN"/>
                    </w:rPr>
                    <w:t>走向</w:t>
                  </w:r>
                  <w:r>
                    <w:rPr>
                      <w:rFonts w:hint="default" w:ascii="Times New Roman" w:hAnsi="Times New Roman" w:cs="Times New Roman"/>
                      <w:spacing w:val="6"/>
                      <w:sz w:val="21"/>
                      <w:szCs w:val="21"/>
                      <w:highlight w:val="none"/>
                      <w:lang w:val="en-US" w:eastAsia="zh-CN"/>
                    </w:rPr>
                    <w:t>为</w:t>
                  </w:r>
                  <w:r>
                    <w:rPr>
                      <w:rFonts w:hint="default" w:ascii="Times New Roman" w:hAnsi="Times New Roman" w:eastAsia="宋体" w:cs="Times New Roman"/>
                      <w:spacing w:val="6"/>
                      <w:sz w:val="21"/>
                      <w:szCs w:val="21"/>
                      <w:highlight w:val="none"/>
                      <w:lang w:val="en-US" w:eastAsia="zh-CN"/>
                    </w:rPr>
                    <w:t>西北至东南。</w:t>
                  </w:r>
                </w:p>
              </w:tc>
            </w:tr>
            <w:tr w14:paraId="48E3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6" w:type="pct"/>
                  <w:vMerge w:val="restart"/>
                  <w:vAlign w:val="center"/>
                </w:tcPr>
                <w:p w14:paraId="4B49DD7A">
                  <w:pPr>
                    <w:pStyle w:val="20"/>
                    <w:spacing w:line="240" w:lineRule="auto"/>
                    <w:ind w:firstLine="0" w:firstLineChars="0"/>
                    <w:rPr>
                      <w:rFonts w:hint="default" w:ascii="Times New Roman" w:hAnsi="Times New Roman" w:eastAsia="宋体" w:cs="Times New Roman"/>
                      <w:spacing w:val="6"/>
                      <w:sz w:val="21"/>
                      <w:szCs w:val="21"/>
                    </w:rPr>
                  </w:pPr>
                </w:p>
                <w:p w14:paraId="6E9DED89">
                  <w:pPr>
                    <w:pStyle w:val="20"/>
                    <w:spacing w:line="240" w:lineRule="auto"/>
                    <w:ind w:firstLine="0" w:firstLineChars="0"/>
                    <w:rPr>
                      <w:rFonts w:hint="default" w:ascii="Times New Roman" w:hAnsi="Times New Roman" w:eastAsia="宋体" w:cs="Times New Roman"/>
                      <w:spacing w:val="6"/>
                      <w:sz w:val="21"/>
                      <w:szCs w:val="21"/>
                    </w:rPr>
                  </w:pPr>
                </w:p>
                <w:p w14:paraId="71828136">
                  <w:pPr>
                    <w:pStyle w:val="20"/>
                    <w:spacing w:line="240" w:lineRule="auto"/>
                    <w:ind w:firstLine="0" w:firstLineChars="0"/>
                    <w:rPr>
                      <w:rFonts w:hint="default" w:ascii="Times New Roman" w:hAnsi="Times New Roman" w:eastAsia="宋体" w:cs="Times New Roman"/>
                      <w:spacing w:val="6"/>
                      <w:sz w:val="21"/>
                      <w:szCs w:val="21"/>
                    </w:rPr>
                  </w:pPr>
                </w:p>
                <w:p w14:paraId="65E2A7F7">
                  <w:pPr>
                    <w:pStyle w:val="20"/>
                    <w:spacing w:line="240" w:lineRule="auto"/>
                    <w:ind w:firstLine="0" w:firstLineChars="0"/>
                    <w:rPr>
                      <w:rFonts w:hint="default" w:ascii="Times New Roman" w:hAnsi="Times New Roman" w:eastAsia="宋体" w:cs="Times New Roman"/>
                      <w:spacing w:val="6"/>
                      <w:sz w:val="21"/>
                      <w:szCs w:val="21"/>
                    </w:rPr>
                  </w:pPr>
                </w:p>
                <w:p w14:paraId="2AED4D23">
                  <w:pPr>
                    <w:pStyle w:val="20"/>
                    <w:spacing w:line="240" w:lineRule="auto"/>
                    <w:ind w:firstLine="0" w:firstLineChars="0"/>
                    <w:rPr>
                      <w:rFonts w:hint="default" w:ascii="Times New Roman" w:hAnsi="Times New Roman" w:eastAsia="宋体" w:cs="Times New Roman"/>
                      <w:spacing w:val="6"/>
                      <w:sz w:val="21"/>
                      <w:szCs w:val="21"/>
                    </w:rPr>
                  </w:pPr>
                </w:p>
                <w:p w14:paraId="5AA988EF">
                  <w:pPr>
                    <w:pStyle w:val="20"/>
                    <w:spacing w:line="240" w:lineRule="auto"/>
                    <w:ind w:firstLine="0" w:firstLineChars="0"/>
                    <w:rPr>
                      <w:rFonts w:hint="default" w:ascii="Times New Roman" w:hAnsi="Times New Roman" w:eastAsia="宋体" w:cs="Times New Roman"/>
                      <w:spacing w:val="6"/>
                      <w:sz w:val="21"/>
                      <w:szCs w:val="21"/>
                    </w:rPr>
                  </w:pPr>
                </w:p>
                <w:p w14:paraId="5BCF7E6C">
                  <w:pPr>
                    <w:pStyle w:val="20"/>
                    <w:spacing w:line="240" w:lineRule="auto"/>
                    <w:ind w:firstLine="0" w:firstLineChars="0"/>
                    <w:rPr>
                      <w:rFonts w:hint="default" w:ascii="Times New Roman" w:hAnsi="Times New Roman" w:eastAsia="宋体" w:cs="Times New Roman"/>
                      <w:spacing w:val="6"/>
                      <w:sz w:val="21"/>
                      <w:szCs w:val="21"/>
                    </w:rPr>
                  </w:pPr>
                </w:p>
                <w:p w14:paraId="5B19DE40">
                  <w:pPr>
                    <w:pStyle w:val="20"/>
                    <w:spacing w:line="240" w:lineRule="auto"/>
                    <w:ind w:firstLine="0" w:firstLineChars="0"/>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环保工程</w:t>
                  </w:r>
                </w:p>
              </w:tc>
              <w:tc>
                <w:tcPr>
                  <w:tcW w:w="743" w:type="pct"/>
                  <w:vAlign w:val="center"/>
                </w:tcPr>
                <w:p w14:paraId="2B080715">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废气</w:t>
                  </w:r>
                </w:p>
              </w:tc>
              <w:tc>
                <w:tcPr>
                  <w:tcW w:w="4050" w:type="pct"/>
                  <w:vAlign w:val="center"/>
                </w:tcPr>
                <w:p w14:paraId="53E4EA6D">
                  <w:pPr>
                    <w:pStyle w:val="20"/>
                    <w:spacing w:line="240" w:lineRule="auto"/>
                    <w:ind w:firstLine="0" w:firstLineChars="0"/>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扬尘：采取</w:t>
                  </w:r>
                  <w:r>
                    <w:rPr>
                      <w:rFonts w:hint="default" w:ascii="Times New Roman" w:hAnsi="Times New Roman" w:cs="Times New Roman"/>
                      <w:spacing w:val="6"/>
                      <w:sz w:val="21"/>
                      <w:szCs w:val="21"/>
                      <w:highlight w:val="none"/>
                      <w:lang w:val="en-US" w:eastAsia="zh-CN"/>
                    </w:rPr>
                    <w:t>对</w:t>
                  </w:r>
                  <w:r>
                    <w:rPr>
                      <w:rFonts w:hint="default" w:ascii="Times New Roman" w:hAnsi="Times New Roman" w:eastAsia="宋体" w:cs="Times New Roman"/>
                      <w:bCs/>
                      <w:color w:val="000000"/>
                      <w:kern w:val="0"/>
                      <w:sz w:val="21"/>
                      <w:szCs w:val="21"/>
                      <w:highlight w:val="none"/>
                      <w:lang w:val="en-US" w:eastAsia="zh-CN"/>
                    </w:rPr>
                    <w:t>易起尘物料进行遮盖、运输车辆低速慢行并</w:t>
                  </w:r>
                  <w:r>
                    <w:rPr>
                      <w:rFonts w:hint="default" w:ascii="Times New Roman" w:hAnsi="Times New Roman" w:cs="Times New Roman"/>
                      <w:bCs/>
                      <w:color w:val="000000"/>
                      <w:kern w:val="0"/>
                      <w:sz w:val="21"/>
                      <w:szCs w:val="21"/>
                      <w:highlight w:val="none"/>
                      <w:lang w:val="en-US" w:eastAsia="zh-CN"/>
                    </w:rPr>
                    <w:t>进行</w:t>
                  </w:r>
                  <w:r>
                    <w:rPr>
                      <w:rFonts w:hint="default" w:ascii="Times New Roman" w:hAnsi="Times New Roman" w:eastAsia="宋体" w:cs="Times New Roman"/>
                      <w:bCs/>
                      <w:color w:val="000000"/>
                      <w:kern w:val="0"/>
                      <w:sz w:val="21"/>
                      <w:szCs w:val="21"/>
                      <w:highlight w:val="none"/>
                      <w:lang w:val="en-US" w:eastAsia="zh-CN"/>
                    </w:rPr>
                    <w:t>密闭或遮盖等措施</w:t>
                  </w:r>
                  <w:r>
                    <w:rPr>
                      <w:rFonts w:hint="default" w:ascii="Times New Roman" w:hAnsi="Times New Roman" w:eastAsia="宋体" w:cs="Times New Roman"/>
                      <w:spacing w:val="6"/>
                      <w:sz w:val="21"/>
                      <w:szCs w:val="21"/>
                      <w:highlight w:val="none"/>
                    </w:rPr>
                    <w:t>后能减少粉尘的排放。</w:t>
                  </w:r>
                </w:p>
                <w:p w14:paraId="0E4FDAE8">
                  <w:pPr>
                    <w:pStyle w:val="20"/>
                    <w:spacing w:line="240" w:lineRule="auto"/>
                    <w:ind w:firstLine="0" w:firstLineChars="0"/>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燃油废气：对柴油发电机及运输车辆定期维护保养，使用正品燃油，减少尾气排放。</w:t>
                  </w:r>
                </w:p>
              </w:tc>
            </w:tr>
            <w:tr w14:paraId="5164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continue"/>
                  <w:vAlign w:val="center"/>
                </w:tcPr>
                <w:p w14:paraId="01C255FC">
                  <w:pPr>
                    <w:pStyle w:val="20"/>
                    <w:spacing w:line="240" w:lineRule="auto"/>
                    <w:ind w:firstLine="0" w:firstLineChars="0"/>
                    <w:rPr>
                      <w:rFonts w:hint="default" w:ascii="Times New Roman" w:hAnsi="Times New Roman" w:eastAsia="宋体" w:cs="Times New Roman"/>
                      <w:spacing w:val="6"/>
                      <w:sz w:val="21"/>
                      <w:szCs w:val="21"/>
                    </w:rPr>
                  </w:pPr>
                </w:p>
              </w:tc>
              <w:tc>
                <w:tcPr>
                  <w:tcW w:w="743" w:type="pct"/>
                  <w:vAlign w:val="center"/>
                </w:tcPr>
                <w:p w14:paraId="144B7BEA">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废水</w:t>
                  </w:r>
                </w:p>
              </w:tc>
              <w:tc>
                <w:tcPr>
                  <w:tcW w:w="4050" w:type="pct"/>
                  <w:vAlign w:val="center"/>
                </w:tcPr>
                <w:p w14:paraId="1FF58481">
                  <w:pPr>
                    <w:pStyle w:val="20"/>
                    <w:spacing w:line="240" w:lineRule="auto"/>
                    <w:ind w:firstLine="0" w:firstLineChars="0"/>
                    <w:rPr>
                      <w:rFonts w:hint="default" w:ascii="Times New Roman" w:hAnsi="Times New Roman" w:cs="Times New Roman"/>
                      <w:spacing w:val="6"/>
                      <w:sz w:val="21"/>
                      <w:szCs w:val="21"/>
                      <w:highlight w:val="none"/>
                      <w:lang w:eastAsia="zh-CN"/>
                    </w:rPr>
                  </w:pPr>
                  <w:r>
                    <w:rPr>
                      <w:rFonts w:hint="default" w:ascii="Times New Roman" w:hAnsi="Times New Roman" w:cs="Times New Roman"/>
                      <w:spacing w:val="6"/>
                      <w:sz w:val="21"/>
                      <w:szCs w:val="21"/>
                      <w:highlight w:val="none"/>
                      <w:lang w:val="en-US" w:eastAsia="zh-CN"/>
                    </w:rPr>
                    <w:t>本项目在勘探区西北</w:t>
                  </w:r>
                  <w:r>
                    <w:rPr>
                      <w:rFonts w:hint="eastAsia" w:ascii="Times New Roman" w:hAnsi="Times New Roman" w:cs="Times New Roman"/>
                      <w:spacing w:val="6"/>
                      <w:sz w:val="21"/>
                      <w:szCs w:val="21"/>
                      <w:highlight w:val="none"/>
                      <w:lang w:val="en-US" w:eastAsia="zh-CN"/>
                    </w:rPr>
                    <w:t>角</w:t>
                  </w:r>
                  <w:r>
                    <w:rPr>
                      <w:rFonts w:hint="default" w:ascii="Times New Roman" w:hAnsi="Times New Roman" w:cs="Times New Roman"/>
                      <w:spacing w:val="6"/>
                      <w:sz w:val="21"/>
                      <w:szCs w:val="21"/>
                      <w:highlight w:val="none"/>
                      <w:lang w:val="en-US" w:eastAsia="zh-CN"/>
                    </w:rPr>
                    <w:t>搭建</w:t>
                  </w:r>
                  <w:r>
                    <w:rPr>
                      <w:rFonts w:hint="eastAsia" w:ascii="Times New Roman" w:hAnsi="Times New Roman" w:cs="Times New Roman"/>
                      <w:spacing w:val="6"/>
                      <w:sz w:val="21"/>
                      <w:szCs w:val="21"/>
                      <w:highlight w:val="none"/>
                      <w:lang w:val="en-US" w:eastAsia="zh-CN"/>
                    </w:rPr>
                    <w:t>帐篷</w:t>
                  </w:r>
                  <w:r>
                    <w:rPr>
                      <w:rFonts w:hint="default" w:ascii="Times New Roman" w:hAnsi="Times New Roman" w:cs="Times New Roman"/>
                      <w:spacing w:val="6"/>
                      <w:sz w:val="21"/>
                      <w:szCs w:val="21"/>
                      <w:highlight w:val="none"/>
                      <w:lang w:val="en-US" w:eastAsia="zh-CN"/>
                    </w:rPr>
                    <w:t>，设置办公生活营地</w:t>
                  </w:r>
                  <w:r>
                    <w:rPr>
                      <w:rFonts w:hint="default" w:ascii="Times New Roman" w:hAnsi="Times New Roman" w:cs="Times New Roman"/>
                      <w:spacing w:val="6"/>
                      <w:sz w:val="21"/>
                      <w:szCs w:val="21"/>
                      <w:highlight w:val="none"/>
                      <w:lang w:eastAsia="zh-CN"/>
                    </w:rPr>
                    <w:t>，</w:t>
                  </w:r>
                  <w:r>
                    <w:rPr>
                      <w:rFonts w:hint="default" w:ascii="Times New Roman" w:hAnsi="Times New Roman" w:eastAsia="宋体" w:cs="Times New Roman"/>
                      <w:color w:val="auto"/>
                      <w:sz w:val="21"/>
                      <w:szCs w:val="21"/>
                      <w:lang w:val="en-US" w:eastAsia="zh-CN"/>
                    </w:rPr>
                    <w:t>生活污水排入</w:t>
                  </w:r>
                  <w:r>
                    <w:rPr>
                      <w:rFonts w:hint="default" w:ascii="Times New Roman" w:hAnsi="Times New Roman" w:cs="Times New Roman"/>
                      <w:color w:val="auto"/>
                      <w:sz w:val="21"/>
                      <w:szCs w:val="21"/>
                      <w:lang w:val="en-US" w:eastAsia="zh-CN"/>
                    </w:rPr>
                    <w:t>一体化污水处理设施</w:t>
                  </w:r>
                  <w:r>
                    <w:rPr>
                      <w:rFonts w:hint="default" w:ascii="Times New Roman" w:hAnsi="Times New Roman" w:eastAsia="宋体" w:cs="Times New Roman"/>
                      <w:color w:val="auto"/>
                      <w:sz w:val="21"/>
                      <w:szCs w:val="21"/>
                      <w:lang w:val="en-US" w:eastAsia="zh-CN"/>
                    </w:rPr>
                    <w:t>处理达标后，用于</w:t>
                  </w:r>
                  <w:r>
                    <w:rPr>
                      <w:rFonts w:hint="default" w:ascii="Times New Roman" w:hAnsi="Times New Roman" w:cs="Times New Roman"/>
                      <w:sz w:val="21"/>
                      <w:szCs w:val="21"/>
                      <w:lang w:val="en-US" w:eastAsia="zh-CN"/>
                    </w:rPr>
                    <w:t>洒水绿化</w:t>
                  </w:r>
                  <w:r>
                    <w:rPr>
                      <w:rFonts w:hint="default" w:ascii="Times New Roman" w:hAnsi="Times New Roman" w:eastAsia="宋体" w:cs="Times New Roman"/>
                      <w:color w:val="auto"/>
                      <w:sz w:val="21"/>
                      <w:szCs w:val="21"/>
                      <w:lang w:val="en-US" w:eastAsia="zh-CN"/>
                    </w:rPr>
                    <w:t>，不外排</w:t>
                  </w:r>
                  <w:r>
                    <w:rPr>
                      <w:rFonts w:hint="default" w:ascii="Times New Roman" w:hAnsi="Times New Roman" w:cs="Times New Roman"/>
                      <w:color w:val="auto"/>
                      <w:sz w:val="21"/>
                      <w:szCs w:val="21"/>
                      <w:lang w:val="en-US" w:eastAsia="zh-CN"/>
                    </w:rPr>
                    <w:t>；</w:t>
                  </w:r>
                </w:p>
                <w:p w14:paraId="3A570B2F">
                  <w:pPr>
                    <w:pStyle w:val="20"/>
                    <w:spacing w:line="240" w:lineRule="auto"/>
                    <w:ind w:firstLine="0" w:firstLineChars="0"/>
                    <w:rPr>
                      <w:rFonts w:hint="default" w:ascii="Times New Roman" w:hAnsi="Times New Roman" w:eastAsia="宋体" w:cs="Times New Roman"/>
                      <w:spacing w:val="6"/>
                      <w:sz w:val="21"/>
                      <w:szCs w:val="21"/>
                      <w:highlight w:val="yellow"/>
                    </w:rPr>
                  </w:pPr>
                  <w:r>
                    <w:rPr>
                      <w:rFonts w:hint="default" w:ascii="Times New Roman" w:hAnsi="Times New Roman" w:eastAsia="宋体" w:cs="Times New Roman"/>
                      <w:spacing w:val="6"/>
                      <w:sz w:val="21"/>
                      <w:szCs w:val="21"/>
                      <w:highlight w:val="none"/>
                    </w:rPr>
                    <w:t>钻井期产生的废水</w:t>
                  </w:r>
                  <w:r>
                    <w:rPr>
                      <w:rFonts w:hint="default" w:ascii="Times New Roman" w:hAnsi="Times New Roman" w:eastAsia="宋体" w:cs="Times New Roman"/>
                      <w:spacing w:val="6"/>
                      <w:sz w:val="21"/>
                      <w:szCs w:val="21"/>
                      <w:highlight w:val="none"/>
                      <w:lang w:val="en-US" w:eastAsia="zh-CN"/>
                    </w:rPr>
                    <w:t>收集到泥浆池经沉淀后回用</w:t>
                  </w:r>
                  <w:r>
                    <w:rPr>
                      <w:rFonts w:hint="default" w:ascii="Times New Roman" w:hAnsi="Times New Roman" w:eastAsia="宋体" w:cs="Times New Roman"/>
                      <w:spacing w:val="6"/>
                      <w:sz w:val="21"/>
                      <w:szCs w:val="21"/>
                      <w:highlight w:val="none"/>
                    </w:rPr>
                    <w:t>于清洗设备及泥浆的调配，不外排。</w:t>
                  </w:r>
                </w:p>
              </w:tc>
            </w:tr>
            <w:tr w14:paraId="5C16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continue"/>
                  <w:vAlign w:val="center"/>
                </w:tcPr>
                <w:p w14:paraId="19E9FBE6">
                  <w:pPr>
                    <w:pStyle w:val="20"/>
                    <w:spacing w:line="240" w:lineRule="auto"/>
                    <w:ind w:firstLine="0" w:firstLineChars="0"/>
                    <w:rPr>
                      <w:rFonts w:hint="default" w:ascii="Times New Roman" w:hAnsi="Times New Roman" w:eastAsia="宋体" w:cs="Times New Roman"/>
                      <w:spacing w:val="6"/>
                      <w:sz w:val="21"/>
                      <w:szCs w:val="21"/>
                    </w:rPr>
                  </w:pPr>
                </w:p>
              </w:tc>
              <w:tc>
                <w:tcPr>
                  <w:tcW w:w="743" w:type="pct"/>
                  <w:vAlign w:val="center"/>
                </w:tcPr>
                <w:p w14:paraId="049A9126">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噪声</w:t>
                  </w:r>
                </w:p>
              </w:tc>
              <w:tc>
                <w:tcPr>
                  <w:tcW w:w="4050" w:type="pct"/>
                  <w:vAlign w:val="center"/>
                </w:tcPr>
                <w:p w14:paraId="73AC48CA">
                  <w:pPr>
                    <w:pStyle w:val="20"/>
                    <w:spacing w:line="240" w:lineRule="auto"/>
                    <w:ind w:firstLine="0" w:firstLineChars="0"/>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低噪声设备，对设备及时保养和维修，使设备处于良好的技术状态</w:t>
                  </w:r>
                </w:p>
              </w:tc>
            </w:tr>
            <w:tr w14:paraId="6972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continue"/>
                  <w:vAlign w:val="center"/>
                </w:tcPr>
                <w:p w14:paraId="36358499">
                  <w:pPr>
                    <w:pStyle w:val="20"/>
                    <w:spacing w:line="240" w:lineRule="auto"/>
                    <w:ind w:firstLine="0" w:firstLineChars="0"/>
                    <w:rPr>
                      <w:rFonts w:hint="default" w:ascii="Times New Roman" w:hAnsi="Times New Roman" w:eastAsia="宋体" w:cs="Times New Roman"/>
                      <w:spacing w:val="6"/>
                      <w:sz w:val="21"/>
                      <w:szCs w:val="21"/>
                    </w:rPr>
                  </w:pPr>
                </w:p>
              </w:tc>
              <w:tc>
                <w:tcPr>
                  <w:tcW w:w="743" w:type="pct"/>
                  <w:vMerge w:val="restart"/>
                  <w:vAlign w:val="center"/>
                </w:tcPr>
                <w:p w14:paraId="3945E5AF">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固废</w:t>
                  </w:r>
                </w:p>
              </w:tc>
              <w:tc>
                <w:tcPr>
                  <w:tcW w:w="4050" w:type="pct"/>
                  <w:vAlign w:val="center"/>
                </w:tcPr>
                <w:p w14:paraId="4AC1B56C">
                  <w:pPr>
                    <w:pStyle w:val="20"/>
                    <w:spacing w:line="240" w:lineRule="auto"/>
                    <w:ind w:firstLine="0" w:firstLineChars="0"/>
                    <w:rPr>
                      <w:rFonts w:hint="default" w:ascii="Times New Roman" w:hAnsi="Times New Roman" w:eastAsia="宋体" w:cs="Times New Roman"/>
                      <w:spacing w:val="6"/>
                      <w:sz w:val="21"/>
                      <w:szCs w:val="21"/>
                      <w:highlight w:val="yellow"/>
                      <w:lang w:eastAsia="zh-CN"/>
                    </w:rPr>
                  </w:pPr>
                  <w:r>
                    <w:rPr>
                      <w:rFonts w:hint="default" w:ascii="Times New Roman" w:hAnsi="Times New Roman" w:eastAsia="宋体" w:cs="Times New Roman"/>
                      <w:spacing w:val="6"/>
                      <w:sz w:val="21"/>
                      <w:szCs w:val="21"/>
                      <w:highlight w:val="none"/>
                    </w:rPr>
                    <w:t>生活垃圾</w:t>
                  </w:r>
                  <w:r>
                    <w:rPr>
                      <w:rFonts w:hint="default" w:ascii="Times New Roman" w:hAnsi="Times New Roman" w:cs="Times New Roman"/>
                      <w:spacing w:val="6"/>
                      <w:sz w:val="21"/>
                      <w:szCs w:val="21"/>
                      <w:highlight w:val="none"/>
                      <w:lang w:eastAsia="zh-CN"/>
                    </w:rPr>
                    <w:t>：</w:t>
                  </w:r>
                  <w:r>
                    <w:rPr>
                      <w:rFonts w:hint="default" w:ascii="Times New Roman" w:hAnsi="Times New Roman" w:eastAsia="宋体" w:cs="Times New Roman"/>
                      <w:spacing w:val="6"/>
                      <w:sz w:val="21"/>
                      <w:szCs w:val="21"/>
                      <w:highlight w:val="none"/>
                    </w:rPr>
                    <w:t>采用垃圾箱集中收集</w:t>
                  </w:r>
                  <w:r>
                    <w:rPr>
                      <w:rFonts w:hint="default" w:ascii="Times New Roman" w:hAnsi="Times New Roman" w:cs="Times New Roman"/>
                      <w:spacing w:val="6"/>
                      <w:sz w:val="21"/>
                      <w:szCs w:val="21"/>
                      <w:highlight w:val="none"/>
                      <w:lang w:eastAsia="zh-CN"/>
                    </w:rPr>
                    <w:t>，定期外运交由环卫部门</w:t>
                  </w:r>
                  <w:r>
                    <w:rPr>
                      <w:rFonts w:hint="default" w:ascii="Times New Roman" w:hAnsi="Times New Roman" w:cs="Times New Roman"/>
                      <w:spacing w:val="6"/>
                      <w:sz w:val="21"/>
                      <w:szCs w:val="21"/>
                      <w:highlight w:val="none"/>
                      <w:lang w:val="en-US" w:eastAsia="zh-CN"/>
                    </w:rPr>
                    <w:t>统一</w:t>
                  </w:r>
                  <w:r>
                    <w:rPr>
                      <w:rFonts w:hint="default" w:ascii="Times New Roman" w:hAnsi="Times New Roman" w:cs="Times New Roman"/>
                      <w:spacing w:val="6"/>
                      <w:sz w:val="21"/>
                      <w:szCs w:val="21"/>
                      <w:highlight w:val="none"/>
                      <w:lang w:eastAsia="zh-CN"/>
                    </w:rPr>
                    <w:t>处理。</w:t>
                  </w:r>
                </w:p>
              </w:tc>
            </w:tr>
            <w:tr w14:paraId="4853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continue"/>
                  <w:vAlign w:val="center"/>
                </w:tcPr>
                <w:p w14:paraId="2D6C7FB8">
                  <w:pPr>
                    <w:pStyle w:val="20"/>
                    <w:spacing w:line="240" w:lineRule="auto"/>
                    <w:ind w:firstLine="0" w:firstLineChars="0"/>
                    <w:rPr>
                      <w:rFonts w:hint="default" w:ascii="Times New Roman" w:hAnsi="Times New Roman" w:eastAsia="宋体" w:cs="Times New Roman"/>
                      <w:spacing w:val="6"/>
                      <w:sz w:val="21"/>
                      <w:szCs w:val="21"/>
                    </w:rPr>
                  </w:pPr>
                </w:p>
              </w:tc>
              <w:tc>
                <w:tcPr>
                  <w:tcW w:w="743" w:type="pct"/>
                  <w:vMerge w:val="continue"/>
                  <w:vAlign w:val="center"/>
                </w:tcPr>
                <w:p w14:paraId="326E5B68">
                  <w:pPr>
                    <w:pStyle w:val="20"/>
                    <w:spacing w:line="240" w:lineRule="auto"/>
                    <w:ind w:firstLine="0" w:firstLineChars="0"/>
                    <w:rPr>
                      <w:rFonts w:hint="default" w:ascii="Times New Roman" w:hAnsi="Times New Roman" w:eastAsia="宋体" w:cs="Times New Roman"/>
                      <w:spacing w:val="6"/>
                      <w:sz w:val="21"/>
                      <w:szCs w:val="21"/>
                    </w:rPr>
                  </w:pPr>
                </w:p>
              </w:tc>
              <w:tc>
                <w:tcPr>
                  <w:tcW w:w="4050" w:type="pct"/>
                  <w:vAlign w:val="center"/>
                </w:tcPr>
                <w:p w14:paraId="3C17C4FE">
                  <w:pPr>
                    <w:pStyle w:val="20"/>
                    <w:spacing w:line="240" w:lineRule="auto"/>
                    <w:ind w:firstLine="0" w:firstLineChars="0"/>
                    <w:rPr>
                      <w:rFonts w:hint="default" w:ascii="Times New Roman" w:hAnsi="Times New Roman" w:eastAsia="宋体" w:cs="Times New Roman"/>
                      <w:spacing w:val="6"/>
                      <w:sz w:val="21"/>
                      <w:szCs w:val="21"/>
                      <w:highlight w:val="yellow"/>
                      <w:lang w:val="en-US"/>
                    </w:rPr>
                  </w:pPr>
                  <w:r>
                    <w:rPr>
                      <w:rFonts w:hint="default" w:ascii="Times New Roman" w:hAnsi="Times New Roman" w:eastAsia="宋体" w:cs="Times New Roman"/>
                      <w:spacing w:val="6"/>
                      <w:sz w:val="21"/>
                      <w:szCs w:val="21"/>
                      <w:highlight w:val="none"/>
                    </w:rPr>
                    <w:t>钻井</w:t>
                  </w:r>
                  <w:r>
                    <w:rPr>
                      <w:rFonts w:hint="default" w:ascii="Times New Roman" w:hAnsi="Times New Roman" w:cs="Times New Roman"/>
                      <w:spacing w:val="6"/>
                      <w:sz w:val="21"/>
                      <w:szCs w:val="21"/>
                      <w:highlight w:val="none"/>
                      <w:lang w:val="en-US" w:eastAsia="zh-CN"/>
                    </w:rPr>
                    <w:t>泥浆：项目结束后，废弃钻井泥浆干化后和钻井岩屑用于场地平整。</w:t>
                  </w:r>
                </w:p>
              </w:tc>
            </w:tr>
            <w:tr w14:paraId="3784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continue"/>
                  <w:vAlign w:val="center"/>
                </w:tcPr>
                <w:p w14:paraId="4E7F9CA5">
                  <w:pPr>
                    <w:pStyle w:val="20"/>
                    <w:spacing w:line="240" w:lineRule="auto"/>
                    <w:ind w:firstLine="0" w:firstLineChars="0"/>
                    <w:rPr>
                      <w:rFonts w:hint="default" w:ascii="Times New Roman" w:hAnsi="Times New Roman" w:eastAsia="宋体" w:cs="Times New Roman"/>
                      <w:spacing w:val="6"/>
                      <w:sz w:val="21"/>
                      <w:szCs w:val="21"/>
                    </w:rPr>
                  </w:pPr>
                </w:p>
              </w:tc>
              <w:tc>
                <w:tcPr>
                  <w:tcW w:w="743" w:type="pct"/>
                  <w:vMerge w:val="continue"/>
                  <w:vAlign w:val="center"/>
                </w:tcPr>
                <w:p w14:paraId="0CF7A7EF">
                  <w:pPr>
                    <w:pStyle w:val="20"/>
                    <w:spacing w:line="240" w:lineRule="auto"/>
                    <w:ind w:firstLine="0" w:firstLineChars="0"/>
                    <w:rPr>
                      <w:rFonts w:hint="default" w:ascii="Times New Roman" w:hAnsi="Times New Roman" w:eastAsia="宋体" w:cs="Times New Roman"/>
                      <w:spacing w:val="6"/>
                      <w:sz w:val="21"/>
                      <w:szCs w:val="21"/>
                    </w:rPr>
                  </w:pPr>
                </w:p>
              </w:tc>
              <w:tc>
                <w:tcPr>
                  <w:tcW w:w="4050" w:type="pct"/>
                  <w:vAlign w:val="center"/>
                </w:tcPr>
                <w:p w14:paraId="365F24F1">
                  <w:pPr>
                    <w:pStyle w:val="20"/>
                    <w:spacing w:line="240" w:lineRule="auto"/>
                    <w:ind w:firstLine="0" w:firstLineChars="0"/>
                    <w:rPr>
                      <w:rFonts w:hint="default" w:ascii="Times New Roman" w:hAnsi="Times New Roman" w:eastAsia="宋体" w:cs="Times New Roman"/>
                      <w:spacing w:val="6"/>
                      <w:sz w:val="21"/>
                      <w:szCs w:val="21"/>
                      <w:highlight w:val="yellow"/>
                    </w:rPr>
                  </w:pPr>
                  <w:r>
                    <w:rPr>
                      <w:rFonts w:hint="default" w:ascii="Times New Roman" w:hAnsi="Times New Roman" w:cs="Times New Roman"/>
                      <w:spacing w:val="6"/>
                      <w:sz w:val="21"/>
                      <w:szCs w:val="21"/>
                      <w:highlight w:val="none"/>
                      <w:lang w:val="en-US" w:eastAsia="zh-CN"/>
                    </w:rPr>
                    <w:t>废机油和沾油废防渗材料：设置一个可移动式危废暂存仓，用于储存</w:t>
                  </w:r>
                  <w:r>
                    <w:rPr>
                      <w:rFonts w:hint="default" w:ascii="Times New Roman" w:hAnsi="Times New Roman" w:eastAsia="宋体" w:cs="Times New Roman"/>
                      <w:spacing w:val="6"/>
                      <w:sz w:val="21"/>
                      <w:szCs w:val="21"/>
                      <w:highlight w:val="none"/>
                    </w:rPr>
                    <w:t>设备维修</w:t>
                  </w:r>
                  <w:r>
                    <w:rPr>
                      <w:rFonts w:hint="default" w:ascii="Times New Roman" w:hAnsi="Times New Roman" w:cs="Times New Roman"/>
                      <w:spacing w:val="6"/>
                      <w:sz w:val="21"/>
                      <w:szCs w:val="21"/>
                      <w:highlight w:val="none"/>
                      <w:lang w:val="en-US" w:eastAsia="zh-CN"/>
                    </w:rPr>
                    <w:t>产生的废机油，施工结束后检修产生的废机油和沾油废防渗材料委托有资质单位处置。</w:t>
                  </w:r>
                </w:p>
              </w:tc>
            </w:tr>
            <w:tr w14:paraId="6957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continue"/>
                  <w:vAlign w:val="center"/>
                </w:tcPr>
                <w:p w14:paraId="2A3881DE">
                  <w:pPr>
                    <w:pStyle w:val="20"/>
                    <w:spacing w:line="240" w:lineRule="auto"/>
                    <w:ind w:firstLine="0" w:firstLineChars="0"/>
                    <w:rPr>
                      <w:rFonts w:hint="default" w:ascii="Times New Roman" w:hAnsi="Times New Roman" w:eastAsia="宋体" w:cs="Times New Roman"/>
                      <w:spacing w:val="6"/>
                      <w:sz w:val="21"/>
                      <w:szCs w:val="21"/>
                    </w:rPr>
                  </w:pPr>
                </w:p>
              </w:tc>
              <w:tc>
                <w:tcPr>
                  <w:tcW w:w="743" w:type="pct"/>
                  <w:vMerge w:val="continue"/>
                  <w:vAlign w:val="center"/>
                </w:tcPr>
                <w:p w14:paraId="1C22D2E2">
                  <w:pPr>
                    <w:pStyle w:val="20"/>
                    <w:spacing w:line="240" w:lineRule="auto"/>
                    <w:ind w:firstLine="0" w:firstLineChars="0"/>
                    <w:rPr>
                      <w:rFonts w:hint="default" w:ascii="Times New Roman" w:hAnsi="Times New Roman" w:eastAsia="宋体" w:cs="Times New Roman"/>
                      <w:spacing w:val="6"/>
                      <w:sz w:val="21"/>
                      <w:szCs w:val="21"/>
                    </w:rPr>
                  </w:pPr>
                </w:p>
              </w:tc>
              <w:tc>
                <w:tcPr>
                  <w:tcW w:w="4050" w:type="pct"/>
                  <w:vAlign w:val="center"/>
                </w:tcPr>
                <w:p w14:paraId="71F29E14">
                  <w:pPr>
                    <w:pStyle w:val="20"/>
                    <w:spacing w:line="240" w:lineRule="auto"/>
                    <w:ind w:firstLine="0" w:firstLineChars="0"/>
                    <w:rPr>
                      <w:rFonts w:hint="default" w:ascii="Times New Roman" w:hAnsi="Times New Roman" w:eastAsia="宋体" w:cs="Times New Roman"/>
                      <w:spacing w:val="6"/>
                      <w:sz w:val="21"/>
                      <w:szCs w:val="21"/>
                      <w:highlight w:val="yellow"/>
                    </w:rPr>
                  </w:pPr>
                  <w:r>
                    <w:rPr>
                      <w:rFonts w:hint="default" w:ascii="Times New Roman" w:hAnsi="Times New Roman" w:cs="Times New Roman"/>
                      <w:spacing w:val="6"/>
                      <w:sz w:val="21"/>
                      <w:szCs w:val="21"/>
                      <w:highlight w:val="none"/>
                      <w:lang w:val="en-US" w:eastAsia="zh-CN"/>
                    </w:rPr>
                    <w:t>临时土石方：在</w:t>
                  </w:r>
                  <w:r>
                    <w:rPr>
                      <w:rFonts w:hint="default" w:ascii="Times New Roman" w:hAnsi="Times New Roman" w:eastAsia="宋体" w:cs="Times New Roman"/>
                      <w:spacing w:val="9"/>
                      <w:sz w:val="21"/>
                      <w:szCs w:val="21"/>
                      <w:lang w:eastAsia="zh-CN"/>
                    </w:rPr>
                    <w:t>TC</w:t>
                  </w:r>
                  <w:r>
                    <w:rPr>
                      <w:rFonts w:hint="default" w:ascii="Times New Roman" w:hAnsi="Times New Roman" w:cs="Times New Roman"/>
                      <w:spacing w:val="9"/>
                      <w:sz w:val="21"/>
                      <w:szCs w:val="21"/>
                      <w:lang w:val="en-US" w:eastAsia="zh-CN"/>
                    </w:rPr>
                    <w:t>0-1</w:t>
                  </w:r>
                  <w:r>
                    <w:rPr>
                      <w:rFonts w:hint="default" w:ascii="Times New Roman" w:hAnsi="Times New Roman" w:eastAsia="宋体" w:cs="Times New Roman"/>
                      <w:spacing w:val="9"/>
                      <w:sz w:val="21"/>
                      <w:szCs w:val="21"/>
                      <w:lang w:eastAsia="zh-CN"/>
                    </w:rPr>
                    <w:t>、TC</w:t>
                  </w:r>
                  <w:r>
                    <w:rPr>
                      <w:rFonts w:hint="default" w:ascii="Times New Roman" w:hAnsi="Times New Roman" w:cs="Times New Roman"/>
                      <w:spacing w:val="9"/>
                      <w:sz w:val="21"/>
                      <w:szCs w:val="21"/>
                      <w:lang w:val="en-US" w:eastAsia="zh-CN"/>
                    </w:rPr>
                    <w:t>15-1</w:t>
                  </w:r>
                  <w:r>
                    <w:rPr>
                      <w:rFonts w:hint="default" w:ascii="Times New Roman" w:hAnsi="Times New Roman" w:eastAsia="宋体" w:cs="Times New Roman"/>
                      <w:spacing w:val="9"/>
                      <w:sz w:val="21"/>
                      <w:szCs w:val="21"/>
                      <w:lang w:eastAsia="zh-CN"/>
                    </w:rPr>
                    <w:t>、TC</w:t>
                  </w:r>
                  <w:r>
                    <w:rPr>
                      <w:rFonts w:hint="default" w:ascii="Times New Roman" w:hAnsi="Times New Roman" w:cs="Times New Roman"/>
                      <w:spacing w:val="9"/>
                      <w:sz w:val="21"/>
                      <w:szCs w:val="21"/>
                      <w:lang w:val="en-US" w:eastAsia="zh-CN"/>
                    </w:rPr>
                    <w:t>7-1、</w:t>
                  </w:r>
                  <w:r>
                    <w:rPr>
                      <w:rFonts w:hint="default" w:ascii="Times New Roman" w:hAnsi="Times New Roman" w:eastAsia="宋体" w:cs="Times New Roman"/>
                      <w:spacing w:val="9"/>
                      <w:sz w:val="21"/>
                      <w:szCs w:val="21"/>
                      <w:lang w:eastAsia="zh-CN"/>
                    </w:rPr>
                    <w:t>TC</w:t>
                  </w:r>
                  <w:r>
                    <w:rPr>
                      <w:rFonts w:hint="default" w:ascii="Times New Roman" w:hAnsi="Times New Roman" w:cs="Times New Roman"/>
                      <w:spacing w:val="9"/>
                      <w:sz w:val="21"/>
                      <w:szCs w:val="21"/>
                      <w:lang w:val="en-US" w:eastAsia="zh-CN"/>
                    </w:rPr>
                    <w:t>8-1</w:t>
                  </w:r>
                  <w:r>
                    <w:rPr>
                      <w:rFonts w:hint="default" w:ascii="Times New Roman" w:hAnsi="Times New Roman" w:cs="Times New Roman"/>
                      <w:spacing w:val="6"/>
                      <w:sz w:val="21"/>
                      <w:szCs w:val="21"/>
                      <w:highlight w:val="none"/>
                      <w:lang w:val="en-US" w:eastAsia="zh-CN"/>
                    </w:rPr>
                    <w:t>探槽旁各设置一个200m</w:t>
                  </w:r>
                  <w:r>
                    <w:rPr>
                      <w:rFonts w:hint="default" w:ascii="Times New Roman" w:hAnsi="Times New Roman" w:cs="Times New Roman"/>
                      <w:spacing w:val="6"/>
                      <w:sz w:val="21"/>
                      <w:szCs w:val="21"/>
                      <w:highlight w:val="none"/>
                      <w:vertAlign w:val="superscript"/>
                      <w:lang w:val="en-US" w:eastAsia="zh-CN"/>
                    </w:rPr>
                    <w:t>2</w:t>
                  </w:r>
                  <w:r>
                    <w:rPr>
                      <w:rFonts w:hint="default" w:ascii="Times New Roman" w:hAnsi="Times New Roman" w:cs="Times New Roman"/>
                      <w:spacing w:val="6"/>
                      <w:sz w:val="21"/>
                      <w:szCs w:val="21"/>
                      <w:highlight w:val="none"/>
                      <w:lang w:val="en-US" w:eastAsia="zh-CN"/>
                    </w:rPr>
                    <w:t>的临时堆放场，存放槽探过程挖出的废石，并用篷布覆盖，每个探槽取样结束后及时进行回填，无弃方；钻探土石方和坑探土石方用于钻孔回填及场地平整。</w:t>
                  </w:r>
                </w:p>
              </w:tc>
            </w:tr>
            <w:tr w14:paraId="29AB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continue"/>
                  <w:vAlign w:val="center"/>
                </w:tcPr>
                <w:p w14:paraId="2C2BE11F">
                  <w:pPr>
                    <w:pStyle w:val="20"/>
                    <w:spacing w:line="240" w:lineRule="auto"/>
                    <w:ind w:firstLine="0" w:firstLineChars="0"/>
                    <w:rPr>
                      <w:rFonts w:hint="default" w:ascii="Times New Roman" w:hAnsi="Times New Roman" w:eastAsia="宋体" w:cs="Times New Roman"/>
                      <w:spacing w:val="6"/>
                      <w:sz w:val="21"/>
                      <w:szCs w:val="21"/>
                    </w:rPr>
                  </w:pPr>
                </w:p>
              </w:tc>
              <w:tc>
                <w:tcPr>
                  <w:tcW w:w="743" w:type="pct"/>
                  <w:vAlign w:val="center"/>
                </w:tcPr>
                <w:p w14:paraId="578809A5">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cs="Times New Roman"/>
                      <w:spacing w:val="6"/>
                      <w:sz w:val="21"/>
                      <w:szCs w:val="21"/>
                      <w:lang w:val="en-US" w:eastAsia="zh-CN"/>
                    </w:rPr>
                    <w:t>生态环境保护措施</w:t>
                  </w:r>
                </w:p>
              </w:tc>
              <w:tc>
                <w:tcPr>
                  <w:tcW w:w="4050" w:type="pct"/>
                  <w:vAlign w:val="center"/>
                </w:tcPr>
                <w:p w14:paraId="0C85A2CC">
                  <w:pPr>
                    <w:pStyle w:val="20"/>
                    <w:spacing w:line="240" w:lineRule="auto"/>
                    <w:ind w:firstLine="0" w:firstLineChars="0"/>
                    <w:rPr>
                      <w:rFonts w:hint="default" w:ascii="Times New Roman" w:hAnsi="Times New Roman" w:cs="Times New Roman"/>
                      <w:spacing w:val="6"/>
                      <w:sz w:val="21"/>
                      <w:szCs w:val="21"/>
                      <w:lang w:val="en-US" w:eastAsia="zh-CN"/>
                    </w:rPr>
                  </w:pPr>
                  <w:r>
                    <w:rPr>
                      <w:rFonts w:hint="default" w:ascii="Times New Roman" w:hAnsi="Times New Roman" w:cs="Times New Roman"/>
                      <w:spacing w:val="6"/>
                      <w:sz w:val="21"/>
                      <w:szCs w:val="21"/>
                      <w:lang w:val="en-US" w:eastAsia="zh-CN"/>
                    </w:rPr>
                    <w:t>（1）划定工程施工红线，严格控制施工范围。</w:t>
                  </w:r>
                </w:p>
                <w:p w14:paraId="704CE67E">
                  <w:pPr>
                    <w:pStyle w:val="20"/>
                    <w:spacing w:line="240" w:lineRule="auto"/>
                    <w:ind w:firstLine="0" w:firstLineChars="0"/>
                    <w:rPr>
                      <w:rFonts w:hint="default" w:ascii="Times New Roman" w:hAnsi="Times New Roman" w:cs="Times New Roman"/>
                      <w:spacing w:val="6"/>
                      <w:sz w:val="21"/>
                      <w:szCs w:val="21"/>
                      <w:lang w:val="en-US" w:eastAsia="zh-CN"/>
                    </w:rPr>
                  </w:pPr>
                  <w:r>
                    <w:rPr>
                      <w:rFonts w:hint="default" w:ascii="Times New Roman" w:hAnsi="Times New Roman" w:cs="Times New Roman"/>
                      <w:spacing w:val="6"/>
                      <w:sz w:val="21"/>
                      <w:szCs w:val="21"/>
                      <w:lang w:val="en-US" w:eastAsia="zh-CN"/>
                    </w:rPr>
                    <w:t>（2）设置警示牌，加强对探矿人员的宣传教育，禁止随意碾压、破坏植被，禁止捕猎。</w:t>
                  </w:r>
                </w:p>
                <w:p w14:paraId="5A35A834">
                  <w:pPr>
                    <w:pStyle w:val="20"/>
                    <w:spacing w:line="240" w:lineRule="auto"/>
                    <w:ind w:firstLine="0" w:firstLineChars="0"/>
                    <w:rPr>
                      <w:rFonts w:hint="default" w:ascii="Times New Roman" w:hAnsi="Times New Roman" w:cs="Times New Roman"/>
                      <w:spacing w:val="6"/>
                      <w:sz w:val="21"/>
                      <w:szCs w:val="21"/>
                      <w:lang w:val="en-US" w:eastAsia="zh-CN"/>
                    </w:rPr>
                  </w:pPr>
                  <w:r>
                    <w:rPr>
                      <w:rFonts w:hint="default" w:ascii="Times New Roman" w:hAnsi="Times New Roman" w:cs="Times New Roman"/>
                      <w:spacing w:val="6"/>
                      <w:sz w:val="21"/>
                      <w:szCs w:val="21"/>
                      <w:lang w:val="en-US" w:eastAsia="zh-CN"/>
                    </w:rPr>
                    <w:t>（3）勘查前对植被覆盖率较高，且具备剥离价值的区域进行表土剥离，勘查结束后进行该区域的植被恢复工作。</w:t>
                  </w:r>
                </w:p>
                <w:p w14:paraId="464C95CC">
                  <w:pPr>
                    <w:pStyle w:val="20"/>
                    <w:spacing w:line="240" w:lineRule="auto"/>
                    <w:ind w:firstLine="0" w:firstLineChars="0"/>
                    <w:rPr>
                      <w:rFonts w:hint="default" w:ascii="Times New Roman" w:hAnsi="Times New Roman" w:cs="Times New Roman"/>
                      <w:spacing w:val="6"/>
                      <w:sz w:val="21"/>
                      <w:szCs w:val="21"/>
                      <w:highlight w:val="none"/>
                      <w:lang w:val="en-US" w:eastAsia="zh-CN"/>
                    </w:rPr>
                  </w:pPr>
                  <w:r>
                    <w:rPr>
                      <w:rFonts w:hint="default" w:ascii="Times New Roman" w:hAnsi="Times New Roman" w:cs="Times New Roman"/>
                      <w:spacing w:val="6"/>
                      <w:sz w:val="21"/>
                      <w:szCs w:val="21"/>
                      <w:lang w:val="en-US" w:eastAsia="zh-CN"/>
                    </w:rPr>
                    <w:t>（4）勘查结束后对临时占地区域进行临时设施拆除清理，并恢复原有地形地貌。</w:t>
                  </w:r>
                </w:p>
              </w:tc>
            </w:tr>
            <w:tr w14:paraId="31A4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 w:type="pct"/>
                  <w:vMerge w:val="continue"/>
                  <w:vAlign w:val="center"/>
                </w:tcPr>
                <w:p w14:paraId="7B89D1FD">
                  <w:pPr>
                    <w:pStyle w:val="20"/>
                    <w:spacing w:line="240" w:lineRule="auto"/>
                    <w:ind w:firstLine="0" w:firstLineChars="0"/>
                    <w:rPr>
                      <w:rFonts w:hint="default" w:ascii="Times New Roman" w:hAnsi="Times New Roman" w:eastAsia="宋体" w:cs="Times New Roman"/>
                      <w:spacing w:val="6"/>
                      <w:sz w:val="21"/>
                      <w:szCs w:val="21"/>
                    </w:rPr>
                  </w:pPr>
                </w:p>
              </w:tc>
              <w:tc>
                <w:tcPr>
                  <w:tcW w:w="743" w:type="pct"/>
                  <w:vAlign w:val="center"/>
                </w:tcPr>
                <w:p w14:paraId="042DB3FC">
                  <w:pPr>
                    <w:pStyle w:val="20"/>
                    <w:spacing w:line="240" w:lineRule="auto"/>
                    <w:ind w:firstLine="0" w:firstLineChars="0"/>
                    <w:jc w:val="center"/>
                    <w:rPr>
                      <w:rFonts w:hint="default" w:ascii="Times New Roman" w:hAnsi="Times New Roman" w:eastAsia="宋体" w:cs="Times New Roman"/>
                      <w:spacing w:val="6"/>
                      <w:sz w:val="21"/>
                      <w:szCs w:val="21"/>
                    </w:rPr>
                  </w:pPr>
                  <w:r>
                    <w:rPr>
                      <w:rFonts w:hint="default" w:ascii="Times New Roman" w:hAnsi="Times New Roman" w:cs="Times New Roman"/>
                      <w:spacing w:val="6"/>
                      <w:sz w:val="21"/>
                      <w:szCs w:val="21"/>
                      <w:lang w:val="en-US" w:eastAsia="zh-CN"/>
                    </w:rPr>
                    <w:t>风险防范措施</w:t>
                  </w:r>
                </w:p>
              </w:tc>
              <w:tc>
                <w:tcPr>
                  <w:tcW w:w="4050" w:type="pct"/>
                  <w:vAlign w:val="center"/>
                </w:tcPr>
                <w:p w14:paraId="09B9E9C5">
                  <w:pPr>
                    <w:pStyle w:val="20"/>
                    <w:spacing w:line="240" w:lineRule="auto"/>
                    <w:ind w:firstLine="0" w:firstLineChars="0"/>
                    <w:rPr>
                      <w:rFonts w:hint="default" w:ascii="Times New Roman" w:hAnsi="Times New Roman" w:cs="Times New Roman"/>
                      <w:spacing w:val="6"/>
                      <w:sz w:val="21"/>
                      <w:szCs w:val="21"/>
                      <w:lang w:val="en-US" w:eastAsia="zh-CN"/>
                    </w:rPr>
                  </w:pPr>
                  <w:r>
                    <w:rPr>
                      <w:rFonts w:hint="default" w:ascii="Times New Roman" w:hAnsi="Times New Roman" w:cs="Times New Roman"/>
                      <w:spacing w:val="6"/>
                      <w:sz w:val="21"/>
                      <w:szCs w:val="21"/>
                      <w:lang w:val="en-US" w:eastAsia="zh-CN"/>
                    </w:rPr>
                    <w:t>（1）油罐车停放区域严禁用火。</w:t>
                  </w:r>
                </w:p>
                <w:p w14:paraId="1DD59DC1">
                  <w:pPr>
                    <w:pStyle w:val="20"/>
                    <w:spacing w:line="240" w:lineRule="auto"/>
                    <w:ind w:firstLine="0" w:firstLineChars="0"/>
                    <w:rPr>
                      <w:rFonts w:hint="default" w:ascii="Times New Roman" w:hAnsi="Times New Roman" w:cs="Times New Roman"/>
                      <w:spacing w:val="6"/>
                      <w:sz w:val="21"/>
                      <w:szCs w:val="21"/>
                      <w:lang w:val="en-US" w:eastAsia="zh-CN"/>
                    </w:rPr>
                  </w:pPr>
                  <w:r>
                    <w:rPr>
                      <w:rFonts w:hint="default" w:ascii="Times New Roman" w:hAnsi="Times New Roman" w:cs="Times New Roman"/>
                      <w:spacing w:val="6"/>
                      <w:sz w:val="21"/>
                      <w:szCs w:val="21"/>
                      <w:lang w:val="en-US" w:eastAsia="zh-CN"/>
                    </w:rPr>
                    <w:t>（2）油罐车停放区、一体化污水处理设施、泥浆池，均应铺设符合要求的防渗材料，一旦发生泄漏须及时发现并采取有效的堵漏措施；加强油品运输环节的管理，避免出现油品泄漏风险事故发生。</w:t>
                  </w:r>
                </w:p>
                <w:p w14:paraId="215CB299">
                  <w:pPr>
                    <w:pStyle w:val="20"/>
                    <w:spacing w:line="240" w:lineRule="auto"/>
                    <w:ind w:firstLine="0" w:firstLineChars="0"/>
                    <w:rPr>
                      <w:rFonts w:hint="default" w:ascii="Times New Roman" w:hAnsi="Times New Roman" w:cs="Times New Roman"/>
                      <w:spacing w:val="6"/>
                      <w:sz w:val="21"/>
                      <w:szCs w:val="21"/>
                      <w:highlight w:val="none"/>
                      <w:lang w:val="en-US" w:eastAsia="zh-CN"/>
                    </w:rPr>
                  </w:pPr>
                  <w:r>
                    <w:rPr>
                      <w:rFonts w:hint="default" w:ascii="Times New Roman" w:hAnsi="Times New Roman" w:cs="Times New Roman"/>
                      <w:spacing w:val="6"/>
                      <w:sz w:val="21"/>
                      <w:szCs w:val="21"/>
                      <w:lang w:val="en-US" w:eastAsia="zh-CN"/>
                    </w:rPr>
                    <w:t>（3）加强消防安全管理，定期进行消防培训与实战演练。</w:t>
                  </w:r>
                </w:p>
              </w:tc>
            </w:tr>
          </w:tbl>
          <w:p w14:paraId="48D6724D">
            <w:pPr>
              <w:pStyle w:val="21"/>
              <w:spacing w:before="56" w:line="360" w:lineRule="auto"/>
              <w:outlineLvl w:val="1"/>
              <w:rPr>
                <w:rFonts w:hint="default" w:ascii="Times New Roman" w:hAnsi="Times New Roman" w:cs="Times New Roman"/>
                <w:b/>
                <w:bCs/>
                <w:spacing w:val="-4"/>
                <w:lang w:val="en-US" w:eastAsia="zh-CN"/>
              </w:rPr>
            </w:pPr>
            <w:r>
              <w:rPr>
                <w:rFonts w:hint="default" w:ascii="Times New Roman" w:hAnsi="Times New Roman" w:cs="Times New Roman"/>
                <w:b/>
                <w:bCs/>
                <w:spacing w:val="-4"/>
                <w:lang w:val="en-US" w:eastAsia="zh-CN"/>
              </w:rPr>
              <w:t>4.主要设备</w:t>
            </w:r>
          </w:p>
          <w:p w14:paraId="34FB625E">
            <w:pPr>
              <w:pStyle w:val="20"/>
              <w:ind w:firstLine="480"/>
              <w:rPr>
                <w:rFonts w:hint="default" w:ascii="Times New Roman" w:hAnsi="Times New Roman" w:eastAsia="宋体" w:cs="Times New Roman"/>
              </w:rPr>
            </w:pPr>
            <w:r>
              <w:rPr>
                <w:rFonts w:hint="default" w:ascii="Times New Roman" w:hAnsi="Times New Roman" w:eastAsia="宋体" w:cs="Times New Roman"/>
              </w:rPr>
              <w:t>本项目主要设备见表2-</w:t>
            </w:r>
            <w:r>
              <w:rPr>
                <w:rFonts w:hint="default" w:ascii="Times New Roman" w:hAnsi="Times New Roman" w:cs="Times New Roman"/>
                <w:lang w:val="en-US" w:eastAsia="zh-CN"/>
              </w:rPr>
              <w:t>2</w:t>
            </w:r>
            <w:r>
              <w:rPr>
                <w:rFonts w:hint="default" w:ascii="Times New Roman" w:hAnsi="Times New Roman" w:eastAsia="宋体" w:cs="Times New Roman"/>
              </w:rPr>
              <w:t>。</w:t>
            </w:r>
          </w:p>
          <w:p w14:paraId="3FDC0A16">
            <w:pPr>
              <w:keepNext/>
              <w:keepLines/>
              <w:widowControl/>
              <w:adjustRightInd w:val="0"/>
              <w:snapToGrid w:val="0"/>
              <w:spacing w:line="480" w:lineRule="exact"/>
              <w:jc w:val="center"/>
              <w:outlineLvl w:val="2"/>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表2-</w:t>
            </w:r>
            <w:r>
              <w:rPr>
                <w:rFonts w:hint="default" w:ascii="Times New Roman" w:hAnsi="Times New Roman" w:cs="Times New Roman"/>
                <w:b/>
                <w:color w:val="000000"/>
                <w:kern w:val="0"/>
                <w:sz w:val="21"/>
                <w:szCs w:val="21"/>
                <w:lang w:val="en-US" w:eastAsia="zh-CN"/>
              </w:rPr>
              <w:t>2</w:t>
            </w:r>
            <w:r>
              <w:rPr>
                <w:rFonts w:hint="default" w:ascii="Times New Roman" w:hAnsi="Times New Roman" w:eastAsia="宋体" w:cs="Times New Roman"/>
                <w:b/>
                <w:color w:val="000000"/>
                <w:kern w:val="0"/>
                <w:sz w:val="21"/>
                <w:szCs w:val="21"/>
              </w:rPr>
              <w:t>主要设备一览表</w:t>
            </w:r>
          </w:p>
          <w:tbl>
            <w:tblPr>
              <w:tblStyle w:val="16"/>
              <w:tblW w:w="8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2612"/>
              <w:gridCol w:w="1493"/>
              <w:gridCol w:w="1633"/>
              <w:gridCol w:w="1633"/>
            </w:tblGrid>
            <w:tr w14:paraId="4789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65" w:type="dxa"/>
                  <w:vAlign w:val="center"/>
                </w:tcPr>
                <w:p w14:paraId="37139CEB">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序号</w:t>
                  </w:r>
                </w:p>
              </w:tc>
              <w:tc>
                <w:tcPr>
                  <w:tcW w:w="2612" w:type="dxa"/>
                  <w:vAlign w:val="center"/>
                </w:tcPr>
                <w:p w14:paraId="7E14A158">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设备名称</w:t>
                  </w:r>
                </w:p>
              </w:tc>
              <w:tc>
                <w:tcPr>
                  <w:tcW w:w="1493" w:type="dxa"/>
                  <w:vAlign w:val="center"/>
                </w:tcPr>
                <w:p w14:paraId="764D22E6">
                  <w:pPr>
                    <w:pStyle w:val="20"/>
                    <w:spacing w:line="240" w:lineRule="auto"/>
                    <w:ind w:firstLine="0" w:firstLineChars="0"/>
                    <w:jc w:val="center"/>
                    <w:rPr>
                      <w:rFonts w:hint="default" w:ascii="Times New Roman" w:hAnsi="Times New Roman" w:eastAsia="宋体" w:cs="Times New Roman"/>
                      <w:spacing w:val="7"/>
                      <w:sz w:val="21"/>
                      <w:szCs w:val="21"/>
                      <w:lang w:eastAsia="zh-CN"/>
                    </w:rPr>
                  </w:pPr>
                  <w:r>
                    <w:rPr>
                      <w:rFonts w:hint="default" w:ascii="Times New Roman" w:hAnsi="Times New Roman" w:cs="Times New Roman"/>
                      <w:spacing w:val="7"/>
                      <w:sz w:val="21"/>
                      <w:szCs w:val="21"/>
                      <w:lang w:val="en-US" w:eastAsia="zh-CN"/>
                    </w:rPr>
                    <w:t>数量</w:t>
                  </w:r>
                </w:p>
              </w:tc>
              <w:tc>
                <w:tcPr>
                  <w:tcW w:w="1633" w:type="dxa"/>
                  <w:vAlign w:val="center"/>
                </w:tcPr>
                <w:p w14:paraId="5C0FA95C">
                  <w:pPr>
                    <w:pStyle w:val="20"/>
                    <w:spacing w:line="240" w:lineRule="auto"/>
                    <w:ind w:firstLine="0" w:firstLineChars="0"/>
                    <w:jc w:val="center"/>
                    <w:rPr>
                      <w:rFonts w:hint="default" w:ascii="Times New Roman" w:hAnsi="Times New Roman" w:eastAsia="宋体" w:cs="Times New Roman"/>
                      <w:spacing w:val="7"/>
                      <w:sz w:val="21"/>
                      <w:szCs w:val="21"/>
                      <w:lang w:eastAsia="zh-CN"/>
                    </w:rPr>
                  </w:pPr>
                  <w:r>
                    <w:rPr>
                      <w:rFonts w:hint="default" w:ascii="Times New Roman" w:hAnsi="Times New Roman" w:cs="Times New Roman"/>
                      <w:spacing w:val="7"/>
                      <w:sz w:val="21"/>
                      <w:szCs w:val="21"/>
                      <w:lang w:val="en-US" w:eastAsia="zh-CN"/>
                    </w:rPr>
                    <w:t>单位</w:t>
                  </w:r>
                </w:p>
              </w:tc>
              <w:tc>
                <w:tcPr>
                  <w:tcW w:w="1633" w:type="dxa"/>
                  <w:vAlign w:val="center"/>
                </w:tcPr>
                <w:p w14:paraId="38A21D45">
                  <w:pPr>
                    <w:pStyle w:val="20"/>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完好程度</w:t>
                  </w:r>
                </w:p>
              </w:tc>
            </w:tr>
            <w:tr w14:paraId="6B23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65" w:type="dxa"/>
                  <w:vAlign w:val="center"/>
                </w:tcPr>
                <w:p w14:paraId="406F31C9">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1</w:t>
                  </w:r>
                </w:p>
              </w:tc>
              <w:tc>
                <w:tcPr>
                  <w:tcW w:w="2612" w:type="dxa"/>
                  <w:vAlign w:val="center"/>
                </w:tcPr>
                <w:p w14:paraId="0A906F27">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全液压钻机</w:t>
                  </w:r>
                </w:p>
              </w:tc>
              <w:tc>
                <w:tcPr>
                  <w:tcW w:w="1493" w:type="dxa"/>
                  <w:vAlign w:val="center"/>
                </w:tcPr>
                <w:p w14:paraId="3B15D918">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台</w:t>
                  </w:r>
                </w:p>
              </w:tc>
              <w:tc>
                <w:tcPr>
                  <w:tcW w:w="1633" w:type="dxa"/>
                  <w:vAlign w:val="center"/>
                </w:tcPr>
                <w:p w14:paraId="47857A09">
                  <w:pPr>
                    <w:pStyle w:val="20"/>
                    <w:spacing w:line="240" w:lineRule="auto"/>
                    <w:ind w:firstLine="0" w:firstLineChars="0"/>
                    <w:jc w:val="center"/>
                    <w:rPr>
                      <w:rFonts w:hint="default" w:ascii="Times New Roman" w:hAnsi="Times New Roman" w:eastAsia="宋体" w:cs="Times New Roman"/>
                      <w:spacing w:val="7"/>
                      <w:sz w:val="21"/>
                      <w:szCs w:val="21"/>
                      <w:lang w:eastAsia="zh-CN"/>
                    </w:rPr>
                  </w:pPr>
                  <w:r>
                    <w:rPr>
                      <w:rFonts w:hint="default" w:ascii="Times New Roman" w:hAnsi="Times New Roman" w:cs="Times New Roman"/>
                      <w:spacing w:val="7"/>
                      <w:sz w:val="21"/>
                      <w:szCs w:val="21"/>
                      <w:lang w:val="en-US" w:eastAsia="zh-CN"/>
                    </w:rPr>
                    <w:t>1</w:t>
                  </w:r>
                </w:p>
              </w:tc>
              <w:tc>
                <w:tcPr>
                  <w:tcW w:w="1633" w:type="dxa"/>
                  <w:vAlign w:val="center"/>
                </w:tcPr>
                <w:p w14:paraId="345547E3">
                  <w:pPr>
                    <w:pStyle w:val="20"/>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良好</w:t>
                  </w:r>
                </w:p>
              </w:tc>
            </w:tr>
            <w:tr w14:paraId="6075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65" w:type="dxa"/>
                  <w:vAlign w:val="center"/>
                </w:tcPr>
                <w:p w14:paraId="782D7E2D">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2</w:t>
                  </w:r>
                </w:p>
              </w:tc>
              <w:tc>
                <w:tcPr>
                  <w:tcW w:w="2612" w:type="dxa"/>
                  <w:vAlign w:val="center"/>
                </w:tcPr>
                <w:p w14:paraId="7B7B32CF">
                  <w:pPr>
                    <w:pStyle w:val="20"/>
                    <w:spacing w:line="240" w:lineRule="auto"/>
                    <w:ind w:firstLine="0" w:firstLineChars="0"/>
                    <w:jc w:val="center"/>
                    <w:rPr>
                      <w:rFonts w:hint="default" w:ascii="Times New Roman" w:hAnsi="Times New Roman" w:eastAsia="宋体" w:cs="Times New Roman"/>
                      <w:spacing w:val="7"/>
                      <w:sz w:val="21"/>
                      <w:szCs w:val="21"/>
                      <w:lang w:eastAsia="zh-CN"/>
                    </w:rPr>
                  </w:pPr>
                  <w:r>
                    <w:rPr>
                      <w:rFonts w:hint="default" w:ascii="Times New Roman" w:hAnsi="Times New Roman" w:cs="Times New Roman"/>
                      <w:spacing w:val="4"/>
                      <w:sz w:val="21"/>
                      <w:szCs w:val="21"/>
                      <w:lang w:val="en-US" w:eastAsia="zh-CN"/>
                    </w:rPr>
                    <w:t>钻杆</w:t>
                  </w:r>
                </w:p>
              </w:tc>
              <w:tc>
                <w:tcPr>
                  <w:tcW w:w="1493" w:type="dxa"/>
                  <w:vAlign w:val="center"/>
                </w:tcPr>
                <w:p w14:paraId="48024776">
                  <w:pPr>
                    <w:pStyle w:val="20"/>
                    <w:spacing w:line="240" w:lineRule="auto"/>
                    <w:ind w:firstLine="0" w:firstLineChars="0"/>
                    <w:jc w:val="center"/>
                    <w:rPr>
                      <w:rFonts w:hint="default" w:ascii="Times New Roman" w:hAnsi="Times New Roman" w:eastAsia="宋体" w:cs="Times New Roman"/>
                      <w:spacing w:val="7"/>
                      <w:sz w:val="21"/>
                      <w:szCs w:val="21"/>
                      <w:lang w:eastAsia="zh-CN"/>
                    </w:rPr>
                  </w:pPr>
                  <w:r>
                    <w:rPr>
                      <w:rFonts w:hint="default" w:ascii="Times New Roman" w:hAnsi="Times New Roman" w:cs="Times New Roman"/>
                      <w:spacing w:val="7"/>
                      <w:sz w:val="21"/>
                      <w:szCs w:val="21"/>
                      <w:lang w:val="en-US" w:eastAsia="zh-CN"/>
                    </w:rPr>
                    <w:t>m</w:t>
                  </w:r>
                </w:p>
              </w:tc>
              <w:tc>
                <w:tcPr>
                  <w:tcW w:w="1633" w:type="dxa"/>
                  <w:vAlign w:val="center"/>
                </w:tcPr>
                <w:p w14:paraId="639D47EE">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1000</w:t>
                  </w:r>
                </w:p>
              </w:tc>
              <w:tc>
                <w:tcPr>
                  <w:tcW w:w="1633" w:type="dxa"/>
                  <w:vAlign w:val="center"/>
                </w:tcPr>
                <w:p w14:paraId="1657E2D8">
                  <w:pPr>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良好</w:t>
                  </w:r>
                </w:p>
              </w:tc>
            </w:tr>
            <w:tr w14:paraId="41CE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65" w:type="dxa"/>
                  <w:vAlign w:val="center"/>
                </w:tcPr>
                <w:p w14:paraId="7862B889">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3</w:t>
                  </w:r>
                </w:p>
              </w:tc>
              <w:tc>
                <w:tcPr>
                  <w:tcW w:w="2612" w:type="dxa"/>
                  <w:vAlign w:val="center"/>
                </w:tcPr>
                <w:p w14:paraId="334FA22C">
                  <w:pPr>
                    <w:pStyle w:val="20"/>
                    <w:spacing w:line="240" w:lineRule="auto"/>
                    <w:ind w:firstLine="0" w:firstLineChars="0"/>
                    <w:jc w:val="center"/>
                    <w:rPr>
                      <w:rFonts w:hint="default" w:ascii="Times New Roman" w:hAnsi="Times New Roman" w:eastAsia="宋体" w:cs="Times New Roman"/>
                      <w:spacing w:val="7"/>
                      <w:sz w:val="21"/>
                      <w:szCs w:val="21"/>
                      <w:lang w:eastAsia="zh-CN"/>
                    </w:rPr>
                  </w:pPr>
                  <w:r>
                    <w:rPr>
                      <w:rFonts w:hint="default" w:ascii="Times New Roman" w:hAnsi="Times New Roman" w:cs="Times New Roman"/>
                      <w:spacing w:val="5"/>
                      <w:sz w:val="21"/>
                      <w:szCs w:val="21"/>
                      <w:lang w:val="en-US" w:eastAsia="zh-CN"/>
                    </w:rPr>
                    <w:t>泥浆泵</w:t>
                  </w:r>
                </w:p>
              </w:tc>
              <w:tc>
                <w:tcPr>
                  <w:tcW w:w="1493" w:type="dxa"/>
                  <w:vAlign w:val="center"/>
                </w:tcPr>
                <w:p w14:paraId="239EC894">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台</w:t>
                  </w:r>
                </w:p>
              </w:tc>
              <w:tc>
                <w:tcPr>
                  <w:tcW w:w="1633" w:type="dxa"/>
                  <w:vAlign w:val="center"/>
                </w:tcPr>
                <w:p w14:paraId="05A8C76D">
                  <w:pPr>
                    <w:pStyle w:val="20"/>
                    <w:spacing w:line="240" w:lineRule="auto"/>
                    <w:ind w:firstLine="0" w:firstLineChars="0"/>
                    <w:jc w:val="center"/>
                    <w:rPr>
                      <w:rFonts w:hint="default" w:ascii="Times New Roman" w:hAnsi="Times New Roman" w:eastAsia="宋体" w:cs="Times New Roman"/>
                      <w:spacing w:val="7"/>
                      <w:sz w:val="21"/>
                      <w:szCs w:val="21"/>
                      <w:lang w:eastAsia="zh-CN"/>
                    </w:rPr>
                  </w:pPr>
                  <w:r>
                    <w:rPr>
                      <w:rFonts w:hint="default" w:ascii="Times New Roman" w:hAnsi="Times New Roman" w:cs="Times New Roman"/>
                      <w:spacing w:val="7"/>
                      <w:sz w:val="21"/>
                      <w:szCs w:val="21"/>
                      <w:lang w:val="en-US" w:eastAsia="zh-CN"/>
                    </w:rPr>
                    <w:t>2</w:t>
                  </w:r>
                </w:p>
              </w:tc>
              <w:tc>
                <w:tcPr>
                  <w:tcW w:w="1633" w:type="dxa"/>
                  <w:vAlign w:val="center"/>
                </w:tcPr>
                <w:p w14:paraId="750E4B24">
                  <w:pPr>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良好</w:t>
                  </w:r>
                </w:p>
              </w:tc>
            </w:tr>
            <w:tr w14:paraId="0C3B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65" w:type="dxa"/>
                  <w:vAlign w:val="center"/>
                </w:tcPr>
                <w:p w14:paraId="490DCC54">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4</w:t>
                  </w:r>
                </w:p>
              </w:tc>
              <w:tc>
                <w:tcPr>
                  <w:tcW w:w="2612" w:type="dxa"/>
                  <w:shd w:val="clear" w:color="auto" w:fill="auto"/>
                  <w:vAlign w:val="center"/>
                </w:tcPr>
                <w:p w14:paraId="58AA2BF9">
                  <w:pPr>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泥浆搅拌机</w:t>
                  </w:r>
                </w:p>
              </w:tc>
              <w:tc>
                <w:tcPr>
                  <w:tcW w:w="1493" w:type="dxa"/>
                  <w:shd w:val="clear" w:color="auto" w:fill="auto"/>
                  <w:vAlign w:val="center"/>
                </w:tcPr>
                <w:p w14:paraId="63697415">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台</w:t>
                  </w:r>
                </w:p>
              </w:tc>
              <w:tc>
                <w:tcPr>
                  <w:tcW w:w="1633" w:type="dxa"/>
                  <w:shd w:val="clear" w:color="auto" w:fill="auto"/>
                  <w:vAlign w:val="center"/>
                </w:tcPr>
                <w:p w14:paraId="4ECA94DB">
                  <w:pPr>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val="en-US" w:eastAsia="zh-CN"/>
                    </w:rPr>
                    <w:t>2</w:t>
                  </w:r>
                </w:p>
              </w:tc>
              <w:tc>
                <w:tcPr>
                  <w:tcW w:w="1633" w:type="dxa"/>
                  <w:shd w:val="clear" w:color="auto" w:fill="auto"/>
                  <w:vAlign w:val="center"/>
                </w:tcPr>
                <w:p w14:paraId="603C8F77">
                  <w:pPr>
                    <w:jc w:val="center"/>
                    <w:rPr>
                      <w:rFonts w:hint="default" w:ascii="Times New Roman" w:hAnsi="Times New Roman" w:cs="Times New Roman"/>
                      <w:sz w:val="21"/>
                      <w:szCs w:val="21"/>
                      <w:lang w:val="en-US" w:eastAsia="zh-CN"/>
                    </w:rPr>
                  </w:pPr>
                  <w:r>
                    <w:rPr>
                      <w:rFonts w:hint="default" w:ascii="Times New Roman" w:hAnsi="Times New Roman" w:cs="Times New Roman"/>
                      <w:spacing w:val="7"/>
                      <w:sz w:val="21"/>
                      <w:szCs w:val="21"/>
                      <w:lang w:val="en-US" w:eastAsia="zh-CN"/>
                    </w:rPr>
                    <w:t>良好</w:t>
                  </w:r>
                </w:p>
              </w:tc>
            </w:tr>
            <w:tr w14:paraId="3547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65" w:type="dxa"/>
                  <w:vAlign w:val="center"/>
                </w:tcPr>
                <w:p w14:paraId="66185731">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5</w:t>
                  </w:r>
                </w:p>
              </w:tc>
              <w:tc>
                <w:tcPr>
                  <w:tcW w:w="2612" w:type="dxa"/>
                  <w:shd w:val="clear" w:color="auto" w:fill="auto"/>
                  <w:vAlign w:val="center"/>
                </w:tcPr>
                <w:p w14:paraId="2430699B">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罗盘测斜仪</w:t>
                  </w:r>
                </w:p>
              </w:tc>
              <w:tc>
                <w:tcPr>
                  <w:tcW w:w="1493" w:type="dxa"/>
                  <w:shd w:val="clear" w:color="auto" w:fill="auto"/>
                  <w:vAlign w:val="center"/>
                </w:tcPr>
                <w:p w14:paraId="155CFAD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台</w:t>
                  </w:r>
                </w:p>
              </w:tc>
              <w:tc>
                <w:tcPr>
                  <w:tcW w:w="1633" w:type="dxa"/>
                  <w:shd w:val="clear" w:color="auto" w:fill="auto"/>
                  <w:vAlign w:val="center"/>
                </w:tcPr>
                <w:p w14:paraId="717EF757">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w:t>
                  </w:r>
                </w:p>
              </w:tc>
              <w:tc>
                <w:tcPr>
                  <w:tcW w:w="1633" w:type="dxa"/>
                  <w:shd w:val="clear" w:color="auto" w:fill="auto"/>
                  <w:vAlign w:val="center"/>
                </w:tcPr>
                <w:p w14:paraId="2F11343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pacing w:val="7"/>
                      <w:sz w:val="21"/>
                      <w:szCs w:val="21"/>
                      <w:lang w:val="en-US" w:eastAsia="zh-CN"/>
                    </w:rPr>
                    <w:t>良好</w:t>
                  </w:r>
                </w:p>
              </w:tc>
            </w:tr>
            <w:tr w14:paraId="7D3C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65" w:type="dxa"/>
                  <w:vAlign w:val="center"/>
                </w:tcPr>
                <w:p w14:paraId="0EF9F446">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6</w:t>
                  </w:r>
                </w:p>
              </w:tc>
              <w:tc>
                <w:tcPr>
                  <w:tcW w:w="2612" w:type="dxa"/>
                  <w:shd w:val="clear" w:color="auto" w:fill="auto"/>
                  <w:vAlign w:val="center"/>
                </w:tcPr>
                <w:p w14:paraId="7F994EBC">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皮卡车</w:t>
                  </w:r>
                </w:p>
              </w:tc>
              <w:tc>
                <w:tcPr>
                  <w:tcW w:w="1493" w:type="dxa"/>
                  <w:shd w:val="clear" w:color="auto" w:fill="auto"/>
                  <w:vAlign w:val="center"/>
                </w:tcPr>
                <w:p w14:paraId="3485421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辆</w:t>
                  </w:r>
                </w:p>
              </w:tc>
              <w:tc>
                <w:tcPr>
                  <w:tcW w:w="1633" w:type="dxa"/>
                  <w:shd w:val="clear" w:color="auto" w:fill="auto"/>
                  <w:vAlign w:val="center"/>
                </w:tcPr>
                <w:p w14:paraId="18ABB321">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w:t>
                  </w:r>
                </w:p>
              </w:tc>
              <w:tc>
                <w:tcPr>
                  <w:tcW w:w="1633" w:type="dxa"/>
                  <w:shd w:val="clear" w:color="auto" w:fill="auto"/>
                  <w:vAlign w:val="center"/>
                </w:tcPr>
                <w:p w14:paraId="7E91EB5D">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pacing w:val="7"/>
                      <w:sz w:val="21"/>
                      <w:szCs w:val="21"/>
                      <w:lang w:val="en-US" w:eastAsia="zh-CN"/>
                    </w:rPr>
                    <w:t>良好</w:t>
                  </w:r>
                </w:p>
              </w:tc>
            </w:tr>
            <w:tr w14:paraId="77AD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65" w:type="dxa"/>
                  <w:vAlign w:val="center"/>
                </w:tcPr>
                <w:p w14:paraId="2FBC522E">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7</w:t>
                  </w:r>
                </w:p>
              </w:tc>
              <w:tc>
                <w:tcPr>
                  <w:tcW w:w="2612" w:type="dxa"/>
                  <w:shd w:val="clear" w:color="auto" w:fill="auto"/>
                  <w:vAlign w:val="center"/>
                </w:tcPr>
                <w:p w14:paraId="69A62C7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油罐车</w:t>
                  </w:r>
                </w:p>
              </w:tc>
              <w:tc>
                <w:tcPr>
                  <w:tcW w:w="1493" w:type="dxa"/>
                  <w:shd w:val="clear" w:color="auto" w:fill="auto"/>
                  <w:vAlign w:val="center"/>
                </w:tcPr>
                <w:p w14:paraId="069F2A9D">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辆</w:t>
                  </w:r>
                </w:p>
              </w:tc>
              <w:tc>
                <w:tcPr>
                  <w:tcW w:w="1633" w:type="dxa"/>
                  <w:shd w:val="clear" w:color="auto" w:fill="auto"/>
                  <w:vAlign w:val="center"/>
                </w:tcPr>
                <w:p w14:paraId="40F90E63">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w:t>
                  </w:r>
                </w:p>
              </w:tc>
              <w:tc>
                <w:tcPr>
                  <w:tcW w:w="1633" w:type="dxa"/>
                  <w:shd w:val="clear" w:color="auto" w:fill="auto"/>
                  <w:vAlign w:val="center"/>
                </w:tcPr>
                <w:p w14:paraId="6B89D8D9">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pacing w:val="7"/>
                      <w:sz w:val="21"/>
                      <w:szCs w:val="21"/>
                      <w:lang w:val="en-US" w:eastAsia="zh-CN"/>
                    </w:rPr>
                    <w:t>良好</w:t>
                  </w:r>
                </w:p>
              </w:tc>
            </w:tr>
            <w:tr w14:paraId="2584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65" w:type="dxa"/>
                  <w:vAlign w:val="center"/>
                </w:tcPr>
                <w:p w14:paraId="1A8727CB">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8</w:t>
                  </w:r>
                </w:p>
              </w:tc>
              <w:tc>
                <w:tcPr>
                  <w:tcW w:w="2612" w:type="dxa"/>
                  <w:shd w:val="clear" w:color="auto" w:fill="auto"/>
                  <w:vAlign w:val="center"/>
                </w:tcPr>
                <w:p w14:paraId="29458059">
                  <w:pPr>
                    <w:pStyle w:val="20"/>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7"/>
                      <w:sz w:val="21"/>
                      <w:szCs w:val="21"/>
                    </w:rPr>
                    <w:t>便携式矿石元素分析仪</w:t>
                  </w:r>
                </w:p>
              </w:tc>
              <w:tc>
                <w:tcPr>
                  <w:tcW w:w="1493" w:type="dxa"/>
                  <w:shd w:val="clear" w:color="auto" w:fill="auto"/>
                  <w:vAlign w:val="center"/>
                </w:tcPr>
                <w:p w14:paraId="082A3F4E">
                  <w:pPr>
                    <w:spacing w:line="240" w:lineRule="auto"/>
                    <w:ind w:firstLine="0" w:firstLineChars="0"/>
                    <w:jc w:val="center"/>
                    <w:rPr>
                      <w:rFonts w:hint="default" w:ascii="Times New Roman" w:hAnsi="Times New Roman" w:eastAsia="宋体" w:cs="Times New Roman"/>
                      <w:spacing w:val="7"/>
                      <w:kern w:val="2"/>
                      <w:sz w:val="21"/>
                      <w:szCs w:val="21"/>
                      <w:lang w:val="en-US" w:eastAsia="zh-CN" w:bidi="ar-SA"/>
                    </w:rPr>
                  </w:pPr>
                  <w:r>
                    <w:rPr>
                      <w:rFonts w:hint="default" w:ascii="Times New Roman" w:hAnsi="Times New Roman" w:eastAsia="宋体" w:cs="Times New Roman"/>
                      <w:spacing w:val="7"/>
                      <w:sz w:val="21"/>
                      <w:szCs w:val="21"/>
                      <w:lang w:val="en-US" w:eastAsia="zh-CN"/>
                    </w:rPr>
                    <w:t>台</w:t>
                  </w:r>
                </w:p>
              </w:tc>
              <w:tc>
                <w:tcPr>
                  <w:tcW w:w="1633" w:type="dxa"/>
                  <w:shd w:val="clear" w:color="auto" w:fill="auto"/>
                  <w:vAlign w:val="center"/>
                </w:tcPr>
                <w:p w14:paraId="47B0473B">
                  <w:pPr>
                    <w:pStyle w:val="20"/>
                    <w:spacing w:line="240" w:lineRule="auto"/>
                    <w:ind w:firstLine="0" w:firstLineChars="0"/>
                    <w:jc w:val="center"/>
                    <w:rPr>
                      <w:rFonts w:hint="default" w:ascii="Times New Roman" w:hAnsi="Times New Roman" w:eastAsia="宋体" w:cs="Times New Roman"/>
                      <w:spacing w:val="7"/>
                      <w:kern w:val="0"/>
                      <w:sz w:val="21"/>
                      <w:szCs w:val="21"/>
                      <w:lang w:val="en-US" w:eastAsia="zh-CN" w:bidi="ar-SA"/>
                    </w:rPr>
                  </w:pPr>
                  <w:r>
                    <w:rPr>
                      <w:rFonts w:hint="default" w:ascii="Times New Roman" w:hAnsi="Times New Roman" w:eastAsia="宋体" w:cs="Times New Roman"/>
                      <w:spacing w:val="7"/>
                      <w:sz w:val="21"/>
                      <w:szCs w:val="21"/>
                    </w:rPr>
                    <w:t>1</w:t>
                  </w:r>
                </w:p>
              </w:tc>
              <w:tc>
                <w:tcPr>
                  <w:tcW w:w="1633" w:type="dxa"/>
                  <w:shd w:val="clear" w:color="auto" w:fill="auto"/>
                  <w:vAlign w:val="center"/>
                </w:tcPr>
                <w:p w14:paraId="7DC5A0DE">
                  <w:pPr>
                    <w:jc w:val="center"/>
                    <w:rPr>
                      <w:rFonts w:hint="default" w:ascii="Times New Roman" w:hAnsi="Times New Roman" w:eastAsia="宋体" w:cs="Times New Roman"/>
                      <w:spacing w:val="7"/>
                      <w:kern w:val="2"/>
                      <w:sz w:val="21"/>
                      <w:szCs w:val="21"/>
                      <w:lang w:val="en-US" w:eastAsia="zh-CN" w:bidi="ar-SA"/>
                    </w:rPr>
                  </w:pPr>
                  <w:r>
                    <w:rPr>
                      <w:rFonts w:hint="default" w:ascii="Times New Roman" w:hAnsi="Times New Roman" w:cs="Times New Roman"/>
                      <w:spacing w:val="7"/>
                      <w:sz w:val="21"/>
                      <w:szCs w:val="21"/>
                      <w:lang w:val="en-US" w:eastAsia="zh-CN"/>
                    </w:rPr>
                    <w:t>良好</w:t>
                  </w:r>
                </w:p>
              </w:tc>
            </w:tr>
            <w:tr w14:paraId="007D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65" w:type="dxa"/>
                  <w:vAlign w:val="center"/>
                </w:tcPr>
                <w:p w14:paraId="34B8B072">
                  <w:pPr>
                    <w:pStyle w:val="20"/>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9</w:t>
                  </w:r>
                </w:p>
              </w:tc>
              <w:tc>
                <w:tcPr>
                  <w:tcW w:w="2612" w:type="dxa"/>
                  <w:shd w:val="clear" w:color="auto" w:fill="auto"/>
                  <w:vAlign w:val="center"/>
                </w:tcPr>
                <w:p w14:paraId="7D23B50E">
                  <w:pPr>
                    <w:pStyle w:val="20"/>
                    <w:spacing w:line="240" w:lineRule="auto"/>
                    <w:ind w:firstLine="0" w:firstLineChars="0"/>
                    <w:jc w:val="center"/>
                    <w:rPr>
                      <w:rFonts w:hint="default" w:ascii="Times New Roman" w:hAnsi="Times New Roman" w:eastAsia="宋体" w:cs="Times New Roman"/>
                      <w:spacing w:val="7"/>
                      <w:kern w:val="0"/>
                      <w:sz w:val="21"/>
                      <w:szCs w:val="21"/>
                      <w:lang w:val="en-US" w:eastAsia="zh-CN" w:bidi="ar-SA"/>
                    </w:rPr>
                  </w:pPr>
                  <w:r>
                    <w:rPr>
                      <w:rFonts w:hint="default" w:ascii="Times New Roman" w:hAnsi="Times New Roman" w:eastAsia="宋体" w:cs="Times New Roman"/>
                      <w:spacing w:val="7"/>
                      <w:sz w:val="21"/>
                      <w:szCs w:val="21"/>
                    </w:rPr>
                    <w:t>台式电脑</w:t>
                  </w:r>
                </w:p>
              </w:tc>
              <w:tc>
                <w:tcPr>
                  <w:tcW w:w="1493" w:type="dxa"/>
                  <w:shd w:val="clear" w:color="auto" w:fill="auto"/>
                  <w:vAlign w:val="center"/>
                </w:tcPr>
                <w:p w14:paraId="41AA94A1">
                  <w:pPr>
                    <w:pStyle w:val="20"/>
                    <w:spacing w:line="240" w:lineRule="auto"/>
                    <w:ind w:firstLine="0" w:firstLineChars="0"/>
                    <w:jc w:val="center"/>
                    <w:rPr>
                      <w:rFonts w:hint="default" w:ascii="Times New Roman" w:hAnsi="Times New Roman" w:eastAsia="宋体" w:cs="Times New Roman"/>
                      <w:spacing w:val="7"/>
                      <w:kern w:val="0"/>
                      <w:sz w:val="21"/>
                      <w:szCs w:val="21"/>
                      <w:lang w:val="en-US" w:eastAsia="zh-CN" w:bidi="ar-SA"/>
                    </w:rPr>
                  </w:pPr>
                  <w:r>
                    <w:rPr>
                      <w:rFonts w:hint="default" w:ascii="Times New Roman" w:hAnsi="Times New Roman" w:eastAsia="宋体" w:cs="Times New Roman"/>
                      <w:spacing w:val="7"/>
                      <w:sz w:val="21"/>
                      <w:szCs w:val="21"/>
                      <w:lang w:val="en-US" w:eastAsia="zh-CN"/>
                    </w:rPr>
                    <w:t>台</w:t>
                  </w:r>
                </w:p>
              </w:tc>
              <w:tc>
                <w:tcPr>
                  <w:tcW w:w="1633" w:type="dxa"/>
                  <w:shd w:val="clear" w:color="auto" w:fill="auto"/>
                  <w:vAlign w:val="center"/>
                </w:tcPr>
                <w:p w14:paraId="264DD3DE">
                  <w:pPr>
                    <w:pStyle w:val="20"/>
                    <w:spacing w:line="240" w:lineRule="auto"/>
                    <w:ind w:firstLine="0" w:firstLineChars="0"/>
                    <w:jc w:val="center"/>
                    <w:rPr>
                      <w:rFonts w:hint="default" w:ascii="Times New Roman" w:hAnsi="Times New Roman" w:eastAsia="宋体" w:cs="Times New Roman"/>
                      <w:spacing w:val="7"/>
                      <w:kern w:val="0"/>
                      <w:sz w:val="21"/>
                      <w:szCs w:val="21"/>
                      <w:lang w:val="en-US" w:eastAsia="zh-CN" w:bidi="ar-SA"/>
                    </w:rPr>
                  </w:pPr>
                  <w:r>
                    <w:rPr>
                      <w:rFonts w:hint="default" w:ascii="Times New Roman" w:hAnsi="Times New Roman" w:eastAsia="宋体" w:cs="Times New Roman"/>
                      <w:spacing w:val="7"/>
                      <w:sz w:val="21"/>
                      <w:szCs w:val="21"/>
                    </w:rPr>
                    <w:t>2</w:t>
                  </w:r>
                </w:p>
              </w:tc>
              <w:tc>
                <w:tcPr>
                  <w:tcW w:w="1633" w:type="dxa"/>
                  <w:shd w:val="clear" w:color="auto" w:fill="auto"/>
                  <w:vAlign w:val="center"/>
                </w:tcPr>
                <w:p w14:paraId="5DA8AC8D">
                  <w:pPr>
                    <w:spacing w:line="240" w:lineRule="auto"/>
                    <w:ind w:firstLine="0" w:firstLineChars="0"/>
                    <w:jc w:val="center"/>
                    <w:rPr>
                      <w:rFonts w:hint="default" w:ascii="Times New Roman" w:hAnsi="Times New Roman" w:eastAsia="宋体" w:cs="Times New Roman"/>
                      <w:spacing w:val="7"/>
                      <w:kern w:val="0"/>
                      <w:sz w:val="21"/>
                      <w:szCs w:val="21"/>
                      <w:lang w:val="en-US" w:eastAsia="zh-CN" w:bidi="ar-SA"/>
                    </w:rPr>
                  </w:pPr>
                  <w:r>
                    <w:rPr>
                      <w:rFonts w:hint="default" w:ascii="Times New Roman" w:hAnsi="Times New Roman" w:cs="Times New Roman"/>
                      <w:spacing w:val="7"/>
                      <w:sz w:val="21"/>
                      <w:szCs w:val="21"/>
                      <w:lang w:val="en-US" w:eastAsia="zh-CN"/>
                    </w:rPr>
                    <w:t>良好</w:t>
                  </w:r>
                </w:p>
              </w:tc>
            </w:tr>
            <w:tr w14:paraId="1175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65" w:type="dxa"/>
                  <w:vAlign w:val="center"/>
                </w:tcPr>
                <w:p w14:paraId="38B52D3B">
                  <w:pPr>
                    <w:pStyle w:val="20"/>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10</w:t>
                  </w:r>
                </w:p>
              </w:tc>
              <w:tc>
                <w:tcPr>
                  <w:tcW w:w="2612" w:type="dxa"/>
                  <w:shd w:val="clear" w:color="auto" w:fill="auto"/>
                  <w:vAlign w:val="center"/>
                </w:tcPr>
                <w:p w14:paraId="04522C65">
                  <w:pPr>
                    <w:pStyle w:val="20"/>
                    <w:spacing w:line="240" w:lineRule="auto"/>
                    <w:ind w:firstLine="0" w:firstLineChars="0"/>
                    <w:jc w:val="center"/>
                    <w:rPr>
                      <w:rFonts w:hint="default" w:ascii="Times New Roman" w:hAnsi="Times New Roman" w:eastAsia="宋体" w:cs="Times New Roman"/>
                      <w:spacing w:val="7"/>
                      <w:kern w:val="0"/>
                      <w:sz w:val="21"/>
                      <w:szCs w:val="21"/>
                      <w:lang w:val="en-US" w:eastAsia="zh-CN" w:bidi="ar-SA"/>
                    </w:rPr>
                  </w:pPr>
                  <w:r>
                    <w:rPr>
                      <w:rFonts w:hint="default" w:ascii="Times New Roman" w:hAnsi="Times New Roman" w:cs="Times New Roman"/>
                      <w:spacing w:val="7"/>
                      <w:sz w:val="21"/>
                      <w:szCs w:val="21"/>
                      <w:lang w:val="en-US" w:eastAsia="zh-CN"/>
                    </w:rPr>
                    <w:t>柴</w:t>
                  </w:r>
                  <w:r>
                    <w:rPr>
                      <w:rFonts w:hint="default" w:ascii="Times New Roman" w:hAnsi="Times New Roman" w:eastAsia="宋体" w:cs="Times New Roman"/>
                      <w:spacing w:val="7"/>
                      <w:sz w:val="21"/>
                      <w:szCs w:val="21"/>
                    </w:rPr>
                    <w:t>油发电机</w:t>
                  </w:r>
                </w:p>
              </w:tc>
              <w:tc>
                <w:tcPr>
                  <w:tcW w:w="1493" w:type="dxa"/>
                  <w:shd w:val="clear" w:color="auto" w:fill="auto"/>
                  <w:vAlign w:val="center"/>
                </w:tcPr>
                <w:p w14:paraId="5E534C41">
                  <w:pPr>
                    <w:spacing w:line="240" w:lineRule="auto"/>
                    <w:ind w:firstLine="0" w:firstLineChars="0"/>
                    <w:jc w:val="center"/>
                    <w:rPr>
                      <w:rFonts w:hint="default" w:ascii="Times New Roman" w:hAnsi="Times New Roman" w:eastAsia="宋体" w:cs="Times New Roman"/>
                      <w:spacing w:val="7"/>
                      <w:kern w:val="2"/>
                      <w:sz w:val="21"/>
                      <w:szCs w:val="21"/>
                      <w:lang w:val="en-US" w:eastAsia="zh-CN" w:bidi="ar-SA"/>
                    </w:rPr>
                  </w:pPr>
                  <w:r>
                    <w:rPr>
                      <w:rFonts w:hint="default" w:ascii="Times New Roman" w:hAnsi="Times New Roman" w:eastAsia="宋体" w:cs="Times New Roman"/>
                      <w:spacing w:val="7"/>
                      <w:sz w:val="21"/>
                      <w:szCs w:val="21"/>
                      <w:lang w:val="en-US" w:eastAsia="zh-CN"/>
                    </w:rPr>
                    <w:t>台</w:t>
                  </w:r>
                </w:p>
              </w:tc>
              <w:tc>
                <w:tcPr>
                  <w:tcW w:w="1633" w:type="dxa"/>
                  <w:shd w:val="clear" w:color="auto" w:fill="auto"/>
                  <w:vAlign w:val="center"/>
                </w:tcPr>
                <w:p w14:paraId="29B54E29">
                  <w:pPr>
                    <w:pStyle w:val="20"/>
                    <w:spacing w:line="240" w:lineRule="auto"/>
                    <w:ind w:firstLine="0" w:firstLineChars="0"/>
                    <w:jc w:val="center"/>
                    <w:rPr>
                      <w:rFonts w:hint="default" w:ascii="Times New Roman" w:hAnsi="Times New Roman" w:eastAsia="宋体" w:cs="Times New Roman"/>
                      <w:spacing w:val="7"/>
                      <w:kern w:val="0"/>
                      <w:sz w:val="21"/>
                      <w:szCs w:val="21"/>
                      <w:lang w:val="en-US" w:eastAsia="zh-CN" w:bidi="ar-SA"/>
                    </w:rPr>
                  </w:pPr>
                  <w:r>
                    <w:rPr>
                      <w:rFonts w:hint="default" w:ascii="Times New Roman" w:hAnsi="Times New Roman" w:eastAsia="宋体" w:cs="Times New Roman"/>
                      <w:spacing w:val="7"/>
                      <w:sz w:val="21"/>
                      <w:szCs w:val="21"/>
                    </w:rPr>
                    <w:t>2</w:t>
                  </w:r>
                </w:p>
              </w:tc>
              <w:tc>
                <w:tcPr>
                  <w:tcW w:w="1633" w:type="dxa"/>
                  <w:shd w:val="clear" w:color="auto" w:fill="auto"/>
                  <w:vAlign w:val="center"/>
                </w:tcPr>
                <w:p w14:paraId="60814478">
                  <w:pPr>
                    <w:spacing w:line="240" w:lineRule="auto"/>
                    <w:ind w:firstLine="0" w:firstLineChars="0"/>
                    <w:jc w:val="center"/>
                    <w:rPr>
                      <w:rFonts w:hint="default" w:ascii="Times New Roman" w:hAnsi="Times New Roman" w:eastAsia="宋体" w:cs="Times New Roman"/>
                      <w:spacing w:val="7"/>
                      <w:kern w:val="0"/>
                      <w:sz w:val="21"/>
                      <w:szCs w:val="21"/>
                      <w:lang w:val="en-US" w:eastAsia="zh-CN" w:bidi="ar-SA"/>
                    </w:rPr>
                  </w:pPr>
                  <w:r>
                    <w:rPr>
                      <w:rFonts w:hint="default" w:ascii="Times New Roman" w:hAnsi="Times New Roman" w:cs="Times New Roman"/>
                      <w:spacing w:val="7"/>
                      <w:sz w:val="21"/>
                      <w:szCs w:val="21"/>
                      <w:lang w:val="en-US" w:eastAsia="zh-CN"/>
                    </w:rPr>
                    <w:t>良好</w:t>
                  </w:r>
                </w:p>
              </w:tc>
            </w:tr>
            <w:tr w14:paraId="1329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65" w:type="dxa"/>
                  <w:vAlign w:val="center"/>
                </w:tcPr>
                <w:p w14:paraId="41D7E2C4">
                  <w:pPr>
                    <w:pStyle w:val="20"/>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11</w:t>
                  </w:r>
                </w:p>
              </w:tc>
              <w:tc>
                <w:tcPr>
                  <w:tcW w:w="2612" w:type="dxa"/>
                  <w:shd w:val="clear" w:color="auto" w:fill="auto"/>
                  <w:vAlign w:val="center"/>
                </w:tcPr>
                <w:p w14:paraId="22498199">
                  <w:pPr>
                    <w:pStyle w:val="20"/>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6"/>
                      <w:sz w:val="21"/>
                      <w:szCs w:val="21"/>
                      <w:highlight w:val="none"/>
                      <w:vertAlign w:val="baseline"/>
                      <w:lang w:val="en-US" w:eastAsia="zh-CN"/>
                    </w:rPr>
                    <w:t>一体化污水处理设施</w:t>
                  </w:r>
                </w:p>
              </w:tc>
              <w:tc>
                <w:tcPr>
                  <w:tcW w:w="1493" w:type="dxa"/>
                  <w:shd w:val="clear" w:color="auto" w:fill="auto"/>
                  <w:vAlign w:val="center"/>
                </w:tcPr>
                <w:p w14:paraId="5B096FA3">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座</w:t>
                  </w:r>
                </w:p>
              </w:tc>
              <w:tc>
                <w:tcPr>
                  <w:tcW w:w="1633" w:type="dxa"/>
                  <w:shd w:val="clear" w:color="auto" w:fill="auto"/>
                  <w:vAlign w:val="center"/>
                </w:tcPr>
                <w:p w14:paraId="01777ED8">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1</w:t>
                  </w:r>
                </w:p>
              </w:tc>
              <w:tc>
                <w:tcPr>
                  <w:tcW w:w="1633" w:type="dxa"/>
                  <w:shd w:val="clear" w:color="auto" w:fill="auto"/>
                  <w:vAlign w:val="center"/>
                </w:tcPr>
                <w:p w14:paraId="12CA133F">
                  <w:pPr>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良好</w:t>
                  </w:r>
                </w:p>
              </w:tc>
            </w:tr>
          </w:tbl>
          <w:p w14:paraId="42074DEA">
            <w:pPr>
              <w:pStyle w:val="21"/>
              <w:spacing w:before="56" w:line="360" w:lineRule="auto"/>
              <w:outlineLvl w:val="1"/>
              <w:rPr>
                <w:rFonts w:hint="default" w:ascii="Times New Roman" w:hAnsi="Times New Roman" w:cs="Times New Roman"/>
                <w:b/>
                <w:bCs/>
                <w:spacing w:val="-4"/>
                <w:lang w:val="en-US" w:eastAsia="zh-CN"/>
              </w:rPr>
            </w:pPr>
            <w:r>
              <w:rPr>
                <w:rFonts w:hint="default" w:ascii="Times New Roman" w:hAnsi="Times New Roman" w:cs="Times New Roman"/>
                <w:b/>
                <w:bCs/>
                <w:spacing w:val="-4"/>
                <w:lang w:val="en-US" w:eastAsia="zh-CN"/>
              </w:rPr>
              <w:t>5.原辅料消耗</w:t>
            </w:r>
          </w:p>
          <w:p w14:paraId="38CA07BB">
            <w:pPr>
              <w:snapToGrid w:val="0"/>
              <w:spacing w:line="500" w:lineRule="exact"/>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施工期间消耗的主要物料及能耗包括：柴油、新鲜水</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水泥</w:t>
            </w:r>
            <w:r>
              <w:rPr>
                <w:rFonts w:hint="default" w:ascii="Times New Roman" w:hAnsi="Times New Roman" w:eastAsia="宋体" w:cs="Times New Roman"/>
                <w:highlight w:val="none"/>
              </w:rPr>
              <w:t>等，消耗情况见表2-</w:t>
            </w:r>
            <w:r>
              <w:rPr>
                <w:rFonts w:hint="default" w:ascii="Times New Roman" w:hAnsi="Times New Roman" w:cs="Times New Roman"/>
                <w:highlight w:val="none"/>
                <w:lang w:val="en-US" w:eastAsia="zh-CN"/>
              </w:rPr>
              <w:t>3</w:t>
            </w:r>
            <w:r>
              <w:rPr>
                <w:rFonts w:hint="default" w:ascii="Times New Roman" w:hAnsi="Times New Roman" w:eastAsia="宋体" w:cs="Times New Roman"/>
                <w:highlight w:val="none"/>
              </w:rPr>
              <w:t>。</w:t>
            </w:r>
          </w:p>
          <w:p w14:paraId="32CDFFA2">
            <w:pPr>
              <w:keepNext/>
              <w:keepLines/>
              <w:widowControl/>
              <w:adjustRightInd w:val="0"/>
              <w:snapToGrid w:val="0"/>
              <w:spacing w:line="480" w:lineRule="exact"/>
              <w:jc w:val="center"/>
              <w:outlineLvl w:val="2"/>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表2-</w:t>
            </w:r>
            <w:r>
              <w:rPr>
                <w:rFonts w:hint="default" w:ascii="Times New Roman" w:hAnsi="Times New Roman" w:cs="Times New Roman"/>
                <w:b/>
                <w:color w:val="000000"/>
                <w:kern w:val="0"/>
                <w:sz w:val="21"/>
                <w:szCs w:val="21"/>
                <w:lang w:val="en-US" w:eastAsia="zh-CN"/>
              </w:rPr>
              <w:t>3</w:t>
            </w:r>
            <w:r>
              <w:rPr>
                <w:rFonts w:hint="default" w:ascii="Times New Roman" w:hAnsi="Times New Roman" w:eastAsia="宋体" w:cs="Times New Roman"/>
                <w:b/>
                <w:color w:val="000000"/>
                <w:kern w:val="0"/>
                <w:sz w:val="21"/>
                <w:szCs w:val="21"/>
              </w:rPr>
              <w:t>施工期主要材料及能源用量一览表</w:t>
            </w:r>
          </w:p>
          <w:tbl>
            <w:tblPr>
              <w:tblStyle w:val="16"/>
              <w:tblW w:w="8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982"/>
              <w:gridCol w:w="1196"/>
              <w:gridCol w:w="963"/>
              <w:gridCol w:w="1460"/>
              <w:gridCol w:w="2905"/>
            </w:tblGrid>
            <w:tr w14:paraId="1372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433" w:type="pct"/>
                  <w:shd w:val="clear" w:color="auto" w:fill="auto"/>
                  <w:vAlign w:val="center"/>
                </w:tcPr>
                <w:p w14:paraId="7F73000B">
                  <w:pPr>
                    <w:pStyle w:val="20"/>
                    <w:spacing w:line="240" w:lineRule="auto"/>
                    <w:ind w:firstLine="0" w:firstLineChars="0"/>
                    <w:jc w:val="center"/>
                    <w:rPr>
                      <w:rFonts w:hint="default" w:ascii="Times New Roman" w:hAnsi="Times New Roman" w:eastAsia="宋体" w:cs="Times New Roman"/>
                      <w:spacing w:val="7"/>
                      <w:sz w:val="21"/>
                      <w:szCs w:val="21"/>
                      <w:lang w:eastAsia="en-US"/>
                    </w:rPr>
                  </w:pPr>
                  <w:r>
                    <w:rPr>
                      <w:rFonts w:hint="default" w:ascii="Times New Roman" w:hAnsi="Times New Roman" w:eastAsia="宋体" w:cs="Times New Roman"/>
                      <w:spacing w:val="7"/>
                      <w:sz w:val="21"/>
                      <w:szCs w:val="21"/>
                    </w:rPr>
                    <w:t>序号</w:t>
                  </w:r>
                </w:p>
              </w:tc>
              <w:tc>
                <w:tcPr>
                  <w:tcW w:w="597" w:type="pct"/>
                  <w:shd w:val="clear" w:color="auto" w:fill="auto"/>
                  <w:vAlign w:val="center"/>
                </w:tcPr>
                <w:p w14:paraId="7C0689A0">
                  <w:pPr>
                    <w:pStyle w:val="20"/>
                    <w:spacing w:line="240" w:lineRule="auto"/>
                    <w:ind w:firstLine="0" w:firstLineChars="0"/>
                    <w:jc w:val="center"/>
                    <w:rPr>
                      <w:rFonts w:hint="default" w:ascii="Times New Roman" w:hAnsi="Times New Roman" w:eastAsia="宋体" w:cs="Times New Roman"/>
                      <w:spacing w:val="7"/>
                      <w:sz w:val="21"/>
                      <w:szCs w:val="21"/>
                      <w:lang w:eastAsia="en-US"/>
                    </w:rPr>
                  </w:pPr>
                  <w:r>
                    <w:rPr>
                      <w:rFonts w:hint="default" w:ascii="Times New Roman" w:hAnsi="Times New Roman" w:eastAsia="宋体" w:cs="Times New Roman"/>
                      <w:spacing w:val="7"/>
                      <w:sz w:val="21"/>
                      <w:szCs w:val="21"/>
                    </w:rPr>
                    <w:t>名称</w:t>
                  </w:r>
                </w:p>
              </w:tc>
              <w:tc>
                <w:tcPr>
                  <w:tcW w:w="727" w:type="pct"/>
                  <w:shd w:val="clear" w:color="auto" w:fill="auto"/>
                  <w:vAlign w:val="center"/>
                </w:tcPr>
                <w:p w14:paraId="33DDEB0E">
                  <w:pPr>
                    <w:pStyle w:val="20"/>
                    <w:spacing w:line="240" w:lineRule="auto"/>
                    <w:ind w:firstLine="0" w:firstLineChars="0"/>
                    <w:jc w:val="center"/>
                    <w:rPr>
                      <w:rFonts w:hint="default" w:ascii="Times New Roman" w:hAnsi="Times New Roman" w:eastAsia="宋体" w:cs="Times New Roman"/>
                      <w:spacing w:val="7"/>
                      <w:sz w:val="21"/>
                      <w:szCs w:val="21"/>
                      <w:highlight w:val="none"/>
                      <w:lang w:eastAsia="en-US"/>
                    </w:rPr>
                  </w:pPr>
                  <w:r>
                    <w:rPr>
                      <w:rFonts w:hint="default" w:ascii="Times New Roman" w:hAnsi="Times New Roman" w:eastAsia="宋体" w:cs="Times New Roman"/>
                      <w:spacing w:val="7"/>
                      <w:sz w:val="21"/>
                      <w:szCs w:val="21"/>
                      <w:highlight w:val="none"/>
                    </w:rPr>
                    <w:t>消耗量</w:t>
                  </w:r>
                </w:p>
              </w:tc>
              <w:tc>
                <w:tcPr>
                  <w:tcW w:w="585" w:type="pct"/>
                  <w:shd w:val="clear" w:color="auto" w:fill="auto"/>
                  <w:vAlign w:val="center"/>
                </w:tcPr>
                <w:p w14:paraId="7115833E">
                  <w:pPr>
                    <w:pStyle w:val="20"/>
                    <w:spacing w:line="240" w:lineRule="auto"/>
                    <w:ind w:firstLine="0" w:firstLineChars="0"/>
                    <w:jc w:val="center"/>
                    <w:rPr>
                      <w:rFonts w:hint="default" w:ascii="Times New Roman" w:hAnsi="Times New Roman" w:eastAsia="宋体" w:cs="Times New Roman"/>
                      <w:spacing w:val="7"/>
                      <w:sz w:val="21"/>
                      <w:szCs w:val="21"/>
                      <w:lang w:eastAsia="en-US"/>
                    </w:rPr>
                  </w:pPr>
                  <w:r>
                    <w:rPr>
                      <w:rFonts w:hint="default" w:ascii="Times New Roman" w:hAnsi="Times New Roman" w:eastAsia="宋体" w:cs="Times New Roman"/>
                      <w:spacing w:val="7"/>
                      <w:sz w:val="21"/>
                      <w:szCs w:val="21"/>
                    </w:rPr>
                    <w:t>单位</w:t>
                  </w:r>
                </w:p>
              </w:tc>
              <w:tc>
                <w:tcPr>
                  <w:tcW w:w="888" w:type="pct"/>
                  <w:shd w:val="clear" w:color="auto" w:fill="auto"/>
                  <w:vAlign w:val="center"/>
                </w:tcPr>
                <w:p w14:paraId="3531C7B8">
                  <w:pPr>
                    <w:pStyle w:val="20"/>
                    <w:spacing w:line="240" w:lineRule="auto"/>
                    <w:ind w:firstLine="0" w:firstLineChars="0"/>
                    <w:jc w:val="center"/>
                    <w:rPr>
                      <w:rFonts w:hint="default" w:ascii="Times New Roman" w:hAnsi="Times New Roman" w:eastAsia="宋体" w:cs="Times New Roman"/>
                      <w:spacing w:val="7"/>
                      <w:sz w:val="21"/>
                      <w:szCs w:val="21"/>
                      <w:lang w:eastAsia="en-US"/>
                    </w:rPr>
                  </w:pPr>
                  <w:r>
                    <w:rPr>
                      <w:rFonts w:hint="default" w:ascii="Times New Roman" w:hAnsi="Times New Roman" w:eastAsia="宋体" w:cs="Times New Roman"/>
                      <w:spacing w:val="7"/>
                      <w:sz w:val="21"/>
                      <w:szCs w:val="21"/>
                    </w:rPr>
                    <w:t>储运方式</w:t>
                  </w:r>
                </w:p>
              </w:tc>
              <w:tc>
                <w:tcPr>
                  <w:tcW w:w="1767" w:type="pct"/>
                  <w:shd w:val="clear" w:color="auto" w:fill="auto"/>
                  <w:vAlign w:val="center"/>
                </w:tcPr>
                <w:p w14:paraId="7A741745">
                  <w:pPr>
                    <w:pStyle w:val="20"/>
                    <w:spacing w:line="240" w:lineRule="auto"/>
                    <w:ind w:firstLine="0" w:firstLineChars="0"/>
                    <w:jc w:val="center"/>
                    <w:rPr>
                      <w:rFonts w:hint="default" w:ascii="Times New Roman" w:hAnsi="Times New Roman" w:eastAsia="宋体" w:cs="Times New Roman"/>
                      <w:spacing w:val="7"/>
                      <w:sz w:val="21"/>
                      <w:szCs w:val="21"/>
                      <w:lang w:eastAsia="en-US"/>
                    </w:rPr>
                  </w:pPr>
                  <w:r>
                    <w:rPr>
                      <w:rFonts w:hint="default" w:ascii="Times New Roman" w:hAnsi="Times New Roman" w:eastAsia="宋体" w:cs="Times New Roman"/>
                      <w:spacing w:val="7"/>
                      <w:sz w:val="21"/>
                      <w:szCs w:val="21"/>
                    </w:rPr>
                    <w:t>来源</w:t>
                  </w:r>
                </w:p>
              </w:tc>
            </w:tr>
            <w:tr w14:paraId="68FF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433" w:type="pct"/>
                  <w:shd w:val="clear" w:color="auto" w:fill="auto"/>
                  <w:vAlign w:val="center"/>
                </w:tcPr>
                <w:p w14:paraId="0D1E5AAD">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1</w:t>
                  </w:r>
                </w:p>
              </w:tc>
              <w:tc>
                <w:tcPr>
                  <w:tcW w:w="597" w:type="pct"/>
                  <w:shd w:val="clear" w:color="auto" w:fill="auto"/>
                  <w:vAlign w:val="center"/>
                </w:tcPr>
                <w:p w14:paraId="0DFADE49">
                  <w:pPr>
                    <w:pStyle w:val="20"/>
                    <w:spacing w:line="240" w:lineRule="auto"/>
                    <w:ind w:firstLine="0" w:firstLineChars="0"/>
                    <w:jc w:val="center"/>
                    <w:rPr>
                      <w:rFonts w:hint="default" w:ascii="Times New Roman" w:hAnsi="Times New Roman" w:eastAsia="宋体" w:cs="Times New Roman"/>
                      <w:spacing w:val="7"/>
                      <w:sz w:val="21"/>
                      <w:szCs w:val="21"/>
                      <w:lang w:eastAsia="en-US"/>
                    </w:rPr>
                  </w:pPr>
                  <w:r>
                    <w:rPr>
                      <w:rFonts w:hint="default" w:ascii="Times New Roman" w:hAnsi="Times New Roman" w:eastAsia="宋体" w:cs="Times New Roman"/>
                      <w:spacing w:val="7"/>
                      <w:sz w:val="21"/>
                      <w:szCs w:val="21"/>
                    </w:rPr>
                    <w:t>柴油</w:t>
                  </w:r>
                </w:p>
              </w:tc>
              <w:tc>
                <w:tcPr>
                  <w:tcW w:w="727" w:type="pct"/>
                  <w:shd w:val="clear" w:color="auto" w:fill="auto"/>
                  <w:vAlign w:val="center"/>
                </w:tcPr>
                <w:p w14:paraId="4B6A983D">
                  <w:pPr>
                    <w:pStyle w:val="20"/>
                    <w:spacing w:line="240" w:lineRule="auto"/>
                    <w:ind w:firstLine="0" w:firstLineChars="0"/>
                    <w:jc w:val="center"/>
                    <w:rPr>
                      <w:rFonts w:hint="default" w:ascii="Times New Roman" w:hAnsi="Times New Roman" w:eastAsia="宋体" w:cs="Times New Roman"/>
                      <w:color w:val="000000"/>
                      <w:spacing w:val="7"/>
                      <w:sz w:val="21"/>
                      <w:szCs w:val="21"/>
                      <w:highlight w:val="yellow"/>
                      <w:lang w:val="en-US" w:eastAsia="zh-CN"/>
                    </w:rPr>
                  </w:pPr>
                  <w:r>
                    <w:rPr>
                      <w:rFonts w:hint="default" w:ascii="Times New Roman" w:hAnsi="Times New Roman" w:cs="Times New Roman"/>
                      <w:color w:val="000000"/>
                      <w:spacing w:val="7"/>
                      <w:sz w:val="21"/>
                      <w:szCs w:val="21"/>
                      <w:highlight w:val="none"/>
                      <w:lang w:val="en-US" w:eastAsia="zh-CN"/>
                    </w:rPr>
                    <w:t>34.44</w:t>
                  </w:r>
                </w:p>
              </w:tc>
              <w:tc>
                <w:tcPr>
                  <w:tcW w:w="585" w:type="pct"/>
                  <w:shd w:val="clear" w:color="auto" w:fill="auto"/>
                  <w:vAlign w:val="center"/>
                </w:tcPr>
                <w:p w14:paraId="4F8C61AF">
                  <w:pPr>
                    <w:pStyle w:val="20"/>
                    <w:spacing w:line="240" w:lineRule="auto"/>
                    <w:ind w:firstLine="0" w:firstLineChars="0"/>
                    <w:jc w:val="center"/>
                    <w:rPr>
                      <w:rFonts w:hint="default" w:ascii="Times New Roman" w:hAnsi="Times New Roman" w:eastAsia="宋体" w:cs="Times New Roman"/>
                      <w:color w:val="000000"/>
                      <w:spacing w:val="7"/>
                      <w:sz w:val="21"/>
                      <w:szCs w:val="21"/>
                      <w:lang w:val="en-US" w:eastAsia="zh-CN"/>
                    </w:rPr>
                  </w:pPr>
                  <w:r>
                    <w:rPr>
                      <w:rFonts w:hint="default" w:ascii="Times New Roman" w:hAnsi="Times New Roman" w:cs="Times New Roman"/>
                      <w:color w:val="000000"/>
                      <w:spacing w:val="7"/>
                      <w:sz w:val="21"/>
                      <w:szCs w:val="21"/>
                      <w:lang w:val="en-US" w:eastAsia="zh-CN"/>
                    </w:rPr>
                    <w:t>t/a</w:t>
                  </w:r>
                </w:p>
              </w:tc>
              <w:tc>
                <w:tcPr>
                  <w:tcW w:w="888" w:type="pct"/>
                  <w:shd w:val="clear" w:color="auto" w:fill="auto"/>
                  <w:vAlign w:val="center"/>
                </w:tcPr>
                <w:p w14:paraId="77C29CB5">
                  <w:pPr>
                    <w:pStyle w:val="20"/>
                    <w:spacing w:line="240" w:lineRule="auto"/>
                    <w:ind w:firstLine="0" w:firstLineChars="0"/>
                    <w:jc w:val="center"/>
                    <w:rPr>
                      <w:rFonts w:hint="default" w:ascii="Times New Roman" w:hAnsi="Times New Roman" w:eastAsia="宋体" w:cs="Times New Roman"/>
                      <w:spacing w:val="7"/>
                      <w:sz w:val="21"/>
                      <w:szCs w:val="21"/>
                      <w:lang w:eastAsia="en-US"/>
                    </w:rPr>
                  </w:pPr>
                  <w:r>
                    <w:rPr>
                      <w:rFonts w:hint="default" w:ascii="Times New Roman" w:hAnsi="Times New Roman" w:eastAsia="宋体" w:cs="Times New Roman"/>
                      <w:spacing w:val="7"/>
                      <w:sz w:val="21"/>
                      <w:szCs w:val="21"/>
                    </w:rPr>
                    <w:t>车辆拉运</w:t>
                  </w:r>
                </w:p>
              </w:tc>
              <w:tc>
                <w:tcPr>
                  <w:tcW w:w="1767" w:type="pct"/>
                  <w:shd w:val="clear" w:color="auto" w:fill="auto"/>
                  <w:vAlign w:val="center"/>
                </w:tcPr>
                <w:p w14:paraId="302A2039">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rPr>
                    <w:t>外购</w:t>
                  </w:r>
                  <w:r>
                    <w:rPr>
                      <w:rFonts w:hint="default" w:ascii="Times New Roman" w:hAnsi="Times New Roman" w:cs="Times New Roman"/>
                      <w:spacing w:val="7"/>
                      <w:sz w:val="21"/>
                      <w:szCs w:val="21"/>
                      <w:lang w:eastAsia="zh-CN"/>
                    </w:rPr>
                    <w:t>，</w:t>
                  </w:r>
                  <w:r>
                    <w:rPr>
                      <w:rFonts w:hint="default" w:ascii="Times New Roman" w:hAnsi="Times New Roman" w:cs="Times New Roman"/>
                      <w:spacing w:val="7"/>
                      <w:sz w:val="21"/>
                      <w:szCs w:val="21"/>
                      <w:lang w:val="en-US" w:eastAsia="zh-CN"/>
                    </w:rPr>
                    <w:t>油罐车拉运和储存</w:t>
                  </w:r>
                </w:p>
              </w:tc>
            </w:tr>
            <w:tr w14:paraId="27C8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33" w:type="pct"/>
                  <w:shd w:val="clear" w:color="auto" w:fill="auto"/>
                  <w:vAlign w:val="center"/>
                </w:tcPr>
                <w:p w14:paraId="7F3C6960">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2</w:t>
                  </w:r>
                </w:p>
              </w:tc>
              <w:tc>
                <w:tcPr>
                  <w:tcW w:w="597" w:type="pct"/>
                  <w:shd w:val="clear" w:color="auto" w:fill="auto"/>
                  <w:vAlign w:val="center"/>
                </w:tcPr>
                <w:p w14:paraId="7223E4C2">
                  <w:pPr>
                    <w:pStyle w:val="20"/>
                    <w:spacing w:line="240" w:lineRule="auto"/>
                    <w:ind w:firstLine="0" w:firstLineChars="0"/>
                    <w:jc w:val="center"/>
                    <w:rPr>
                      <w:rFonts w:hint="default" w:ascii="Times New Roman" w:hAnsi="Times New Roman" w:eastAsia="宋体" w:cs="Times New Roman"/>
                      <w:spacing w:val="7"/>
                      <w:sz w:val="21"/>
                      <w:szCs w:val="21"/>
                      <w:lang w:eastAsia="en-US"/>
                    </w:rPr>
                  </w:pPr>
                  <w:r>
                    <w:rPr>
                      <w:rFonts w:hint="default" w:ascii="Times New Roman" w:hAnsi="Times New Roman" w:eastAsia="宋体" w:cs="Times New Roman"/>
                      <w:spacing w:val="7"/>
                      <w:sz w:val="21"/>
                      <w:szCs w:val="21"/>
                    </w:rPr>
                    <w:t>水</w:t>
                  </w:r>
                </w:p>
              </w:tc>
              <w:tc>
                <w:tcPr>
                  <w:tcW w:w="727" w:type="pct"/>
                  <w:shd w:val="clear" w:color="auto" w:fill="auto"/>
                  <w:vAlign w:val="center"/>
                </w:tcPr>
                <w:p w14:paraId="3495422F">
                  <w:pPr>
                    <w:pStyle w:val="20"/>
                    <w:spacing w:line="240" w:lineRule="auto"/>
                    <w:ind w:firstLine="0" w:firstLineChars="0"/>
                    <w:jc w:val="center"/>
                    <w:rPr>
                      <w:rFonts w:hint="default" w:ascii="Times New Roman" w:hAnsi="Times New Roman" w:eastAsia="宋体" w:cs="Times New Roman"/>
                      <w:color w:val="000000"/>
                      <w:spacing w:val="7"/>
                      <w:sz w:val="21"/>
                      <w:szCs w:val="21"/>
                      <w:highlight w:val="yellow"/>
                      <w:lang w:val="en-US" w:eastAsia="zh-CN"/>
                    </w:rPr>
                  </w:pPr>
                  <w:r>
                    <w:rPr>
                      <w:rFonts w:hint="default" w:ascii="Times New Roman" w:hAnsi="Times New Roman" w:cs="Times New Roman"/>
                      <w:color w:val="000000"/>
                      <w:spacing w:val="7"/>
                      <w:sz w:val="21"/>
                      <w:szCs w:val="21"/>
                      <w:highlight w:val="none"/>
                      <w:lang w:val="en-US" w:eastAsia="zh-CN"/>
                    </w:rPr>
                    <w:t>800</w:t>
                  </w:r>
                </w:p>
              </w:tc>
              <w:tc>
                <w:tcPr>
                  <w:tcW w:w="585" w:type="pct"/>
                  <w:shd w:val="clear" w:color="auto" w:fill="auto"/>
                  <w:vAlign w:val="center"/>
                </w:tcPr>
                <w:p w14:paraId="5970E854">
                  <w:pPr>
                    <w:pStyle w:val="20"/>
                    <w:spacing w:line="240" w:lineRule="auto"/>
                    <w:ind w:firstLine="0" w:firstLineChars="0"/>
                    <w:jc w:val="center"/>
                    <w:rPr>
                      <w:rFonts w:hint="default" w:ascii="Times New Roman" w:hAnsi="Times New Roman" w:eastAsia="宋体" w:cs="Times New Roman"/>
                      <w:color w:val="000000"/>
                      <w:spacing w:val="7"/>
                      <w:sz w:val="21"/>
                      <w:szCs w:val="21"/>
                    </w:rPr>
                  </w:pPr>
                  <w:r>
                    <w:rPr>
                      <w:rFonts w:hint="default" w:ascii="Times New Roman" w:hAnsi="Times New Roman" w:eastAsia="宋体" w:cs="Times New Roman"/>
                      <w:color w:val="000000"/>
                      <w:spacing w:val="7"/>
                      <w:sz w:val="21"/>
                      <w:szCs w:val="21"/>
                    </w:rPr>
                    <w:t>m</w:t>
                  </w:r>
                  <w:r>
                    <w:rPr>
                      <w:rFonts w:hint="default" w:ascii="Times New Roman" w:hAnsi="Times New Roman" w:eastAsia="宋体" w:cs="Times New Roman"/>
                      <w:color w:val="000000"/>
                      <w:spacing w:val="7"/>
                      <w:sz w:val="21"/>
                      <w:szCs w:val="21"/>
                      <w:vertAlign w:val="superscript"/>
                    </w:rPr>
                    <w:t>3</w:t>
                  </w:r>
                  <w:r>
                    <w:rPr>
                      <w:rFonts w:hint="default" w:ascii="Times New Roman" w:hAnsi="Times New Roman" w:cs="Times New Roman"/>
                      <w:color w:val="000000"/>
                      <w:spacing w:val="7"/>
                      <w:sz w:val="21"/>
                      <w:szCs w:val="21"/>
                      <w:lang w:val="en-US" w:eastAsia="zh-CN"/>
                    </w:rPr>
                    <w:t>/a</w:t>
                  </w:r>
                </w:p>
              </w:tc>
              <w:tc>
                <w:tcPr>
                  <w:tcW w:w="888" w:type="pct"/>
                  <w:shd w:val="clear" w:color="auto" w:fill="auto"/>
                  <w:vAlign w:val="center"/>
                </w:tcPr>
                <w:p w14:paraId="2ED3005B">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车辆拉运</w:t>
                  </w:r>
                </w:p>
              </w:tc>
              <w:tc>
                <w:tcPr>
                  <w:tcW w:w="1767" w:type="pct"/>
                  <w:shd w:val="clear" w:color="auto" w:fill="auto"/>
                  <w:vAlign w:val="center"/>
                </w:tcPr>
                <w:p w14:paraId="25503EDF">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取自博斯坦托格拉克河</w:t>
                  </w:r>
                </w:p>
              </w:tc>
            </w:tr>
            <w:tr w14:paraId="11C1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33" w:type="pct"/>
                  <w:shd w:val="clear" w:color="auto" w:fill="auto"/>
                  <w:vAlign w:val="center"/>
                </w:tcPr>
                <w:p w14:paraId="40699011">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3</w:t>
                  </w:r>
                </w:p>
              </w:tc>
              <w:tc>
                <w:tcPr>
                  <w:tcW w:w="597" w:type="pct"/>
                  <w:shd w:val="clear" w:color="auto" w:fill="auto"/>
                  <w:vAlign w:val="center"/>
                </w:tcPr>
                <w:p w14:paraId="318C461B">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钻井液</w:t>
                  </w:r>
                </w:p>
              </w:tc>
              <w:tc>
                <w:tcPr>
                  <w:tcW w:w="727" w:type="pct"/>
                  <w:shd w:val="clear" w:color="auto" w:fill="auto"/>
                  <w:vAlign w:val="center"/>
                </w:tcPr>
                <w:p w14:paraId="7943BBE5">
                  <w:pPr>
                    <w:pStyle w:val="20"/>
                    <w:spacing w:line="240" w:lineRule="auto"/>
                    <w:ind w:firstLine="0" w:firstLineChars="0"/>
                    <w:jc w:val="center"/>
                    <w:rPr>
                      <w:rFonts w:hint="default" w:ascii="Times New Roman" w:hAnsi="Times New Roman" w:cs="Times New Roman"/>
                      <w:color w:val="000000"/>
                      <w:spacing w:val="7"/>
                      <w:sz w:val="21"/>
                      <w:szCs w:val="21"/>
                      <w:highlight w:val="yellow"/>
                      <w:lang w:val="en-US" w:eastAsia="zh-CN"/>
                    </w:rPr>
                  </w:pPr>
                  <w:r>
                    <w:rPr>
                      <w:rFonts w:hint="default" w:ascii="Times New Roman" w:hAnsi="Times New Roman" w:cs="Times New Roman"/>
                      <w:color w:val="000000"/>
                      <w:spacing w:val="7"/>
                      <w:sz w:val="21"/>
                      <w:szCs w:val="21"/>
                      <w:highlight w:val="none"/>
                      <w:lang w:val="en-US" w:eastAsia="zh-CN"/>
                    </w:rPr>
                    <w:t>13.3</w:t>
                  </w:r>
                </w:p>
              </w:tc>
              <w:tc>
                <w:tcPr>
                  <w:tcW w:w="585" w:type="pct"/>
                  <w:shd w:val="clear" w:color="auto" w:fill="auto"/>
                  <w:vAlign w:val="center"/>
                </w:tcPr>
                <w:p w14:paraId="044A2284">
                  <w:pPr>
                    <w:pStyle w:val="20"/>
                    <w:spacing w:line="240" w:lineRule="auto"/>
                    <w:ind w:firstLine="0" w:firstLineChars="0"/>
                    <w:jc w:val="center"/>
                    <w:rPr>
                      <w:rFonts w:hint="default" w:ascii="Times New Roman" w:hAnsi="Times New Roman" w:eastAsia="宋体" w:cs="Times New Roman"/>
                      <w:color w:val="000000"/>
                      <w:spacing w:val="7"/>
                      <w:sz w:val="21"/>
                      <w:szCs w:val="21"/>
                    </w:rPr>
                  </w:pPr>
                  <w:r>
                    <w:rPr>
                      <w:rFonts w:hint="default" w:ascii="Times New Roman" w:hAnsi="Times New Roman" w:eastAsia="宋体" w:cs="Times New Roman"/>
                      <w:color w:val="000000"/>
                      <w:spacing w:val="7"/>
                      <w:sz w:val="21"/>
                      <w:szCs w:val="21"/>
                    </w:rPr>
                    <w:t>m</w:t>
                  </w:r>
                  <w:r>
                    <w:rPr>
                      <w:rFonts w:hint="default" w:ascii="Times New Roman" w:hAnsi="Times New Roman" w:eastAsia="宋体" w:cs="Times New Roman"/>
                      <w:color w:val="000000"/>
                      <w:spacing w:val="7"/>
                      <w:sz w:val="21"/>
                      <w:szCs w:val="21"/>
                      <w:vertAlign w:val="superscript"/>
                    </w:rPr>
                    <w:t>3</w:t>
                  </w:r>
                  <w:r>
                    <w:rPr>
                      <w:rFonts w:hint="default" w:ascii="Times New Roman" w:hAnsi="Times New Roman" w:cs="Times New Roman"/>
                      <w:color w:val="000000"/>
                      <w:spacing w:val="7"/>
                      <w:sz w:val="21"/>
                      <w:szCs w:val="21"/>
                      <w:lang w:val="en-US" w:eastAsia="zh-CN"/>
                    </w:rPr>
                    <w:t>/a</w:t>
                  </w:r>
                </w:p>
              </w:tc>
              <w:tc>
                <w:tcPr>
                  <w:tcW w:w="888" w:type="pct"/>
                  <w:shd w:val="clear" w:color="auto" w:fill="auto"/>
                  <w:vAlign w:val="center"/>
                </w:tcPr>
                <w:p w14:paraId="5E6E4194">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车辆拉运</w:t>
                  </w:r>
                </w:p>
              </w:tc>
              <w:tc>
                <w:tcPr>
                  <w:tcW w:w="1767" w:type="pct"/>
                  <w:shd w:val="clear" w:color="auto" w:fill="auto"/>
                  <w:vAlign w:val="center"/>
                </w:tcPr>
                <w:p w14:paraId="19BB4635">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cs="Times New Roman"/>
                      <w:spacing w:val="7"/>
                      <w:sz w:val="21"/>
                      <w:szCs w:val="21"/>
                      <w:lang w:val="en-US" w:eastAsia="zh-CN"/>
                    </w:rPr>
                    <w:t>调配</w:t>
                  </w:r>
                </w:p>
              </w:tc>
            </w:tr>
            <w:tr w14:paraId="6AAA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433" w:type="pct"/>
                  <w:shd w:val="clear" w:color="auto" w:fill="auto"/>
                  <w:vAlign w:val="center"/>
                </w:tcPr>
                <w:p w14:paraId="6740B1F4">
                  <w:pPr>
                    <w:pStyle w:val="20"/>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4</w:t>
                  </w:r>
                </w:p>
              </w:tc>
              <w:tc>
                <w:tcPr>
                  <w:tcW w:w="597" w:type="pct"/>
                  <w:shd w:val="clear" w:color="auto" w:fill="auto"/>
                  <w:vAlign w:val="center"/>
                </w:tcPr>
                <w:p w14:paraId="7A444E4D">
                  <w:pPr>
                    <w:pStyle w:val="20"/>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水泥</w:t>
                  </w:r>
                </w:p>
              </w:tc>
              <w:tc>
                <w:tcPr>
                  <w:tcW w:w="727" w:type="pct"/>
                  <w:shd w:val="clear" w:color="auto" w:fill="auto"/>
                  <w:vAlign w:val="center"/>
                </w:tcPr>
                <w:p w14:paraId="62D53960">
                  <w:pPr>
                    <w:pStyle w:val="20"/>
                    <w:spacing w:line="240" w:lineRule="auto"/>
                    <w:ind w:firstLine="0" w:firstLineChars="0"/>
                    <w:jc w:val="center"/>
                    <w:rPr>
                      <w:rFonts w:hint="default" w:ascii="Times New Roman" w:hAnsi="Times New Roman" w:cs="Times New Roman"/>
                      <w:color w:val="000000"/>
                      <w:spacing w:val="7"/>
                      <w:sz w:val="21"/>
                      <w:szCs w:val="21"/>
                      <w:highlight w:val="yellow"/>
                      <w:lang w:val="en-US" w:eastAsia="zh-CN"/>
                    </w:rPr>
                  </w:pPr>
                  <w:r>
                    <w:rPr>
                      <w:rFonts w:hint="default" w:ascii="Times New Roman" w:hAnsi="Times New Roman" w:cs="Times New Roman"/>
                      <w:color w:val="000000"/>
                      <w:spacing w:val="7"/>
                      <w:sz w:val="21"/>
                      <w:szCs w:val="21"/>
                      <w:highlight w:val="none"/>
                      <w:lang w:val="en-US" w:eastAsia="zh-CN"/>
                    </w:rPr>
                    <w:t>0.15</w:t>
                  </w:r>
                </w:p>
              </w:tc>
              <w:tc>
                <w:tcPr>
                  <w:tcW w:w="585" w:type="pct"/>
                  <w:shd w:val="clear" w:color="auto" w:fill="auto"/>
                  <w:vAlign w:val="center"/>
                </w:tcPr>
                <w:p w14:paraId="15902FBD">
                  <w:pPr>
                    <w:pStyle w:val="20"/>
                    <w:spacing w:line="240" w:lineRule="auto"/>
                    <w:ind w:firstLine="0" w:firstLineChars="0"/>
                    <w:jc w:val="center"/>
                    <w:rPr>
                      <w:rFonts w:hint="default" w:ascii="Times New Roman" w:hAnsi="Times New Roman" w:eastAsia="宋体" w:cs="Times New Roman"/>
                      <w:color w:val="000000"/>
                      <w:spacing w:val="7"/>
                      <w:sz w:val="21"/>
                      <w:szCs w:val="21"/>
                      <w:lang w:val="en-US" w:eastAsia="zh-CN"/>
                    </w:rPr>
                  </w:pPr>
                  <w:r>
                    <w:rPr>
                      <w:rFonts w:hint="default" w:ascii="Times New Roman" w:hAnsi="Times New Roman" w:cs="Times New Roman"/>
                      <w:color w:val="000000"/>
                      <w:spacing w:val="7"/>
                      <w:sz w:val="21"/>
                      <w:szCs w:val="21"/>
                      <w:lang w:val="en-US" w:eastAsia="zh-CN"/>
                    </w:rPr>
                    <w:t>t/a</w:t>
                  </w:r>
                </w:p>
              </w:tc>
              <w:tc>
                <w:tcPr>
                  <w:tcW w:w="888" w:type="pct"/>
                  <w:shd w:val="clear" w:color="auto" w:fill="auto"/>
                  <w:vAlign w:val="center"/>
                </w:tcPr>
                <w:p w14:paraId="12EC54B3">
                  <w:pPr>
                    <w:pStyle w:val="20"/>
                    <w:spacing w:line="240" w:lineRule="auto"/>
                    <w:ind w:firstLine="0" w:firstLineChars="0"/>
                    <w:jc w:val="center"/>
                    <w:rPr>
                      <w:rFonts w:hint="default" w:ascii="Times New Roman" w:hAnsi="Times New Roman" w:eastAsia="宋体" w:cs="Times New Roman"/>
                      <w:spacing w:val="7"/>
                      <w:sz w:val="21"/>
                      <w:szCs w:val="21"/>
                    </w:rPr>
                  </w:pPr>
                  <w:r>
                    <w:rPr>
                      <w:rFonts w:hint="default" w:ascii="Times New Roman" w:hAnsi="Times New Roman" w:eastAsia="宋体" w:cs="Times New Roman"/>
                      <w:spacing w:val="7"/>
                      <w:sz w:val="21"/>
                      <w:szCs w:val="21"/>
                    </w:rPr>
                    <w:t>车辆拉运</w:t>
                  </w:r>
                </w:p>
              </w:tc>
              <w:tc>
                <w:tcPr>
                  <w:tcW w:w="1767" w:type="pct"/>
                  <w:shd w:val="clear" w:color="auto" w:fill="auto"/>
                  <w:vAlign w:val="center"/>
                </w:tcPr>
                <w:p w14:paraId="4F63DD52">
                  <w:pPr>
                    <w:pStyle w:val="20"/>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外购，用于钻井封孔</w:t>
                  </w:r>
                </w:p>
              </w:tc>
            </w:tr>
          </w:tbl>
          <w:p w14:paraId="0852D595">
            <w:pPr>
              <w:snapToGrid w:val="0"/>
              <w:spacing w:line="500" w:lineRule="exact"/>
              <w:ind w:firstLine="480" w:firstLineChars="20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rPr>
              <w:t>钻井液的</w:t>
            </w:r>
            <w:r>
              <w:rPr>
                <w:rFonts w:hint="default" w:ascii="Times New Roman" w:hAnsi="Times New Roman" w:eastAsia="宋体" w:cs="Times New Roman"/>
                <w:highlight w:val="none"/>
                <w:lang w:val="en-US" w:eastAsia="zh-CN"/>
              </w:rPr>
              <w:t>消耗量约</w:t>
            </w:r>
            <w:r>
              <w:rPr>
                <w:rFonts w:hint="default" w:ascii="Times New Roman" w:hAnsi="Times New Roman" w:cs="Times New Roman"/>
                <w:highlight w:val="none"/>
                <w:lang w:val="en-US" w:eastAsia="zh-CN"/>
              </w:rPr>
              <w:t>13.3</w:t>
            </w:r>
            <w:r>
              <w:rPr>
                <w:rFonts w:hint="default" w:ascii="Times New Roman" w:hAnsi="Times New Roman" w:eastAsia="宋体" w:cs="Times New Roman"/>
                <w:highlight w:val="none"/>
                <w:lang w:val="en-US" w:eastAsia="zh-CN"/>
              </w:rPr>
              <w:t>m</w:t>
            </w:r>
            <w:r>
              <w:rPr>
                <w:rFonts w:hint="default" w:ascii="Times New Roman" w:hAnsi="Times New Roman" w:eastAsia="宋体" w:cs="Times New Roman"/>
                <w:highlight w:val="none"/>
                <w:vertAlign w:val="superscript"/>
                <w:lang w:val="en-US" w:eastAsia="zh-CN"/>
              </w:rPr>
              <w:t>3</w:t>
            </w:r>
            <w:r>
              <w:rPr>
                <w:rFonts w:hint="default" w:ascii="Times New Roman" w:hAnsi="Times New Roman" w:eastAsia="宋体" w:cs="Times New Roman"/>
                <w:highlight w:val="none"/>
                <w:lang w:val="en-US" w:eastAsia="zh-CN"/>
              </w:rPr>
              <w:t>，主要</w:t>
            </w:r>
            <w:r>
              <w:rPr>
                <w:rFonts w:hint="default" w:ascii="Times New Roman" w:hAnsi="Times New Roman" w:eastAsia="宋体" w:cs="Times New Roman"/>
                <w:highlight w:val="none"/>
              </w:rPr>
              <w:t>成分为水、泥浆（膨润土）、</w:t>
            </w:r>
            <w:r>
              <w:rPr>
                <w:rFonts w:hint="default" w:ascii="Times New Roman" w:hAnsi="Times New Roman" w:eastAsia="宋体" w:cs="Times New Roman"/>
                <w:highlight w:val="none"/>
                <w:lang w:eastAsia="zh-CN"/>
              </w:rPr>
              <w:t>腐殖酸</w:t>
            </w:r>
            <w:r>
              <w:rPr>
                <w:rFonts w:hint="default" w:ascii="Times New Roman" w:hAnsi="Times New Roman" w:eastAsia="宋体" w:cs="Times New Roman"/>
                <w:highlight w:val="none"/>
              </w:rPr>
              <w:t>钾、工业盐</w:t>
            </w:r>
            <w:r>
              <w:rPr>
                <w:rFonts w:hint="default" w:ascii="Times New Roman" w:hAnsi="Times New Roman" w:eastAsia="宋体" w:cs="Times New Roman"/>
                <w:highlight w:val="none"/>
                <w:lang w:eastAsia="zh-CN"/>
              </w:rPr>
              <w:t>，</w:t>
            </w:r>
            <w:r>
              <w:rPr>
                <w:rFonts w:hint="default" w:ascii="Times New Roman" w:hAnsi="Times New Roman" w:eastAsia="宋体" w:cs="Times New Roman"/>
                <w:highlight w:val="none"/>
                <w:lang w:val="en-US" w:eastAsia="zh-CN"/>
              </w:rPr>
              <w:t>本项目钻探工程产生的钻井废水主要含盐、膨润土微粒、腐殖酸钾，经泥浆池沉淀处理后回用于泥浆的调配和设备清洗，对水质要求较低，不外排；项目结束后</w:t>
            </w:r>
            <w:r>
              <w:rPr>
                <w:rFonts w:hint="default" w:ascii="Times New Roman" w:hAnsi="Times New Roman" w:cs="Times New Roman"/>
                <w:highlight w:val="none"/>
                <w:lang w:val="en-US" w:eastAsia="zh-CN"/>
              </w:rPr>
              <w:t>，废弃泥浆进行干化处理后和钻井岩屑</w:t>
            </w:r>
            <w:r>
              <w:rPr>
                <w:rFonts w:hint="default" w:ascii="Times New Roman" w:hAnsi="Times New Roman" w:eastAsia="宋体" w:cs="Times New Roman"/>
                <w:highlight w:val="none"/>
                <w:lang w:val="en-US" w:eastAsia="zh-CN"/>
              </w:rPr>
              <w:t>用于场地平整。</w:t>
            </w:r>
          </w:p>
          <w:p w14:paraId="4B051D44">
            <w:pPr>
              <w:pStyle w:val="21"/>
              <w:spacing w:before="56" w:line="360" w:lineRule="auto"/>
              <w:outlineLvl w:val="1"/>
              <w:rPr>
                <w:rFonts w:hint="default" w:ascii="Times New Roman" w:hAnsi="Times New Roman" w:cs="Times New Roman"/>
                <w:b/>
                <w:bCs/>
                <w:spacing w:val="-4"/>
                <w:lang w:val="en-US" w:eastAsia="zh-CN"/>
              </w:rPr>
            </w:pPr>
            <w:r>
              <w:rPr>
                <w:rFonts w:hint="default" w:ascii="Times New Roman" w:hAnsi="Times New Roman" w:cs="Times New Roman"/>
                <w:b/>
                <w:bCs/>
                <w:spacing w:val="-4"/>
                <w:lang w:val="en-US" w:eastAsia="zh-CN"/>
              </w:rPr>
              <w:t>6.施工周期及组织定员</w:t>
            </w:r>
          </w:p>
          <w:p w14:paraId="66C1B240">
            <w:pPr>
              <w:snapToGrid w:val="0"/>
              <w:spacing w:line="500" w:lineRule="exact"/>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本项目工作人数</w:t>
            </w:r>
            <w:r>
              <w:rPr>
                <w:rFonts w:hint="default" w:ascii="Times New Roman" w:hAnsi="Times New Roman" w:cs="Times New Roman"/>
                <w:highlight w:val="none"/>
                <w:lang w:val="en-US" w:eastAsia="zh-CN"/>
              </w:rPr>
              <w:t>6</w:t>
            </w:r>
            <w:r>
              <w:rPr>
                <w:rFonts w:hint="default" w:ascii="Times New Roman" w:hAnsi="Times New Roman" w:eastAsia="宋体" w:cs="Times New Roman"/>
                <w:highlight w:val="none"/>
              </w:rPr>
              <w:t>人，每天</w:t>
            </w:r>
            <w:r>
              <w:rPr>
                <w:rFonts w:hint="default" w:ascii="Times New Roman" w:hAnsi="Times New Roman" w:cs="Times New Roman"/>
                <w:highlight w:val="none"/>
                <w:lang w:val="en-US" w:eastAsia="zh-CN"/>
              </w:rPr>
              <w:t>工作</w:t>
            </w:r>
            <w:r>
              <w:rPr>
                <w:rFonts w:hint="default" w:ascii="Times New Roman" w:hAnsi="Times New Roman" w:eastAsia="宋体" w:cs="Times New Roman"/>
                <w:highlight w:val="none"/>
              </w:rPr>
              <w:t>8小时，施工天数</w:t>
            </w:r>
            <w:r>
              <w:rPr>
                <w:rFonts w:hint="default" w:ascii="Times New Roman" w:hAnsi="Times New Roman" w:cs="Times New Roman"/>
                <w:highlight w:val="none"/>
                <w:lang w:val="en-US" w:eastAsia="zh-CN"/>
              </w:rPr>
              <w:t>210</w:t>
            </w:r>
            <w:r>
              <w:rPr>
                <w:rFonts w:hint="default" w:ascii="Times New Roman" w:hAnsi="Times New Roman" w:eastAsia="宋体" w:cs="Times New Roman"/>
                <w:highlight w:val="none"/>
              </w:rPr>
              <w:t>天</w:t>
            </w:r>
            <w:r>
              <w:rPr>
                <w:rFonts w:hint="default" w:ascii="Times New Roman" w:hAnsi="Times New Roman" w:cs="Times New Roman"/>
                <w:highlight w:val="none"/>
                <w:lang w:val="en-US" w:eastAsia="zh-CN"/>
              </w:rPr>
              <w:t>/a，勘查时间5年</w:t>
            </w:r>
            <w:r>
              <w:rPr>
                <w:rFonts w:hint="default" w:ascii="Times New Roman" w:hAnsi="Times New Roman" w:eastAsia="宋体" w:cs="Times New Roman"/>
                <w:highlight w:val="none"/>
              </w:rPr>
              <w:t>。</w:t>
            </w:r>
          </w:p>
          <w:p w14:paraId="6092C58A">
            <w:pPr>
              <w:pStyle w:val="21"/>
              <w:spacing w:before="56" w:line="360" w:lineRule="auto"/>
              <w:outlineLvl w:val="1"/>
              <w:rPr>
                <w:rFonts w:hint="default" w:ascii="Times New Roman" w:hAnsi="Times New Roman" w:cs="Times New Roman"/>
                <w:b/>
                <w:bCs/>
                <w:spacing w:val="-4"/>
                <w:lang w:val="en-US" w:eastAsia="zh-CN"/>
              </w:rPr>
            </w:pPr>
            <w:r>
              <w:rPr>
                <w:rFonts w:hint="default" w:ascii="Times New Roman" w:hAnsi="Times New Roman" w:cs="Times New Roman"/>
                <w:b/>
                <w:bCs/>
                <w:spacing w:val="-4"/>
                <w:lang w:val="en-US" w:eastAsia="zh-CN"/>
              </w:rPr>
              <w:t>7.土石方平衡分析</w:t>
            </w:r>
          </w:p>
          <w:p w14:paraId="5B36EFDD">
            <w:pPr>
              <w:snapToGrid w:val="0"/>
              <w:spacing w:line="500" w:lineRule="exact"/>
              <w:ind w:firstLine="480" w:firstLineChars="200"/>
              <w:rPr>
                <w:rFonts w:hint="default" w:ascii="Times New Roman" w:hAnsi="Times New Roman" w:eastAsia="宋体" w:cs="Times New Roman"/>
                <w:highlight w:val="yellow"/>
                <w:lang w:val="en-US" w:eastAsia="zh-CN"/>
              </w:rPr>
            </w:pPr>
            <w:r>
              <w:rPr>
                <w:rFonts w:hint="default" w:ascii="Times New Roman" w:hAnsi="Times New Roman" w:eastAsia="宋体" w:cs="Times New Roman"/>
                <w:highlight w:val="none"/>
              </w:rPr>
              <w:t>本项目主要产生土石方的工程为槽探</w:t>
            </w:r>
            <w:r>
              <w:rPr>
                <w:rFonts w:hint="default" w:ascii="Times New Roman" w:hAnsi="Times New Roman" w:cs="Times New Roman"/>
                <w:highlight w:val="none"/>
                <w:lang w:eastAsia="zh-CN"/>
              </w:rPr>
              <w:t>、</w:t>
            </w:r>
            <w:r>
              <w:rPr>
                <w:rFonts w:hint="default" w:ascii="Times New Roman" w:hAnsi="Times New Roman" w:eastAsia="宋体" w:cs="Times New Roman"/>
                <w:highlight w:val="none"/>
              </w:rPr>
              <w:t>钻探。</w:t>
            </w:r>
            <w:r>
              <w:rPr>
                <w:rFonts w:hint="default" w:ascii="Times New Roman" w:hAnsi="Times New Roman" w:cs="Times New Roman"/>
                <w:highlight w:val="none"/>
                <w:lang w:val="en-US" w:eastAsia="zh-CN"/>
              </w:rPr>
              <w:t>其中单个钻井平台占地</w:t>
            </w:r>
            <w:r>
              <w:rPr>
                <w:rFonts w:hint="default" w:ascii="Times New Roman" w:hAnsi="Times New Roman" w:eastAsia="宋体" w:cs="Times New Roman"/>
                <w:highlight w:val="none"/>
                <w:lang w:val="en-US" w:eastAsia="zh-CN"/>
              </w:rPr>
              <w:t>20</w:t>
            </w:r>
            <w:r>
              <w:rPr>
                <w:rFonts w:hint="default" w:ascii="Times New Roman" w:hAnsi="Times New Roman" w:cs="Times New Roman"/>
                <w:highlight w:val="none"/>
                <w:lang w:val="en-US" w:eastAsia="zh-CN"/>
              </w:rPr>
              <w:t>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vertAlign w:val="baseline"/>
                <w:lang w:val="en-US" w:eastAsia="zh-CN"/>
              </w:rPr>
              <w:t>，2个钻井平台占地40</w:t>
            </w:r>
            <w:r>
              <w:rPr>
                <w:rFonts w:hint="default" w:ascii="Times New Roman" w:hAnsi="Times New Roman" w:cs="Times New Roman"/>
                <w:highlight w:val="none"/>
                <w:lang w:val="en-US" w:eastAsia="zh-CN"/>
              </w:rPr>
              <w:t>m</w:t>
            </w:r>
            <w:r>
              <w:rPr>
                <w:rFonts w:hint="default" w:ascii="Times New Roman" w:hAnsi="Times New Roman" w:cs="Times New Roman"/>
                <w:highlight w:val="none"/>
                <w:vertAlign w:val="superscript"/>
                <w:lang w:val="en-US" w:eastAsia="zh-CN"/>
              </w:rPr>
              <w:t>2</w:t>
            </w:r>
            <w:r>
              <w:rPr>
                <w:rFonts w:hint="default" w:ascii="Times New Roman" w:hAnsi="Times New Roman" w:cs="Times New Roman"/>
                <w:highlight w:val="none"/>
                <w:vertAlign w:val="baseline"/>
                <w:lang w:val="en-US" w:eastAsia="zh-CN"/>
              </w:rPr>
              <w:t>，占地为</w:t>
            </w:r>
            <w:r>
              <w:rPr>
                <w:rFonts w:hint="default" w:ascii="Times New Roman" w:hAnsi="Times New Roman" w:cs="Times New Roman"/>
                <w:highlight w:val="none"/>
                <w:lang w:eastAsia="zh-CN"/>
              </w:rPr>
              <w:t>裸地</w:t>
            </w:r>
            <w:r>
              <w:rPr>
                <w:rFonts w:hint="default" w:ascii="Times New Roman" w:hAnsi="Times New Roman" w:cs="Times New Roman"/>
                <w:highlight w:val="none"/>
                <w:lang w:val="en-US" w:eastAsia="zh-CN"/>
              </w:rPr>
              <w:t>无需表土剥离，</w:t>
            </w:r>
            <w:r>
              <w:rPr>
                <w:rFonts w:hint="default" w:ascii="Times New Roman" w:hAnsi="Times New Roman" w:cs="Times New Roman"/>
                <w:highlight w:val="none"/>
                <w:vertAlign w:val="baseline"/>
                <w:lang w:val="en-US" w:eastAsia="zh-CN"/>
              </w:rPr>
              <w:t>钻井平台平整方量单个按15</w:t>
            </w:r>
            <w:r>
              <w:rPr>
                <w:rFonts w:hint="default" w:ascii="Times New Roman" w:hAnsi="Times New Roman" w:eastAsia="宋体" w:cs="Times New Roman"/>
                <w:highlight w:val="none"/>
              </w:rPr>
              <w:t>m</w:t>
            </w:r>
            <w:r>
              <w:rPr>
                <w:rFonts w:hint="default" w:ascii="Times New Roman" w:hAnsi="Times New Roman" w:eastAsia="宋体" w:cs="Times New Roman"/>
                <w:highlight w:val="none"/>
                <w:vertAlign w:val="superscript"/>
              </w:rPr>
              <w:t>3</w:t>
            </w:r>
            <w:r>
              <w:rPr>
                <w:rFonts w:hint="default" w:ascii="Times New Roman" w:hAnsi="Times New Roman" w:cs="Times New Roman"/>
                <w:highlight w:val="none"/>
                <w:vertAlign w:val="baseline"/>
                <w:lang w:val="en-US" w:eastAsia="zh-CN"/>
              </w:rPr>
              <w:t>计，总计30</w:t>
            </w:r>
            <w:r>
              <w:rPr>
                <w:rFonts w:hint="default" w:ascii="Times New Roman" w:hAnsi="Times New Roman" w:eastAsia="宋体" w:cs="Times New Roman"/>
                <w:highlight w:val="none"/>
              </w:rPr>
              <w:t>m</w:t>
            </w:r>
            <w:r>
              <w:rPr>
                <w:rFonts w:hint="default" w:ascii="Times New Roman" w:hAnsi="Times New Roman" w:eastAsia="宋体" w:cs="Times New Roman"/>
                <w:highlight w:val="none"/>
                <w:vertAlign w:val="superscript"/>
              </w:rPr>
              <w:t>3</w:t>
            </w:r>
            <w:r>
              <w:rPr>
                <w:rFonts w:hint="default" w:ascii="Times New Roman" w:hAnsi="Times New Roman" w:cs="Times New Roman"/>
                <w:highlight w:val="none"/>
                <w:vertAlign w:val="baseline"/>
                <w:lang w:eastAsia="zh-CN"/>
              </w:rPr>
              <w:t>，</w:t>
            </w:r>
            <w:r>
              <w:rPr>
                <w:rFonts w:hint="default" w:ascii="Times New Roman" w:hAnsi="Times New Roman" w:cs="Times New Roman"/>
                <w:highlight w:val="none"/>
                <w:lang w:val="en-US" w:eastAsia="zh-CN"/>
              </w:rPr>
              <w:t>整个勘探期钻孔深度1000m，每个孔孔径0.110m，则钻探产生土石方量为9.5</w:t>
            </w:r>
            <w:r>
              <w:rPr>
                <w:rFonts w:hint="default" w:ascii="Times New Roman" w:hAnsi="Times New Roman" w:eastAsia="宋体" w:cs="Times New Roman"/>
                <w:highlight w:val="none"/>
              </w:rPr>
              <w:t>m</w:t>
            </w:r>
            <w:r>
              <w:rPr>
                <w:rFonts w:hint="default" w:ascii="Times New Roman" w:hAnsi="Times New Roman" w:eastAsia="宋体" w:cs="Times New Roman"/>
                <w:highlight w:val="none"/>
                <w:vertAlign w:val="superscript"/>
              </w:rPr>
              <w:t>3</w:t>
            </w:r>
            <w:r>
              <w:rPr>
                <w:rFonts w:hint="default" w:ascii="Times New Roman" w:hAnsi="Times New Roman" w:cs="Times New Roman"/>
                <w:highlight w:val="none"/>
                <w:vertAlign w:val="baseline"/>
                <w:lang w:eastAsia="zh-CN"/>
              </w:rPr>
              <w:t>，</w:t>
            </w:r>
            <w:r>
              <w:rPr>
                <w:rFonts w:hint="default" w:ascii="Times New Roman" w:hAnsi="Times New Roman" w:cs="Times New Roman"/>
                <w:highlight w:val="none"/>
                <w:vertAlign w:val="baseline"/>
                <w:lang w:val="en-US" w:eastAsia="zh-CN"/>
              </w:rPr>
              <w:t>钻探工程</w:t>
            </w:r>
            <w:r>
              <w:rPr>
                <w:rFonts w:hint="default" w:ascii="Times New Roman" w:hAnsi="Times New Roman" w:eastAsia="宋体" w:cs="Times New Roman"/>
                <w:highlight w:val="none"/>
              </w:rPr>
              <w:t>共产生土石方约为</w:t>
            </w:r>
            <w:r>
              <w:rPr>
                <w:rFonts w:hint="default" w:ascii="Times New Roman" w:hAnsi="Times New Roman" w:cs="Times New Roman"/>
                <w:highlight w:val="none"/>
                <w:lang w:val="en-US" w:eastAsia="zh-CN"/>
              </w:rPr>
              <w:t>39.5</w:t>
            </w:r>
            <w:r>
              <w:rPr>
                <w:rFonts w:hint="default" w:ascii="Times New Roman" w:hAnsi="Times New Roman" w:eastAsia="宋体" w:cs="Times New Roman"/>
                <w:highlight w:val="none"/>
              </w:rPr>
              <w:t>m</w:t>
            </w:r>
            <w:r>
              <w:rPr>
                <w:rFonts w:hint="default" w:ascii="Times New Roman" w:hAnsi="Times New Roman" w:eastAsia="宋体" w:cs="Times New Roman"/>
                <w:highlight w:val="none"/>
                <w:vertAlign w:val="superscript"/>
              </w:rPr>
              <w:t>3</w:t>
            </w:r>
            <w:r>
              <w:rPr>
                <w:rFonts w:hint="default" w:ascii="Times New Roman" w:hAnsi="Times New Roman" w:eastAsia="宋体" w:cs="Times New Roman"/>
                <w:highlight w:val="none"/>
              </w:rPr>
              <w:t>，均</w:t>
            </w:r>
            <w:r>
              <w:rPr>
                <w:rFonts w:hint="default" w:ascii="Times New Roman" w:hAnsi="Times New Roman" w:cs="Times New Roman"/>
                <w:highlight w:val="none"/>
                <w:lang w:val="en-US" w:eastAsia="zh-CN"/>
              </w:rPr>
              <w:t>用于钻孔回填及场地平整</w:t>
            </w:r>
            <w:r>
              <w:rPr>
                <w:rFonts w:hint="default" w:ascii="Times New Roman" w:hAnsi="Times New Roman" w:eastAsia="宋体" w:cs="Times New Roman"/>
                <w:highlight w:val="none"/>
              </w:rPr>
              <w:t>，无弃方产生</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槽探工程土石方量2000</w:t>
            </w:r>
            <w:r>
              <w:rPr>
                <w:rFonts w:hint="default" w:ascii="Times New Roman" w:hAnsi="Times New Roman" w:eastAsia="宋体" w:cs="Times New Roman"/>
                <w:highlight w:val="none"/>
              </w:rPr>
              <w:t>m</w:t>
            </w:r>
            <w:r>
              <w:rPr>
                <w:rFonts w:hint="default" w:ascii="Times New Roman" w:hAnsi="Times New Roman" w:eastAsia="宋体" w:cs="Times New Roman"/>
                <w:highlight w:val="none"/>
                <w:vertAlign w:val="superscript"/>
              </w:rPr>
              <w:t>3</w:t>
            </w:r>
            <w:r>
              <w:rPr>
                <w:rFonts w:hint="default" w:ascii="Times New Roman" w:hAnsi="Times New Roman" w:eastAsia="宋体" w:cs="Times New Roman"/>
                <w:highlight w:val="none"/>
              </w:rPr>
              <w:t>，</w:t>
            </w:r>
            <w:r>
              <w:rPr>
                <w:rFonts w:hint="default" w:ascii="Times New Roman" w:hAnsi="Times New Roman" w:cs="Times New Roman"/>
                <w:highlight w:val="none"/>
                <w:lang w:val="en-US" w:eastAsia="zh-CN"/>
              </w:rPr>
              <w:t>均用于</w:t>
            </w:r>
            <w:r>
              <w:rPr>
                <w:rFonts w:hint="default" w:ascii="Times New Roman" w:hAnsi="Times New Roman" w:eastAsia="宋体" w:cs="Times New Roman"/>
                <w:highlight w:val="none"/>
              </w:rPr>
              <w:t>就地平整，无弃方产生</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项目产生总土石方量为2039.5</w:t>
            </w:r>
            <w:r>
              <w:rPr>
                <w:rFonts w:hint="default" w:ascii="Times New Roman" w:hAnsi="Times New Roman" w:eastAsia="宋体" w:cs="Times New Roman"/>
                <w:highlight w:val="none"/>
              </w:rPr>
              <w:t>m</w:t>
            </w:r>
            <w:r>
              <w:rPr>
                <w:rFonts w:hint="default" w:ascii="Times New Roman" w:hAnsi="Times New Roman" w:eastAsia="宋体" w:cs="Times New Roman"/>
                <w:highlight w:val="none"/>
                <w:vertAlign w:val="superscript"/>
              </w:rPr>
              <w:t>3</w:t>
            </w:r>
            <w:r>
              <w:rPr>
                <w:rFonts w:hint="default" w:ascii="Times New Roman" w:hAnsi="Times New Roman" w:cs="Times New Roman"/>
                <w:highlight w:val="none"/>
                <w:vertAlign w:val="baseline"/>
                <w:lang w:eastAsia="zh-CN"/>
              </w:rPr>
              <w:t>，</w:t>
            </w:r>
            <w:r>
              <w:rPr>
                <w:rFonts w:hint="default" w:ascii="Times New Roman" w:hAnsi="Times New Roman" w:cs="Times New Roman"/>
                <w:highlight w:val="none"/>
                <w:vertAlign w:val="baseline"/>
                <w:lang w:val="en-US" w:eastAsia="zh-CN"/>
              </w:rPr>
              <w:t>根据当地地形地貌特征，均用于回填及场地平整，无弃方。</w:t>
            </w:r>
          </w:p>
          <w:p w14:paraId="35389DD1">
            <w:pPr>
              <w:keepNext/>
              <w:keepLines/>
              <w:widowControl/>
              <w:adjustRightInd w:val="0"/>
              <w:snapToGrid w:val="0"/>
              <w:spacing w:line="480" w:lineRule="exact"/>
              <w:jc w:val="center"/>
              <w:outlineLvl w:val="2"/>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表2-4土石方平衡一览表</w:t>
            </w:r>
          </w:p>
          <w:tbl>
            <w:tblPr>
              <w:tblStyle w:val="22"/>
              <w:tblW w:w="85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8"/>
              <w:gridCol w:w="989"/>
              <w:gridCol w:w="833"/>
              <w:gridCol w:w="933"/>
              <w:gridCol w:w="585"/>
              <w:gridCol w:w="775"/>
              <w:gridCol w:w="782"/>
              <w:gridCol w:w="858"/>
              <w:gridCol w:w="702"/>
              <w:gridCol w:w="776"/>
              <w:gridCol w:w="784"/>
            </w:tblGrid>
            <w:tr w14:paraId="0776B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38" w:type="dxa"/>
                  <w:vMerge w:val="restart"/>
                  <w:tcBorders>
                    <w:top w:val="single" w:color="000000" w:sz="6" w:space="0"/>
                  </w:tcBorders>
                  <w:vAlign w:val="center"/>
                </w:tcPr>
                <w:p w14:paraId="71F07C9E">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项目</w:t>
                  </w:r>
                </w:p>
              </w:tc>
              <w:tc>
                <w:tcPr>
                  <w:tcW w:w="989" w:type="dxa"/>
                  <w:vMerge w:val="restart"/>
                  <w:tcBorders>
                    <w:top w:val="single" w:color="000000" w:sz="6" w:space="0"/>
                    <w:bottom w:val="nil"/>
                  </w:tcBorders>
                  <w:vAlign w:val="center"/>
                </w:tcPr>
                <w:p w14:paraId="13E538EC">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挖方m</w:t>
                  </w:r>
                  <w:r>
                    <w:rPr>
                      <w:rFonts w:hint="default" w:ascii="Times New Roman" w:hAnsi="Times New Roman" w:eastAsia="宋体" w:cs="Times New Roman"/>
                      <w:spacing w:val="7"/>
                      <w:sz w:val="21"/>
                      <w:szCs w:val="21"/>
                      <w:highlight w:val="none"/>
                      <w:vertAlign w:val="superscript"/>
                    </w:rPr>
                    <w:t>3</w:t>
                  </w:r>
                </w:p>
              </w:tc>
              <w:tc>
                <w:tcPr>
                  <w:tcW w:w="833" w:type="dxa"/>
                  <w:vMerge w:val="restart"/>
                  <w:tcBorders>
                    <w:top w:val="single" w:color="000000" w:sz="6" w:space="0"/>
                    <w:bottom w:val="nil"/>
                  </w:tcBorders>
                  <w:vAlign w:val="center"/>
                </w:tcPr>
                <w:p w14:paraId="5BCC5D22">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填方m</w:t>
                  </w:r>
                  <w:r>
                    <w:rPr>
                      <w:rFonts w:hint="default" w:ascii="Times New Roman" w:hAnsi="Times New Roman" w:eastAsia="宋体" w:cs="Times New Roman"/>
                      <w:spacing w:val="7"/>
                      <w:sz w:val="21"/>
                      <w:szCs w:val="21"/>
                      <w:highlight w:val="none"/>
                      <w:vertAlign w:val="superscript"/>
                    </w:rPr>
                    <w:t>3</w:t>
                  </w:r>
                </w:p>
              </w:tc>
              <w:tc>
                <w:tcPr>
                  <w:tcW w:w="1518" w:type="dxa"/>
                  <w:gridSpan w:val="2"/>
                  <w:tcBorders>
                    <w:top w:val="single" w:color="000000" w:sz="6" w:space="0"/>
                  </w:tcBorders>
                  <w:vAlign w:val="center"/>
                </w:tcPr>
                <w:p w14:paraId="4CC5C7BC">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调入</w:t>
                  </w:r>
                </w:p>
              </w:tc>
              <w:tc>
                <w:tcPr>
                  <w:tcW w:w="1557" w:type="dxa"/>
                  <w:gridSpan w:val="2"/>
                  <w:tcBorders>
                    <w:top w:val="single" w:color="000000" w:sz="6" w:space="0"/>
                  </w:tcBorders>
                  <w:vAlign w:val="center"/>
                </w:tcPr>
                <w:p w14:paraId="194640A9">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调出</w:t>
                  </w:r>
                </w:p>
              </w:tc>
              <w:tc>
                <w:tcPr>
                  <w:tcW w:w="1560" w:type="dxa"/>
                  <w:gridSpan w:val="2"/>
                  <w:tcBorders>
                    <w:top w:val="single" w:color="000000" w:sz="6" w:space="0"/>
                  </w:tcBorders>
                  <w:vAlign w:val="center"/>
                </w:tcPr>
                <w:p w14:paraId="00848921">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借方</w:t>
                  </w:r>
                </w:p>
              </w:tc>
              <w:tc>
                <w:tcPr>
                  <w:tcW w:w="1560" w:type="dxa"/>
                  <w:gridSpan w:val="2"/>
                  <w:tcBorders>
                    <w:top w:val="single" w:color="000000" w:sz="6" w:space="0"/>
                    <w:right w:val="single" w:color="000000" w:sz="6" w:space="0"/>
                  </w:tcBorders>
                  <w:vAlign w:val="center"/>
                </w:tcPr>
                <w:p w14:paraId="2EFF9E1F">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弃方</w:t>
                  </w:r>
                </w:p>
              </w:tc>
            </w:tr>
            <w:tr w14:paraId="7699D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38" w:type="dxa"/>
                  <w:vMerge w:val="continue"/>
                  <w:vAlign w:val="center"/>
                </w:tcPr>
                <w:p w14:paraId="212933D1">
                  <w:pPr>
                    <w:pStyle w:val="20"/>
                    <w:spacing w:line="240" w:lineRule="auto"/>
                    <w:ind w:firstLine="0" w:firstLineChars="0"/>
                    <w:jc w:val="center"/>
                    <w:rPr>
                      <w:rFonts w:hint="default" w:ascii="Times New Roman" w:hAnsi="Times New Roman" w:eastAsia="宋体" w:cs="Times New Roman"/>
                      <w:spacing w:val="7"/>
                      <w:sz w:val="21"/>
                      <w:szCs w:val="21"/>
                      <w:highlight w:val="none"/>
                    </w:rPr>
                  </w:pPr>
                </w:p>
              </w:tc>
              <w:tc>
                <w:tcPr>
                  <w:tcW w:w="989" w:type="dxa"/>
                  <w:vMerge w:val="continue"/>
                  <w:tcBorders>
                    <w:top w:val="nil"/>
                  </w:tcBorders>
                  <w:vAlign w:val="center"/>
                </w:tcPr>
                <w:p w14:paraId="1BE8C966">
                  <w:pPr>
                    <w:pStyle w:val="20"/>
                    <w:spacing w:line="240" w:lineRule="auto"/>
                    <w:ind w:firstLine="0" w:firstLineChars="0"/>
                    <w:jc w:val="center"/>
                    <w:rPr>
                      <w:rFonts w:hint="default" w:ascii="Times New Roman" w:hAnsi="Times New Roman" w:eastAsia="宋体" w:cs="Times New Roman"/>
                      <w:spacing w:val="7"/>
                      <w:sz w:val="21"/>
                      <w:szCs w:val="21"/>
                      <w:highlight w:val="none"/>
                    </w:rPr>
                  </w:pPr>
                </w:p>
              </w:tc>
              <w:tc>
                <w:tcPr>
                  <w:tcW w:w="833" w:type="dxa"/>
                  <w:vMerge w:val="continue"/>
                  <w:tcBorders>
                    <w:top w:val="nil"/>
                  </w:tcBorders>
                  <w:vAlign w:val="center"/>
                </w:tcPr>
                <w:p w14:paraId="68F6F8CF">
                  <w:pPr>
                    <w:pStyle w:val="20"/>
                    <w:spacing w:line="240" w:lineRule="auto"/>
                    <w:ind w:firstLine="0" w:firstLineChars="0"/>
                    <w:jc w:val="center"/>
                    <w:rPr>
                      <w:rFonts w:hint="default" w:ascii="Times New Roman" w:hAnsi="Times New Roman" w:eastAsia="宋体" w:cs="Times New Roman"/>
                      <w:spacing w:val="7"/>
                      <w:sz w:val="21"/>
                      <w:szCs w:val="21"/>
                      <w:highlight w:val="none"/>
                    </w:rPr>
                  </w:pPr>
                </w:p>
              </w:tc>
              <w:tc>
                <w:tcPr>
                  <w:tcW w:w="933" w:type="dxa"/>
                  <w:vAlign w:val="center"/>
                </w:tcPr>
                <w:p w14:paraId="5A516318">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数量m</w:t>
                  </w:r>
                  <w:r>
                    <w:rPr>
                      <w:rFonts w:hint="default" w:ascii="Times New Roman" w:hAnsi="Times New Roman" w:eastAsia="宋体" w:cs="Times New Roman"/>
                      <w:spacing w:val="7"/>
                      <w:sz w:val="21"/>
                      <w:szCs w:val="21"/>
                      <w:highlight w:val="none"/>
                      <w:vertAlign w:val="superscript"/>
                    </w:rPr>
                    <w:t>3</w:t>
                  </w:r>
                </w:p>
              </w:tc>
              <w:tc>
                <w:tcPr>
                  <w:tcW w:w="585" w:type="dxa"/>
                  <w:vAlign w:val="center"/>
                </w:tcPr>
                <w:p w14:paraId="6E47883C">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来源</w:t>
                  </w:r>
                </w:p>
              </w:tc>
              <w:tc>
                <w:tcPr>
                  <w:tcW w:w="775" w:type="dxa"/>
                  <w:vAlign w:val="center"/>
                </w:tcPr>
                <w:p w14:paraId="70FC13FD">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数量m</w:t>
                  </w:r>
                  <w:r>
                    <w:rPr>
                      <w:rFonts w:hint="default" w:ascii="Times New Roman" w:hAnsi="Times New Roman" w:eastAsia="宋体" w:cs="Times New Roman"/>
                      <w:spacing w:val="7"/>
                      <w:sz w:val="21"/>
                      <w:szCs w:val="21"/>
                      <w:highlight w:val="none"/>
                      <w:vertAlign w:val="superscript"/>
                    </w:rPr>
                    <w:t>3</w:t>
                  </w:r>
                </w:p>
              </w:tc>
              <w:tc>
                <w:tcPr>
                  <w:tcW w:w="782" w:type="dxa"/>
                  <w:vAlign w:val="center"/>
                </w:tcPr>
                <w:p w14:paraId="290C315D">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去向</w:t>
                  </w:r>
                </w:p>
              </w:tc>
              <w:tc>
                <w:tcPr>
                  <w:tcW w:w="858" w:type="dxa"/>
                  <w:vAlign w:val="center"/>
                </w:tcPr>
                <w:p w14:paraId="09E12705">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数量m</w:t>
                  </w:r>
                  <w:r>
                    <w:rPr>
                      <w:rFonts w:hint="default" w:ascii="Times New Roman" w:hAnsi="Times New Roman" w:eastAsia="宋体" w:cs="Times New Roman"/>
                      <w:spacing w:val="7"/>
                      <w:sz w:val="21"/>
                      <w:szCs w:val="21"/>
                      <w:highlight w:val="none"/>
                      <w:vertAlign w:val="superscript"/>
                    </w:rPr>
                    <w:t>3</w:t>
                  </w:r>
                </w:p>
              </w:tc>
              <w:tc>
                <w:tcPr>
                  <w:tcW w:w="702" w:type="dxa"/>
                  <w:vAlign w:val="center"/>
                </w:tcPr>
                <w:p w14:paraId="7B3F046B">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来源</w:t>
                  </w:r>
                </w:p>
              </w:tc>
              <w:tc>
                <w:tcPr>
                  <w:tcW w:w="776" w:type="dxa"/>
                  <w:vAlign w:val="center"/>
                </w:tcPr>
                <w:p w14:paraId="6228AC71">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数量m</w:t>
                  </w:r>
                  <w:r>
                    <w:rPr>
                      <w:rFonts w:hint="default" w:ascii="Times New Roman" w:hAnsi="Times New Roman" w:eastAsia="宋体" w:cs="Times New Roman"/>
                      <w:spacing w:val="7"/>
                      <w:sz w:val="21"/>
                      <w:szCs w:val="21"/>
                      <w:highlight w:val="none"/>
                      <w:vertAlign w:val="superscript"/>
                    </w:rPr>
                    <w:t>3</w:t>
                  </w:r>
                </w:p>
              </w:tc>
              <w:tc>
                <w:tcPr>
                  <w:tcW w:w="784" w:type="dxa"/>
                  <w:tcBorders>
                    <w:right w:val="single" w:color="000000" w:sz="6" w:space="0"/>
                  </w:tcBorders>
                  <w:vAlign w:val="center"/>
                </w:tcPr>
                <w:p w14:paraId="2ADBE0A3">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去向</w:t>
                  </w:r>
                </w:p>
              </w:tc>
            </w:tr>
            <w:tr w14:paraId="79680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jc w:val="center"/>
              </w:trPr>
              <w:tc>
                <w:tcPr>
                  <w:tcW w:w="538" w:type="dxa"/>
                  <w:vAlign w:val="center"/>
                </w:tcPr>
                <w:p w14:paraId="6E8C0478">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槽探</w:t>
                  </w:r>
                </w:p>
              </w:tc>
              <w:tc>
                <w:tcPr>
                  <w:tcW w:w="989" w:type="dxa"/>
                  <w:vAlign w:val="center"/>
                </w:tcPr>
                <w:p w14:paraId="75F7C1EB">
                  <w:pPr>
                    <w:pStyle w:val="20"/>
                    <w:spacing w:line="240" w:lineRule="auto"/>
                    <w:ind w:firstLine="0" w:firstLineChars="0"/>
                    <w:jc w:val="center"/>
                    <w:rPr>
                      <w:rFonts w:hint="default" w:ascii="Times New Roman" w:hAnsi="Times New Roman" w:eastAsia="宋体" w:cs="Times New Roman"/>
                      <w:spacing w:val="7"/>
                      <w:sz w:val="21"/>
                      <w:szCs w:val="21"/>
                      <w:highlight w:val="none"/>
                      <w:lang w:val="en-US" w:eastAsia="zh-CN"/>
                    </w:rPr>
                  </w:pPr>
                  <w:r>
                    <w:rPr>
                      <w:rFonts w:hint="default" w:ascii="Times New Roman" w:hAnsi="Times New Roman" w:cs="Times New Roman"/>
                      <w:spacing w:val="7"/>
                      <w:sz w:val="21"/>
                      <w:szCs w:val="21"/>
                      <w:highlight w:val="none"/>
                      <w:lang w:val="en-US" w:eastAsia="zh-CN"/>
                    </w:rPr>
                    <w:t>2000</w:t>
                  </w:r>
                </w:p>
              </w:tc>
              <w:tc>
                <w:tcPr>
                  <w:tcW w:w="833" w:type="dxa"/>
                  <w:vAlign w:val="center"/>
                </w:tcPr>
                <w:p w14:paraId="1DE1E151">
                  <w:pPr>
                    <w:pStyle w:val="20"/>
                    <w:spacing w:line="240" w:lineRule="auto"/>
                    <w:ind w:firstLine="0" w:firstLineChars="0"/>
                    <w:jc w:val="center"/>
                    <w:rPr>
                      <w:rFonts w:hint="default" w:ascii="Times New Roman" w:hAnsi="Times New Roman" w:eastAsia="宋体" w:cs="Times New Roman"/>
                      <w:spacing w:val="7"/>
                      <w:sz w:val="21"/>
                      <w:szCs w:val="21"/>
                      <w:highlight w:val="none"/>
                      <w:lang w:val="en-US" w:eastAsia="zh-CN"/>
                    </w:rPr>
                  </w:pPr>
                  <w:r>
                    <w:rPr>
                      <w:rFonts w:hint="default" w:ascii="Times New Roman" w:hAnsi="Times New Roman" w:cs="Times New Roman"/>
                      <w:spacing w:val="7"/>
                      <w:sz w:val="21"/>
                      <w:szCs w:val="21"/>
                      <w:highlight w:val="none"/>
                      <w:lang w:val="en-US" w:eastAsia="zh-CN"/>
                    </w:rPr>
                    <w:t>2000</w:t>
                  </w:r>
                </w:p>
              </w:tc>
              <w:tc>
                <w:tcPr>
                  <w:tcW w:w="933" w:type="dxa"/>
                  <w:vAlign w:val="center"/>
                </w:tcPr>
                <w:p w14:paraId="669AA57C">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585" w:type="dxa"/>
                  <w:vAlign w:val="center"/>
                </w:tcPr>
                <w:p w14:paraId="3C99E4E9">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775" w:type="dxa"/>
                  <w:vAlign w:val="center"/>
                </w:tcPr>
                <w:p w14:paraId="470A4F84">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782" w:type="dxa"/>
                  <w:vAlign w:val="center"/>
                </w:tcPr>
                <w:p w14:paraId="31A149D0">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858" w:type="dxa"/>
                  <w:vAlign w:val="center"/>
                </w:tcPr>
                <w:p w14:paraId="32AC05E4">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702" w:type="dxa"/>
                  <w:vAlign w:val="center"/>
                </w:tcPr>
                <w:p w14:paraId="634B120E">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776" w:type="dxa"/>
                  <w:vAlign w:val="center"/>
                </w:tcPr>
                <w:p w14:paraId="2C2C210E">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784" w:type="dxa"/>
                  <w:tcBorders>
                    <w:right w:val="single" w:color="000000" w:sz="6" w:space="0"/>
                  </w:tcBorders>
                  <w:vAlign w:val="center"/>
                </w:tcPr>
                <w:p w14:paraId="661758CF">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r>
            <w:tr w14:paraId="1D016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jc w:val="center"/>
              </w:trPr>
              <w:tc>
                <w:tcPr>
                  <w:tcW w:w="538" w:type="dxa"/>
                  <w:vAlign w:val="center"/>
                </w:tcPr>
                <w:p w14:paraId="4A7B02C7">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钻探</w:t>
                  </w:r>
                </w:p>
              </w:tc>
              <w:tc>
                <w:tcPr>
                  <w:tcW w:w="989" w:type="dxa"/>
                  <w:vAlign w:val="center"/>
                </w:tcPr>
                <w:p w14:paraId="2FC07586">
                  <w:pPr>
                    <w:pStyle w:val="20"/>
                    <w:spacing w:line="240" w:lineRule="auto"/>
                    <w:ind w:firstLine="0" w:firstLineChars="0"/>
                    <w:jc w:val="center"/>
                    <w:rPr>
                      <w:rFonts w:hint="default" w:ascii="Times New Roman" w:hAnsi="Times New Roman" w:eastAsia="宋体" w:cs="Times New Roman"/>
                      <w:spacing w:val="7"/>
                      <w:sz w:val="21"/>
                      <w:szCs w:val="21"/>
                      <w:highlight w:val="none"/>
                      <w:lang w:val="en-US" w:eastAsia="zh-CN"/>
                    </w:rPr>
                  </w:pPr>
                  <w:r>
                    <w:rPr>
                      <w:rFonts w:hint="default" w:ascii="Times New Roman" w:hAnsi="Times New Roman" w:cs="Times New Roman"/>
                      <w:spacing w:val="7"/>
                      <w:sz w:val="21"/>
                      <w:szCs w:val="21"/>
                      <w:highlight w:val="none"/>
                      <w:lang w:val="en-US" w:eastAsia="zh-CN"/>
                    </w:rPr>
                    <w:t>39.5</w:t>
                  </w:r>
                </w:p>
              </w:tc>
              <w:tc>
                <w:tcPr>
                  <w:tcW w:w="833" w:type="dxa"/>
                  <w:vAlign w:val="center"/>
                </w:tcPr>
                <w:p w14:paraId="78DB3107">
                  <w:pPr>
                    <w:pStyle w:val="20"/>
                    <w:spacing w:line="240" w:lineRule="auto"/>
                    <w:ind w:firstLine="0" w:firstLineChars="0"/>
                    <w:jc w:val="center"/>
                    <w:rPr>
                      <w:rFonts w:hint="default" w:ascii="Times New Roman" w:hAnsi="Times New Roman" w:eastAsia="宋体" w:cs="Times New Roman"/>
                      <w:spacing w:val="7"/>
                      <w:sz w:val="21"/>
                      <w:szCs w:val="21"/>
                      <w:highlight w:val="none"/>
                      <w:lang w:val="en-US" w:eastAsia="zh-CN"/>
                    </w:rPr>
                  </w:pPr>
                  <w:r>
                    <w:rPr>
                      <w:rFonts w:hint="default" w:ascii="Times New Roman" w:hAnsi="Times New Roman" w:cs="Times New Roman"/>
                      <w:spacing w:val="7"/>
                      <w:sz w:val="21"/>
                      <w:szCs w:val="21"/>
                      <w:highlight w:val="none"/>
                      <w:lang w:val="en-US" w:eastAsia="zh-CN"/>
                    </w:rPr>
                    <w:t>39.5</w:t>
                  </w:r>
                </w:p>
              </w:tc>
              <w:tc>
                <w:tcPr>
                  <w:tcW w:w="933" w:type="dxa"/>
                  <w:vAlign w:val="center"/>
                </w:tcPr>
                <w:p w14:paraId="1CFB6896">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585" w:type="dxa"/>
                  <w:vAlign w:val="center"/>
                </w:tcPr>
                <w:p w14:paraId="123A6DDD">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775" w:type="dxa"/>
                  <w:vAlign w:val="center"/>
                </w:tcPr>
                <w:p w14:paraId="192B35F9">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782" w:type="dxa"/>
                  <w:vAlign w:val="center"/>
                </w:tcPr>
                <w:p w14:paraId="75885C81">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858" w:type="dxa"/>
                  <w:vAlign w:val="center"/>
                </w:tcPr>
                <w:p w14:paraId="156BAB00">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702" w:type="dxa"/>
                  <w:vAlign w:val="center"/>
                </w:tcPr>
                <w:p w14:paraId="24126DDD">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776" w:type="dxa"/>
                  <w:vAlign w:val="center"/>
                </w:tcPr>
                <w:p w14:paraId="796781E2">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c>
                <w:tcPr>
                  <w:tcW w:w="784" w:type="dxa"/>
                  <w:tcBorders>
                    <w:right w:val="single" w:color="000000" w:sz="6" w:space="0"/>
                  </w:tcBorders>
                  <w:vAlign w:val="center"/>
                </w:tcPr>
                <w:p w14:paraId="5D80CFCF">
                  <w:pPr>
                    <w:pStyle w:val="20"/>
                    <w:spacing w:line="240" w:lineRule="auto"/>
                    <w:ind w:firstLine="0" w:firstLineChars="0"/>
                    <w:jc w:val="center"/>
                    <w:rPr>
                      <w:rFonts w:hint="default" w:ascii="Times New Roman" w:hAnsi="Times New Roman" w:eastAsia="宋体" w:cs="Times New Roman"/>
                      <w:spacing w:val="7"/>
                      <w:sz w:val="21"/>
                      <w:szCs w:val="21"/>
                      <w:highlight w:val="none"/>
                    </w:rPr>
                  </w:pPr>
                  <w:r>
                    <w:rPr>
                      <w:rFonts w:hint="default" w:ascii="Times New Roman" w:hAnsi="Times New Roman" w:eastAsia="宋体" w:cs="Times New Roman"/>
                      <w:spacing w:val="7"/>
                      <w:sz w:val="21"/>
                      <w:szCs w:val="21"/>
                      <w:highlight w:val="none"/>
                    </w:rPr>
                    <w:t>/</w:t>
                  </w:r>
                </w:p>
              </w:tc>
            </w:tr>
            <w:tr w14:paraId="08E7F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38" w:type="dxa"/>
                  <w:tcBorders>
                    <w:bottom w:val="single" w:color="000000" w:sz="6" w:space="0"/>
                  </w:tcBorders>
                  <w:vAlign w:val="center"/>
                </w:tcPr>
                <w:p w14:paraId="6137101F">
                  <w:pPr>
                    <w:pStyle w:val="20"/>
                    <w:spacing w:line="240" w:lineRule="auto"/>
                    <w:ind w:firstLine="0" w:firstLineChars="0"/>
                    <w:jc w:val="center"/>
                    <w:rPr>
                      <w:rFonts w:hint="default" w:ascii="Times New Roman" w:hAnsi="Times New Roman" w:eastAsia="宋体" w:cs="Times New Roman"/>
                      <w:spacing w:val="7"/>
                      <w:kern w:val="0"/>
                      <w:sz w:val="21"/>
                      <w:szCs w:val="21"/>
                      <w:highlight w:val="none"/>
                      <w:lang w:val="en-US" w:eastAsia="zh-CN" w:bidi="ar-SA"/>
                    </w:rPr>
                  </w:pPr>
                  <w:r>
                    <w:rPr>
                      <w:rFonts w:hint="default" w:ascii="Times New Roman" w:hAnsi="Times New Roman" w:eastAsia="宋体" w:cs="Times New Roman"/>
                      <w:spacing w:val="7"/>
                      <w:sz w:val="21"/>
                      <w:szCs w:val="21"/>
                      <w:highlight w:val="none"/>
                    </w:rPr>
                    <w:t>合计</w:t>
                  </w:r>
                </w:p>
              </w:tc>
              <w:tc>
                <w:tcPr>
                  <w:tcW w:w="989" w:type="dxa"/>
                  <w:tcBorders>
                    <w:bottom w:val="single" w:color="000000" w:sz="6" w:space="0"/>
                  </w:tcBorders>
                  <w:vAlign w:val="center"/>
                </w:tcPr>
                <w:p w14:paraId="36B98CFA">
                  <w:pPr>
                    <w:pStyle w:val="20"/>
                    <w:spacing w:line="240" w:lineRule="auto"/>
                    <w:ind w:firstLine="0" w:firstLineChars="0"/>
                    <w:jc w:val="center"/>
                    <w:rPr>
                      <w:rFonts w:hint="default" w:ascii="Times New Roman" w:hAnsi="Times New Roman" w:eastAsia="宋体" w:cs="Times New Roman"/>
                      <w:spacing w:val="7"/>
                      <w:kern w:val="0"/>
                      <w:sz w:val="21"/>
                      <w:szCs w:val="21"/>
                      <w:highlight w:val="none"/>
                      <w:lang w:val="en-US" w:eastAsia="zh-CN" w:bidi="ar-SA"/>
                    </w:rPr>
                  </w:pPr>
                  <w:r>
                    <w:rPr>
                      <w:rFonts w:hint="default" w:ascii="Times New Roman" w:hAnsi="Times New Roman" w:cs="Times New Roman"/>
                      <w:spacing w:val="7"/>
                      <w:kern w:val="0"/>
                      <w:sz w:val="21"/>
                      <w:szCs w:val="21"/>
                      <w:highlight w:val="none"/>
                      <w:lang w:val="en-US" w:eastAsia="zh-CN" w:bidi="ar-SA"/>
                    </w:rPr>
                    <w:t>2039.5</w:t>
                  </w:r>
                </w:p>
              </w:tc>
              <w:tc>
                <w:tcPr>
                  <w:tcW w:w="7028" w:type="dxa"/>
                  <w:gridSpan w:val="9"/>
                  <w:tcBorders>
                    <w:bottom w:val="single" w:color="000000" w:sz="6" w:space="0"/>
                    <w:right w:val="single" w:color="000000" w:sz="6" w:space="0"/>
                  </w:tcBorders>
                  <w:vAlign w:val="center"/>
                </w:tcPr>
                <w:p w14:paraId="13D5D390">
                  <w:pPr>
                    <w:pStyle w:val="20"/>
                    <w:spacing w:line="240" w:lineRule="auto"/>
                    <w:ind w:firstLine="0" w:firstLineChars="0"/>
                    <w:jc w:val="center"/>
                    <w:rPr>
                      <w:rFonts w:hint="default" w:ascii="Times New Roman" w:hAnsi="Times New Roman" w:eastAsia="宋体" w:cs="Times New Roman"/>
                      <w:spacing w:val="7"/>
                      <w:kern w:val="0"/>
                      <w:sz w:val="21"/>
                      <w:szCs w:val="21"/>
                      <w:highlight w:val="none"/>
                      <w:lang w:val="en-US" w:eastAsia="zh-CN" w:bidi="ar-SA"/>
                    </w:rPr>
                  </w:pPr>
                  <w:r>
                    <w:rPr>
                      <w:rFonts w:hint="default" w:ascii="Times New Roman" w:hAnsi="Times New Roman" w:cs="Times New Roman"/>
                      <w:spacing w:val="7"/>
                      <w:kern w:val="0"/>
                      <w:sz w:val="21"/>
                      <w:szCs w:val="21"/>
                      <w:highlight w:val="none"/>
                      <w:lang w:val="en-US" w:eastAsia="zh-CN" w:bidi="ar-SA"/>
                    </w:rPr>
                    <w:t>2039.5</w:t>
                  </w:r>
                </w:p>
              </w:tc>
            </w:tr>
          </w:tbl>
          <w:p w14:paraId="318EA4CF">
            <w:pPr>
              <w:pStyle w:val="20"/>
              <w:ind w:firstLine="422"/>
              <w:rPr>
                <w:rFonts w:hint="default" w:ascii="Times New Roman" w:hAnsi="Times New Roman" w:eastAsia="宋体" w:cs="Times New Roman"/>
                <w:b/>
                <w:bCs/>
                <w:spacing w:val="5"/>
                <w:sz w:val="20"/>
                <w:szCs w:val="20"/>
              </w:rPr>
            </w:pPr>
          </w:p>
        </w:tc>
      </w:tr>
      <w:tr w14:paraId="601D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452" w:type="dxa"/>
            <w:vAlign w:val="center"/>
          </w:tcPr>
          <w:p w14:paraId="7F0C4A27">
            <w:pPr>
              <w:snapToGrid w:val="0"/>
              <w:spacing w:line="500" w:lineRule="exact"/>
              <w:jc w:val="both"/>
              <w:rPr>
                <w:rFonts w:hint="default" w:ascii="Times New Roman" w:hAnsi="Times New Roman" w:eastAsia="宋体" w:cs="Times New Roman"/>
              </w:rPr>
            </w:pPr>
            <w:r>
              <w:rPr>
                <w:rFonts w:hint="default" w:ascii="Times New Roman" w:hAnsi="Times New Roman" w:eastAsia="宋体" w:cs="Times New Roman"/>
              </w:rPr>
              <w:t>总平面及现场布置</w:t>
            </w:r>
          </w:p>
        </w:tc>
        <w:tc>
          <w:tcPr>
            <w:tcW w:w="9238" w:type="dxa"/>
          </w:tcPr>
          <w:p w14:paraId="5151AC95">
            <w:pPr>
              <w:pStyle w:val="21"/>
              <w:numPr>
                <w:ilvl w:val="0"/>
                <w:numId w:val="8"/>
              </w:numPr>
              <w:spacing w:before="56" w:line="360" w:lineRule="auto"/>
              <w:outlineLvl w:val="1"/>
              <w:rPr>
                <w:rFonts w:hint="default" w:ascii="Times New Roman" w:hAnsi="Times New Roman" w:cs="Times New Roman"/>
                <w:b/>
                <w:bCs/>
                <w:spacing w:val="-4"/>
                <w:lang w:val="en-US" w:eastAsia="zh-CN"/>
              </w:rPr>
            </w:pPr>
            <w:r>
              <w:rPr>
                <w:rFonts w:hint="default" w:ascii="Times New Roman" w:hAnsi="Times New Roman" w:cs="Times New Roman"/>
                <w:b/>
                <w:bCs/>
                <w:spacing w:val="-4"/>
                <w:lang w:val="en-US" w:eastAsia="zh-CN"/>
              </w:rPr>
              <w:t>项目总平面布置</w:t>
            </w:r>
          </w:p>
          <w:p w14:paraId="2E6E5EFD">
            <w:pPr>
              <w:pStyle w:val="20"/>
              <w:ind w:firstLine="480"/>
              <w:rPr>
                <w:rFonts w:hint="default" w:ascii="Times New Roman" w:hAnsi="Times New Roman" w:cs="Times New Roman"/>
                <w:spacing w:val="-3"/>
                <w:highlight w:val="none"/>
                <w:lang w:eastAsia="zh-CN"/>
              </w:rPr>
            </w:pPr>
            <w:r>
              <w:rPr>
                <w:rFonts w:hint="default" w:ascii="Times New Roman" w:hAnsi="Times New Roman" w:cs="Times New Roman"/>
                <w:lang w:val="en-US" w:eastAsia="zh-CN"/>
              </w:rPr>
              <w:t>本项目位于</w:t>
            </w:r>
            <w:r>
              <w:rPr>
                <w:rFonts w:hint="default" w:ascii="Times New Roman" w:hAnsi="Times New Roman" w:eastAsia="宋体" w:cs="Times New Roman"/>
                <w:kern w:val="0"/>
                <w:sz w:val="24"/>
                <w:szCs w:val="24"/>
                <w:lang w:val="en-US" w:eastAsia="zh-CN" w:bidi="ar-SA"/>
              </w:rPr>
              <w:t>新疆维吾尔自治区和田地区民丰县东南</w:t>
            </w:r>
            <w:r>
              <w:rPr>
                <w:rFonts w:hint="default" w:ascii="Times New Roman" w:hAnsi="Times New Roman" w:cs="Times New Roman"/>
                <w:kern w:val="0"/>
                <w:sz w:val="24"/>
                <w:szCs w:val="24"/>
                <w:lang w:val="en-US" w:eastAsia="zh-CN" w:bidi="ar-SA"/>
              </w:rPr>
              <w:t>108°</w:t>
            </w:r>
            <w:r>
              <w:rPr>
                <w:rFonts w:hint="default" w:ascii="Times New Roman" w:hAnsi="Times New Roman" w:eastAsia="宋体" w:cs="Times New Roman"/>
                <w:kern w:val="0"/>
                <w:sz w:val="24"/>
                <w:szCs w:val="24"/>
                <w:lang w:val="en-US" w:eastAsia="zh-CN" w:bidi="ar-SA"/>
              </w:rPr>
              <w:t>约1</w:t>
            </w:r>
            <w:r>
              <w:rPr>
                <w:rFonts w:hint="default" w:ascii="Times New Roman" w:hAnsi="Times New Roman" w:cs="Times New Roman"/>
                <w:kern w:val="0"/>
                <w:sz w:val="24"/>
                <w:szCs w:val="24"/>
                <w:lang w:val="en-US" w:eastAsia="zh-CN" w:bidi="ar-SA"/>
              </w:rPr>
              <w:t>3</w:t>
            </w:r>
            <w:r>
              <w:rPr>
                <w:rFonts w:hint="default" w:ascii="Times New Roman" w:hAnsi="Times New Roman" w:eastAsia="宋体" w:cs="Times New Roman"/>
                <w:kern w:val="0"/>
                <w:sz w:val="24"/>
                <w:szCs w:val="24"/>
                <w:lang w:val="en-US" w:eastAsia="zh-CN" w:bidi="ar-SA"/>
              </w:rPr>
              <w:t>0km处</w:t>
            </w:r>
            <w:r>
              <w:rPr>
                <w:rFonts w:hint="default" w:ascii="Times New Roman" w:hAnsi="Times New Roman" w:cs="Times New Roman"/>
                <w:lang w:eastAsia="zh-CN"/>
              </w:rPr>
              <w:t>，</w:t>
            </w:r>
            <w:r>
              <w:rPr>
                <w:rFonts w:hint="default" w:ascii="Times New Roman" w:hAnsi="Times New Roman" w:cs="Times New Roman"/>
                <w:lang w:val="en-US" w:eastAsia="zh-CN"/>
              </w:rPr>
              <w:t>勘查区面积</w:t>
            </w:r>
            <w:r>
              <w:rPr>
                <w:rFonts w:hint="default" w:ascii="Times New Roman" w:hAnsi="Times New Roman" w:cs="Times New Roman"/>
                <w:spacing w:val="6"/>
                <w:sz w:val="24"/>
                <w:szCs w:val="24"/>
                <w:lang w:val="en-US" w:eastAsia="zh-CN"/>
              </w:rPr>
              <w:t>50.50km</w:t>
            </w:r>
            <w:r>
              <w:rPr>
                <w:rFonts w:hint="default" w:ascii="Times New Roman" w:hAnsi="Times New Roman" w:cs="Times New Roman"/>
                <w:spacing w:val="6"/>
                <w:sz w:val="24"/>
                <w:szCs w:val="24"/>
                <w:vertAlign w:val="superscript"/>
                <w:lang w:val="en-US" w:eastAsia="zh-CN"/>
              </w:rPr>
              <w:t>2</w:t>
            </w:r>
            <w:r>
              <w:rPr>
                <w:rFonts w:hint="default" w:ascii="Times New Roman" w:hAnsi="Times New Roman" w:cs="Times New Roman"/>
                <w:spacing w:val="6"/>
                <w:sz w:val="24"/>
                <w:szCs w:val="24"/>
                <w:vertAlign w:val="baseline"/>
                <w:lang w:val="en-US" w:eastAsia="zh-CN"/>
              </w:rPr>
              <w:t>（其中44.97km</w:t>
            </w:r>
            <w:r>
              <w:rPr>
                <w:rFonts w:hint="default" w:ascii="Times New Roman" w:hAnsi="Times New Roman" w:cs="Times New Roman"/>
                <w:spacing w:val="6"/>
                <w:sz w:val="24"/>
                <w:szCs w:val="24"/>
                <w:vertAlign w:val="superscript"/>
                <w:lang w:val="en-US" w:eastAsia="zh-CN"/>
              </w:rPr>
              <w:t>2</w:t>
            </w:r>
            <w:r>
              <w:rPr>
                <w:rFonts w:hint="default" w:ascii="Times New Roman" w:hAnsi="Times New Roman" w:cs="Times New Roman"/>
                <w:spacing w:val="6"/>
                <w:sz w:val="24"/>
                <w:szCs w:val="24"/>
                <w:vertAlign w:val="baseline"/>
                <w:lang w:val="en-US" w:eastAsia="zh-CN"/>
              </w:rPr>
              <w:t>位于民丰县，5.53km</w:t>
            </w:r>
            <w:r>
              <w:rPr>
                <w:rFonts w:hint="default" w:ascii="Times New Roman" w:hAnsi="Times New Roman" w:cs="Times New Roman"/>
                <w:spacing w:val="6"/>
                <w:sz w:val="24"/>
                <w:szCs w:val="24"/>
                <w:vertAlign w:val="superscript"/>
                <w:lang w:val="en-US" w:eastAsia="zh-CN"/>
              </w:rPr>
              <w:t>2</w:t>
            </w:r>
            <w:r>
              <w:rPr>
                <w:rFonts w:hint="default" w:ascii="Times New Roman" w:hAnsi="Times New Roman" w:cs="Times New Roman"/>
                <w:spacing w:val="6"/>
                <w:sz w:val="24"/>
                <w:szCs w:val="24"/>
                <w:vertAlign w:val="baseline"/>
                <w:lang w:val="en-US" w:eastAsia="zh-CN"/>
              </w:rPr>
              <w:t>位于且末县），实际占地面积约</w:t>
            </w:r>
            <w:r>
              <w:rPr>
                <w:rFonts w:hint="default" w:ascii="Times New Roman" w:hAnsi="Times New Roman" w:cs="Times New Roman"/>
                <w:spacing w:val="6"/>
                <w:sz w:val="24"/>
                <w:szCs w:val="24"/>
                <w:highlight w:val="none"/>
                <w:vertAlign w:val="baseline"/>
                <w:lang w:val="en-US" w:eastAsia="zh-CN"/>
              </w:rPr>
              <w:t>0.09247</w:t>
            </w:r>
            <w:r>
              <w:rPr>
                <w:rFonts w:hint="default" w:ascii="Times New Roman" w:hAnsi="Times New Roman" w:cs="Times New Roman"/>
                <w:spacing w:val="6"/>
                <w:sz w:val="24"/>
                <w:szCs w:val="24"/>
                <w:highlight w:val="none"/>
                <w:lang w:val="en-US" w:eastAsia="zh-CN"/>
              </w:rPr>
              <w:t>km</w:t>
            </w:r>
            <w:r>
              <w:rPr>
                <w:rFonts w:hint="default" w:ascii="Times New Roman" w:hAnsi="Times New Roman" w:cs="Times New Roman"/>
                <w:spacing w:val="6"/>
                <w:sz w:val="24"/>
                <w:szCs w:val="24"/>
                <w:highlight w:val="none"/>
                <w:vertAlign w:val="superscript"/>
                <w:lang w:val="en-US" w:eastAsia="zh-CN"/>
              </w:rPr>
              <w:t>2</w:t>
            </w:r>
            <w:r>
              <w:rPr>
                <w:rFonts w:hint="default" w:ascii="Times New Roman" w:hAnsi="Times New Roman" w:cs="Times New Roman"/>
                <w:spacing w:val="6"/>
                <w:sz w:val="24"/>
                <w:szCs w:val="24"/>
                <w:vertAlign w:val="baseline"/>
                <w:lang w:val="en-US" w:eastAsia="zh-CN"/>
              </w:rPr>
              <w:t>（均为临时占地）；</w:t>
            </w:r>
            <w:r>
              <w:rPr>
                <w:rFonts w:hint="default" w:ascii="Times New Roman" w:hAnsi="Times New Roman" w:cs="Times New Roman"/>
                <w:spacing w:val="6"/>
                <w:sz w:val="24"/>
                <w:szCs w:val="24"/>
                <w:highlight w:val="none"/>
                <w:vertAlign w:val="baseline"/>
                <w:lang w:val="en-US" w:eastAsia="zh-CN"/>
              </w:rPr>
              <w:t>勘查区南侧</w:t>
            </w:r>
            <w:r>
              <w:rPr>
                <w:rFonts w:hint="default" w:ascii="Times New Roman" w:hAnsi="Times New Roman" w:cs="Times New Roman"/>
                <w:spacing w:val="-3"/>
                <w:highlight w:val="none"/>
                <w:lang w:val="en-US" w:eastAsia="zh-CN"/>
              </w:rPr>
              <w:t>距离帕米尔</w:t>
            </w:r>
            <w:r>
              <w:rPr>
                <w:rFonts w:hint="eastAsia" w:ascii="Times New Roman" w:hAnsi="Times New Roman" w:cs="Times New Roman"/>
                <w:spacing w:val="-3"/>
                <w:highlight w:val="none"/>
                <w:lang w:val="en-US" w:eastAsia="zh-CN"/>
              </w:rPr>
              <w:t>－</w:t>
            </w:r>
            <w:r>
              <w:rPr>
                <w:rFonts w:hint="default" w:ascii="Times New Roman" w:hAnsi="Times New Roman" w:cs="Times New Roman"/>
                <w:spacing w:val="-3"/>
                <w:highlight w:val="none"/>
                <w:lang w:val="en-US" w:eastAsia="zh-CN"/>
              </w:rPr>
              <w:t>昆仑山水土流失防控生态保护红线区约5.02</w:t>
            </w:r>
            <w:r>
              <w:rPr>
                <w:rFonts w:hint="default" w:ascii="Times New Roman" w:hAnsi="Times New Roman" w:cs="Times New Roman"/>
                <w:spacing w:val="-3"/>
                <w:highlight w:val="none"/>
                <w:lang w:eastAsia="zh-CN"/>
              </w:rPr>
              <w:t>千米</w:t>
            </w:r>
            <w:r>
              <w:rPr>
                <w:rFonts w:hint="default" w:ascii="Times New Roman" w:hAnsi="Times New Roman" w:cs="Times New Roman"/>
                <w:spacing w:val="6"/>
                <w:sz w:val="24"/>
                <w:szCs w:val="24"/>
                <w:highlight w:val="none"/>
                <w:vertAlign w:val="baseline"/>
                <w:lang w:val="en-US" w:eastAsia="zh-CN"/>
              </w:rPr>
              <w:t>，勘查区东侧和东北</w:t>
            </w:r>
            <w:r>
              <w:rPr>
                <w:rFonts w:hint="default" w:ascii="Times New Roman" w:hAnsi="Times New Roman" w:cs="Times New Roman"/>
                <w:spacing w:val="-3"/>
                <w:highlight w:val="none"/>
                <w:lang w:val="en-US" w:eastAsia="zh-CN"/>
              </w:rPr>
              <w:t>分别距离昆仑山生物多样性维护生态保护红线区约10.4</w:t>
            </w:r>
            <w:r>
              <w:rPr>
                <w:rFonts w:hint="default" w:ascii="Times New Roman" w:hAnsi="Times New Roman" w:cs="Times New Roman"/>
                <w:spacing w:val="-3"/>
                <w:highlight w:val="none"/>
                <w:lang w:eastAsia="zh-CN"/>
              </w:rPr>
              <w:t>千米</w:t>
            </w:r>
            <w:r>
              <w:rPr>
                <w:rFonts w:hint="default" w:ascii="Times New Roman" w:hAnsi="Times New Roman" w:cs="Times New Roman"/>
                <w:spacing w:val="-3"/>
                <w:highlight w:val="none"/>
                <w:lang w:val="en-US" w:eastAsia="zh-CN"/>
              </w:rPr>
              <w:t>和7.82</w:t>
            </w:r>
            <w:r>
              <w:rPr>
                <w:rFonts w:hint="default" w:ascii="Times New Roman" w:hAnsi="Times New Roman" w:cs="Times New Roman"/>
                <w:spacing w:val="-3"/>
                <w:highlight w:val="none"/>
                <w:lang w:eastAsia="zh-CN"/>
              </w:rPr>
              <w:t>千米，</w:t>
            </w:r>
            <w:r>
              <w:rPr>
                <w:rFonts w:hint="default" w:ascii="Times New Roman" w:hAnsi="Times New Roman" w:cs="Times New Roman"/>
                <w:highlight w:val="none"/>
                <w:lang w:val="en-US" w:eastAsia="zh-CN"/>
              </w:rPr>
              <w:t>勘探区10公里范围内无保护区</w:t>
            </w:r>
            <w:r>
              <w:rPr>
                <w:rFonts w:hint="default" w:ascii="Times New Roman" w:hAnsi="Times New Roman" w:cs="Times New Roman"/>
                <w:spacing w:val="6"/>
                <w:sz w:val="24"/>
                <w:szCs w:val="24"/>
                <w:highlight w:val="none"/>
                <w:vertAlign w:val="baseline"/>
                <w:lang w:val="en-US" w:eastAsia="zh-CN"/>
              </w:rPr>
              <w:t>；矿区范围内无军事设施；不在水源涵养功能区保护范围内；不涉及现有国道、公路压覆情况。勘查区范围未发现文物覆盖；不在旅游景区范围内；周边均为高原无人地段。</w:t>
            </w:r>
            <w:r>
              <w:rPr>
                <w:rFonts w:hint="default" w:ascii="Times New Roman" w:hAnsi="Times New Roman" w:cs="Times New Roman"/>
                <w:spacing w:val="2"/>
                <w:highlight w:val="none"/>
              </w:rPr>
              <w:t>与周边矿权</w:t>
            </w:r>
            <w:r>
              <w:rPr>
                <w:rFonts w:hint="default" w:ascii="Times New Roman" w:hAnsi="Times New Roman" w:cs="Times New Roman"/>
                <w:spacing w:val="-3"/>
                <w:highlight w:val="none"/>
              </w:rPr>
              <w:t>不存在重叠</w:t>
            </w:r>
            <w:r>
              <w:rPr>
                <w:rFonts w:hint="default" w:ascii="Times New Roman" w:hAnsi="Times New Roman" w:cs="Times New Roman"/>
                <w:spacing w:val="-3"/>
                <w:highlight w:val="none"/>
                <w:lang w:eastAsia="zh-CN"/>
              </w:rPr>
              <w:t>。</w:t>
            </w:r>
          </w:p>
          <w:p w14:paraId="2BF92E59">
            <w:pPr>
              <w:pStyle w:val="20"/>
              <w:ind w:firstLine="480"/>
              <w:rPr>
                <w:rFonts w:hint="default" w:ascii="Times New Roman" w:hAnsi="Times New Roman" w:cs="Times New Roman"/>
                <w:spacing w:val="-3"/>
                <w:highlight w:val="yellow"/>
                <w:lang w:eastAsia="zh-CN"/>
              </w:rPr>
            </w:pPr>
            <w:r>
              <w:rPr>
                <w:rFonts w:hint="default" w:ascii="Times New Roman" w:hAnsi="Times New Roman" w:cs="Times New Roman"/>
                <w:spacing w:val="-3"/>
                <w:highlight w:val="none"/>
                <w:lang w:val="en-US" w:eastAsia="zh-CN"/>
              </w:rPr>
              <w:t>项目区</w:t>
            </w:r>
            <w:r>
              <w:rPr>
                <w:rFonts w:hint="default" w:ascii="Times New Roman" w:hAnsi="Times New Roman" w:cs="Times New Roman"/>
                <w:spacing w:val="6"/>
                <w:sz w:val="24"/>
                <w:szCs w:val="24"/>
                <w:highlight w:val="none"/>
                <w:vertAlign w:val="baseline"/>
                <w:lang w:val="en-US" w:eastAsia="zh-CN"/>
              </w:rPr>
              <w:t>南侧</w:t>
            </w:r>
            <w:r>
              <w:rPr>
                <w:rFonts w:hint="default" w:ascii="Times New Roman" w:hAnsi="Times New Roman" w:cs="Times New Roman"/>
                <w:spacing w:val="-3"/>
                <w:highlight w:val="none"/>
                <w:lang w:val="en-US" w:eastAsia="zh-CN"/>
              </w:rPr>
              <w:t>5.02</w:t>
            </w:r>
            <w:r>
              <w:rPr>
                <w:rFonts w:hint="default" w:ascii="Times New Roman" w:hAnsi="Times New Roman" w:cs="Times New Roman"/>
                <w:spacing w:val="-3"/>
                <w:highlight w:val="none"/>
                <w:lang w:eastAsia="zh-CN"/>
              </w:rPr>
              <w:t>千米</w:t>
            </w:r>
            <w:r>
              <w:rPr>
                <w:rFonts w:hint="default" w:ascii="Times New Roman" w:hAnsi="Times New Roman" w:cs="Times New Roman"/>
                <w:spacing w:val="-3"/>
                <w:highlight w:val="none"/>
                <w:lang w:val="en-US" w:eastAsia="zh-CN"/>
              </w:rPr>
              <w:t>为帕米尔</w:t>
            </w:r>
            <w:r>
              <w:rPr>
                <w:rFonts w:hint="eastAsia" w:ascii="Times New Roman" w:hAnsi="Times New Roman" w:cs="Times New Roman"/>
                <w:spacing w:val="-3"/>
                <w:highlight w:val="none"/>
                <w:lang w:val="en-US" w:eastAsia="zh-CN"/>
              </w:rPr>
              <w:t>－</w:t>
            </w:r>
            <w:r>
              <w:rPr>
                <w:rFonts w:hint="default" w:ascii="Times New Roman" w:hAnsi="Times New Roman" w:cs="Times New Roman"/>
                <w:spacing w:val="-3"/>
                <w:highlight w:val="none"/>
                <w:lang w:val="en-US" w:eastAsia="zh-CN"/>
              </w:rPr>
              <w:t>昆仑山水土流失防控生态保护红线区（环境管控单元类别：优先保护单元），</w:t>
            </w:r>
            <w:r>
              <w:rPr>
                <w:rFonts w:hint="default" w:ascii="Times New Roman" w:hAnsi="Times New Roman" w:cs="Times New Roman"/>
                <w:spacing w:val="6"/>
                <w:sz w:val="24"/>
                <w:szCs w:val="24"/>
                <w:highlight w:val="none"/>
                <w:vertAlign w:val="baseline"/>
                <w:lang w:val="en-US" w:eastAsia="zh-CN"/>
              </w:rPr>
              <w:t>勘查区东侧</w:t>
            </w:r>
            <w:r>
              <w:rPr>
                <w:rFonts w:hint="default" w:ascii="Times New Roman" w:hAnsi="Times New Roman" w:cs="Times New Roman"/>
                <w:spacing w:val="-3"/>
                <w:highlight w:val="none"/>
                <w:lang w:val="en-US" w:eastAsia="zh-CN"/>
              </w:rPr>
              <w:t>10.4</w:t>
            </w:r>
            <w:r>
              <w:rPr>
                <w:rFonts w:hint="default" w:ascii="Times New Roman" w:hAnsi="Times New Roman" w:cs="Times New Roman"/>
                <w:spacing w:val="-3"/>
                <w:highlight w:val="none"/>
                <w:lang w:eastAsia="zh-CN"/>
              </w:rPr>
              <w:t>千米</w:t>
            </w:r>
            <w:r>
              <w:rPr>
                <w:rFonts w:hint="default" w:ascii="Times New Roman" w:hAnsi="Times New Roman" w:cs="Times New Roman"/>
                <w:spacing w:val="6"/>
                <w:sz w:val="24"/>
                <w:szCs w:val="24"/>
                <w:highlight w:val="none"/>
                <w:vertAlign w:val="baseline"/>
                <w:lang w:val="en-US" w:eastAsia="zh-CN"/>
              </w:rPr>
              <w:t>和东北</w:t>
            </w:r>
            <w:r>
              <w:rPr>
                <w:rFonts w:hint="default" w:ascii="Times New Roman" w:hAnsi="Times New Roman" w:cs="Times New Roman"/>
                <w:spacing w:val="-3"/>
                <w:highlight w:val="none"/>
                <w:lang w:val="en-US" w:eastAsia="zh-CN"/>
              </w:rPr>
              <w:t>7.82</w:t>
            </w:r>
            <w:r>
              <w:rPr>
                <w:rFonts w:hint="default" w:ascii="Times New Roman" w:hAnsi="Times New Roman" w:cs="Times New Roman"/>
                <w:spacing w:val="-3"/>
                <w:highlight w:val="none"/>
                <w:lang w:eastAsia="zh-CN"/>
              </w:rPr>
              <w:t>千米</w:t>
            </w:r>
            <w:r>
              <w:rPr>
                <w:rFonts w:hint="default" w:ascii="Times New Roman" w:hAnsi="Times New Roman" w:cs="Times New Roman"/>
                <w:spacing w:val="-3"/>
                <w:highlight w:val="none"/>
                <w:lang w:val="en-US" w:eastAsia="zh-CN"/>
              </w:rPr>
              <w:t>为昆仑山生物多样性维护生态保护红线区（环境管控单元类别：优先保护单元）</w:t>
            </w:r>
            <w:r>
              <w:rPr>
                <w:rFonts w:hint="default" w:ascii="Times New Roman" w:hAnsi="Times New Roman" w:cs="Times New Roman"/>
                <w:spacing w:val="-3"/>
                <w:highlight w:val="none"/>
                <w:lang w:eastAsia="zh-CN"/>
              </w:rPr>
              <w:t>（</w:t>
            </w:r>
            <w:r>
              <w:rPr>
                <w:rFonts w:hint="default" w:ascii="Times New Roman" w:hAnsi="Times New Roman" w:cs="Times New Roman"/>
                <w:spacing w:val="-3"/>
                <w:highlight w:val="none"/>
                <w:lang w:val="en-US" w:eastAsia="zh-CN"/>
              </w:rPr>
              <w:t>附图2</w:t>
            </w:r>
            <w:r>
              <w:rPr>
                <w:rFonts w:hint="default" w:ascii="Times New Roman" w:hAnsi="Times New Roman" w:cs="Times New Roman"/>
                <w:spacing w:val="-3"/>
                <w:highlight w:val="none"/>
                <w:lang w:eastAsia="zh-CN"/>
              </w:rPr>
              <w:t>）。</w:t>
            </w:r>
          </w:p>
          <w:p w14:paraId="01021BE3">
            <w:pPr>
              <w:pStyle w:val="20"/>
              <w:ind w:firstLine="480"/>
              <w:rPr>
                <w:rFonts w:hint="default" w:ascii="Times New Roman" w:hAnsi="Times New Roman" w:cs="Times New Roman"/>
                <w:spacing w:val="-3"/>
                <w:lang w:val="en-US" w:eastAsia="zh-CN"/>
              </w:rPr>
            </w:pPr>
            <w:r>
              <w:rPr>
                <w:rFonts w:hint="default" w:ascii="Times New Roman" w:hAnsi="Times New Roman" w:cs="Times New Roman"/>
                <w:spacing w:val="-3"/>
                <w:lang w:val="en-US" w:eastAsia="zh-CN"/>
              </w:rPr>
              <w:t>勘查区范围坐标详见表2-5，项目总平面布置图详见</w:t>
            </w:r>
            <w:r>
              <w:rPr>
                <w:rFonts w:hint="default" w:ascii="Times New Roman" w:hAnsi="Times New Roman" w:cs="Times New Roman"/>
                <w:spacing w:val="-3"/>
                <w:highlight w:val="none"/>
                <w:lang w:val="en-US" w:eastAsia="zh-CN"/>
              </w:rPr>
              <w:t>附图4</w:t>
            </w:r>
            <w:r>
              <w:rPr>
                <w:rFonts w:hint="default" w:ascii="Times New Roman" w:hAnsi="Times New Roman" w:cs="Times New Roman"/>
                <w:spacing w:val="-3"/>
                <w:lang w:val="en-US" w:eastAsia="zh-CN"/>
              </w:rPr>
              <w:t>。</w:t>
            </w:r>
          </w:p>
          <w:p w14:paraId="7C2092D8">
            <w:pPr>
              <w:keepNext/>
              <w:keepLines/>
              <w:widowControl/>
              <w:adjustRightInd w:val="0"/>
              <w:snapToGrid w:val="0"/>
              <w:spacing w:line="480" w:lineRule="exact"/>
              <w:jc w:val="center"/>
              <w:outlineLvl w:val="2"/>
              <w:rPr>
                <w:rFonts w:hint="default" w:ascii="Times New Roman" w:hAnsi="Times New Roman" w:eastAsia="宋体" w:cs="Times New Roman"/>
                <w:b/>
                <w:color w:val="000000"/>
                <w:kern w:val="0"/>
                <w:sz w:val="21"/>
                <w:szCs w:val="21"/>
                <w:lang w:val="en-US" w:eastAsia="zh-CN"/>
              </w:rPr>
            </w:pPr>
            <w:r>
              <w:rPr>
                <w:rFonts w:hint="default" w:ascii="Times New Roman" w:hAnsi="Times New Roman" w:eastAsia="宋体" w:cs="Times New Roman"/>
                <w:b/>
                <w:color w:val="000000"/>
                <w:kern w:val="0"/>
                <w:sz w:val="21"/>
                <w:szCs w:val="21"/>
                <w:lang w:val="en-US" w:eastAsia="zh-CN"/>
              </w:rPr>
              <w:t>表2-5勘查区范围坐标一览表</w:t>
            </w:r>
          </w:p>
          <w:tbl>
            <w:tblPr>
              <w:tblStyle w:val="22"/>
              <w:tblW w:w="85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7"/>
              <w:gridCol w:w="3330"/>
              <w:gridCol w:w="3432"/>
            </w:tblGrid>
            <w:tr w14:paraId="5AE42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jc w:val="center"/>
              </w:trPr>
              <w:tc>
                <w:tcPr>
                  <w:tcW w:w="1797" w:type="dxa"/>
                  <w:vMerge w:val="restart"/>
                  <w:tcBorders>
                    <w:bottom w:val="nil"/>
                  </w:tcBorders>
                  <w:vAlign w:val="center"/>
                </w:tcPr>
                <w:p w14:paraId="01916A6B">
                  <w:pPr>
                    <w:pStyle w:val="21"/>
                    <w:spacing w:before="201" w:line="220" w:lineRule="auto"/>
                    <w:ind w:left="168"/>
                    <w:jc w:val="center"/>
                    <w:rPr>
                      <w:rFonts w:hint="default" w:ascii="Times New Roman" w:hAnsi="Times New Roman" w:cs="Times New Roman"/>
                      <w:sz w:val="21"/>
                      <w:szCs w:val="21"/>
                    </w:rPr>
                  </w:pPr>
                  <w:r>
                    <w:rPr>
                      <w:rFonts w:hint="default" w:ascii="Times New Roman" w:hAnsi="Times New Roman" w:cs="Times New Roman"/>
                      <w:spacing w:val="-2"/>
                      <w:sz w:val="21"/>
                      <w:szCs w:val="21"/>
                    </w:rPr>
                    <w:t>拐点坐标编号</w:t>
                  </w:r>
                </w:p>
              </w:tc>
              <w:tc>
                <w:tcPr>
                  <w:tcW w:w="6762" w:type="dxa"/>
                  <w:gridSpan w:val="2"/>
                  <w:vAlign w:val="center"/>
                </w:tcPr>
                <w:p w14:paraId="342C23B8">
                  <w:pPr>
                    <w:pStyle w:val="21"/>
                    <w:spacing w:before="40" w:line="207" w:lineRule="auto"/>
                    <w:jc w:val="center"/>
                    <w:rPr>
                      <w:rFonts w:hint="default" w:ascii="Times New Roman" w:hAnsi="Times New Roman" w:cs="Times New Roman"/>
                      <w:sz w:val="21"/>
                      <w:szCs w:val="21"/>
                    </w:rPr>
                  </w:pPr>
                  <w:r>
                    <w:rPr>
                      <w:rFonts w:hint="default" w:ascii="Times New Roman" w:hAnsi="Times New Roman" w:cs="Times New Roman"/>
                      <w:spacing w:val="-2"/>
                      <w:sz w:val="21"/>
                      <w:szCs w:val="21"/>
                    </w:rPr>
                    <w:t>地理坐标（2000</w:t>
                  </w:r>
                  <w:r>
                    <w:rPr>
                      <w:rFonts w:hint="default" w:ascii="Times New Roman" w:hAnsi="Times New Roman" w:cs="Times New Roman"/>
                      <w:spacing w:val="-2"/>
                      <w:sz w:val="21"/>
                      <w:szCs w:val="21"/>
                      <w:lang w:val="en-US" w:eastAsia="zh-CN"/>
                    </w:rPr>
                    <w:t>国家大地</w:t>
                  </w:r>
                  <w:r>
                    <w:rPr>
                      <w:rFonts w:hint="default" w:ascii="Times New Roman" w:hAnsi="Times New Roman" w:cs="Times New Roman"/>
                      <w:spacing w:val="-2"/>
                      <w:sz w:val="21"/>
                      <w:szCs w:val="21"/>
                    </w:rPr>
                    <w:t>坐标系）</w:t>
                  </w:r>
                </w:p>
              </w:tc>
            </w:tr>
            <w:tr w14:paraId="28007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jc w:val="center"/>
              </w:trPr>
              <w:tc>
                <w:tcPr>
                  <w:tcW w:w="1797" w:type="dxa"/>
                  <w:vMerge w:val="continue"/>
                  <w:tcBorders>
                    <w:top w:val="nil"/>
                  </w:tcBorders>
                  <w:vAlign w:val="center"/>
                </w:tcPr>
                <w:p w14:paraId="17625D08">
                  <w:pPr>
                    <w:jc w:val="center"/>
                    <w:rPr>
                      <w:rFonts w:hint="default" w:ascii="Times New Roman" w:hAnsi="Times New Roman" w:cs="Times New Roman"/>
                      <w:sz w:val="21"/>
                      <w:szCs w:val="21"/>
                    </w:rPr>
                  </w:pPr>
                </w:p>
              </w:tc>
              <w:tc>
                <w:tcPr>
                  <w:tcW w:w="3330" w:type="dxa"/>
                  <w:vAlign w:val="center"/>
                </w:tcPr>
                <w:p w14:paraId="527F13F1">
                  <w:pPr>
                    <w:pStyle w:val="21"/>
                    <w:spacing w:before="35" w:line="206" w:lineRule="auto"/>
                    <w:jc w:val="center"/>
                    <w:rPr>
                      <w:rFonts w:hint="default" w:ascii="Times New Roman" w:hAnsi="Times New Roman" w:cs="Times New Roman"/>
                      <w:sz w:val="21"/>
                      <w:szCs w:val="21"/>
                    </w:rPr>
                  </w:pPr>
                  <w:r>
                    <w:rPr>
                      <w:rFonts w:hint="default" w:ascii="Times New Roman" w:hAnsi="Times New Roman" w:cs="Times New Roman"/>
                      <w:spacing w:val="-5"/>
                      <w:sz w:val="21"/>
                      <w:szCs w:val="21"/>
                    </w:rPr>
                    <w:t>东经</w:t>
                  </w:r>
                </w:p>
              </w:tc>
              <w:tc>
                <w:tcPr>
                  <w:tcW w:w="3432" w:type="dxa"/>
                  <w:vAlign w:val="center"/>
                </w:tcPr>
                <w:p w14:paraId="3C899D6B">
                  <w:pPr>
                    <w:pStyle w:val="21"/>
                    <w:spacing w:before="35" w:line="206" w:lineRule="auto"/>
                    <w:jc w:val="center"/>
                    <w:rPr>
                      <w:rFonts w:hint="default" w:ascii="Times New Roman" w:hAnsi="Times New Roman" w:cs="Times New Roman"/>
                      <w:sz w:val="21"/>
                      <w:szCs w:val="21"/>
                    </w:rPr>
                  </w:pPr>
                  <w:r>
                    <w:rPr>
                      <w:rFonts w:hint="default" w:ascii="Times New Roman" w:hAnsi="Times New Roman" w:cs="Times New Roman"/>
                      <w:spacing w:val="-4"/>
                      <w:sz w:val="21"/>
                      <w:szCs w:val="21"/>
                    </w:rPr>
                    <w:t>北纬</w:t>
                  </w:r>
                </w:p>
              </w:tc>
            </w:tr>
            <w:tr w14:paraId="32FDF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jc w:val="center"/>
              </w:trPr>
              <w:tc>
                <w:tcPr>
                  <w:tcW w:w="1797" w:type="dxa"/>
                  <w:vAlign w:val="center"/>
                </w:tcPr>
                <w:p w14:paraId="7CC17216">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1</w:t>
                  </w:r>
                </w:p>
              </w:tc>
              <w:tc>
                <w:tcPr>
                  <w:tcW w:w="3330" w:type="dxa"/>
                  <w:vAlign w:val="center"/>
                </w:tcPr>
                <w:p w14:paraId="0B57FDC3">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84°04′30.000"</w:t>
                  </w:r>
                </w:p>
              </w:tc>
              <w:tc>
                <w:tcPr>
                  <w:tcW w:w="3432" w:type="dxa"/>
                  <w:vAlign w:val="center"/>
                </w:tcPr>
                <w:p w14:paraId="2B2EC2F7">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36°39′20.000"</w:t>
                  </w:r>
                </w:p>
              </w:tc>
            </w:tr>
            <w:tr w14:paraId="1C7EC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jc w:val="center"/>
              </w:trPr>
              <w:tc>
                <w:tcPr>
                  <w:tcW w:w="1797" w:type="dxa"/>
                  <w:vAlign w:val="center"/>
                </w:tcPr>
                <w:p w14:paraId="0930F665">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2</w:t>
                  </w:r>
                </w:p>
              </w:tc>
              <w:tc>
                <w:tcPr>
                  <w:tcW w:w="3330" w:type="dxa"/>
                  <w:vAlign w:val="center"/>
                </w:tcPr>
                <w:p w14:paraId="1BA655A6">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84°04′30.000"</w:t>
                  </w:r>
                </w:p>
              </w:tc>
              <w:tc>
                <w:tcPr>
                  <w:tcW w:w="3432" w:type="dxa"/>
                  <w:vAlign w:val="center"/>
                </w:tcPr>
                <w:p w14:paraId="04988BBE">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36°41′50.000"</w:t>
                  </w:r>
                </w:p>
              </w:tc>
            </w:tr>
            <w:tr w14:paraId="3CF4F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jc w:val="center"/>
              </w:trPr>
              <w:tc>
                <w:tcPr>
                  <w:tcW w:w="1797" w:type="dxa"/>
                  <w:vAlign w:val="center"/>
                </w:tcPr>
                <w:p w14:paraId="50B35B8B">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3</w:t>
                  </w:r>
                </w:p>
              </w:tc>
              <w:tc>
                <w:tcPr>
                  <w:tcW w:w="3330" w:type="dxa"/>
                  <w:vAlign w:val="center"/>
                </w:tcPr>
                <w:p w14:paraId="19EAA9AB">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84°11′50.000"</w:t>
                  </w:r>
                </w:p>
              </w:tc>
              <w:tc>
                <w:tcPr>
                  <w:tcW w:w="3432" w:type="dxa"/>
                  <w:vAlign w:val="center"/>
                </w:tcPr>
                <w:p w14:paraId="24CB72C6">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36°41′50.000"</w:t>
                  </w:r>
                </w:p>
              </w:tc>
            </w:tr>
            <w:tr w14:paraId="4FF10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jc w:val="center"/>
              </w:trPr>
              <w:tc>
                <w:tcPr>
                  <w:tcW w:w="1797" w:type="dxa"/>
                  <w:vAlign w:val="center"/>
                </w:tcPr>
                <w:p w14:paraId="0A355619">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4</w:t>
                  </w:r>
                </w:p>
              </w:tc>
              <w:tc>
                <w:tcPr>
                  <w:tcW w:w="3330" w:type="dxa"/>
                  <w:vAlign w:val="center"/>
                </w:tcPr>
                <w:p w14:paraId="0AE56436">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84°11′50.000"</w:t>
                  </w:r>
                </w:p>
              </w:tc>
              <w:tc>
                <w:tcPr>
                  <w:tcW w:w="3432" w:type="dxa"/>
                  <w:vAlign w:val="center"/>
                </w:tcPr>
                <w:p w14:paraId="1BE1A8B9">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36°39′20.000"</w:t>
                  </w:r>
                </w:p>
              </w:tc>
            </w:tr>
            <w:tr w14:paraId="2F069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1797" w:type="dxa"/>
                  <w:vAlign w:val="center"/>
                </w:tcPr>
                <w:p w14:paraId="37EF6B3B">
                  <w:pPr>
                    <w:pStyle w:val="21"/>
                    <w:spacing w:before="40" w:line="208" w:lineRule="auto"/>
                    <w:jc w:val="center"/>
                    <w:rPr>
                      <w:rFonts w:hint="default" w:ascii="Times New Roman" w:hAnsi="Times New Roman" w:cs="Times New Roman"/>
                      <w:sz w:val="21"/>
                      <w:szCs w:val="21"/>
                    </w:rPr>
                  </w:pPr>
                  <w:r>
                    <w:rPr>
                      <w:rFonts w:hint="default" w:ascii="Times New Roman" w:hAnsi="Times New Roman" w:cs="Times New Roman"/>
                      <w:spacing w:val="-3"/>
                      <w:sz w:val="21"/>
                      <w:szCs w:val="21"/>
                    </w:rPr>
                    <w:t>面积</w:t>
                  </w:r>
                </w:p>
              </w:tc>
              <w:tc>
                <w:tcPr>
                  <w:tcW w:w="6762" w:type="dxa"/>
                  <w:gridSpan w:val="2"/>
                  <w:vAlign w:val="center"/>
                </w:tcPr>
                <w:p w14:paraId="007B38EA">
                  <w:pPr>
                    <w:pStyle w:val="21"/>
                    <w:spacing w:before="40" w:line="208" w:lineRule="auto"/>
                    <w:jc w:val="center"/>
                    <w:rPr>
                      <w:rFonts w:hint="default" w:ascii="Times New Roman" w:hAnsi="Times New Roman" w:cs="Times New Roman"/>
                      <w:sz w:val="21"/>
                      <w:szCs w:val="21"/>
                    </w:rPr>
                  </w:pPr>
                  <w:r>
                    <w:rPr>
                      <w:rFonts w:hint="default" w:ascii="Times New Roman" w:hAnsi="Times New Roman" w:cs="Times New Roman"/>
                      <w:spacing w:val="6"/>
                      <w:kern w:val="0"/>
                      <w:sz w:val="21"/>
                      <w:szCs w:val="21"/>
                      <w:lang w:val="en-US" w:eastAsia="zh-CN" w:bidi="ar-SA"/>
                    </w:rPr>
                    <w:t>50.50</w:t>
                  </w:r>
                  <w:r>
                    <w:rPr>
                      <w:rFonts w:hint="default" w:ascii="Times New Roman" w:hAnsi="Times New Roman" w:eastAsia="宋体" w:cs="Times New Roman"/>
                      <w:spacing w:val="6"/>
                      <w:kern w:val="0"/>
                      <w:sz w:val="21"/>
                      <w:szCs w:val="21"/>
                      <w:lang w:val="en-US" w:eastAsia="zh-CN" w:bidi="ar-SA"/>
                    </w:rPr>
                    <w:t>km</w:t>
                  </w:r>
                  <w:r>
                    <w:rPr>
                      <w:rFonts w:hint="default" w:ascii="Times New Roman" w:hAnsi="Times New Roman" w:eastAsia="宋体" w:cs="Times New Roman"/>
                      <w:spacing w:val="6"/>
                      <w:kern w:val="0"/>
                      <w:sz w:val="21"/>
                      <w:szCs w:val="21"/>
                      <w:vertAlign w:val="superscript"/>
                      <w:lang w:val="en-US" w:eastAsia="zh-CN" w:bidi="ar-SA"/>
                    </w:rPr>
                    <w:t>2</w:t>
                  </w:r>
                </w:p>
              </w:tc>
            </w:tr>
          </w:tbl>
          <w:p w14:paraId="2402595D">
            <w:pPr>
              <w:pStyle w:val="21"/>
              <w:numPr>
                <w:ilvl w:val="0"/>
                <w:numId w:val="0"/>
              </w:numPr>
              <w:spacing w:before="56" w:line="360" w:lineRule="auto"/>
              <w:outlineLvl w:val="1"/>
              <w:rPr>
                <w:rFonts w:hint="default" w:ascii="Times New Roman" w:hAnsi="Times New Roman" w:eastAsia="宋体" w:cs="Times New Roman"/>
                <w:b/>
                <w:bCs/>
                <w:spacing w:val="-4"/>
                <w:kern w:val="2"/>
                <w:sz w:val="24"/>
                <w:szCs w:val="24"/>
                <w:lang w:val="en-US" w:eastAsia="zh-CN" w:bidi="ar-SA"/>
              </w:rPr>
            </w:pPr>
            <w:r>
              <w:rPr>
                <w:rFonts w:hint="default" w:ascii="Times New Roman" w:hAnsi="Times New Roman" w:cs="Times New Roman"/>
                <w:b/>
                <w:bCs/>
                <w:spacing w:val="-4"/>
                <w:kern w:val="2"/>
                <w:sz w:val="24"/>
                <w:szCs w:val="24"/>
                <w:lang w:val="en-US" w:eastAsia="zh-CN" w:bidi="ar-SA"/>
              </w:rPr>
              <w:t>2.</w:t>
            </w:r>
            <w:r>
              <w:rPr>
                <w:rFonts w:hint="default" w:ascii="Times New Roman" w:hAnsi="Times New Roman" w:eastAsia="宋体" w:cs="Times New Roman"/>
                <w:b/>
                <w:bCs/>
                <w:spacing w:val="-4"/>
                <w:kern w:val="2"/>
                <w:sz w:val="24"/>
                <w:szCs w:val="24"/>
                <w:lang w:val="en-US" w:eastAsia="zh-CN" w:bidi="ar-SA"/>
              </w:rPr>
              <w:t>施工布置</w:t>
            </w:r>
          </w:p>
          <w:p w14:paraId="764E5833">
            <w:pPr>
              <w:pStyle w:val="20"/>
              <w:numPr>
                <w:ilvl w:val="0"/>
                <w:numId w:val="0"/>
              </w:numPr>
              <w:ind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（1）</w:t>
            </w:r>
            <w:r>
              <w:rPr>
                <w:rFonts w:hint="default" w:ascii="Times New Roman" w:hAnsi="Times New Roman" w:cs="Times New Roman"/>
                <w:lang w:val="en-US" w:eastAsia="zh-CN"/>
              </w:rPr>
              <w:t>施工交通</w:t>
            </w:r>
          </w:p>
          <w:p w14:paraId="06899AE1">
            <w:pPr>
              <w:pStyle w:val="20"/>
              <w:ind w:firstLine="48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矿区内部有已建道路，可以满足本项目探矿需要，无需新建道路；沿216国道可到达勘查区北部山前坎土块一带，后有简易砂石路可到达勘查区，运距</w:t>
            </w:r>
            <w:r>
              <w:rPr>
                <w:rFonts w:hint="default" w:ascii="Times New Roman" w:hAnsi="Times New Roman" w:cs="Times New Roman"/>
                <w:highlight w:val="none"/>
                <w:lang w:val="en-US" w:eastAsia="zh-CN"/>
              </w:rPr>
              <w:t>3.9</w:t>
            </w:r>
            <w:r>
              <w:rPr>
                <w:rFonts w:hint="default" w:ascii="Times New Roman" w:hAnsi="Times New Roman" w:eastAsia="宋体" w:cs="Times New Roman"/>
                <w:highlight w:val="none"/>
                <w:lang w:val="en-US" w:eastAsia="zh-CN"/>
              </w:rPr>
              <w:t>k</w:t>
            </w:r>
            <w:r>
              <w:rPr>
                <w:rFonts w:hint="default" w:ascii="Times New Roman" w:hAnsi="Times New Roman" w:eastAsia="宋体" w:cs="Times New Roman"/>
                <w:lang w:val="en-US" w:eastAsia="zh-CN"/>
              </w:rPr>
              <w:t>m。</w:t>
            </w:r>
          </w:p>
          <w:tbl>
            <w:tblPr>
              <w:tblStyle w:val="1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9"/>
              <w:gridCol w:w="4480"/>
            </w:tblGrid>
            <w:tr w14:paraId="7D9E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4" w:hRule="atLeast"/>
                <w:jc w:val="center"/>
              </w:trPr>
              <w:tc>
                <w:tcPr>
                  <w:tcW w:w="4479" w:type="dxa"/>
                </w:tcPr>
                <w:p w14:paraId="303844FF">
                  <w:pPr>
                    <w:pStyle w:val="13"/>
                    <w:keepNext w:val="0"/>
                    <w:keepLines w:val="0"/>
                    <w:widowControl/>
                    <w:suppressLineNumbers w:val="0"/>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drawing>
                      <wp:inline distT="0" distB="0" distL="114300" distR="114300">
                        <wp:extent cx="2656205" cy="2481580"/>
                        <wp:effectExtent l="0" t="0" r="10795" b="13970"/>
                        <wp:docPr id="2" name="图片 2" descr="4c950972de7d2e491795a38e9b08f6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950972de7d2e491795a38e9b08f6ab"/>
                                <pic:cNvPicPr>
                                  <a:picLocks noChangeAspect="1"/>
                                </pic:cNvPicPr>
                              </pic:nvPicPr>
                              <pic:blipFill>
                                <a:blip r:embed="rId10"/>
                                <a:stretch>
                                  <a:fillRect/>
                                </a:stretch>
                              </pic:blipFill>
                              <pic:spPr>
                                <a:xfrm>
                                  <a:off x="0" y="0"/>
                                  <a:ext cx="2656205" cy="2481580"/>
                                </a:xfrm>
                                <a:prstGeom prst="rect">
                                  <a:avLst/>
                                </a:prstGeom>
                              </pic:spPr>
                            </pic:pic>
                          </a:graphicData>
                        </a:graphic>
                      </wp:inline>
                    </w:drawing>
                  </w:r>
                </w:p>
              </w:tc>
              <w:tc>
                <w:tcPr>
                  <w:tcW w:w="4480" w:type="dxa"/>
                </w:tcPr>
                <w:p w14:paraId="74FF843C">
                  <w:pPr>
                    <w:pStyle w:val="20"/>
                    <w:spacing w:line="240" w:lineRule="auto"/>
                    <w:ind w:left="0" w:leftChars="0" w:firstLine="0" w:firstLineChars="0"/>
                    <w:rPr>
                      <w:rFonts w:hint="default" w:ascii="Times New Roman" w:hAnsi="Times New Roman" w:cs="Times New Roman"/>
                      <w:vertAlign w:val="baseline"/>
                      <w:lang w:val="en-US" w:eastAsia="zh-CN"/>
                    </w:rPr>
                  </w:pPr>
                  <w:r>
                    <w:rPr>
                      <w:rFonts w:hint="default" w:ascii="Times New Roman" w:hAnsi="Times New Roman" w:cs="Times New Roman"/>
                    </w:rPr>
                    <w:drawing>
                      <wp:inline distT="0" distB="0" distL="114300" distR="114300">
                        <wp:extent cx="2701290" cy="2421890"/>
                        <wp:effectExtent l="0" t="0" r="381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2701290" cy="2421890"/>
                                </a:xfrm>
                                <a:prstGeom prst="rect">
                                  <a:avLst/>
                                </a:prstGeom>
                                <a:noFill/>
                                <a:ln>
                                  <a:noFill/>
                                </a:ln>
                              </pic:spPr>
                            </pic:pic>
                          </a:graphicData>
                        </a:graphic>
                      </wp:inline>
                    </w:drawing>
                  </w:r>
                </w:p>
              </w:tc>
            </w:tr>
            <w:tr w14:paraId="303F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479" w:type="dxa"/>
                </w:tcPr>
                <w:p w14:paraId="261C1110">
                  <w:pPr>
                    <w:pStyle w:val="20"/>
                    <w:spacing w:line="240" w:lineRule="auto"/>
                    <w:ind w:left="0" w:leftChars="0" w:firstLine="0" w:firstLineChars="0"/>
                    <w:jc w:val="center"/>
                    <w:rPr>
                      <w:rFonts w:hint="default" w:ascii="Times New Roman" w:hAnsi="Times New Roman" w:cs="Times New Roman"/>
                      <w:vertAlign w:val="baseline"/>
                      <w:lang w:val="en-US" w:eastAsia="zh-CN"/>
                    </w:rPr>
                  </w:pPr>
                  <w:r>
                    <w:rPr>
                      <w:rFonts w:hint="default" w:ascii="Times New Roman" w:hAnsi="Times New Roman" w:cs="Times New Roman"/>
                      <w:sz w:val="21"/>
                      <w:szCs w:val="21"/>
                      <w:vertAlign w:val="baseline"/>
                      <w:lang w:val="en-US" w:eastAsia="zh-CN"/>
                    </w:rPr>
                    <w:t>矿区内道路</w:t>
                  </w:r>
                </w:p>
              </w:tc>
              <w:tc>
                <w:tcPr>
                  <w:tcW w:w="4480" w:type="dxa"/>
                </w:tcPr>
                <w:p w14:paraId="51D76E3E">
                  <w:pPr>
                    <w:pStyle w:val="20"/>
                    <w:spacing w:line="240" w:lineRule="auto"/>
                    <w:ind w:left="0" w:leftChars="0" w:firstLine="0" w:firstLineChars="0"/>
                    <w:jc w:val="center"/>
                    <w:rPr>
                      <w:rFonts w:hint="default" w:ascii="Times New Roman" w:hAnsi="Times New Roman" w:cs="Times New Roman"/>
                      <w:vertAlign w:val="baseline"/>
                      <w:lang w:val="en-US" w:eastAsia="zh-CN"/>
                    </w:rPr>
                  </w:pPr>
                  <w:r>
                    <w:rPr>
                      <w:rFonts w:hint="default" w:ascii="Times New Roman" w:hAnsi="Times New Roman" w:cs="Times New Roman"/>
                      <w:sz w:val="21"/>
                      <w:szCs w:val="21"/>
                      <w:vertAlign w:val="baseline"/>
                      <w:lang w:val="en-US" w:eastAsia="zh-CN"/>
                    </w:rPr>
                    <w:t>矿区外道路</w:t>
                  </w:r>
                </w:p>
              </w:tc>
            </w:tr>
          </w:tbl>
          <w:p w14:paraId="17C31CE1">
            <w:pPr>
              <w:keepNext/>
              <w:keepLines/>
              <w:widowControl/>
              <w:adjustRightInd w:val="0"/>
              <w:snapToGrid w:val="0"/>
              <w:spacing w:line="480" w:lineRule="exact"/>
              <w:jc w:val="center"/>
              <w:outlineLvl w:val="2"/>
              <w:rPr>
                <w:rFonts w:hint="default" w:ascii="Times New Roman" w:hAnsi="Times New Roman" w:cs="Times New Roman"/>
                <w:b/>
                <w:color w:val="000000"/>
                <w:kern w:val="0"/>
                <w:sz w:val="21"/>
                <w:szCs w:val="21"/>
                <w:highlight w:val="none"/>
                <w:lang w:val="en-US" w:eastAsia="zh-CN"/>
              </w:rPr>
            </w:pPr>
            <w:r>
              <w:rPr>
                <w:rFonts w:hint="default" w:ascii="Times New Roman" w:hAnsi="Times New Roman" w:cs="Times New Roman"/>
                <w:b/>
                <w:color w:val="000000"/>
                <w:kern w:val="0"/>
                <w:sz w:val="21"/>
                <w:szCs w:val="21"/>
                <w:highlight w:val="none"/>
                <w:lang w:val="en-US" w:eastAsia="zh-CN"/>
              </w:rPr>
              <w:t>图2-3施工交通图</w:t>
            </w:r>
          </w:p>
          <w:p w14:paraId="79B8107E">
            <w:pPr>
              <w:pStyle w:val="20"/>
              <w:numPr>
                <w:ilvl w:val="0"/>
                <w:numId w:val="0"/>
              </w:numPr>
              <w:ind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（2）</w:t>
            </w:r>
            <w:r>
              <w:rPr>
                <w:rFonts w:hint="default" w:ascii="Times New Roman" w:hAnsi="Times New Roman" w:cs="Times New Roman"/>
                <w:lang w:val="en-US" w:eastAsia="zh-CN"/>
              </w:rPr>
              <w:t>施工用水</w:t>
            </w:r>
          </w:p>
          <w:p w14:paraId="6C0D201B">
            <w:pPr>
              <w:pStyle w:val="20"/>
              <w:ind w:firstLine="480"/>
              <w:rPr>
                <w:rFonts w:hint="default" w:ascii="Times New Roman" w:hAnsi="Times New Roman" w:eastAsia="宋体" w:cs="Times New Roman"/>
                <w:lang w:val="en-US" w:eastAsia="zh-CN"/>
              </w:rPr>
            </w:pPr>
            <w:r>
              <w:rPr>
                <w:rFonts w:hint="default" w:ascii="Times New Roman" w:hAnsi="Times New Roman" w:cs="Times New Roman"/>
                <w:highlight w:val="none"/>
                <w:lang w:val="en-US" w:eastAsia="zh-CN"/>
              </w:rPr>
              <w:t>本项目生产用水和生活用水少量取自勘查区</w:t>
            </w:r>
            <w:r>
              <w:rPr>
                <w:rFonts w:hint="eastAsia" w:ascii="Times New Roman" w:hAnsi="Times New Roman" w:cs="Times New Roman"/>
                <w:highlight w:val="none"/>
                <w:lang w:val="en-US" w:eastAsia="zh-CN"/>
              </w:rPr>
              <w:t>内</w:t>
            </w:r>
            <w:r>
              <w:rPr>
                <w:rFonts w:hint="default" w:ascii="Times New Roman" w:hAnsi="Times New Roman" w:cs="Times New Roman"/>
                <w:highlight w:val="none"/>
                <w:lang w:val="en-US" w:eastAsia="zh-CN"/>
              </w:rPr>
              <w:t>的博斯坦托格拉克河（季节性河流，河流走向为西北至东南），取水用于钻探配制、抑尘及生活营地，不设永久泵站/不筑坝；施工期尽量利用拉水罐车从合法取水点补给；若地方水行政主管部门对临时取水另有登记/报备要求，建设单位承诺开工前完成相关手续。</w:t>
            </w:r>
          </w:p>
          <w:p w14:paraId="3D759B1C">
            <w:pPr>
              <w:pStyle w:val="20"/>
              <w:numPr>
                <w:ilvl w:val="0"/>
                <w:numId w:val="0"/>
              </w:numPr>
              <w:ind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（3）</w:t>
            </w:r>
            <w:r>
              <w:rPr>
                <w:rFonts w:hint="default" w:ascii="Times New Roman" w:hAnsi="Times New Roman" w:cs="Times New Roman"/>
                <w:lang w:val="en-US" w:eastAsia="zh-CN"/>
              </w:rPr>
              <w:t>施工用电</w:t>
            </w:r>
          </w:p>
          <w:p w14:paraId="070A67E3">
            <w:pPr>
              <w:pStyle w:val="20"/>
              <w:ind w:firstLine="48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设置两台大功率柴油发电机，提供生活和生产用电；项目自备油罐车从</w:t>
            </w:r>
            <w:r>
              <w:rPr>
                <w:rFonts w:hint="default" w:ascii="Times New Roman" w:hAnsi="Times New Roman" w:cs="Times New Roman"/>
                <w:lang w:val="en-US" w:eastAsia="zh-CN"/>
              </w:rPr>
              <w:t>民丰</w:t>
            </w:r>
            <w:r>
              <w:rPr>
                <w:rFonts w:hint="default" w:ascii="Times New Roman" w:hAnsi="Times New Roman" w:eastAsia="宋体" w:cs="Times New Roman"/>
                <w:lang w:val="en-US" w:eastAsia="zh-CN"/>
              </w:rPr>
              <w:t>县拉运柴油，运距</w:t>
            </w:r>
            <w:r>
              <w:rPr>
                <w:rFonts w:hint="default" w:ascii="Times New Roman" w:hAnsi="Times New Roman" w:cs="Times New Roman"/>
                <w:lang w:val="en-US" w:eastAsia="zh-CN"/>
              </w:rPr>
              <w:t>180</w:t>
            </w:r>
            <w:r>
              <w:rPr>
                <w:rFonts w:hint="default" w:ascii="Times New Roman" w:hAnsi="Times New Roman" w:eastAsia="宋体" w:cs="Times New Roman"/>
                <w:lang w:val="en-US" w:eastAsia="zh-CN"/>
              </w:rPr>
              <w:t>km，用于施工机械设备使用。</w:t>
            </w:r>
          </w:p>
          <w:p w14:paraId="03D013D7">
            <w:pPr>
              <w:pStyle w:val="20"/>
              <w:numPr>
                <w:ilvl w:val="0"/>
                <w:numId w:val="0"/>
              </w:numPr>
              <w:ind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（4）</w:t>
            </w:r>
            <w:r>
              <w:rPr>
                <w:rFonts w:hint="default" w:ascii="Times New Roman" w:hAnsi="Times New Roman" w:cs="Times New Roman"/>
                <w:lang w:val="en-US" w:eastAsia="zh-CN"/>
              </w:rPr>
              <w:t>生活营地设置</w:t>
            </w:r>
          </w:p>
          <w:p w14:paraId="45AA32E8">
            <w:pPr>
              <w:pStyle w:val="20"/>
              <w:ind w:firstLine="48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本项目在勘探区西</w:t>
            </w:r>
            <w:r>
              <w:rPr>
                <w:rFonts w:hint="default" w:ascii="Times New Roman" w:hAnsi="Times New Roman" w:cs="Times New Roman"/>
                <w:lang w:val="en-US" w:eastAsia="zh-CN"/>
              </w:rPr>
              <w:t>北</w:t>
            </w:r>
            <w:r>
              <w:rPr>
                <w:rFonts w:hint="eastAsia" w:ascii="Times New Roman" w:hAnsi="Times New Roman" w:cs="Times New Roman"/>
                <w:lang w:val="en-US" w:eastAsia="zh-CN"/>
              </w:rPr>
              <w:t>角</w:t>
            </w:r>
            <w:r>
              <w:rPr>
                <w:rFonts w:hint="default" w:ascii="Times New Roman" w:hAnsi="Times New Roman" w:eastAsia="宋体" w:cs="Times New Roman"/>
                <w:lang w:val="en-US" w:eastAsia="zh-CN"/>
              </w:rPr>
              <w:t>搭建</w:t>
            </w:r>
            <w:r>
              <w:rPr>
                <w:rFonts w:hint="eastAsia" w:ascii="Times New Roman" w:hAnsi="Times New Roman" w:cs="Times New Roman"/>
                <w:lang w:val="en-US" w:eastAsia="zh-CN"/>
              </w:rPr>
              <w:t>帐篷</w:t>
            </w:r>
            <w:r>
              <w:rPr>
                <w:rFonts w:hint="default" w:ascii="Times New Roman" w:hAnsi="Times New Roman" w:eastAsia="宋体" w:cs="Times New Roman"/>
                <w:lang w:val="en-US" w:eastAsia="zh-CN"/>
              </w:rPr>
              <w:t>，设置办公生活营地</w:t>
            </w:r>
            <w:r>
              <w:rPr>
                <w:rFonts w:hint="default" w:ascii="Times New Roman" w:hAnsi="Times New Roman" w:cs="Times New Roman"/>
                <w:lang w:val="en-US" w:eastAsia="zh-CN"/>
              </w:rPr>
              <w:t>。</w:t>
            </w:r>
          </w:p>
          <w:p w14:paraId="52862445">
            <w:pPr>
              <w:pStyle w:val="20"/>
              <w:numPr>
                <w:ilvl w:val="0"/>
                <w:numId w:val="0"/>
              </w:numPr>
              <w:ind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（5）</w:t>
            </w:r>
            <w:r>
              <w:rPr>
                <w:rFonts w:hint="default" w:ascii="Times New Roman" w:hAnsi="Times New Roman" w:cs="Times New Roman"/>
                <w:lang w:val="en-US" w:eastAsia="zh-CN"/>
              </w:rPr>
              <w:t>临时堆放场</w:t>
            </w:r>
          </w:p>
          <w:p w14:paraId="6605C528">
            <w:pPr>
              <w:pStyle w:val="20"/>
              <w:ind w:firstLine="480"/>
              <w:rPr>
                <w:rFonts w:hint="default" w:ascii="Times New Roman" w:hAnsi="Times New Roman" w:eastAsia="宋体" w:cs="Times New Roman"/>
                <w:color w:val="FF0000"/>
              </w:rPr>
            </w:pPr>
            <w:r>
              <w:rPr>
                <w:rFonts w:hint="default" w:ascii="Times New Roman" w:hAnsi="Times New Roman" w:cs="Times New Roman"/>
                <w:highlight w:val="none"/>
                <w:lang w:val="en-US" w:eastAsia="zh-CN"/>
              </w:rPr>
              <w:t>在</w:t>
            </w:r>
            <w:r>
              <w:rPr>
                <w:rFonts w:hint="default" w:ascii="Times New Roman" w:hAnsi="Times New Roman" w:eastAsia="宋体" w:cs="Times New Roman"/>
                <w:spacing w:val="9"/>
                <w:sz w:val="24"/>
                <w:szCs w:val="24"/>
                <w:lang w:eastAsia="zh-CN"/>
              </w:rPr>
              <w:t>TC</w:t>
            </w:r>
            <w:r>
              <w:rPr>
                <w:rFonts w:hint="default" w:ascii="Times New Roman" w:hAnsi="Times New Roman" w:cs="Times New Roman"/>
                <w:spacing w:val="9"/>
                <w:sz w:val="24"/>
                <w:szCs w:val="24"/>
                <w:lang w:val="en-US" w:eastAsia="zh-CN"/>
              </w:rPr>
              <w:t>0-1</w:t>
            </w:r>
            <w:r>
              <w:rPr>
                <w:rFonts w:hint="default" w:ascii="Times New Roman" w:hAnsi="Times New Roman" w:eastAsia="宋体" w:cs="Times New Roman"/>
                <w:spacing w:val="9"/>
                <w:sz w:val="24"/>
                <w:szCs w:val="24"/>
                <w:lang w:eastAsia="zh-CN"/>
              </w:rPr>
              <w:t>、TC</w:t>
            </w:r>
            <w:r>
              <w:rPr>
                <w:rFonts w:hint="default" w:ascii="Times New Roman" w:hAnsi="Times New Roman" w:cs="Times New Roman"/>
                <w:spacing w:val="9"/>
                <w:sz w:val="24"/>
                <w:szCs w:val="24"/>
                <w:lang w:val="en-US" w:eastAsia="zh-CN"/>
              </w:rPr>
              <w:t>15-1</w:t>
            </w:r>
            <w:r>
              <w:rPr>
                <w:rFonts w:hint="default" w:ascii="Times New Roman" w:hAnsi="Times New Roman" w:eastAsia="宋体" w:cs="Times New Roman"/>
                <w:spacing w:val="9"/>
                <w:sz w:val="24"/>
                <w:szCs w:val="24"/>
                <w:lang w:eastAsia="zh-CN"/>
              </w:rPr>
              <w:t>、TC</w:t>
            </w:r>
            <w:r>
              <w:rPr>
                <w:rFonts w:hint="default" w:ascii="Times New Roman" w:hAnsi="Times New Roman" w:cs="Times New Roman"/>
                <w:spacing w:val="9"/>
                <w:sz w:val="24"/>
                <w:szCs w:val="24"/>
                <w:lang w:val="en-US" w:eastAsia="zh-CN"/>
              </w:rPr>
              <w:t>7-1、</w:t>
            </w:r>
            <w:r>
              <w:rPr>
                <w:rFonts w:hint="default" w:ascii="Times New Roman" w:hAnsi="Times New Roman" w:eastAsia="宋体" w:cs="Times New Roman"/>
                <w:spacing w:val="9"/>
                <w:sz w:val="24"/>
                <w:szCs w:val="24"/>
                <w:lang w:eastAsia="zh-CN"/>
              </w:rPr>
              <w:t>TC</w:t>
            </w:r>
            <w:r>
              <w:rPr>
                <w:rFonts w:hint="default" w:ascii="Times New Roman" w:hAnsi="Times New Roman" w:cs="Times New Roman"/>
                <w:spacing w:val="9"/>
                <w:sz w:val="24"/>
                <w:szCs w:val="24"/>
                <w:lang w:val="en-US" w:eastAsia="zh-CN"/>
              </w:rPr>
              <w:t>8-1</w:t>
            </w:r>
            <w:r>
              <w:rPr>
                <w:rFonts w:hint="default" w:ascii="Times New Roman" w:hAnsi="Times New Roman" w:cs="Times New Roman"/>
                <w:highlight w:val="none"/>
                <w:lang w:val="en-US" w:eastAsia="zh-CN"/>
              </w:rPr>
              <w:t>探槽旁各</w:t>
            </w:r>
            <w:r>
              <w:rPr>
                <w:rFonts w:hint="default" w:ascii="Times New Roman" w:hAnsi="Times New Roman" w:eastAsia="宋体" w:cs="Times New Roman"/>
                <w:highlight w:val="none"/>
              </w:rPr>
              <w:t>设置一个</w:t>
            </w:r>
            <w:r>
              <w:rPr>
                <w:rFonts w:hint="default" w:ascii="Times New Roman" w:hAnsi="Times New Roman" w:cs="Times New Roman"/>
                <w:spacing w:val="6"/>
                <w:sz w:val="24"/>
                <w:szCs w:val="24"/>
                <w:highlight w:val="none"/>
                <w:lang w:val="en-US" w:eastAsia="zh-CN"/>
              </w:rPr>
              <w:t>200m</w:t>
            </w:r>
            <w:r>
              <w:rPr>
                <w:rFonts w:hint="default" w:ascii="Times New Roman" w:hAnsi="Times New Roman" w:cs="Times New Roman"/>
                <w:spacing w:val="6"/>
                <w:sz w:val="24"/>
                <w:szCs w:val="24"/>
                <w:highlight w:val="none"/>
                <w:vertAlign w:val="superscript"/>
                <w:lang w:val="en-US" w:eastAsia="zh-CN"/>
              </w:rPr>
              <w:t>2</w:t>
            </w:r>
            <w:r>
              <w:rPr>
                <w:rFonts w:hint="default" w:ascii="Times New Roman" w:hAnsi="Times New Roman" w:cs="Times New Roman"/>
                <w:spacing w:val="6"/>
                <w:sz w:val="24"/>
                <w:szCs w:val="24"/>
                <w:highlight w:val="none"/>
                <w:vertAlign w:val="baseline"/>
                <w:lang w:val="en-US" w:eastAsia="zh-CN"/>
              </w:rPr>
              <w:t>的</w:t>
            </w:r>
            <w:r>
              <w:rPr>
                <w:rFonts w:hint="default" w:ascii="Times New Roman" w:hAnsi="Times New Roman" w:eastAsia="宋体" w:cs="Times New Roman"/>
                <w:highlight w:val="none"/>
              </w:rPr>
              <w:t>临时堆</w:t>
            </w:r>
            <w:r>
              <w:rPr>
                <w:rFonts w:hint="default" w:ascii="Times New Roman" w:hAnsi="Times New Roman" w:cs="Times New Roman"/>
                <w:highlight w:val="none"/>
                <w:lang w:val="en-US" w:eastAsia="zh-CN"/>
              </w:rPr>
              <w:t>放</w:t>
            </w:r>
            <w:r>
              <w:rPr>
                <w:rFonts w:hint="default" w:ascii="Times New Roman" w:hAnsi="Times New Roman" w:eastAsia="宋体" w:cs="Times New Roman"/>
                <w:highlight w:val="none"/>
              </w:rPr>
              <w:t>场，用于存放槽探过程挖出的土方</w:t>
            </w:r>
            <w:r>
              <w:rPr>
                <w:rFonts w:hint="default" w:ascii="Times New Roman" w:hAnsi="Times New Roman" w:cs="Times New Roman"/>
                <w:highlight w:val="none"/>
                <w:lang w:val="en-US" w:eastAsia="zh-CN"/>
              </w:rPr>
              <w:t>及废石</w:t>
            </w:r>
            <w:r>
              <w:rPr>
                <w:rFonts w:hint="default" w:ascii="Times New Roman" w:hAnsi="Times New Roman" w:eastAsia="宋体" w:cs="Times New Roman"/>
                <w:highlight w:val="none"/>
              </w:rPr>
              <w:t>，</w:t>
            </w:r>
            <w:r>
              <w:rPr>
                <w:rFonts w:hint="default" w:ascii="Times New Roman" w:hAnsi="Times New Roman" w:cs="Times New Roman"/>
                <w:spacing w:val="6"/>
                <w:sz w:val="24"/>
                <w:szCs w:val="24"/>
                <w:highlight w:val="none"/>
                <w:lang w:val="en-US" w:eastAsia="zh-CN"/>
              </w:rPr>
              <w:t>每个探槽取样</w:t>
            </w:r>
            <w:r>
              <w:rPr>
                <w:rFonts w:hint="default" w:ascii="Times New Roman" w:hAnsi="Times New Roman" w:eastAsia="宋体" w:cs="Times New Roman"/>
                <w:spacing w:val="6"/>
                <w:sz w:val="24"/>
                <w:szCs w:val="24"/>
                <w:highlight w:val="none"/>
              </w:rPr>
              <w:t>结束后</w:t>
            </w:r>
            <w:r>
              <w:rPr>
                <w:rFonts w:hint="default" w:ascii="Times New Roman" w:hAnsi="Times New Roman" w:cs="Times New Roman"/>
                <w:spacing w:val="6"/>
                <w:sz w:val="24"/>
                <w:szCs w:val="24"/>
                <w:highlight w:val="none"/>
                <w:lang w:val="en-US" w:eastAsia="zh-CN"/>
              </w:rPr>
              <w:t>及时进行</w:t>
            </w:r>
            <w:r>
              <w:rPr>
                <w:rFonts w:hint="default" w:ascii="Times New Roman" w:hAnsi="Times New Roman" w:eastAsia="宋体" w:cs="Times New Roman"/>
                <w:spacing w:val="6"/>
                <w:sz w:val="24"/>
                <w:szCs w:val="24"/>
                <w:highlight w:val="none"/>
              </w:rPr>
              <w:t>回填（堆放高度不宜超过</w:t>
            </w:r>
            <w:r>
              <w:rPr>
                <w:rFonts w:hint="default" w:ascii="Times New Roman" w:hAnsi="Times New Roman" w:cs="Times New Roman"/>
                <w:spacing w:val="6"/>
                <w:sz w:val="24"/>
                <w:szCs w:val="24"/>
                <w:highlight w:val="none"/>
                <w:lang w:val="en-US" w:eastAsia="zh-CN"/>
              </w:rPr>
              <w:t>1.5</w:t>
            </w:r>
            <w:r>
              <w:rPr>
                <w:rFonts w:hint="default" w:ascii="Times New Roman" w:hAnsi="Times New Roman" w:eastAsia="宋体" w:cs="Times New Roman"/>
                <w:spacing w:val="6"/>
                <w:sz w:val="24"/>
                <w:szCs w:val="24"/>
                <w:highlight w:val="none"/>
              </w:rPr>
              <w:t>m，确保堆填边坡稳定。探槽上方禁止堆放土石，预防形成</w:t>
            </w:r>
            <w:r>
              <w:rPr>
                <w:rFonts w:hint="default" w:ascii="Times New Roman" w:hAnsi="Times New Roman" w:cs="Times New Roman"/>
                <w:spacing w:val="6"/>
                <w:sz w:val="24"/>
                <w:szCs w:val="24"/>
                <w:highlight w:val="none"/>
                <w:lang w:eastAsia="zh-CN"/>
              </w:rPr>
              <w:t>滑坡</w:t>
            </w:r>
            <w:r>
              <w:rPr>
                <w:rFonts w:hint="default" w:ascii="Times New Roman" w:hAnsi="Times New Roman" w:eastAsia="宋体" w:cs="Times New Roman"/>
                <w:spacing w:val="6"/>
                <w:sz w:val="24"/>
                <w:szCs w:val="24"/>
                <w:highlight w:val="none"/>
              </w:rPr>
              <w:t>或坡面泥石流等次生灾害）</w:t>
            </w:r>
            <w:r>
              <w:rPr>
                <w:rFonts w:hint="default" w:ascii="Times New Roman" w:hAnsi="Times New Roman" w:cs="Times New Roman"/>
                <w:spacing w:val="6"/>
                <w:sz w:val="24"/>
                <w:szCs w:val="24"/>
                <w:highlight w:val="none"/>
                <w:lang w:eastAsia="zh-CN"/>
              </w:rPr>
              <w:t>。</w:t>
            </w:r>
            <w:r>
              <w:rPr>
                <w:rFonts w:hint="default" w:ascii="Times New Roman" w:hAnsi="Times New Roman" w:cs="Times New Roman"/>
                <w:spacing w:val="6"/>
                <w:sz w:val="24"/>
                <w:szCs w:val="24"/>
                <w:highlight w:val="none"/>
                <w:lang w:val="en-US" w:eastAsia="zh-CN"/>
              </w:rPr>
              <w:t>临时堆放场设置环场截水沟，引导雨水扰流，坡脚设置沙袋挡墙，堆放的临时土石方及时用防尘网遮盖。</w:t>
            </w:r>
          </w:p>
        </w:tc>
      </w:tr>
      <w:tr w14:paraId="3BF1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452" w:type="dxa"/>
            <w:vAlign w:val="center"/>
          </w:tcPr>
          <w:p w14:paraId="7ECB6002">
            <w:pPr>
              <w:snapToGrid w:val="0"/>
              <w:spacing w:line="500" w:lineRule="exact"/>
              <w:jc w:val="both"/>
              <w:rPr>
                <w:rFonts w:hint="default" w:ascii="Times New Roman" w:hAnsi="Times New Roman" w:eastAsia="宋体" w:cs="Times New Roman"/>
              </w:rPr>
            </w:pPr>
          </w:p>
          <w:p w14:paraId="7709921E">
            <w:pPr>
              <w:snapToGrid w:val="0"/>
              <w:spacing w:line="500" w:lineRule="exact"/>
              <w:jc w:val="both"/>
              <w:rPr>
                <w:rFonts w:hint="default" w:ascii="Times New Roman" w:hAnsi="Times New Roman" w:eastAsia="宋体" w:cs="Times New Roman"/>
              </w:rPr>
            </w:pPr>
          </w:p>
          <w:p w14:paraId="77BA4237">
            <w:pPr>
              <w:snapToGrid w:val="0"/>
              <w:spacing w:line="500" w:lineRule="exact"/>
              <w:jc w:val="both"/>
              <w:rPr>
                <w:rFonts w:hint="default" w:ascii="Times New Roman" w:hAnsi="Times New Roman" w:eastAsia="宋体" w:cs="Times New Roman"/>
              </w:rPr>
            </w:pPr>
          </w:p>
          <w:p w14:paraId="67F4D14D">
            <w:pPr>
              <w:snapToGrid w:val="0"/>
              <w:spacing w:line="500" w:lineRule="exact"/>
              <w:jc w:val="both"/>
              <w:rPr>
                <w:rFonts w:hint="default" w:ascii="Times New Roman" w:hAnsi="Times New Roman" w:eastAsia="宋体" w:cs="Times New Roman"/>
              </w:rPr>
            </w:pPr>
          </w:p>
          <w:p w14:paraId="1A35AE57">
            <w:pPr>
              <w:snapToGrid w:val="0"/>
              <w:spacing w:line="500" w:lineRule="exact"/>
              <w:jc w:val="both"/>
              <w:rPr>
                <w:rFonts w:hint="default" w:ascii="Times New Roman" w:hAnsi="Times New Roman" w:eastAsia="宋体" w:cs="Times New Roman"/>
              </w:rPr>
            </w:pPr>
          </w:p>
          <w:p w14:paraId="67C9AC51">
            <w:pPr>
              <w:snapToGrid w:val="0"/>
              <w:spacing w:line="500" w:lineRule="exact"/>
              <w:jc w:val="both"/>
              <w:rPr>
                <w:rFonts w:hint="default" w:ascii="Times New Roman" w:hAnsi="Times New Roman" w:eastAsia="宋体" w:cs="Times New Roman"/>
              </w:rPr>
            </w:pPr>
          </w:p>
          <w:p w14:paraId="49C1F808">
            <w:pPr>
              <w:snapToGrid w:val="0"/>
              <w:spacing w:line="500" w:lineRule="exact"/>
              <w:jc w:val="both"/>
              <w:rPr>
                <w:rFonts w:hint="default" w:ascii="Times New Roman" w:hAnsi="Times New Roman" w:eastAsia="宋体" w:cs="Times New Roman"/>
              </w:rPr>
            </w:pPr>
          </w:p>
          <w:p w14:paraId="054D06C7">
            <w:pPr>
              <w:snapToGrid w:val="0"/>
              <w:spacing w:line="500" w:lineRule="exact"/>
              <w:jc w:val="both"/>
              <w:rPr>
                <w:rFonts w:hint="default" w:ascii="Times New Roman" w:hAnsi="Times New Roman" w:eastAsia="宋体" w:cs="Times New Roman"/>
              </w:rPr>
            </w:pPr>
          </w:p>
          <w:p w14:paraId="5D6F00DA">
            <w:pPr>
              <w:snapToGrid w:val="0"/>
              <w:spacing w:line="500" w:lineRule="exact"/>
              <w:jc w:val="both"/>
              <w:rPr>
                <w:rFonts w:hint="default" w:ascii="Times New Roman" w:hAnsi="Times New Roman" w:eastAsia="宋体" w:cs="Times New Roman"/>
              </w:rPr>
            </w:pPr>
          </w:p>
          <w:p w14:paraId="51C54CFE">
            <w:pPr>
              <w:snapToGrid w:val="0"/>
              <w:spacing w:line="500" w:lineRule="exact"/>
              <w:jc w:val="both"/>
              <w:rPr>
                <w:rFonts w:hint="default" w:ascii="Times New Roman" w:hAnsi="Times New Roman" w:eastAsia="宋体" w:cs="Times New Roman"/>
              </w:rPr>
            </w:pPr>
          </w:p>
          <w:p w14:paraId="3EB1930C">
            <w:pPr>
              <w:snapToGrid w:val="0"/>
              <w:spacing w:line="500" w:lineRule="exact"/>
              <w:jc w:val="both"/>
              <w:rPr>
                <w:rFonts w:hint="default" w:ascii="Times New Roman" w:hAnsi="Times New Roman" w:eastAsia="宋体" w:cs="Times New Roman"/>
              </w:rPr>
            </w:pPr>
            <w:r>
              <w:rPr>
                <w:rFonts w:hint="default" w:ascii="Times New Roman" w:hAnsi="Times New Roman" w:eastAsia="宋体" w:cs="Times New Roman"/>
              </w:rPr>
              <w:t>施工方案</w:t>
            </w:r>
          </w:p>
        </w:tc>
        <w:tc>
          <w:tcPr>
            <w:tcW w:w="9238" w:type="dxa"/>
          </w:tcPr>
          <w:p w14:paraId="726F3272">
            <w:pPr>
              <w:snapToGrid w:val="0"/>
              <w:spacing w:line="500" w:lineRule="exact"/>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1.地质测量</w:t>
            </w:r>
          </w:p>
          <w:p w14:paraId="5D582D68">
            <w:pPr>
              <w:snapToGrid w:val="0"/>
              <w:spacing w:line="500" w:lineRule="exact"/>
              <w:rPr>
                <w:rFonts w:hint="default" w:ascii="Times New Roman" w:hAnsi="Times New Roman" w:cs="Times New Roman"/>
                <w:vertAlign w:val="superscript"/>
                <w:lang w:val="en-US" w:eastAsia="zh-CN"/>
              </w:rPr>
            </w:pPr>
            <w:r>
              <w:rPr>
                <w:rFonts w:hint="default" w:ascii="Times New Roman" w:hAnsi="Times New Roman" w:cs="Times New Roman"/>
                <w:b w:val="0"/>
                <w:bCs w:val="0"/>
                <w:lang w:val="en-US" w:eastAsia="zh-CN"/>
              </w:rPr>
              <w:t>（1）</w:t>
            </w:r>
            <w:r>
              <w:rPr>
                <w:rFonts w:hint="default" w:ascii="Times New Roman" w:hAnsi="Times New Roman" w:cs="Times New Roman"/>
                <w:lang w:eastAsia="zh-CN"/>
              </w:rPr>
              <w:t>1:1万地质草测50.50</w:t>
            </w:r>
            <w:r>
              <w:rPr>
                <w:rFonts w:hint="default" w:ascii="Times New Roman" w:hAnsi="Times New Roman" w:eastAsia="宋体" w:cs="Times New Roman"/>
                <w:lang w:eastAsia="zh-CN"/>
              </w:rPr>
              <w:t>km</w:t>
            </w:r>
            <w:r>
              <w:rPr>
                <w:rFonts w:hint="default" w:ascii="Times New Roman" w:hAnsi="Times New Roman" w:cs="Times New Roman"/>
                <w:vertAlign w:val="superscript"/>
                <w:lang w:val="en-US" w:eastAsia="zh-CN"/>
              </w:rPr>
              <w:t>2</w:t>
            </w:r>
          </w:p>
          <w:p w14:paraId="3E06B980">
            <w:pPr>
              <w:snapToGrid w:val="0"/>
              <w:spacing w:line="500" w:lineRule="exact"/>
              <w:ind w:firstLine="480" w:firstLineChars="200"/>
              <w:rPr>
                <w:rFonts w:hint="default" w:ascii="Times New Roman" w:hAnsi="Times New Roman" w:eastAsia="宋体" w:cs="Times New Roman"/>
                <w:b w:val="0"/>
                <w:bCs w:val="0"/>
                <w:lang w:val="en-US" w:eastAsia="zh-CN"/>
              </w:rPr>
            </w:pPr>
            <w:r>
              <w:rPr>
                <w:rFonts w:hint="default" w:ascii="Times New Roman" w:hAnsi="Times New Roman" w:eastAsia="宋体" w:cs="Times New Roman"/>
                <w:b w:val="0"/>
                <w:bCs w:val="0"/>
                <w:lang w:val="en-US" w:eastAsia="zh-CN"/>
              </w:rPr>
              <w:t>在探矿权范围内开展</w:t>
            </w:r>
            <w:r>
              <w:rPr>
                <w:rFonts w:hint="default" w:ascii="Times New Roman" w:hAnsi="Times New Roman" w:cs="Times New Roman"/>
                <w:lang w:eastAsia="zh-CN"/>
              </w:rPr>
              <w:t>1:1</w:t>
            </w:r>
            <w:r>
              <w:rPr>
                <w:rFonts w:hint="default" w:ascii="Times New Roman" w:hAnsi="Times New Roman" w:eastAsia="宋体" w:cs="Times New Roman"/>
                <w:b w:val="0"/>
                <w:bCs w:val="0"/>
                <w:lang w:val="en-US" w:eastAsia="zh-CN"/>
              </w:rPr>
              <w:t xml:space="preserve">万地质草测，初步了解区内地层、构造、岩浆岩等地质特征，以及矿化体的数量、形态、规模、产状、矿石物质组成及矿石质量等特征。 </w:t>
            </w:r>
          </w:p>
          <w:p w14:paraId="02705AD4">
            <w:pPr>
              <w:snapToGrid w:val="0"/>
              <w:spacing w:line="500" w:lineRule="exact"/>
              <w:ind w:firstLine="480" w:firstLineChars="200"/>
              <w:rPr>
                <w:rFonts w:hint="default" w:ascii="Times New Roman" w:hAnsi="Times New Roman" w:cs="Times New Roman"/>
                <w:vertAlign w:val="superscript"/>
                <w:lang w:val="en-US" w:eastAsia="zh-CN"/>
              </w:rPr>
            </w:pPr>
            <w:r>
              <w:rPr>
                <w:rFonts w:hint="default" w:ascii="Times New Roman" w:hAnsi="Times New Roman" w:eastAsia="宋体" w:cs="Times New Roman"/>
                <w:b w:val="0"/>
                <w:bCs w:val="0"/>
                <w:lang w:val="en-US" w:eastAsia="zh-CN"/>
              </w:rPr>
              <w:t>设计</w:t>
            </w:r>
            <w:r>
              <w:rPr>
                <w:rFonts w:hint="default" w:ascii="Times New Roman" w:hAnsi="Times New Roman" w:cs="Times New Roman"/>
                <w:lang w:eastAsia="zh-CN"/>
              </w:rPr>
              <w:t>1:1万</w:t>
            </w:r>
            <w:r>
              <w:rPr>
                <w:rFonts w:hint="default" w:ascii="Times New Roman" w:hAnsi="Times New Roman" w:eastAsia="宋体" w:cs="Times New Roman"/>
                <w:b w:val="0"/>
                <w:bCs w:val="0"/>
                <w:lang w:val="en-US" w:eastAsia="zh-CN"/>
              </w:rPr>
              <w:t>地质测量面积 50.50km</w:t>
            </w:r>
            <w:r>
              <w:rPr>
                <w:rFonts w:hint="default" w:ascii="Times New Roman" w:hAnsi="Times New Roman" w:eastAsia="宋体" w:cs="Times New Roman"/>
                <w:b w:val="0"/>
                <w:bCs w:val="0"/>
                <w:vertAlign w:val="superscript"/>
                <w:lang w:val="en-US" w:eastAsia="zh-CN"/>
              </w:rPr>
              <w:t xml:space="preserve"> 2</w:t>
            </w:r>
            <w:r>
              <w:rPr>
                <w:rFonts w:hint="default" w:ascii="Times New Roman" w:hAnsi="Times New Roman" w:eastAsia="宋体" w:cs="Times New Roman"/>
                <w:b w:val="0"/>
                <w:bCs w:val="0"/>
                <w:lang w:val="en-US" w:eastAsia="zh-CN"/>
              </w:rPr>
              <w:t>。</w:t>
            </w:r>
          </w:p>
          <w:p w14:paraId="152B8961">
            <w:pPr>
              <w:snapToGrid w:val="0"/>
              <w:spacing w:line="500" w:lineRule="exact"/>
              <w:rPr>
                <w:rFonts w:hint="default" w:ascii="Times New Roman" w:hAnsi="Times New Roman" w:cs="Times New Roman"/>
                <w:b w:val="0"/>
                <w:bCs w:val="0"/>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2）</w:t>
            </w:r>
            <w:r>
              <w:rPr>
                <w:rFonts w:hint="default" w:ascii="Times New Roman" w:hAnsi="Times New Roman" w:cs="Times New Roman"/>
                <w:lang w:eastAsia="zh-CN"/>
              </w:rPr>
              <w:t>1:</w:t>
            </w:r>
            <w:r>
              <w:rPr>
                <w:rFonts w:hint="eastAsia" w:cs="Times New Roman"/>
                <w:lang w:eastAsia="zh-CN"/>
              </w:rPr>
              <w:t>2000</w:t>
            </w:r>
            <w:r>
              <w:rPr>
                <w:rFonts w:hint="default" w:ascii="Times New Roman" w:hAnsi="Times New Roman" w:cs="Times New Roman"/>
                <w:lang w:eastAsia="zh-CN"/>
              </w:rPr>
              <w:t>地质草测</w:t>
            </w:r>
            <w:r>
              <w:rPr>
                <w:rFonts w:hint="default" w:ascii="Times New Roman" w:hAnsi="Times New Roman" w:cs="Times New Roman"/>
                <w:lang w:val="en-US" w:eastAsia="zh-CN"/>
              </w:rPr>
              <w:t>1.5</w:t>
            </w:r>
            <w:r>
              <w:rPr>
                <w:rFonts w:hint="default" w:ascii="Times New Roman" w:hAnsi="Times New Roman" w:eastAsia="宋体" w:cs="Times New Roman"/>
                <w:lang w:eastAsia="zh-CN"/>
              </w:rPr>
              <w:t>km</w:t>
            </w:r>
            <w:r>
              <w:rPr>
                <w:rFonts w:hint="default" w:ascii="Times New Roman" w:hAnsi="Times New Roman" w:cs="Times New Roman"/>
                <w:vertAlign w:val="superscript"/>
                <w:lang w:val="en-US" w:eastAsia="zh-CN"/>
              </w:rPr>
              <w:t>2</w:t>
            </w:r>
          </w:p>
          <w:p w14:paraId="4A8CDF82">
            <w:pPr>
              <w:snapToGrid w:val="0"/>
              <w:spacing w:line="500" w:lineRule="exact"/>
              <w:ind w:firstLine="480" w:firstLineChars="200"/>
              <w:rPr>
                <w:rFonts w:hint="default" w:ascii="Times New Roman" w:hAnsi="Times New Roman" w:cs="Times New Roman"/>
                <w:b w:val="0"/>
                <w:bCs w:val="0"/>
                <w:lang w:val="en-US" w:eastAsia="zh-CN"/>
              </w:rPr>
            </w:pPr>
            <w:r>
              <w:rPr>
                <w:rFonts w:hint="default" w:ascii="Times New Roman" w:hAnsi="Times New Roman" w:cs="Times New Roman"/>
                <w:lang w:eastAsia="zh-CN"/>
              </w:rPr>
              <w:t>1:</w:t>
            </w:r>
            <w:r>
              <w:rPr>
                <w:rFonts w:hint="eastAsia" w:cs="Times New Roman"/>
                <w:lang w:eastAsia="zh-CN"/>
              </w:rPr>
              <w:t>2000</w:t>
            </w:r>
            <w:r>
              <w:rPr>
                <w:rFonts w:hint="default" w:ascii="Times New Roman" w:hAnsi="Times New Roman" w:cs="Times New Roman"/>
                <w:b w:val="0"/>
                <w:bCs w:val="0"/>
                <w:lang w:val="en-US" w:eastAsia="zh-CN"/>
              </w:rPr>
              <w:t xml:space="preserve">地质草测是在全面收集并综合分析已有地质成果资料，认真分析总结勘查区地质成矿条件和矿体的分布、形态、产状、品位及控矿因素等特征基础上，在勘查区有针对性地开展，初步了解矿化蚀变带、矿体的地质构造、形态、规模、产状、矿石质量、矿石类型、空间分布以及与围岩的关系等特征，同时为工程部署及资源量估算，提供基础底图。 </w:t>
            </w:r>
          </w:p>
          <w:p w14:paraId="13F9E193">
            <w:pPr>
              <w:snapToGrid w:val="0"/>
              <w:spacing w:line="500" w:lineRule="exact"/>
              <w:ind w:firstLine="480" w:firstLineChars="200"/>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初步设计1:2000地质测量1.5km</w:t>
            </w:r>
            <w:r>
              <w:rPr>
                <w:rFonts w:hint="default" w:ascii="Times New Roman" w:hAnsi="Times New Roman" w:cs="Times New Roman"/>
                <w:b w:val="0"/>
                <w:bCs w:val="0"/>
                <w:vertAlign w:val="superscript"/>
                <w:lang w:val="en-US" w:eastAsia="zh-CN"/>
              </w:rPr>
              <w:t>2</w:t>
            </w:r>
            <w:r>
              <w:rPr>
                <w:rFonts w:hint="default" w:ascii="Times New Roman" w:hAnsi="Times New Roman" w:cs="Times New Roman"/>
                <w:b w:val="0"/>
                <w:bCs w:val="0"/>
                <w:lang w:val="en-US" w:eastAsia="zh-CN"/>
              </w:rPr>
              <w:t>，具体范围见表2-6。</w:t>
            </w:r>
          </w:p>
          <w:p w14:paraId="3D792437">
            <w:pPr>
              <w:keepNext/>
              <w:keepLines/>
              <w:widowControl/>
              <w:adjustRightInd w:val="0"/>
              <w:snapToGrid w:val="0"/>
              <w:spacing w:line="480" w:lineRule="exact"/>
              <w:jc w:val="center"/>
              <w:outlineLvl w:val="2"/>
              <w:rPr>
                <w:rFonts w:hint="default" w:ascii="Times New Roman" w:hAnsi="Times New Roman" w:eastAsia="宋体" w:cs="Times New Roman"/>
                <w:b/>
                <w:color w:val="000000"/>
                <w:kern w:val="0"/>
                <w:sz w:val="21"/>
                <w:szCs w:val="21"/>
                <w:lang w:val="en-US" w:eastAsia="zh-CN"/>
              </w:rPr>
            </w:pPr>
            <w:r>
              <w:rPr>
                <w:rFonts w:hint="default" w:ascii="Times New Roman" w:hAnsi="Times New Roman" w:eastAsia="宋体" w:cs="Times New Roman"/>
                <w:b/>
                <w:color w:val="000000"/>
                <w:kern w:val="0"/>
                <w:sz w:val="21"/>
                <w:szCs w:val="21"/>
                <w:lang w:val="en-US" w:eastAsia="zh-CN"/>
              </w:rPr>
              <w:t>表2-6设计1:2000地质测量范围</w:t>
            </w:r>
          </w:p>
          <w:tbl>
            <w:tblPr>
              <w:tblStyle w:val="22"/>
              <w:tblW w:w="86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4"/>
              <w:gridCol w:w="3362"/>
              <w:gridCol w:w="3463"/>
            </w:tblGrid>
            <w:tr w14:paraId="6969F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jc w:val="center"/>
              </w:trPr>
              <w:tc>
                <w:tcPr>
                  <w:tcW w:w="1814" w:type="dxa"/>
                  <w:vMerge w:val="restart"/>
                  <w:tcBorders>
                    <w:bottom w:val="nil"/>
                  </w:tcBorders>
                  <w:vAlign w:val="center"/>
                </w:tcPr>
                <w:p w14:paraId="1D44E95D">
                  <w:pPr>
                    <w:pStyle w:val="21"/>
                    <w:spacing w:before="201" w:line="220" w:lineRule="auto"/>
                    <w:ind w:left="168"/>
                    <w:jc w:val="center"/>
                    <w:rPr>
                      <w:rFonts w:hint="default" w:ascii="Times New Roman" w:hAnsi="Times New Roman" w:cs="Times New Roman"/>
                      <w:sz w:val="21"/>
                      <w:szCs w:val="21"/>
                    </w:rPr>
                  </w:pPr>
                  <w:r>
                    <w:rPr>
                      <w:rFonts w:hint="default" w:ascii="Times New Roman" w:hAnsi="Times New Roman" w:cs="Times New Roman"/>
                      <w:spacing w:val="-2"/>
                      <w:sz w:val="21"/>
                      <w:szCs w:val="21"/>
                    </w:rPr>
                    <w:t>拐点坐标编号</w:t>
                  </w:r>
                </w:p>
              </w:tc>
              <w:tc>
                <w:tcPr>
                  <w:tcW w:w="6825" w:type="dxa"/>
                  <w:gridSpan w:val="2"/>
                  <w:vAlign w:val="center"/>
                </w:tcPr>
                <w:p w14:paraId="6407271C">
                  <w:pPr>
                    <w:pStyle w:val="21"/>
                    <w:spacing w:before="40" w:line="207"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CGCS2000坐标系</w:t>
                  </w:r>
                </w:p>
              </w:tc>
            </w:tr>
            <w:tr w14:paraId="282DA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jc w:val="center"/>
              </w:trPr>
              <w:tc>
                <w:tcPr>
                  <w:tcW w:w="1814" w:type="dxa"/>
                  <w:vMerge w:val="continue"/>
                  <w:tcBorders>
                    <w:top w:val="nil"/>
                  </w:tcBorders>
                  <w:vAlign w:val="center"/>
                </w:tcPr>
                <w:p w14:paraId="21F0D064">
                  <w:pPr>
                    <w:jc w:val="center"/>
                    <w:rPr>
                      <w:rFonts w:hint="default" w:ascii="Times New Roman" w:hAnsi="Times New Roman" w:cs="Times New Roman"/>
                      <w:sz w:val="21"/>
                      <w:szCs w:val="21"/>
                    </w:rPr>
                  </w:pPr>
                </w:p>
              </w:tc>
              <w:tc>
                <w:tcPr>
                  <w:tcW w:w="3362" w:type="dxa"/>
                  <w:vAlign w:val="center"/>
                </w:tcPr>
                <w:p w14:paraId="20CA7AF6">
                  <w:pPr>
                    <w:pStyle w:val="21"/>
                    <w:spacing w:before="35" w:line="206"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spacing w:val="-5"/>
                      <w:sz w:val="21"/>
                      <w:szCs w:val="21"/>
                      <w:lang w:val="en-US" w:eastAsia="zh-CN"/>
                    </w:rPr>
                    <w:t>X</w:t>
                  </w:r>
                </w:p>
              </w:tc>
              <w:tc>
                <w:tcPr>
                  <w:tcW w:w="3463" w:type="dxa"/>
                  <w:vAlign w:val="center"/>
                </w:tcPr>
                <w:p w14:paraId="273BDDDA">
                  <w:pPr>
                    <w:pStyle w:val="21"/>
                    <w:spacing w:before="35" w:line="206" w:lineRule="auto"/>
                    <w:jc w:val="center"/>
                    <w:rPr>
                      <w:rFonts w:hint="default" w:ascii="Times New Roman" w:hAnsi="Times New Roman" w:eastAsia="宋体" w:cs="Times New Roman"/>
                      <w:sz w:val="21"/>
                      <w:szCs w:val="21"/>
                      <w:lang w:eastAsia="zh-CN"/>
                    </w:rPr>
                  </w:pPr>
                  <w:r>
                    <w:rPr>
                      <w:rFonts w:hint="default" w:ascii="Times New Roman" w:hAnsi="Times New Roman" w:cs="Times New Roman"/>
                      <w:spacing w:val="-4"/>
                      <w:sz w:val="21"/>
                      <w:szCs w:val="21"/>
                      <w:lang w:val="en-US" w:eastAsia="zh-CN"/>
                    </w:rPr>
                    <w:t>Y</w:t>
                  </w:r>
                </w:p>
              </w:tc>
            </w:tr>
            <w:tr w14:paraId="62CC7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jc w:val="center"/>
              </w:trPr>
              <w:tc>
                <w:tcPr>
                  <w:tcW w:w="1814" w:type="dxa"/>
                  <w:vAlign w:val="center"/>
                </w:tcPr>
                <w:p w14:paraId="4E7F4D02">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1</w:t>
                  </w:r>
                </w:p>
              </w:tc>
              <w:tc>
                <w:tcPr>
                  <w:tcW w:w="3362" w:type="dxa"/>
                  <w:vAlign w:val="center"/>
                </w:tcPr>
                <w:p w14:paraId="01860C91">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4059764.677</w:t>
                  </w:r>
                </w:p>
              </w:tc>
              <w:tc>
                <w:tcPr>
                  <w:tcW w:w="3463" w:type="dxa"/>
                  <w:vAlign w:val="center"/>
                </w:tcPr>
                <w:p w14:paraId="278C9C39">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511854.2227</w:t>
                  </w:r>
                </w:p>
              </w:tc>
            </w:tr>
            <w:tr w14:paraId="148AE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jc w:val="center"/>
              </w:trPr>
              <w:tc>
                <w:tcPr>
                  <w:tcW w:w="1814" w:type="dxa"/>
                  <w:vAlign w:val="center"/>
                </w:tcPr>
                <w:p w14:paraId="2964C0D5">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2</w:t>
                  </w:r>
                </w:p>
              </w:tc>
              <w:tc>
                <w:tcPr>
                  <w:tcW w:w="3362" w:type="dxa"/>
                  <w:vAlign w:val="center"/>
                </w:tcPr>
                <w:p w14:paraId="145C17A3">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4059075.608</w:t>
                  </w:r>
                </w:p>
              </w:tc>
              <w:tc>
                <w:tcPr>
                  <w:tcW w:w="3463" w:type="dxa"/>
                  <w:vAlign w:val="center"/>
                </w:tcPr>
                <w:p w14:paraId="71F71AF3">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512231.2464</w:t>
                  </w:r>
                </w:p>
              </w:tc>
            </w:tr>
            <w:tr w14:paraId="540BC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jc w:val="center"/>
              </w:trPr>
              <w:tc>
                <w:tcPr>
                  <w:tcW w:w="1814" w:type="dxa"/>
                  <w:vAlign w:val="center"/>
                </w:tcPr>
                <w:p w14:paraId="388D0C2B">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3</w:t>
                  </w:r>
                </w:p>
              </w:tc>
              <w:tc>
                <w:tcPr>
                  <w:tcW w:w="3362" w:type="dxa"/>
                  <w:vAlign w:val="center"/>
                </w:tcPr>
                <w:p w14:paraId="627C971B">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4059922.158</w:t>
                  </w:r>
                </w:p>
              </w:tc>
              <w:tc>
                <w:tcPr>
                  <w:tcW w:w="3463" w:type="dxa"/>
                  <w:vAlign w:val="center"/>
                </w:tcPr>
                <w:p w14:paraId="728D4F18">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513992.8862</w:t>
                  </w:r>
                </w:p>
              </w:tc>
            </w:tr>
            <w:tr w14:paraId="5BCB9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jc w:val="center"/>
              </w:trPr>
              <w:tc>
                <w:tcPr>
                  <w:tcW w:w="1814" w:type="dxa"/>
                  <w:vAlign w:val="center"/>
                </w:tcPr>
                <w:p w14:paraId="7C6BE63C">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4</w:t>
                  </w:r>
                </w:p>
              </w:tc>
              <w:tc>
                <w:tcPr>
                  <w:tcW w:w="3362" w:type="dxa"/>
                  <w:vAlign w:val="center"/>
                </w:tcPr>
                <w:p w14:paraId="0F764EC9">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4060608.576</w:t>
                  </w:r>
                </w:p>
              </w:tc>
              <w:tc>
                <w:tcPr>
                  <w:tcW w:w="3463" w:type="dxa"/>
                  <w:vAlign w:val="center"/>
                </w:tcPr>
                <w:p w14:paraId="41EAD4F8">
                  <w:pPr>
                    <w:pStyle w:val="21"/>
                    <w:spacing w:before="40" w:line="208" w:lineRule="auto"/>
                    <w:jc w:val="center"/>
                    <w:rPr>
                      <w:rFonts w:hint="default" w:ascii="Times New Roman" w:hAnsi="Times New Roman" w:cs="Times New Roman"/>
                      <w:spacing w:val="6"/>
                      <w:kern w:val="0"/>
                      <w:sz w:val="21"/>
                      <w:szCs w:val="21"/>
                      <w:lang w:val="en-US" w:eastAsia="zh-CN" w:bidi="ar-SA"/>
                    </w:rPr>
                  </w:pPr>
                  <w:r>
                    <w:rPr>
                      <w:rFonts w:hint="default" w:ascii="Times New Roman" w:hAnsi="Times New Roman" w:cs="Times New Roman"/>
                      <w:spacing w:val="6"/>
                      <w:kern w:val="0"/>
                      <w:sz w:val="21"/>
                      <w:szCs w:val="21"/>
                      <w:lang w:val="en-US" w:eastAsia="zh-CN" w:bidi="ar-SA"/>
                    </w:rPr>
                    <w:t>513629.7811</w:t>
                  </w:r>
                </w:p>
              </w:tc>
            </w:tr>
            <w:tr w14:paraId="340A3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1814" w:type="dxa"/>
                  <w:vAlign w:val="center"/>
                </w:tcPr>
                <w:p w14:paraId="6C2F5CB7">
                  <w:pPr>
                    <w:pStyle w:val="21"/>
                    <w:spacing w:before="40" w:line="208" w:lineRule="auto"/>
                    <w:jc w:val="center"/>
                    <w:rPr>
                      <w:rFonts w:hint="default" w:ascii="Times New Roman" w:hAnsi="Times New Roman" w:cs="Times New Roman"/>
                      <w:sz w:val="21"/>
                      <w:szCs w:val="21"/>
                    </w:rPr>
                  </w:pPr>
                  <w:r>
                    <w:rPr>
                      <w:rFonts w:hint="default" w:ascii="Times New Roman" w:hAnsi="Times New Roman" w:cs="Times New Roman"/>
                      <w:spacing w:val="-3"/>
                      <w:sz w:val="21"/>
                      <w:szCs w:val="21"/>
                    </w:rPr>
                    <w:t>面积</w:t>
                  </w:r>
                </w:p>
              </w:tc>
              <w:tc>
                <w:tcPr>
                  <w:tcW w:w="6825" w:type="dxa"/>
                  <w:gridSpan w:val="2"/>
                  <w:vAlign w:val="center"/>
                </w:tcPr>
                <w:p w14:paraId="4E3A8936">
                  <w:pPr>
                    <w:pStyle w:val="21"/>
                    <w:spacing w:before="40" w:line="208" w:lineRule="auto"/>
                    <w:jc w:val="center"/>
                    <w:rPr>
                      <w:rFonts w:hint="default" w:ascii="Times New Roman" w:hAnsi="Times New Roman" w:cs="Times New Roman"/>
                      <w:sz w:val="21"/>
                      <w:szCs w:val="21"/>
                    </w:rPr>
                  </w:pPr>
                  <w:r>
                    <w:rPr>
                      <w:rFonts w:hint="default" w:ascii="Times New Roman" w:hAnsi="Times New Roman" w:cs="Times New Roman"/>
                      <w:spacing w:val="6"/>
                      <w:kern w:val="0"/>
                      <w:sz w:val="21"/>
                      <w:szCs w:val="21"/>
                      <w:lang w:val="en-US" w:eastAsia="zh-CN" w:bidi="ar-SA"/>
                    </w:rPr>
                    <w:t>1.5</w:t>
                  </w:r>
                  <w:r>
                    <w:rPr>
                      <w:rFonts w:hint="default" w:ascii="Times New Roman" w:hAnsi="Times New Roman" w:eastAsia="宋体" w:cs="Times New Roman"/>
                      <w:spacing w:val="6"/>
                      <w:kern w:val="0"/>
                      <w:sz w:val="21"/>
                      <w:szCs w:val="21"/>
                      <w:lang w:val="en-US" w:eastAsia="zh-CN" w:bidi="ar-SA"/>
                    </w:rPr>
                    <w:t>km</w:t>
                  </w:r>
                  <w:r>
                    <w:rPr>
                      <w:rFonts w:hint="default" w:ascii="Times New Roman" w:hAnsi="Times New Roman" w:eastAsia="宋体" w:cs="Times New Roman"/>
                      <w:spacing w:val="6"/>
                      <w:kern w:val="0"/>
                      <w:sz w:val="21"/>
                      <w:szCs w:val="21"/>
                      <w:vertAlign w:val="superscript"/>
                      <w:lang w:val="en-US" w:eastAsia="zh-CN" w:bidi="ar-SA"/>
                    </w:rPr>
                    <w:t>2</w:t>
                  </w:r>
                </w:p>
              </w:tc>
            </w:tr>
          </w:tbl>
          <w:p w14:paraId="61E85321">
            <w:pPr>
              <w:snapToGrid w:val="0"/>
              <w:spacing w:line="500" w:lineRule="exact"/>
              <w:rPr>
                <w:rFonts w:hint="default" w:ascii="Times New Roman" w:hAnsi="Times New Roman" w:cs="Times New Roman"/>
                <w:b w:val="0"/>
                <w:bCs w:val="0"/>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3）1:1000勘查线地质剖面测量2.0</w:t>
            </w:r>
            <w:r>
              <w:rPr>
                <w:rFonts w:hint="default" w:ascii="Times New Roman" w:hAnsi="Times New Roman" w:eastAsia="宋体" w:cs="Times New Roman"/>
                <w:lang w:eastAsia="zh-CN"/>
              </w:rPr>
              <w:t>km</w:t>
            </w:r>
            <w:r>
              <w:rPr>
                <w:rFonts w:hint="default" w:ascii="Times New Roman" w:hAnsi="Times New Roman" w:cs="Times New Roman"/>
                <w:vertAlign w:val="superscript"/>
                <w:lang w:val="en-US" w:eastAsia="zh-CN"/>
              </w:rPr>
              <w:t>2</w:t>
            </w:r>
          </w:p>
          <w:p w14:paraId="1BBC7FF6">
            <w:pPr>
              <w:snapToGrid w:val="0"/>
              <w:spacing w:line="500" w:lineRule="exact"/>
              <w:ind w:firstLine="480" w:firstLineChars="200"/>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 xml:space="preserve">1:1000勘探线剖面测量，按编录规范要求详细记录岩（矿）石结构、构造、矿物组成等。通过剖面测量要求达到合理划分填图单元，基本查明主要矿体的赋存位置、规模、产状及品位等特征，为钻探工程布设施工提供依据。 </w:t>
            </w:r>
          </w:p>
          <w:p w14:paraId="2C70A669">
            <w:pPr>
              <w:snapToGrid w:val="0"/>
              <w:spacing w:line="500" w:lineRule="exact"/>
              <w:ind w:firstLine="480" w:firstLineChars="200"/>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设计1:1000勘查线地质剖面测量2.0km</w:t>
            </w:r>
            <w:r>
              <w:rPr>
                <w:rFonts w:hint="default" w:ascii="Times New Roman" w:hAnsi="Times New Roman" w:cs="Times New Roman"/>
                <w:b w:val="0"/>
                <w:bCs w:val="0"/>
                <w:vertAlign w:val="superscript"/>
                <w:lang w:val="en-US" w:eastAsia="zh-CN"/>
              </w:rPr>
              <w:t>2</w:t>
            </w:r>
            <w:r>
              <w:rPr>
                <w:rFonts w:hint="default" w:ascii="Times New Roman" w:hAnsi="Times New Roman" w:cs="Times New Roman"/>
                <w:b w:val="0"/>
                <w:bCs w:val="0"/>
                <w:lang w:val="en-US" w:eastAsia="zh-CN"/>
              </w:rPr>
              <w:t>，具体位置根据实际找矿成果综合部署。</w:t>
            </w:r>
          </w:p>
          <w:p w14:paraId="15E0C7B3">
            <w:pPr>
              <w:snapToGrid w:val="0"/>
              <w:spacing w:line="500" w:lineRule="exact"/>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2.物探：1:10000航磁面积测量50.50km</w:t>
            </w:r>
            <w:r>
              <w:rPr>
                <w:rFonts w:hint="default" w:ascii="Times New Roman" w:hAnsi="Times New Roman" w:cs="Times New Roman"/>
                <w:b w:val="0"/>
                <w:bCs w:val="0"/>
                <w:vertAlign w:val="superscript"/>
                <w:lang w:val="en-US" w:eastAsia="zh-CN"/>
              </w:rPr>
              <w:t>2</w:t>
            </w:r>
          </w:p>
          <w:p w14:paraId="7C9FD4C4">
            <w:pPr>
              <w:snapToGrid w:val="0"/>
              <w:spacing w:line="500" w:lineRule="exact"/>
              <w:ind w:firstLine="480" w:firstLineChars="200"/>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 xml:space="preserve">充分收集和详细研究前人资料，对全区开展1:1万航磁面积测量，通过航磁解译，分析有利成矿部位，为地质找矿进一步缩小目标靶区，确定重点找矿地段，为后期地质测量工作和工程揭露提供依据。 </w:t>
            </w:r>
          </w:p>
          <w:p w14:paraId="26B1B5E2">
            <w:pPr>
              <w:snapToGrid w:val="0"/>
              <w:spacing w:line="500" w:lineRule="exact"/>
              <w:ind w:firstLine="480" w:firstLineChars="200"/>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设计1:10000航磁面积测量50.50km</w:t>
            </w:r>
            <w:r>
              <w:rPr>
                <w:rFonts w:hint="default" w:ascii="Times New Roman" w:hAnsi="Times New Roman" w:cs="Times New Roman"/>
                <w:b w:val="0"/>
                <w:bCs w:val="0"/>
                <w:vertAlign w:val="superscript"/>
                <w:lang w:val="en-US" w:eastAsia="zh-CN"/>
              </w:rPr>
              <w:t>2</w:t>
            </w:r>
            <w:r>
              <w:rPr>
                <w:rFonts w:hint="default" w:ascii="Times New Roman" w:hAnsi="Times New Roman" w:cs="Times New Roman"/>
                <w:b w:val="0"/>
                <w:bCs w:val="0"/>
                <w:lang w:val="en-US" w:eastAsia="zh-CN"/>
              </w:rPr>
              <w:t>。</w:t>
            </w:r>
          </w:p>
          <w:p w14:paraId="37AEBE80">
            <w:pPr>
              <w:snapToGrid w:val="0"/>
              <w:spacing w:line="500" w:lineRule="exact"/>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3.化探</w:t>
            </w:r>
          </w:p>
          <w:p w14:paraId="1DF97EC7">
            <w:pPr>
              <w:snapToGrid w:val="0"/>
              <w:spacing w:line="500" w:lineRule="exact"/>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（1）1:25000水系沉积物测量</w:t>
            </w:r>
          </w:p>
          <w:p w14:paraId="7CD3EFE9">
            <w:pPr>
              <w:snapToGrid w:val="0"/>
              <w:spacing w:line="500" w:lineRule="exact"/>
              <w:ind w:firstLine="480" w:firstLineChars="200"/>
              <w:rPr>
                <w:rFonts w:hint="default" w:ascii="Times New Roman" w:hAnsi="Times New Roman" w:eastAsia="宋体" w:cs="Times New Roman"/>
                <w:b w:val="0"/>
                <w:bCs w:val="0"/>
                <w:lang w:val="en-US" w:eastAsia="zh-CN"/>
              </w:rPr>
            </w:pPr>
            <w:r>
              <w:rPr>
                <w:rFonts w:hint="default" w:ascii="Times New Roman" w:hAnsi="Times New Roman" w:eastAsia="宋体" w:cs="Times New Roman"/>
                <w:b w:val="0"/>
                <w:bCs w:val="0"/>
                <w:lang w:val="en-US" w:eastAsia="zh-CN"/>
              </w:rPr>
              <w:t>主要针对</w:t>
            </w:r>
            <w:r>
              <w:rPr>
                <w:rFonts w:hint="eastAsia" w:cs="Times New Roman"/>
                <w:b w:val="0"/>
                <w:bCs w:val="0"/>
                <w:lang w:val="en-US" w:eastAsia="zh-CN"/>
              </w:rPr>
              <w:t>区内</w:t>
            </w:r>
            <w:r>
              <w:rPr>
                <w:rFonts w:hint="default" w:ascii="Times New Roman" w:hAnsi="Times New Roman" w:eastAsia="宋体" w:cs="Times New Roman"/>
                <w:b w:val="0"/>
                <w:bCs w:val="0"/>
                <w:lang w:val="en-US" w:eastAsia="zh-CN"/>
              </w:rPr>
              <w:t>开展，有效</w:t>
            </w:r>
            <w:r>
              <w:rPr>
                <w:rFonts w:hint="default" w:ascii="Times New Roman" w:hAnsi="Times New Roman" w:cs="Times New Roman"/>
                <w:b w:val="0"/>
                <w:bCs w:val="0"/>
                <w:lang w:val="en-US" w:eastAsia="zh-CN"/>
              </w:rPr>
              <w:t>地</w:t>
            </w:r>
            <w:r>
              <w:rPr>
                <w:rFonts w:hint="default" w:ascii="Times New Roman" w:hAnsi="Times New Roman" w:eastAsia="宋体" w:cs="Times New Roman"/>
                <w:b w:val="0"/>
                <w:bCs w:val="0"/>
                <w:lang w:val="en-US" w:eastAsia="zh-CN"/>
              </w:rPr>
              <w:t>圈定地球化学异常并真实反映区内地球化学元素分布规律和异常特征，并能为地质找矿提供成矿地球化学依据。</w:t>
            </w:r>
          </w:p>
          <w:p w14:paraId="32346993">
            <w:pPr>
              <w:snapToGrid w:val="0"/>
              <w:spacing w:line="500" w:lineRule="exact"/>
              <w:ind w:firstLine="480" w:firstLineChars="200"/>
              <w:rPr>
                <w:rFonts w:hint="default" w:ascii="Times New Roman" w:hAnsi="Times New Roman" w:eastAsia="宋体" w:cs="Times New Roman"/>
                <w:b w:val="0"/>
                <w:bCs w:val="0"/>
                <w:lang w:val="en-US" w:eastAsia="zh-CN"/>
              </w:rPr>
            </w:pPr>
            <w:r>
              <w:rPr>
                <w:rFonts w:hint="default" w:ascii="Times New Roman" w:hAnsi="Times New Roman" w:eastAsia="宋体" w:cs="Times New Roman"/>
                <w:b w:val="0"/>
                <w:bCs w:val="0"/>
                <w:lang w:val="en-US" w:eastAsia="zh-CN"/>
              </w:rPr>
              <w:t>按规范要求，采样点布置原则为基本采样密度每平方千米19点，设计工作量 50.50km</w:t>
            </w:r>
            <w:r>
              <w:rPr>
                <w:rFonts w:hint="default" w:ascii="Times New Roman" w:hAnsi="Times New Roman" w:eastAsia="宋体" w:cs="Times New Roman"/>
                <w:b w:val="0"/>
                <w:bCs w:val="0"/>
                <w:vertAlign w:val="superscript"/>
                <w:lang w:val="en-US" w:eastAsia="zh-CN"/>
              </w:rPr>
              <w:t>2</w:t>
            </w:r>
            <w:r>
              <w:rPr>
                <w:rFonts w:hint="default" w:ascii="Times New Roman" w:hAnsi="Times New Roman" w:cs="Times New Roman"/>
                <w:b w:val="0"/>
                <w:bCs w:val="0"/>
                <w:vertAlign w:val="baseline"/>
                <w:lang w:val="en-US" w:eastAsia="zh-CN"/>
              </w:rPr>
              <w:t>。</w:t>
            </w:r>
          </w:p>
          <w:p w14:paraId="00704DFE">
            <w:pPr>
              <w:snapToGrid w:val="0"/>
              <w:spacing w:line="500" w:lineRule="exact"/>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（2）1:10000地化剖面测量</w:t>
            </w:r>
          </w:p>
          <w:p w14:paraId="0197A09F">
            <w:pPr>
              <w:snapToGrid w:val="0"/>
              <w:spacing w:line="500" w:lineRule="exact"/>
              <w:ind w:firstLine="480" w:firstLineChars="200"/>
              <w:rPr>
                <w:rFonts w:hint="default" w:ascii="Times New Roman" w:hAnsi="Times New Roman" w:eastAsia="宋体" w:cs="Times New Roman"/>
                <w:b w:val="0"/>
                <w:bCs w:val="0"/>
                <w:lang w:val="en-US" w:eastAsia="zh-CN"/>
              </w:rPr>
            </w:pPr>
            <w:r>
              <w:rPr>
                <w:rFonts w:hint="default" w:ascii="Times New Roman" w:hAnsi="Times New Roman" w:eastAsia="宋体" w:cs="Times New Roman"/>
                <w:b w:val="0"/>
                <w:bCs w:val="0"/>
                <w:lang w:val="en-US" w:eastAsia="zh-CN"/>
              </w:rPr>
              <w:t xml:space="preserve">在水系沉积物测量及航磁测量基础上，圈定异常区。通过1:1万地化剖面测量查证异常范围，对异常进行解译，确定成矿优越地段，为后期地质工作指明方向。1:10000地化剖面要垂直异常长轴方向布设，以控制住异常并往两侧背景区有适当延伸，采样点距为40米。 </w:t>
            </w:r>
          </w:p>
          <w:p w14:paraId="24EDB34C">
            <w:pPr>
              <w:snapToGrid w:val="0"/>
              <w:spacing w:line="500" w:lineRule="exact"/>
              <w:ind w:firstLine="480" w:firstLineChars="200"/>
              <w:rPr>
                <w:rFonts w:hint="default" w:ascii="Times New Roman" w:hAnsi="Times New Roman" w:eastAsia="宋体" w:cs="Times New Roman"/>
                <w:b w:val="0"/>
                <w:bCs w:val="0"/>
                <w:lang w:val="en-US" w:eastAsia="zh-CN"/>
              </w:rPr>
            </w:pPr>
            <w:r>
              <w:rPr>
                <w:rFonts w:hint="default" w:ascii="Times New Roman" w:hAnsi="Times New Roman" w:eastAsia="宋体" w:cs="Times New Roman"/>
                <w:b w:val="0"/>
                <w:bCs w:val="0"/>
                <w:lang w:val="en-US" w:eastAsia="zh-CN"/>
              </w:rPr>
              <w:t>设计1:10000地化剖面测量20.00km，具体位置根据实际异常位置综合部署。</w:t>
            </w:r>
          </w:p>
          <w:p w14:paraId="716BC727">
            <w:pPr>
              <w:snapToGrid w:val="0"/>
              <w:spacing w:line="500" w:lineRule="exact"/>
              <w:rPr>
                <w:rFonts w:hint="default" w:ascii="Times New Roman" w:hAnsi="Times New Roman" w:eastAsia="宋体" w:cs="Times New Roman"/>
                <w:lang w:val="en-US" w:eastAsia="zh-CN"/>
              </w:rPr>
            </w:pPr>
            <w:r>
              <w:rPr>
                <w:rFonts w:hint="default" w:ascii="Times New Roman" w:hAnsi="Times New Roman" w:cs="Times New Roman"/>
                <w:lang w:val="en-US" w:eastAsia="zh-CN"/>
              </w:rPr>
              <w:t>4.</w:t>
            </w:r>
            <w:r>
              <w:rPr>
                <w:rFonts w:hint="default" w:ascii="Times New Roman" w:hAnsi="Times New Roman" w:eastAsia="宋体" w:cs="Times New Roman"/>
              </w:rPr>
              <w:t>槽探</w:t>
            </w:r>
            <w:r>
              <w:rPr>
                <w:rFonts w:hint="default" w:ascii="Times New Roman" w:hAnsi="Times New Roman" w:cs="Times New Roman"/>
                <w:lang w:val="en-US" w:eastAsia="zh-CN"/>
              </w:rPr>
              <w:t>工程</w:t>
            </w:r>
          </w:p>
          <w:p w14:paraId="649810B2">
            <w:pPr>
              <w:snapToGrid w:val="0"/>
              <w:spacing w:line="500" w:lineRule="exact"/>
              <w:rPr>
                <w:rFonts w:hint="default" w:ascii="Times New Roman" w:hAnsi="Times New Roman" w:cs="Times New Roman"/>
                <w:lang w:val="en-US" w:eastAsia="zh-CN"/>
              </w:rPr>
            </w:pPr>
            <w:r>
              <w:rPr>
                <w:rFonts w:hint="default" w:ascii="Times New Roman" w:hAnsi="Times New Roman" w:cs="Times New Roman"/>
                <w:lang w:val="en-US" w:eastAsia="zh-CN"/>
              </w:rPr>
              <w:t xml:space="preserve">（1）对勘查区已发现的锰矿（化）体、矿化蚀变带开展探槽揭露，初步查明矿（化）体分布特征、形态、规模、产状、品位、赋矿岩性、矿石类型、矿石质量及引起异常的原因，施工间距根据地表矿化情况，按照100～200米间距部署探槽工程。 </w:t>
            </w:r>
          </w:p>
          <w:p w14:paraId="4637A716">
            <w:pPr>
              <w:snapToGrid w:val="0"/>
              <w:spacing w:line="500" w:lineRule="exact"/>
              <w:ind w:firstLine="480" w:firstLineChars="200"/>
              <w:rPr>
                <w:rFonts w:hint="default" w:ascii="Times New Roman" w:hAnsi="Times New Roman" w:cs="Times New Roman"/>
                <w:lang w:val="en-US" w:eastAsia="zh-CN"/>
              </w:rPr>
            </w:pPr>
            <w:r>
              <w:rPr>
                <w:rFonts w:hint="default" w:ascii="Times New Roman" w:hAnsi="Times New Roman" w:cs="Times New Roman"/>
                <w:lang w:val="en-US" w:eastAsia="zh-CN"/>
              </w:rPr>
              <w:t>初步设计工作量800m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，具体范围见表 2-7。</w:t>
            </w:r>
          </w:p>
          <w:p w14:paraId="078FD0C8">
            <w:pPr>
              <w:snapToGrid w:val="0"/>
              <w:spacing w:line="500" w:lineRule="exact"/>
              <w:rPr>
                <w:rFonts w:hint="default" w:ascii="Times New Roman" w:hAnsi="Times New Roman" w:cs="Times New Roman"/>
                <w:lang w:val="en-US" w:eastAsia="zh-CN"/>
              </w:rPr>
            </w:pPr>
            <w:r>
              <w:rPr>
                <w:rFonts w:hint="default" w:ascii="Times New Roman" w:hAnsi="Times New Roman" w:cs="Times New Roman"/>
                <w:lang w:val="en-US" w:eastAsia="zh-CN"/>
              </w:rPr>
              <w:t xml:space="preserve">（2）根据前期地质填图、地化剖面工作成果，对可能新发现的矿化蚀变信息及成矿有利部位部署探槽揭露工作。 </w:t>
            </w:r>
          </w:p>
          <w:p w14:paraId="25B64AFE">
            <w:pPr>
              <w:snapToGrid w:val="0"/>
              <w:spacing w:line="500" w:lineRule="exact"/>
              <w:ind w:firstLine="480" w:firstLineChars="200"/>
              <w:rPr>
                <w:rFonts w:hint="default" w:ascii="Times New Roman" w:hAnsi="Times New Roman" w:cs="Times New Roman"/>
                <w:lang w:val="en-US" w:eastAsia="zh-CN"/>
              </w:rPr>
            </w:pPr>
            <w:r>
              <w:rPr>
                <w:rFonts w:hint="default" w:ascii="Times New Roman" w:hAnsi="Times New Roman" w:cs="Times New Roman"/>
                <w:lang w:val="en-US" w:eastAsia="zh-CN"/>
              </w:rPr>
              <w:t>预留工作量1200m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。具体位置根据找矿成果综合部署。</w:t>
            </w:r>
          </w:p>
          <w:p w14:paraId="1FC671F7">
            <w:pPr>
              <w:snapToGrid w:val="0"/>
              <w:spacing w:line="500" w:lineRule="exact"/>
              <w:ind w:firstLine="480" w:firstLineChars="200"/>
              <w:rPr>
                <w:rFonts w:hint="default" w:ascii="Times New Roman" w:hAnsi="Times New Roman" w:cs="Times New Roman"/>
                <w:lang w:val="en-US" w:eastAsia="zh-CN"/>
              </w:rPr>
            </w:pPr>
            <w:r>
              <w:rPr>
                <w:rFonts w:hint="default" w:ascii="Times New Roman" w:hAnsi="Times New Roman" w:cs="Times New Roman"/>
                <w:lang w:val="en-US" w:eastAsia="zh-CN"/>
              </w:rPr>
              <w:t>探槽工程设计总工作量2000m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w:t>
            </w:r>
          </w:p>
          <w:p w14:paraId="3D3B4407">
            <w:pPr>
              <w:pStyle w:val="20"/>
              <w:ind w:left="0" w:leftChars="0" w:firstLine="0" w:firstLineChars="0"/>
              <w:jc w:val="center"/>
              <w:rPr>
                <w:rFonts w:hint="default" w:ascii="Times New Roman" w:hAnsi="Times New Roman" w:eastAsia="宋体" w:cs="Times New Roman"/>
                <w:b/>
                <w:color w:val="000000"/>
                <w:kern w:val="0"/>
                <w:sz w:val="21"/>
                <w:szCs w:val="21"/>
                <w:lang w:val="en-US" w:eastAsia="zh-CN"/>
              </w:rPr>
            </w:pPr>
            <w:r>
              <w:rPr>
                <w:rFonts w:hint="default" w:ascii="Times New Roman" w:hAnsi="Times New Roman" w:eastAsia="宋体" w:cs="Times New Roman"/>
                <w:b/>
                <w:color w:val="000000"/>
                <w:kern w:val="0"/>
                <w:sz w:val="21"/>
                <w:szCs w:val="21"/>
                <w:lang w:val="en-US" w:eastAsia="zh-CN"/>
              </w:rPr>
              <w:t>表2-</w:t>
            </w:r>
            <w:r>
              <w:rPr>
                <w:rFonts w:hint="default" w:ascii="Times New Roman" w:hAnsi="Times New Roman" w:cs="Times New Roman"/>
                <w:b/>
                <w:color w:val="000000"/>
                <w:kern w:val="0"/>
                <w:sz w:val="21"/>
                <w:szCs w:val="21"/>
                <w:lang w:val="en-US" w:eastAsia="zh-CN"/>
              </w:rPr>
              <w:t>7初步设计槽探工程</w:t>
            </w:r>
            <w:r>
              <w:rPr>
                <w:rFonts w:hint="default" w:ascii="Times New Roman" w:hAnsi="Times New Roman" w:eastAsia="宋体" w:cs="Times New Roman"/>
                <w:b/>
                <w:color w:val="000000"/>
                <w:kern w:val="0"/>
                <w:sz w:val="21"/>
                <w:szCs w:val="21"/>
                <w:lang w:val="en-US" w:eastAsia="zh-CN"/>
              </w:rPr>
              <w:t>一览表</w:t>
            </w:r>
          </w:p>
          <w:tbl>
            <w:tblPr>
              <w:tblStyle w:val="22"/>
              <w:tblW w:w="90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8"/>
              <w:gridCol w:w="1369"/>
              <w:gridCol w:w="1577"/>
              <w:gridCol w:w="2377"/>
              <w:gridCol w:w="1289"/>
              <w:gridCol w:w="1358"/>
            </w:tblGrid>
            <w:tr w14:paraId="2FE9B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 w:hRule="atLeast"/>
                <w:jc w:val="center"/>
              </w:trPr>
              <w:tc>
                <w:tcPr>
                  <w:tcW w:w="1068" w:type="dxa"/>
                  <w:tcBorders>
                    <w:bottom w:val="nil"/>
                  </w:tcBorders>
                  <w:vAlign w:val="center"/>
                </w:tcPr>
                <w:p w14:paraId="7F19FC52">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工程编号</w:t>
                  </w:r>
                </w:p>
              </w:tc>
              <w:tc>
                <w:tcPr>
                  <w:tcW w:w="1369" w:type="dxa"/>
                  <w:vAlign w:val="center"/>
                </w:tcPr>
                <w:p w14:paraId="7B919532">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部署位置</w:t>
                  </w:r>
                </w:p>
              </w:tc>
              <w:tc>
                <w:tcPr>
                  <w:tcW w:w="1577" w:type="dxa"/>
                  <w:vAlign w:val="center"/>
                </w:tcPr>
                <w:p w14:paraId="544FCF51">
                  <w:pPr>
                    <w:pStyle w:val="20"/>
                    <w:spacing w:line="240" w:lineRule="auto"/>
                    <w:ind w:firstLine="0" w:firstLineChars="0"/>
                    <w:jc w:val="center"/>
                    <w:rPr>
                      <w:rFonts w:hint="default" w:ascii="Times New Roman" w:hAnsi="Times New Roman" w:cs="Times New Roman"/>
                      <w:spacing w:val="7"/>
                      <w:sz w:val="21"/>
                      <w:szCs w:val="21"/>
                      <w:lang w:val="en-US" w:eastAsia="zh-CN"/>
                    </w:rPr>
                  </w:pPr>
                  <w:r>
                    <w:rPr>
                      <w:rFonts w:hint="default" w:ascii="Times New Roman" w:hAnsi="Times New Roman" w:cs="Times New Roman"/>
                      <w:spacing w:val="7"/>
                      <w:sz w:val="21"/>
                      <w:szCs w:val="21"/>
                      <w:lang w:val="en-US" w:eastAsia="zh-CN"/>
                    </w:rPr>
                    <w:t>单位</w:t>
                  </w:r>
                </w:p>
              </w:tc>
              <w:tc>
                <w:tcPr>
                  <w:tcW w:w="2377" w:type="dxa"/>
                  <w:vAlign w:val="center"/>
                </w:tcPr>
                <w:p w14:paraId="337B9DBA">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设计工作量</w:t>
                  </w:r>
                </w:p>
              </w:tc>
              <w:tc>
                <w:tcPr>
                  <w:tcW w:w="1289" w:type="dxa"/>
                  <w:tcBorders>
                    <w:bottom w:val="nil"/>
                  </w:tcBorders>
                  <w:vAlign w:val="center"/>
                </w:tcPr>
                <w:p w14:paraId="1676398F">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方位角（°）</w:t>
                  </w:r>
                </w:p>
              </w:tc>
              <w:tc>
                <w:tcPr>
                  <w:tcW w:w="1358" w:type="dxa"/>
                  <w:tcBorders>
                    <w:bottom w:val="nil"/>
                  </w:tcBorders>
                  <w:vAlign w:val="center"/>
                </w:tcPr>
                <w:p w14:paraId="20304AFF">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备注</w:t>
                  </w:r>
                </w:p>
              </w:tc>
            </w:tr>
            <w:tr w14:paraId="77A07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1068" w:type="dxa"/>
                  <w:vAlign w:val="center"/>
                </w:tcPr>
                <w:p w14:paraId="69AC4806">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TC</w:t>
                  </w:r>
                  <w:r>
                    <w:rPr>
                      <w:rFonts w:hint="default" w:ascii="Times New Roman" w:hAnsi="Times New Roman" w:cs="Times New Roman"/>
                      <w:spacing w:val="7"/>
                      <w:sz w:val="21"/>
                      <w:szCs w:val="21"/>
                      <w:lang w:val="en-US" w:eastAsia="zh-CN"/>
                    </w:rPr>
                    <w:t>0-1</w:t>
                  </w:r>
                </w:p>
              </w:tc>
              <w:tc>
                <w:tcPr>
                  <w:tcW w:w="1369" w:type="dxa"/>
                  <w:vAlign w:val="center"/>
                </w:tcPr>
                <w:p w14:paraId="18AA0A21">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0线</w:t>
                  </w:r>
                </w:p>
              </w:tc>
              <w:tc>
                <w:tcPr>
                  <w:tcW w:w="1577" w:type="dxa"/>
                  <w:vAlign w:val="center"/>
                </w:tcPr>
                <w:p w14:paraId="017E7FE6">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立方米</w:t>
                  </w:r>
                </w:p>
              </w:tc>
              <w:tc>
                <w:tcPr>
                  <w:tcW w:w="2377" w:type="dxa"/>
                  <w:vAlign w:val="center"/>
                </w:tcPr>
                <w:p w14:paraId="1649A944">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220</w:t>
                  </w:r>
                </w:p>
              </w:tc>
              <w:tc>
                <w:tcPr>
                  <w:tcW w:w="1289" w:type="dxa"/>
                  <w:tcBorders>
                    <w:right w:val="single" w:color="auto" w:sz="4" w:space="0"/>
                  </w:tcBorders>
                  <w:vAlign w:val="center"/>
                </w:tcPr>
                <w:p w14:paraId="19EC3D93">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330</w:t>
                  </w:r>
                </w:p>
              </w:tc>
              <w:tc>
                <w:tcPr>
                  <w:tcW w:w="1358" w:type="dxa"/>
                  <w:tcBorders>
                    <w:top w:val="single" w:color="auto" w:sz="4" w:space="0"/>
                    <w:left w:val="single" w:color="auto" w:sz="4" w:space="0"/>
                    <w:bottom w:val="single" w:color="auto" w:sz="4" w:space="0"/>
                    <w:right w:val="single" w:color="auto" w:sz="4" w:space="0"/>
                  </w:tcBorders>
                  <w:vAlign w:val="center"/>
                </w:tcPr>
                <w:p w14:paraId="4133CA65">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Mn1矿体</w:t>
                  </w:r>
                </w:p>
              </w:tc>
            </w:tr>
            <w:tr w14:paraId="6E491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1068" w:type="dxa"/>
                  <w:vAlign w:val="center"/>
                </w:tcPr>
                <w:p w14:paraId="0BD5653B">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TC</w:t>
                  </w:r>
                  <w:r>
                    <w:rPr>
                      <w:rFonts w:hint="default" w:ascii="Times New Roman" w:hAnsi="Times New Roman" w:cs="Times New Roman"/>
                      <w:spacing w:val="7"/>
                      <w:sz w:val="21"/>
                      <w:szCs w:val="21"/>
                      <w:lang w:val="en-US" w:eastAsia="zh-CN"/>
                    </w:rPr>
                    <w:t>15-1</w:t>
                  </w:r>
                </w:p>
              </w:tc>
              <w:tc>
                <w:tcPr>
                  <w:tcW w:w="1369" w:type="dxa"/>
                  <w:vAlign w:val="center"/>
                </w:tcPr>
                <w:p w14:paraId="03583B0F">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15线</w:t>
                  </w:r>
                </w:p>
              </w:tc>
              <w:tc>
                <w:tcPr>
                  <w:tcW w:w="1577" w:type="dxa"/>
                  <w:vAlign w:val="center"/>
                </w:tcPr>
                <w:p w14:paraId="1FA0021D">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立方米</w:t>
                  </w:r>
                </w:p>
              </w:tc>
              <w:tc>
                <w:tcPr>
                  <w:tcW w:w="2377" w:type="dxa"/>
                  <w:vAlign w:val="center"/>
                </w:tcPr>
                <w:p w14:paraId="18A12A91">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220</w:t>
                  </w:r>
                </w:p>
              </w:tc>
              <w:tc>
                <w:tcPr>
                  <w:tcW w:w="1289" w:type="dxa"/>
                  <w:tcBorders>
                    <w:right w:val="single" w:color="auto" w:sz="4" w:space="0"/>
                  </w:tcBorders>
                  <w:vAlign w:val="center"/>
                </w:tcPr>
                <w:p w14:paraId="2B9BB0B3">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330</w:t>
                  </w:r>
                </w:p>
              </w:tc>
              <w:tc>
                <w:tcPr>
                  <w:tcW w:w="1358" w:type="dxa"/>
                  <w:tcBorders>
                    <w:top w:val="single" w:color="auto" w:sz="4" w:space="0"/>
                    <w:left w:val="single" w:color="auto" w:sz="4" w:space="0"/>
                    <w:bottom w:val="single" w:color="auto" w:sz="4" w:space="0"/>
                    <w:right w:val="single" w:color="auto" w:sz="4" w:space="0"/>
                  </w:tcBorders>
                  <w:vAlign w:val="center"/>
                </w:tcPr>
                <w:p w14:paraId="286ABEC3">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Mn2矿体</w:t>
                  </w:r>
                </w:p>
              </w:tc>
            </w:tr>
            <w:tr w14:paraId="6F2BC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1068" w:type="dxa"/>
                  <w:vAlign w:val="center"/>
                </w:tcPr>
                <w:p w14:paraId="7D5BC66B">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TC</w:t>
                  </w:r>
                  <w:r>
                    <w:rPr>
                      <w:rFonts w:hint="default" w:ascii="Times New Roman" w:hAnsi="Times New Roman" w:cs="Times New Roman"/>
                      <w:spacing w:val="7"/>
                      <w:sz w:val="21"/>
                      <w:szCs w:val="21"/>
                      <w:lang w:val="en-US" w:eastAsia="zh-CN"/>
                    </w:rPr>
                    <w:t>7-1</w:t>
                  </w:r>
                </w:p>
              </w:tc>
              <w:tc>
                <w:tcPr>
                  <w:tcW w:w="1369" w:type="dxa"/>
                  <w:vAlign w:val="center"/>
                </w:tcPr>
                <w:p w14:paraId="6F736653">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7线</w:t>
                  </w:r>
                </w:p>
              </w:tc>
              <w:tc>
                <w:tcPr>
                  <w:tcW w:w="1577" w:type="dxa"/>
                  <w:vAlign w:val="center"/>
                </w:tcPr>
                <w:p w14:paraId="16A90C02">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立方米</w:t>
                  </w:r>
                </w:p>
              </w:tc>
              <w:tc>
                <w:tcPr>
                  <w:tcW w:w="2377" w:type="dxa"/>
                  <w:vAlign w:val="center"/>
                </w:tcPr>
                <w:p w14:paraId="1417CE6C">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180</w:t>
                  </w:r>
                </w:p>
              </w:tc>
              <w:tc>
                <w:tcPr>
                  <w:tcW w:w="1289" w:type="dxa"/>
                  <w:tcBorders>
                    <w:right w:val="single" w:color="auto" w:sz="4" w:space="0"/>
                  </w:tcBorders>
                  <w:vAlign w:val="center"/>
                </w:tcPr>
                <w:p w14:paraId="0AA8FD72">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330</w:t>
                  </w:r>
                </w:p>
              </w:tc>
              <w:tc>
                <w:tcPr>
                  <w:tcW w:w="1358" w:type="dxa"/>
                  <w:vMerge w:val="restart"/>
                  <w:tcBorders>
                    <w:top w:val="single" w:color="auto" w:sz="4" w:space="0"/>
                    <w:left w:val="single" w:color="auto" w:sz="4" w:space="0"/>
                    <w:right w:val="single" w:color="auto" w:sz="4" w:space="0"/>
                  </w:tcBorders>
                  <w:vAlign w:val="center"/>
                </w:tcPr>
                <w:p w14:paraId="42EB25D5">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锰矿化带</w:t>
                  </w:r>
                </w:p>
              </w:tc>
            </w:tr>
            <w:tr w14:paraId="2EE9E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1068" w:type="dxa"/>
                  <w:vAlign w:val="center"/>
                </w:tcPr>
                <w:p w14:paraId="4DAC68DF">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TC</w:t>
                  </w:r>
                  <w:r>
                    <w:rPr>
                      <w:rFonts w:hint="default" w:ascii="Times New Roman" w:hAnsi="Times New Roman" w:cs="Times New Roman"/>
                      <w:spacing w:val="7"/>
                      <w:sz w:val="21"/>
                      <w:szCs w:val="21"/>
                      <w:lang w:val="en-US" w:eastAsia="zh-CN"/>
                    </w:rPr>
                    <w:t>8-1</w:t>
                  </w:r>
                </w:p>
              </w:tc>
              <w:tc>
                <w:tcPr>
                  <w:tcW w:w="1369" w:type="dxa"/>
                  <w:vAlign w:val="center"/>
                </w:tcPr>
                <w:p w14:paraId="599FD4E8">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8线</w:t>
                  </w:r>
                </w:p>
              </w:tc>
              <w:tc>
                <w:tcPr>
                  <w:tcW w:w="1577" w:type="dxa"/>
                  <w:vAlign w:val="center"/>
                </w:tcPr>
                <w:p w14:paraId="5493F5C3">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立方米</w:t>
                  </w:r>
                </w:p>
              </w:tc>
              <w:tc>
                <w:tcPr>
                  <w:tcW w:w="2377" w:type="dxa"/>
                  <w:vAlign w:val="center"/>
                </w:tcPr>
                <w:p w14:paraId="793722B9">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180</w:t>
                  </w:r>
                </w:p>
              </w:tc>
              <w:tc>
                <w:tcPr>
                  <w:tcW w:w="1289" w:type="dxa"/>
                  <w:vAlign w:val="center"/>
                </w:tcPr>
                <w:p w14:paraId="66A0FD70">
                  <w:pPr>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330</w:t>
                  </w:r>
                </w:p>
              </w:tc>
              <w:tc>
                <w:tcPr>
                  <w:tcW w:w="1358" w:type="dxa"/>
                  <w:vMerge w:val="continue"/>
                  <w:tcBorders>
                    <w:left w:val="single" w:color="auto" w:sz="4" w:space="0"/>
                    <w:right w:val="single" w:color="auto" w:sz="4" w:space="0"/>
                  </w:tcBorders>
                  <w:vAlign w:val="center"/>
                </w:tcPr>
                <w:p w14:paraId="5156B0E2">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p>
              </w:tc>
            </w:tr>
            <w:tr w14:paraId="26E60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2437" w:type="dxa"/>
                  <w:gridSpan w:val="2"/>
                  <w:vAlign w:val="center"/>
                </w:tcPr>
                <w:p w14:paraId="1CA74796">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探槽数量</w:t>
                  </w:r>
                </w:p>
              </w:tc>
              <w:tc>
                <w:tcPr>
                  <w:tcW w:w="1577" w:type="dxa"/>
                  <w:vAlign w:val="center"/>
                </w:tcPr>
                <w:p w14:paraId="23A57601">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4</w:t>
                  </w:r>
                  <w:r>
                    <w:rPr>
                      <w:rFonts w:hint="default" w:ascii="Times New Roman" w:hAnsi="Times New Roman" w:eastAsia="宋体" w:cs="Times New Roman"/>
                      <w:spacing w:val="7"/>
                      <w:sz w:val="21"/>
                      <w:szCs w:val="21"/>
                      <w:lang w:val="en-US" w:eastAsia="zh-CN"/>
                    </w:rPr>
                    <w:t>个</w:t>
                  </w:r>
                </w:p>
              </w:tc>
              <w:tc>
                <w:tcPr>
                  <w:tcW w:w="2377" w:type="dxa"/>
                  <w:vAlign w:val="center"/>
                </w:tcPr>
                <w:p w14:paraId="2756088F">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探槽</w:t>
                  </w:r>
                  <w:r>
                    <w:rPr>
                      <w:rFonts w:hint="default" w:ascii="Times New Roman" w:hAnsi="Times New Roman" w:cs="Times New Roman"/>
                      <w:spacing w:val="7"/>
                      <w:sz w:val="21"/>
                      <w:szCs w:val="21"/>
                      <w:lang w:val="en-US" w:eastAsia="zh-CN"/>
                    </w:rPr>
                    <w:t>工作量</w:t>
                  </w:r>
                  <w:r>
                    <w:rPr>
                      <w:rFonts w:hint="default" w:ascii="Times New Roman" w:hAnsi="Times New Roman" w:eastAsia="宋体" w:cs="Times New Roman"/>
                      <w:spacing w:val="7"/>
                      <w:sz w:val="21"/>
                      <w:szCs w:val="21"/>
                      <w:lang w:val="en-US" w:eastAsia="zh-CN"/>
                    </w:rPr>
                    <w:t>（m</w:t>
                  </w:r>
                  <w:r>
                    <w:rPr>
                      <w:rFonts w:hint="default" w:ascii="Times New Roman" w:hAnsi="Times New Roman" w:cs="Times New Roman"/>
                      <w:spacing w:val="7"/>
                      <w:sz w:val="21"/>
                      <w:szCs w:val="21"/>
                      <w:vertAlign w:val="superscript"/>
                      <w:lang w:val="en-US" w:eastAsia="zh-CN"/>
                    </w:rPr>
                    <w:t>3</w:t>
                  </w:r>
                  <w:r>
                    <w:rPr>
                      <w:rFonts w:hint="default" w:ascii="Times New Roman" w:hAnsi="Times New Roman" w:eastAsia="宋体" w:cs="Times New Roman"/>
                      <w:spacing w:val="7"/>
                      <w:sz w:val="21"/>
                      <w:szCs w:val="21"/>
                      <w:lang w:val="en-US" w:eastAsia="zh-CN"/>
                    </w:rPr>
                    <w:t>）</w:t>
                  </w:r>
                </w:p>
              </w:tc>
              <w:tc>
                <w:tcPr>
                  <w:tcW w:w="2647" w:type="dxa"/>
                  <w:gridSpan w:val="2"/>
                  <w:vAlign w:val="center"/>
                </w:tcPr>
                <w:p w14:paraId="4C56293C">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800</w:t>
                  </w:r>
                </w:p>
              </w:tc>
            </w:tr>
          </w:tbl>
          <w:p w14:paraId="02C47542">
            <w:pPr>
              <w:snapToGrid w:val="0"/>
              <w:spacing w:line="500" w:lineRule="exact"/>
              <w:ind w:firstLine="480" w:firstLineChars="200"/>
              <w:rPr>
                <w:rFonts w:hint="default" w:ascii="Times New Roman" w:hAnsi="Times New Roman" w:cs="Times New Roman"/>
                <w:lang w:val="en-US" w:eastAsia="zh-CN"/>
              </w:rPr>
            </w:pPr>
            <w:r>
              <w:rPr>
                <w:rFonts w:hint="default" w:ascii="Times New Roman" w:hAnsi="Times New Roman" w:cs="Times New Roman"/>
                <w:lang w:val="en-US" w:eastAsia="zh-CN"/>
              </w:rPr>
              <w:t>槽探工艺为表土剥离、探槽开挖、取样、回填、表土覆盖，槽探工艺流程及产污环节见图2-4。</w:t>
            </w:r>
          </w:p>
          <w:p w14:paraId="33172D29">
            <w:pPr>
              <w:keepNext/>
              <w:keepLines/>
              <w:widowControl/>
              <w:adjustRightInd w:val="0"/>
              <w:snapToGrid w:val="0"/>
              <w:spacing w:line="480" w:lineRule="exact"/>
              <w:jc w:val="center"/>
              <w:outlineLvl w:val="2"/>
              <w:rPr>
                <w:rFonts w:hint="default" w:ascii="Times New Roman" w:hAnsi="Times New Roman" w:cs="Times New Roman"/>
                <w:lang w:val="en-US" w:eastAsia="zh-CN"/>
              </w:rPr>
            </w:pPr>
            <w:r>
              <w:rPr>
                <w:rFonts w:hint="default" w:ascii="Times New Roman" w:hAnsi="Times New Roman" w:cs="Times New Roman"/>
              </w:rPr>
              <w:drawing>
                <wp:anchor distT="0" distB="0" distL="0" distR="0" simplePos="0" relativeHeight="251659264" behindDoc="0" locked="0" layoutInCell="1" allowOverlap="1">
                  <wp:simplePos x="0" y="0"/>
                  <wp:positionH relativeFrom="column">
                    <wp:posOffset>347345</wp:posOffset>
                  </wp:positionH>
                  <wp:positionV relativeFrom="paragraph">
                    <wp:posOffset>138430</wp:posOffset>
                  </wp:positionV>
                  <wp:extent cx="4938395" cy="2108835"/>
                  <wp:effectExtent l="0" t="0" r="14605" b="5715"/>
                  <wp:wrapTopAndBottom/>
                  <wp:docPr id="1031" name="图片 4"/>
                  <wp:cNvGraphicFramePr/>
                  <a:graphic xmlns:a="http://schemas.openxmlformats.org/drawingml/2006/main">
                    <a:graphicData uri="http://schemas.openxmlformats.org/drawingml/2006/picture">
                      <pic:pic xmlns:pic="http://schemas.openxmlformats.org/drawingml/2006/picture">
                        <pic:nvPicPr>
                          <pic:cNvPr id="1031" name="图片 4"/>
                          <pic:cNvPicPr/>
                        </pic:nvPicPr>
                        <pic:blipFill>
                          <a:blip r:embed="rId12" cstate="print">
                            <a:lum bright="-18000" contrast="30001"/>
                          </a:blip>
                          <a:srcRect l="1350" r="31360" b="61304"/>
                          <a:stretch>
                            <a:fillRect/>
                          </a:stretch>
                        </pic:blipFill>
                        <pic:spPr>
                          <a:xfrm>
                            <a:off x="0" y="0"/>
                            <a:ext cx="4938395" cy="2108835"/>
                          </a:xfrm>
                          <a:prstGeom prst="rect">
                            <a:avLst/>
                          </a:prstGeom>
                          <a:ln>
                            <a:noFill/>
                          </a:ln>
                        </pic:spPr>
                      </pic:pic>
                    </a:graphicData>
                  </a:graphic>
                </wp:anchor>
              </w:drawing>
            </w:r>
            <w:r>
              <w:rPr>
                <w:rFonts w:hint="default" w:ascii="Times New Roman" w:hAnsi="Times New Roman" w:cs="Times New Roman"/>
                <w:b/>
                <w:color w:val="000000"/>
                <w:kern w:val="0"/>
                <w:sz w:val="21"/>
                <w:szCs w:val="21"/>
                <w:highlight w:val="none"/>
                <w:lang w:val="en-US" w:eastAsia="zh-CN"/>
              </w:rPr>
              <w:t>图2-4槽探工艺流程及产污环节图</w:t>
            </w:r>
          </w:p>
          <w:p w14:paraId="04E67EA8">
            <w:pPr>
              <w:snapToGrid w:val="0"/>
              <w:spacing w:line="500" w:lineRule="exact"/>
              <w:rPr>
                <w:rFonts w:hint="default" w:ascii="Times New Roman" w:hAnsi="Times New Roman" w:cs="Times New Roman"/>
                <w:lang w:val="en-US" w:eastAsia="zh-CN"/>
              </w:rPr>
            </w:pPr>
            <w:r>
              <w:rPr>
                <w:rFonts w:hint="default" w:ascii="Times New Roman" w:hAnsi="Times New Roman" w:cs="Times New Roman"/>
                <w:lang w:val="en-US" w:eastAsia="zh-CN"/>
              </w:rPr>
              <w:t>5.钻探工程</w:t>
            </w:r>
          </w:p>
          <w:p w14:paraId="2CFE4FDF">
            <w:pPr>
              <w:pStyle w:val="20"/>
              <w:ind w:firstLine="480"/>
              <w:rPr>
                <w:rFonts w:hint="default" w:ascii="Times New Roman" w:hAnsi="Times New Roman" w:cs="Times New Roman"/>
                <w:lang w:val="en-US" w:eastAsia="zh-CN"/>
              </w:rPr>
            </w:pPr>
            <w:r>
              <w:rPr>
                <w:rFonts w:hint="default" w:ascii="Times New Roman" w:hAnsi="Times New Roman" w:cs="Times New Roman"/>
                <w:lang w:val="en-US" w:eastAsia="zh-CN"/>
              </w:rPr>
              <w:t xml:space="preserve">在地表实施少量的钻探工程，验证地表矿（化）体在深部的延深、规模、形态、厚度、品位变化情况，为后期转入详查提供依据。 </w:t>
            </w:r>
          </w:p>
          <w:p w14:paraId="68878E9E">
            <w:pPr>
              <w:pStyle w:val="20"/>
              <w:ind w:firstLine="480"/>
              <w:rPr>
                <w:rFonts w:hint="default" w:ascii="Times New Roman" w:hAnsi="Times New Roman" w:cs="Times New Roman"/>
                <w:lang w:val="en-US" w:eastAsia="zh-CN"/>
              </w:rPr>
            </w:pPr>
            <w:r>
              <w:rPr>
                <w:rFonts w:hint="default" w:ascii="Times New Roman" w:hAnsi="Times New Roman" w:cs="Times New Roman"/>
                <w:lang w:val="en-US" w:eastAsia="zh-CN"/>
              </w:rPr>
              <w:t xml:space="preserve">钻探工程按“由浅入深，由疏至密，循序渐进” 的原则布设。力求查明区内矿（化）体的空间分布规律及其含矿性。钻探工程初步针对区内Mn1、Mn2号矿体布设，设计工作量500米，控制矿体斜深200米，另500米作为机动工作量，根据区内实际找矿成果进一步综合部署，因本次勘查工作处于普查找矿阶段，对勘查间距不做具体规定。 </w:t>
            </w:r>
          </w:p>
          <w:p w14:paraId="7A3E2ED3">
            <w:pPr>
              <w:pStyle w:val="20"/>
              <w:ind w:firstLine="480"/>
              <w:rPr>
                <w:rFonts w:hint="default" w:ascii="Times New Roman" w:hAnsi="Times New Roman" w:cs="Times New Roman"/>
                <w:lang w:val="en-US" w:eastAsia="zh-CN"/>
              </w:rPr>
            </w:pPr>
            <w:r>
              <w:rPr>
                <w:rFonts w:hint="default" w:ascii="Times New Roman" w:hAnsi="Times New Roman" w:cs="Times New Roman"/>
                <w:lang w:val="en-US" w:eastAsia="zh-CN"/>
              </w:rPr>
              <w:t>初步设计工作量1000m，钻探设计详见表2-8。</w:t>
            </w:r>
          </w:p>
          <w:p w14:paraId="0E05E229">
            <w:pPr>
              <w:pStyle w:val="20"/>
              <w:ind w:left="0" w:leftChars="0" w:firstLine="0" w:firstLineChars="0"/>
              <w:jc w:val="center"/>
              <w:rPr>
                <w:rFonts w:hint="default" w:ascii="Times New Roman" w:hAnsi="Times New Roman" w:eastAsia="宋体" w:cs="Times New Roman"/>
                <w:b/>
                <w:color w:val="000000"/>
                <w:kern w:val="0"/>
                <w:sz w:val="21"/>
                <w:szCs w:val="21"/>
                <w:lang w:val="en-US" w:eastAsia="zh-CN"/>
              </w:rPr>
            </w:pPr>
            <w:r>
              <w:rPr>
                <w:rFonts w:hint="default" w:ascii="Times New Roman" w:hAnsi="Times New Roman" w:eastAsia="宋体" w:cs="Times New Roman"/>
                <w:b/>
                <w:color w:val="000000"/>
                <w:kern w:val="0"/>
                <w:sz w:val="21"/>
                <w:szCs w:val="21"/>
                <w:lang w:val="en-US" w:eastAsia="zh-CN"/>
              </w:rPr>
              <w:t>表2-</w:t>
            </w:r>
            <w:r>
              <w:rPr>
                <w:rFonts w:hint="default" w:ascii="Times New Roman" w:hAnsi="Times New Roman" w:cs="Times New Roman"/>
                <w:b/>
                <w:color w:val="000000"/>
                <w:kern w:val="0"/>
                <w:sz w:val="21"/>
                <w:szCs w:val="21"/>
                <w:lang w:val="en-US" w:eastAsia="zh-CN"/>
              </w:rPr>
              <w:t>8项目</w:t>
            </w:r>
            <w:r>
              <w:rPr>
                <w:rFonts w:hint="default" w:ascii="Times New Roman" w:hAnsi="Times New Roman" w:eastAsia="宋体" w:cs="Times New Roman"/>
                <w:b/>
                <w:color w:val="000000"/>
                <w:kern w:val="0"/>
                <w:sz w:val="21"/>
                <w:szCs w:val="21"/>
                <w:lang w:val="en-US" w:eastAsia="zh-CN"/>
              </w:rPr>
              <w:t>钻探工程一览表</w:t>
            </w:r>
          </w:p>
          <w:tbl>
            <w:tblPr>
              <w:tblStyle w:val="22"/>
              <w:tblW w:w="90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1055"/>
              <w:gridCol w:w="1785"/>
              <w:gridCol w:w="977"/>
              <w:gridCol w:w="1108"/>
              <w:gridCol w:w="940"/>
              <w:gridCol w:w="1918"/>
            </w:tblGrid>
            <w:tr w14:paraId="67AFE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1254" w:type="dxa"/>
                  <w:tcBorders>
                    <w:bottom w:val="nil"/>
                  </w:tcBorders>
                  <w:vAlign w:val="center"/>
                </w:tcPr>
                <w:p w14:paraId="7B4E8381">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工程编号</w:t>
                  </w:r>
                </w:p>
              </w:tc>
              <w:tc>
                <w:tcPr>
                  <w:tcW w:w="2840" w:type="dxa"/>
                  <w:gridSpan w:val="2"/>
                  <w:vAlign w:val="center"/>
                </w:tcPr>
                <w:p w14:paraId="10482FEA">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设计钻孔位值</w:t>
                  </w:r>
                </w:p>
              </w:tc>
              <w:tc>
                <w:tcPr>
                  <w:tcW w:w="977" w:type="dxa"/>
                  <w:tcBorders>
                    <w:bottom w:val="nil"/>
                  </w:tcBorders>
                  <w:vAlign w:val="center"/>
                </w:tcPr>
                <w:p w14:paraId="3230ACB7">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孔深（m）</w:t>
                  </w:r>
                </w:p>
              </w:tc>
              <w:tc>
                <w:tcPr>
                  <w:tcW w:w="1108" w:type="dxa"/>
                  <w:tcBorders>
                    <w:bottom w:val="nil"/>
                  </w:tcBorders>
                  <w:vAlign w:val="center"/>
                </w:tcPr>
                <w:p w14:paraId="2C263D14">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方位角（°）</w:t>
                  </w:r>
                </w:p>
              </w:tc>
              <w:tc>
                <w:tcPr>
                  <w:tcW w:w="940" w:type="dxa"/>
                  <w:tcBorders>
                    <w:bottom w:val="nil"/>
                  </w:tcBorders>
                  <w:vAlign w:val="center"/>
                </w:tcPr>
                <w:p w14:paraId="030E13DB">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倾角（°）</w:t>
                  </w:r>
                </w:p>
              </w:tc>
              <w:tc>
                <w:tcPr>
                  <w:tcW w:w="1918" w:type="dxa"/>
                  <w:tcBorders>
                    <w:bottom w:val="nil"/>
                  </w:tcBorders>
                  <w:vAlign w:val="center"/>
                </w:tcPr>
                <w:p w14:paraId="15B6EE1E">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施工目的</w:t>
                  </w:r>
                </w:p>
              </w:tc>
            </w:tr>
            <w:tr w14:paraId="67697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jc w:val="center"/>
              </w:trPr>
              <w:tc>
                <w:tcPr>
                  <w:tcW w:w="1254" w:type="dxa"/>
                  <w:vAlign w:val="center"/>
                </w:tcPr>
                <w:p w14:paraId="307E00F2">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ZK0</w:t>
                  </w:r>
                  <w:r>
                    <w:rPr>
                      <w:rFonts w:hint="default" w:ascii="Times New Roman" w:hAnsi="Times New Roman" w:cs="Times New Roman"/>
                      <w:spacing w:val="7"/>
                      <w:sz w:val="21"/>
                      <w:szCs w:val="21"/>
                      <w:lang w:val="en-US" w:eastAsia="zh-CN"/>
                    </w:rPr>
                    <w:t>-</w:t>
                  </w:r>
                  <w:r>
                    <w:rPr>
                      <w:rFonts w:hint="default" w:ascii="Times New Roman" w:hAnsi="Times New Roman" w:eastAsia="宋体" w:cs="Times New Roman"/>
                      <w:spacing w:val="7"/>
                      <w:sz w:val="21"/>
                      <w:szCs w:val="21"/>
                      <w:lang w:val="en-US" w:eastAsia="zh-CN"/>
                    </w:rPr>
                    <w:t>1</w:t>
                  </w:r>
                </w:p>
              </w:tc>
              <w:tc>
                <w:tcPr>
                  <w:tcW w:w="2840" w:type="dxa"/>
                  <w:gridSpan w:val="2"/>
                  <w:vAlign w:val="center"/>
                </w:tcPr>
                <w:p w14:paraId="3A00A55F">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Mn1矿体150°方向220米处</w:t>
                  </w:r>
                </w:p>
              </w:tc>
              <w:tc>
                <w:tcPr>
                  <w:tcW w:w="977" w:type="dxa"/>
                  <w:vAlign w:val="center"/>
                </w:tcPr>
                <w:p w14:paraId="45EF8B4F">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270</w:t>
                  </w:r>
                </w:p>
              </w:tc>
              <w:tc>
                <w:tcPr>
                  <w:tcW w:w="1108" w:type="dxa"/>
                  <w:vAlign w:val="center"/>
                </w:tcPr>
                <w:p w14:paraId="3DE08757">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330</w:t>
                  </w:r>
                </w:p>
              </w:tc>
              <w:tc>
                <w:tcPr>
                  <w:tcW w:w="940" w:type="dxa"/>
                  <w:vAlign w:val="center"/>
                </w:tcPr>
                <w:p w14:paraId="4178470C">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75</w:t>
                  </w:r>
                </w:p>
              </w:tc>
              <w:tc>
                <w:tcPr>
                  <w:tcW w:w="1918" w:type="dxa"/>
                  <w:vAlign w:val="center"/>
                </w:tcPr>
                <w:p w14:paraId="247A0483">
                  <w:pPr>
                    <w:keepNext w:val="0"/>
                    <w:keepLines w:val="0"/>
                    <w:widowControl/>
                    <w:suppressLineNumbers w:val="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kern w:val="0"/>
                      <w:sz w:val="21"/>
                      <w:szCs w:val="21"/>
                      <w:lang w:val="en-US" w:eastAsia="zh-CN" w:bidi="ar-SA"/>
                    </w:rPr>
                    <w:t>控制Mn1号矿体延深200米</w:t>
                  </w:r>
                </w:p>
              </w:tc>
            </w:tr>
            <w:tr w14:paraId="32B83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jc w:val="center"/>
              </w:trPr>
              <w:tc>
                <w:tcPr>
                  <w:tcW w:w="1254" w:type="dxa"/>
                  <w:vAlign w:val="center"/>
                </w:tcPr>
                <w:p w14:paraId="4B674D96">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ZK</w:t>
                  </w:r>
                  <w:r>
                    <w:rPr>
                      <w:rFonts w:hint="default" w:ascii="Times New Roman" w:hAnsi="Times New Roman" w:cs="Times New Roman"/>
                      <w:spacing w:val="7"/>
                      <w:sz w:val="21"/>
                      <w:szCs w:val="21"/>
                      <w:lang w:val="en-US" w:eastAsia="zh-CN"/>
                    </w:rPr>
                    <w:t>1</w:t>
                  </w:r>
                  <w:r>
                    <w:rPr>
                      <w:rFonts w:hint="default" w:ascii="Times New Roman" w:hAnsi="Times New Roman" w:eastAsia="宋体" w:cs="Times New Roman"/>
                      <w:spacing w:val="7"/>
                      <w:sz w:val="21"/>
                      <w:szCs w:val="21"/>
                      <w:lang w:val="en-US" w:eastAsia="zh-CN"/>
                    </w:rPr>
                    <w:t>5</w:t>
                  </w:r>
                  <w:r>
                    <w:rPr>
                      <w:rFonts w:hint="default" w:ascii="Times New Roman" w:hAnsi="Times New Roman" w:cs="Times New Roman"/>
                      <w:spacing w:val="7"/>
                      <w:sz w:val="21"/>
                      <w:szCs w:val="21"/>
                      <w:lang w:val="en-US" w:eastAsia="zh-CN"/>
                    </w:rPr>
                    <w:t>-</w:t>
                  </w:r>
                  <w:r>
                    <w:rPr>
                      <w:rFonts w:hint="default" w:ascii="Times New Roman" w:hAnsi="Times New Roman" w:eastAsia="宋体" w:cs="Times New Roman"/>
                      <w:spacing w:val="7"/>
                      <w:sz w:val="21"/>
                      <w:szCs w:val="21"/>
                      <w:lang w:val="en-US" w:eastAsia="zh-CN"/>
                    </w:rPr>
                    <w:t>2</w:t>
                  </w:r>
                </w:p>
              </w:tc>
              <w:tc>
                <w:tcPr>
                  <w:tcW w:w="2840" w:type="dxa"/>
                  <w:gridSpan w:val="2"/>
                  <w:vAlign w:val="center"/>
                </w:tcPr>
                <w:p w14:paraId="5BD4BDA0">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Mn2矿体150°方向130米处</w:t>
                  </w:r>
                </w:p>
              </w:tc>
              <w:tc>
                <w:tcPr>
                  <w:tcW w:w="977" w:type="dxa"/>
                  <w:vAlign w:val="center"/>
                </w:tcPr>
                <w:p w14:paraId="555D0E11">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230</w:t>
                  </w:r>
                </w:p>
              </w:tc>
              <w:tc>
                <w:tcPr>
                  <w:tcW w:w="1108" w:type="dxa"/>
                  <w:vAlign w:val="center"/>
                </w:tcPr>
                <w:p w14:paraId="10199E61">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330</w:t>
                  </w:r>
                </w:p>
              </w:tc>
              <w:tc>
                <w:tcPr>
                  <w:tcW w:w="940" w:type="dxa"/>
                  <w:vAlign w:val="center"/>
                </w:tcPr>
                <w:p w14:paraId="09D49C0E">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75</w:t>
                  </w:r>
                </w:p>
              </w:tc>
              <w:tc>
                <w:tcPr>
                  <w:tcW w:w="1918" w:type="dxa"/>
                  <w:vAlign w:val="center"/>
                </w:tcPr>
                <w:p w14:paraId="26B0AF70">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kern w:val="0"/>
                      <w:sz w:val="21"/>
                      <w:szCs w:val="21"/>
                      <w:lang w:val="en-US" w:eastAsia="zh-CN" w:bidi="ar-SA"/>
                    </w:rPr>
                    <w:t>控制Mn2号矿体延深200米</w:t>
                  </w:r>
                </w:p>
              </w:tc>
            </w:tr>
            <w:tr w14:paraId="4CBF6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jc w:val="center"/>
              </w:trPr>
              <w:tc>
                <w:tcPr>
                  <w:tcW w:w="1254" w:type="dxa"/>
                  <w:vAlign w:val="center"/>
                </w:tcPr>
                <w:p w14:paraId="5DD8D35C">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机动工作量</w:t>
                  </w:r>
                </w:p>
              </w:tc>
              <w:tc>
                <w:tcPr>
                  <w:tcW w:w="2840" w:type="dxa"/>
                  <w:gridSpan w:val="2"/>
                  <w:vAlign w:val="center"/>
                </w:tcPr>
                <w:p w14:paraId="3EF4250D">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p>
              </w:tc>
              <w:tc>
                <w:tcPr>
                  <w:tcW w:w="977" w:type="dxa"/>
                  <w:vAlign w:val="center"/>
                </w:tcPr>
                <w:p w14:paraId="5D942E01">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500</w:t>
                  </w:r>
                </w:p>
              </w:tc>
              <w:tc>
                <w:tcPr>
                  <w:tcW w:w="1108" w:type="dxa"/>
                  <w:vAlign w:val="center"/>
                </w:tcPr>
                <w:p w14:paraId="098CA773">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p>
              </w:tc>
              <w:tc>
                <w:tcPr>
                  <w:tcW w:w="940" w:type="dxa"/>
                  <w:vAlign w:val="center"/>
                </w:tcPr>
                <w:p w14:paraId="132D518C">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p>
              </w:tc>
              <w:tc>
                <w:tcPr>
                  <w:tcW w:w="1918" w:type="dxa"/>
                  <w:vAlign w:val="center"/>
                </w:tcPr>
                <w:p w14:paraId="22C7FEC7">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视成果而定</w:t>
                  </w:r>
                </w:p>
              </w:tc>
            </w:tr>
            <w:tr w14:paraId="2A4F0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jc w:val="center"/>
              </w:trPr>
              <w:tc>
                <w:tcPr>
                  <w:tcW w:w="2309" w:type="dxa"/>
                  <w:gridSpan w:val="2"/>
                  <w:vAlign w:val="center"/>
                </w:tcPr>
                <w:p w14:paraId="6807C7BB">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钻孔数量</w:t>
                  </w:r>
                </w:p>
              </w:tc>
              <w:tc>
                <w:tcPr>
                  <w:tcW w:w="1785" w:type="dxa"/>
                  <w:vAlign w:val="center"/>
                </w:tcPr>
                <w:p w14:paraId="4F017A21">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cs="Times New Roman"/>
                      <w:spacing w:val="7"/>
                      <w:sz w:val="21"/>
                      <w:szCs w:val="21"/>
                      <w:lang w:val="en-US" w:eastAsia="zh-CN"/>
                    </w:rPr>
                    <w:t>2</w:t>
                  </w:r>
                  <w:r>
                    <w:rPr>
                      <w:rFonts w:hint="default" w:ascii="Times New Roman" w:hAnsi="Times New Roman" w:eastAsia="宋体" w:cs="Times New Roman"/>
                      <w:spacing w:val="7"/>
                      <w:sz w:val="21"/>
                      <w:szCs w:val="21"/>
                      <w:lang w:val="en-US" w:eastAsia="zh-CN"/>
                    </w:rPr>
                    <w:t>个</w:t>
                  </w:r>
                </w:p>
              </w:tc>
              <w:tc>
                <w:tcPr>
                  <w:tcW w:w="2085" w:type="dxa"/>
                  <w:gridSpan w:val="2"/>
                  <w:vAlign w:val="center"/>
                </w:tcPr>
                <w:p w14:paraId="5B2D28B0">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总进尺（m）</w:t>
                  </w:r>
                </w:p>
              </w:tc>
              <w:tc>
                <w:tcPr>
                  <w:tcW w:w="2858" w:type="dxa"/>
                  <w:gridSpan w:val="2"/>
                  <w:vAlign w:val="center"/>
                </w:tcPr>
                <w:p w14:paraId="4965AC5B">
                  <w:pPr>
                    <w:pStyle w:val="20"/>
                    <w:spacing w:line="240" w:lineRule="auto"/>
                    <w:ind w:firstLine="0" w:firstLineChars="0"/>
                    <w:jc w:val="center"/>
                    <w:rPr>
                      <w:rFonts w:hint="default" w:ascii="Times New Roman" w:hAnsi="Times New Roman" w:eastAsia="宋体" w:cs="Times New Roman"/>
                      <w:spacing w:val="7"/>
                      <w:sz w:val="21"/>
                      <w:szCs w:val="21"/>
                      <w:lang w:val="en-US" w:eastAsia="zh-CN"/>
                    </w:rPr>
                  </w:pPr>
                  <w:r>
                    <w:rPr>
                      <w:rFonts w:hint="default" w:ascii="Times New Roman" w:hAnsi="Times New Roman" w:eastAsia="宋体" w:cs="Times New Roman"/>
                      <w:spacing w:val="7"/>
                      <w:sz w:val="21"/>
                      <w:szCs w:val="21"/>
                      <w:lang w:val="en-US" w:eastAsia="zh-CN"/>
                    </w:rPr>
                    <w:t>1000（m）</w:t>
                  </w:r>
                </w:p>
              </w:tc>
            </w:tr>
          </w:tbl>
          <w:p w14:paraId="6CEE5703">
            <w:pPr>
              <w:pStyle w:val="20"/>
              <w:ind w:firstLine="480"/>
              <w:rPr>
                <w:rFonts w:hint="default" w:ascii="Times New Roman" w:hAnsi="Times New Roman" w:cs="Times New Roman"/>
                <w:lang w:val="en-US" w:eastAsia="zh-CN"/>
              </w:rPr>
            </w:pPr>
            <w:r>
              <w:rPr>
                <w:rFonts w:hint="default" w:ascii="Times New Roman" w:hAnsi="Times New Roman" w:cs="Times New Roman"/>
                <w:lang w:val="en-US" w:eastAsia="zh-CN"/>
              </w:rPr>
              <w:t>钻探工艺为场地平整、基台修建、钻机安装、钻探施工、提取岩芯、封孔，钻探工艺流程及产排污环节见图2-5。</w:t>
            </w:r>
          </w:p>
          <w:p w14:paraId="6E424797">
            <w:pPr>
              <w:keepNext/>
              <w:keepLines/>
              <w:widowControl/>
              <w:adjustRightInd w:val="0"/>
              <w:snapToGrid w:val="0"/>
              <w:spacing w:line="480" w:lineRule="exact"/>
              <w:jc w:val="center"/>
              <w:outlineLvl w:val="2"/>
              <w:rPr>
                <w:rFonts w:hint="default" w:ascii="Times New Roman" w:hAnsi="Times New Roman" w:cs="Times New Roman"/>
                <w:lang w:val="en-US" w:eastAsia="zh-CN"/>
              </w:rPr>
            </w:pPr>
            <w:r>
              <w:rPr>
                <w:rFonts w:hint="default" w:ascii="Times New Roman" w:hAnsi="Times New Roman" w:cs="Times New Roman"/>
              </w:rPr>
              <w:drawing>
                <wp:anchor distT="0" distB="0" distL="0" distR="0" simplePos="0" relativeHeight="251659264" behindDoc="0" locked="0" layoutInCell="1" allowOverlap="1">
                  <wp:simplePos x="0" y="0"/>
                  <wp:positionH relativeFrom="column">
                    <wp:posOffset>73660</wp:posOffset>
                  </wp:positionH>
                  <wp:positionV relativeFrom="paragraph">
                    <wp:posOffset>44450</wp:posOffset>
                  </wp:positionV>
                  <wp:extent cx="5579745" cy="2755265"/>
                  <wp:effectExtent l="0" t="0" r="1905" b="6985"/>
                  <wp:wrapTopAndBottom/>
                  <wp:docPr id="1032" name="图片 5"/>
                  <wp:cNvGraphicFramePr/>
                  <a:graphic xmlns:a="http://schemas.openxmlformats.org/drawingml/2006/main">
                    <a:graphicData uri="http://schemas.openxmlformats.org/drawingml/2006/picture">
                      <pic:pic xmlns:pic="http://schemas.openxmlformats.org/drawingml/2006/picture">
                        <pic:nvPicPr>
                          <pic:cNvPr id="1032" name="图片 5"/>
                          <pic:cNvPicPr/>
                        </pic:nvPicPr>
                        <pic:blipFill>
                          <a:blip r:embed="rId12" cstate="print">
                            <a:lum bright="-24000" contrast="42000"/>
                          </a:blip>
                          <a:srcRect l="5231" t="49486" r="1623" b="2283"/>
                          <a:stretch>
                            <a:fillRect/>
                          </a:stretch>
                        </pic:blipFill>
                        <pic:spPr>
                          <a:xfrm>
                            <a:off x="0" y="0"/>
                            <a:ext cx="5579745" cy="2755265"/>
                          </a:xfrm>
                          <a:prstGeom prst="rect">
                            <a:avLst/>
                          </a:prstGeom>
                          <a:ln>
                            <a:noFill/>
                          </a:ln>
                        </pic:spPr>
                      </pic:pic>
                    </a:graphicData>
                  </a:graphic>
                </wp:anchor>
              </w:drawing>
            </w:r>
            <w:r>
              <w:rPr>
                <w:rFonts w:hint="default" w:ascii="Times New Roman" w:hAnsi="Times New Roman" w:cs="Times New Roman"/>
                <w:b/>
                <w:color w:val="000000"/>
                <w:kern w:val="0"/>
                <w:sz w:val="21"/>
                <w:szCs w:val="21"/>
                <w:highlight w:val="none"/>
                <w:lang w:val="en-US" w:eastAsia="zh-CN"/>
              </w:rPr>
              <w:t>图2-5钻探工艺流程及产污环节图</w:t>
            </w:r>
          </w:p>
          <w:p w14:paraId="71FC9A04">
            <w:pPr>
              <w:numPr>
                <w:ilvl w:val="0"/>
                <w:numId w:val="9"/>
              </w:numPr>
              <w:snapToGrid w:val="0"/>
              <w:spacing w:line="500" w:lineRule="exact"/>
              <w:rPr>
                <w:rFonts w:hint="default" w:ascii="Times New Roman" w:hAnsi="Times New Roman" w:cs="Times New Roman"/>
                <w:lang w:val="en-US" w:eastAsia="zh-CN"/>
              </w:rPr>
            </w:pPr>
            <w:r>
              <w:rPr>
                <w:rFonts w:hint="default" w:ascii="Times New Roman" w:hAnsi="Times New Roman" w:cs="Times New Roman"/>
                <w:lang w:val="en-US" w:eastAsia="zh-CN"/>
              </w:rPr>
              <w:t>样品采集与测试</w:t>
            </w:r>
          </w:p>
          <w:p w14:paraId="3E399407">
            <w:pPr>
              <w:snapToGrid w:val="0"/>
              <w:spacing w:line="500" w:lineRule="exact"/>
              <w:ind w:firstLine="480" w:firstLineChars="20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本次工作主要样品采集有：基本分析样、光谱样、组合样、物相样、光薄片样、小体重样、物理性能样、选矿试验样等</w:t>
            </w:r>
            <w:r>
              <w:rPr>
                <w:rFonts w:hint="default" w:ascii="Times New Roman" w:hAnsi="Times New Roman" w:cs="Times New Roman"/>
                <w:lang w:val="en-US" w:eastAsia="zh-CN"/>
              </w:rPr>
              <w:t>；样品测试分析由具有国家或省级资质和计量认证的一级至三级测试单位承担。</w:t>
            </w:r>
          </w:p>
          <w:p w14:paraId="3E464078">
            <w:pPr>
              <w:snapToGrid w:val="0"/>
              <w:spacing w:line="500" w:lineRule="exact"/>
              <w:ind w:firstLine="480" w:firstLineChars="200"/>
              <w:rPr>
                <w:rFonts w:hint="default" w:ascii="Times New Roman" w:hAnsi="Times New Roman" w:eastAsia="宋体" w:cs="Times New Roman"/>
              </w:rPr>
            </w:pPr>
            <w:r>
              <w:rPr>
                <w:rFonts w:hint="default" w:ascii="Times New Roman" w:hAnsi="Times New Roman" w:cs="Times New Roman"/>
                <w:lang w:val="en-US" w:eastAsia="zh-CN"/>
              </w:rPr>
              <w:t>（1）</w:t>
            </w:r>
            <w:r>
              <w:rPr>
                <w:rFonts w:hint="default" w:ascii="Times New Roman" w:hAnsi="Times New Roman" w:eastAsia="宋体" w:cs="Times New Roman"/>
              </w:rPr>
              <w:t>基本分析样：</w:t>
            </w:r>
            <w:r>
              <w:rPr>
                <w:rFonts w:hint="default" w:ascii="Times New Roman" w:hAnsi="Times New Roman" w:eastAsia="宋体" w:cs="Times New Roman"/>
                <w:lang w:val="en-US" w:eastAsia="zh-CN"/>
              </w:rPr>
              <w:t>化学分析样品主要分为地质测量中拣块样、探槽中的刻槽样及钻孔中的劈心样三类。样品控制总数450件，拣块样50件，刻槽样250件，劈心样150件。分析元素为MnO、Fe</w:t>
            </w:r>
            <w:r>
              <w:rPr>
                <w:rFonts w:hint="default" w:ascii="Times New Roman" w:hAnsi="Times New Roman" w:eastAsia="宋体" w:cs="Times New Roman"/>
                <w:vertAlign w:val="subscript"/>
                <w:lang w:val="en-US" w:eastAsia="zh-CN"/>
              </w:rPr>
              <w:t>2</w:t>
            </w:r>
            <w:r>
              <w:rPr>
                <w:rFonts w:hint="default" w:ascii="Times New Roman" w:hAnsi="Times New Roman" w:eastAsia="宋体" w:cs="Times New Roman"/>
                <w:lang w:val="en-US" w:eastAsia="zh-CN"/>
              </w:rPr>
              <w:t>O</w:t>
            </w:r>
            <w:r>
              <w:rPr>
                <w:rFonts w:hint="default" w:ascii="Times New Roman" w:hAnsi="Times New Roman" w:eastAsia="宋体" w:cs="Times New Roman"/>
                <w:vertAlign w:val="subscript"/>
                <w:lang w:val="en-US" w:eastAsia="zh-CN"/>
              </w:rPr>
              <w:t>3</w:t>
            </w:r>
            <w:r>
              <w:rPr>
                <w:rFonts w:hint="default" w:ascii="Times New Roman" w:hAnsi="Times New Roman" w:eastAsia="宋体" w:cs="Times New Roman"/>
                <w:lang w:val="en-US" w:eastAsia="zh-CN"/>
              </w:rPr>
              <w:t>。</w:t>
            </w:r>
          </w:p>
          <w:p w14:paraId="51D9384B">
            <w:pPr>
              <w:snapToGrid w:val="0"/>
              <w:spacing w:line="500" w:lineRule="exact"/>
              <w:ind w:firstLine="480" w:firstLineChars="200"/>
              <w:rPr>
                <w:rFonts w:hint="default" w:ascii="Times New Roman" w:hAnsi="Times New Roman" w:eastAsia="宋体" w:cs="Times New Roman"/>
                <w:lang w:val="en-US" w:eastAsia="zh-CN"/>
              </w:rPr>
            </w:pPr>
            <w:r>
              <w:rPr>
                <w:rFonts w:hint="default" w:ascii="Times New Roman" w:hAnsi="Times New Roman" w:cs="Times New Roman"/>
                <w:lang w:val="en-US" w:eastAsia="zh-CN"/>
              </w:rPr>
              <w:t>（2）</w:t>
            </w:r>
            <w:r>
              <w:rPr>
                <w:rFonts w:hint="default" w:ascii="Times New Roman" w:hAnsi="Times New Roman" w:eastAsia="宋体" w:cs="Times New Roman"/>
                <w:lang w:val="en-US" w:eastAsia="zh-CN"/>
              </w:rPr>
              <w:t>组合分析样：为了解矿石中可综合回收的有益组分和影响矿石选冶性能的有害组分含量，确定伴生有益组分的储量计算参数，并全面了解矿体中有害组分的分布情况。将同一工程或相邻工程构成的同一个矿体、同一矿石类型进行组合。组合重量200克，根据基本分析样品的长度按比例组合。设计5件。分析元素为Au、Ag、Cu、Pb、Zn、Mn、Fe、C 等。</w:t>
            </w:r>
          </w:p>
          <w:p w14:paraId="30AFF48E">
            <w:pPr>
              <w:snapToGrid w:val="0"/>
              <w:spacing w:line="500" w:lineRule="exact"/>
              <w:ind w:firstLine="480" w:firstLineChars="200"/>
              <w:rPr>
                <w:rFonts w:hint="default" w:ascii="Times New Roman" w:hAnsi="Times New Roman" w:cs="Times New Roman"/>
                <w:lang w:val="en-US" w:eastAsia="zh-CN"/>
              </w:rPr>
            </w:pPr>
            <w:r>
              <w:rPr>
                <w:rFonts w:hint="default" w:ascii="Times New Roman" w:hAnsi="Times New Roman" w:cs="Times New Roman"/>
                <w:lang w:val="en-US" w:eastAsia="zh-CN"/>
              </w:rPr>
              <w:t>（3）化探样</w:t>
            </w:r>
          </w:p>
          <w:p w14:paraId="0226370B">
            <w:pPr>
              <w:snapToGrid w:val="0"/>
              <w:spacing w:line="500" w:lineRule="exact"/>
              <w:ind w:firstLine="480" w:firstLineChars="20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主要为采集的水系沉积物样品和1:1万地化剖面测量采集的化探样，分析项目为 Au、Ag、Cu、Pb、Zn、W、Sn、Mo、Bi、As、Sb、Co、Cr、Ni、Mn、Fe 等16种元素。控制样品数量1500件，其中水系沉积物测量1000件，地化剖面化探样500件。</w:t>
            </w:r>
          </w:p>
          <w:p w14:paraId="3AEF3077">
            <w:pPr>
              <w:snapToGrid w:val="0"/>
              <w:spacing w:line="500" w:lineRule="exact"/>
              <w:ind w:firstLine="480" w:firstLineChars="200"/>
              <w:rPr>
                <w:rFonts w:hint="default" w:ascii="Times New Roman" w:hAnsi="Times New Roman" w:eastAsia="宋体" w:cs="Times New Roman"/>
                <w:lang w:val="en-US" w:eastAsia="zh-CN"/>
              </w:rPr>
            </w:pPr>
            <w:r>
              <w:rPr>
                <w:rFonts w:hint="default" w:ascii="Times New Roman" w:hAnsi="Times New Roman" w:cs="Times New Roman"/>
                <w:lang w:val="en-US" w:eastAsia="zh-CN"/>
              </w:rPr>
              <w:t>（4）</w:t>
            </w:r>
            <w:r>
              <w:rPr>
                <w:rFonts w:hint="default" w:ascii="Times New Roman" w:hAnsi="Times New Roman" w:eastAsia="宋体" w:cs="Times New Roman"/>
                <w:lang w:val="en-US" w:eastAsia="zh-CN"/>
              </w:rPr>
              <w:t>物相分析样：为了分析矿石中MnO、Fe</w:t>
            </w:r>
            <w:r>
              <w:rPr>
                <w:rFonts w:hint="default" w:ascii="Times New Roman" w:hAnsi="Times New Roman" w:eastAsia="宋体" w:cs="Times New Roman"/>
                <w:vertAlign w:val="subscript"/>
                <w:lang w:val="en-US" w:eastAsia="zh-CN"/>
              </w:rPr>
              <w:t>2</w:t>
            </w:r>
            <w:r>
              <w:rPr>
                <w:rFonts w:hint="default" w:ascii="Times New Roman" w:hAnsi="Times New Roman" w:eastAsia="宋体" w:cs="Times New Roman"/>
                <w:lang w:val="en-US" w:eastAsia="zh-CN"/>
              </w:rPr>
              <w:t>O</w:t>
            </w:r>
            <w:r>
              <w:rPr>
                <w:rFonts w:hint="default" w:ascii="Times New Roman" w:hAnsi="Times New Roman" w:eastAsia="宋体" w:cs="Times New Roman"/>
                <w:vertAlign w:val="subscript"/>
                <w:lang w:val="en-US" w:eastAsia="zh-CN"/>
              </w:rPr>
              <w:t>3</w:t>
            </w:r>
            <w:r>
              <w:rPr>
                <w:rFonts w:hint="default" w:ascii="Times New Roman" w:hAnsi="Times New Roman" w:eastAsia="宋体" w:cs="Times New Roman"/>
                <w:lang w:val="en-US" w:eastAsia="zh-CN"/>
              </w:rPr>
              <w:t>在各种矿物中的存在形态、价态和含量，从而确定矿石的自然分带、自然类型、主要赋矿矿物、成矿期次、成矿环境， 为科学找矿提供指导。先以肉眼和镜下鉴定，大致了解各自然类型的分带情况，然后按一定间距采集物相分析样品，以圈各带的界线。物相分析样品可在基本分析样品中抽选或专门采集。当利用基本分析副样作为物相分析样品时，必须及时进行，以免副样变质影响质量。样品控制数量5件。</w:t>
            </w:r>
          </w:p>
          <w:p w14:paraId="42D3A3EB">
            <w:pPr>
              <w:snapToGrid w:val="0"/>
              <w:spacing w:line="500" w:lineRule="exact"/>
              <w:ind w:firstLine="480" w:firstLineChars="200"/>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5</w:t>
            </w:r>
            <w:r>
              <w:rPr>
                <w:rFonts w:hint="default" w:ascii="Times New Roman" w:hAnsi="Times New Roman" w:cs="Times New Roman"/>
                <w:lang w:eastAsia="zh-CN"/>
              </w:rPr>
              <w:t>）岩矿鉴定样</w:t>
            </w:r>
          </w:p>
          <w:p w14:paraId="4DE5EDD8">
            <w:pPr>
              <w:snapToGrid w:val="0"/>
              <w:spacing w:line="500" w:lineRule="exact"/>
              <w:ind w:firstLine="480" w:firstLineChars="200"/>
              <w:rPr>
                <w:rFonts w:hint="default" w:ascii="Times New Roman" w:hAnsi="Times New Roman" w:cs="Times New Roman"/>
                <w:lang w:eastAsia="zh-CN"/>
              </w:rPr>
            </w:pPr>
            <w:r>
              <w:rPr>
                <w:rFonts w:hint="default" w:ascii="Times New Roman" w:hAnsi="Times New Roman" w:cs="Times New Roman"/>
                <w:lang w:eastAsia="zh-CN"/>
              </w:rPr>
              <w:t>目的是了解矿物成分、生成顺序、矿石结构构造及金属矿物的分布特征和工艺性质。根据不同矿石自然类型、工业类型、结构构造、围岩蚀变系统采集，以便研究矿物变化规律。采集规格以能满足切制光、薄片及手标本观察的需要为原则。标本要求规格为3×6×9cm。采集标本时还要注意其代表性，并按要求做好详细记录描述。</w:t>
            </w:r>
          </w:p>
          <w:p w14:paraId="5214947B">
            <w:pPr>
              <w:snapToGrid w:val="0"/>
              <w:spacing w:line="500" w:lineRule="exact"/>
              <w:ind w:firstLine="480" w:firstLineChars="200"/>
              <w:rPr>
                <w:rFonts w:hint="default" w:ascii="Times New Roman" w:hAnsi="Times New Roman" w:cs="Times New Roman"/>
                <w:lang w:eastAsia="zh-CN"/>
              </w:rPr>
            </w:pPr>
            <w:r>
              <w:rPr>
                <w:rFonts w:hint="default" w:ascii="Times New Roman" w:hAnsi="Times New Roman" w:cs="Times New Roman"/>
                <w:lang w:eastAsia="zh-CN"/>
              </w:rPr>
              <w:t>样品控制数量40件，其中薄片鉴定20件、光片鉴定20件。</w:t>
            </w:r>
          </w:p>
          <w:p w14:paraId="241FC2F6">
            <w:pPr>
              <w:numPr>
                <w:ilvl w:val="0"/>
                <w:numId w:val="0"/>
              </w:numPr>
              <w:snapToGrid w:val="0"/>
              <w:spacing w:line="500" w:lineRule="exact"/>
              <w:ind w:left="0" w:leftChars="0" w:firstLine="480" w:firstLineChars="200"/>
              <w:rPr>
                <w:rFonts w:hint="default" w:ascii="Times New Roman" w:hAnsi="Times New Roman" w:cs="Times New Roman"/>
                <w:lang w:eastAsia="zh-CN"/>
              </w:rPr>
            </w:pPr>
            <w:r>
              <w:rPr>
                <w:rFonts w:hint="default" w:ascii="Times New Roman" w:hAnsi="Times New Roman" w:eastAsia="宋体" w:cs="Times New Roman"/>
                <w:kern w:val="2"/>
                <w:sz w:val="24"/>
                <w:szCs w:val="24"/>
                <w:lang w:val="en-US" w:eastAsia="zh-CN" w:bidi="ar-SA"/>
              </w:rPr>
              <w:t>（6）</w:t>
            </w:r>
            <w:r>
              <w:rPr>
                <w:rFonts w:hint="default" w:ascii="Times New Roman" w:hAnsi="Times New Roman" w:cs="Times New Roman"/>
                <w:lang w:eastAsia="zh-CN"/>
              </w:rPr>
              <w:t>内（外）检样</w:t>
            </w:r>
          </w:p>
          <w:p w14:paraId="0B675251">
            <w:pPr>
              <w:snapToGrid w:val="0"/>
              <w:spacing w:line="500" w:lineRule="exact"/>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为了保证上述各类测试分析样品的成果质量，野外采集样品应及时送回测试；各类样品测试由经国家计量认证的实验室承担，样品应按规定比例进行内、外检查，样品分析应在允许误差范围内方可利用，否则要查明原因重新测试。内、外检单位均需出具质量评估报告。</w:t>
            </w:r>
          </w:p>
          <w:p w14:paraId="799ED056">
            <w:pPr>
              <w:snapToGrid w:val="0"/>
              <w:spacing w:line="500" w:lineRule="exact"/>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内检样：由项目组对基本分析样品的粗副样中选取，编密码送原实验室重新分析，内检样品比例为10%。样品控制数量30件。</w:t>
            </w:r>
          </w:p>
          <w:p w14:paraId="41325FF8">
            <w:pPr>
              <w:snapToGrid w:val="0"/>
              <w:spacing w:line="500" w:lineRule="exact"/>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外检样：目的是检查样品分析质量，检查数量一般为分析样品的5%，外检样品由基本分析试验室分期、分批按矿石类型和品位高低送一级化验室进行重新分析。样品控制数量30件。</w:t>
            </w:r>
          </w:p>
          <w:p w14:paraId="66925732">
            <w:pPr>
              <w:numPr>
                <w:ilvl w:val="0"/>
                <w:numId w:val="0"/>
              </w:numPr>
              <w:snapToGrid w:val="0"/>
              <w:spacing w:line="500" w:lineRule="exact"/>
              <w:ind w:left="0" w:leftChars="0" w:firstLine="480" w:firstLineChars="200"/>
              <w:rPr>
                <w:rFonts w:hint="default" w:ascii="Times New Roman" w:hAnsi="Times New Roman" w:eastAsia="宋体" w:cs="Times New Roman"/>
              </w:rPr>
            </w:pPr>
            <w:r>
              <w:rPr>
                <w:rFonts w:hint="default" w:ascii="Times New Roman" w:hAnsi="Times New Roman" w:eastAsia="宋体" w:cs="Times New Roman"/>
                <w:kern w:val="2"/>
                <w:sz w:val="24"/>
                <w:szCs w:val="24"/>
                <w:lang w:val="en-US" w:eastAsia="zh-CN" w:bidi="ar-SA"/>
              </w:rPr>
              <w:t>（7）</w:t>
            </w:r>
            <w:r>
              <w:rPr>
                <w:rFonts w:hint="default" w:ascii="Times New Roman" w:hAnsi="Times New Roman" w:eastAsia="宋体" w:cs="Times New Roman"/>
              </w:rPr>
              <w:t>小体重样</w:t>
            </w:r>
          </w:p>
          <w:p w14:paraId="3742E4CD">
            <w:pPr>
              <w:numPr>
                <w:ilvl w:val="0"/>
                <w:numId w:val="0"/>
              </w:numPr>
              <w:snapToGrid w:val="0"/>
              <w:spacing w:line="500" w:lineRule="exact"/>
              <w:ind w:left="0" w:leftChars="0" w:firstLine="480" w:firstLineChars="200"/>
              <w:rPr>
                <w:rFonts w:hint="default" w:ascii="Times New Roman" w:hAnsi="Times New Roman" w:cs="Times New Roman"/>
                <w:highlight w:val="none"/>
                <w:lang w:val="en-US" w:eastAsia="zh-CN"/>
              </w:rPr>
            </w:pPr>
            <w:r>
              <w:rPr>
                <w:rFonts w:hint="default" w:ascii="Times New Roman" w:hAnsi="Times New Roman" w:eastAsia="宋体" w:cs="Times New Roman"/>
              </w:rPr>
              <w:t>目的是测定矿石单位体积的重量，为储量计算提供依据。样品应按矿石类型和品级分别采取，并照顾到品位和分布的代表性。在钻探、槽探工程中采取，样品体积一般为60</w:t>
            </w:r>
            <w:r>
              <w:rPr>
                <w:rFonts w:hint="default" w:ascii="Times New Roman" w:hAnsi="Times New Roman" w:cs="Times New Roman"/>
                <w:lang w:val="en-US" w:eastAsia="zh-CN"/>
              </w:rPr>
              <w:t>-</w:t>
            </w:r>
            <w:r>
              <w:rPr>
                <w:rFonts w:hint="default" w:ascii="Times New Roman" w:hAnsi="Times New Roman" w:eastAsia="宋体" w:cs="Times New Roman"/>
              </w:rPr>
              <w:t>120立方厘米。样品控制数量20件。</w:t>
            </w:r>
          </w:p>
        </w:tc>
      </w:tr>
      <w:tr w14:paraId="330B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452" w:type="dxa"/>
            <w:vAlign w:val="center"/>
          </w:tcPr>
          <w:p w14:paraId="5FC9C7F4">
            <w:pPr>
              <w:snapToGrid w:val="0"/>
              <w:spacing w:line="500" w:lineRule="exact"/>
              <w:jc w:val="both"/>
              <w:rPr>
                <w:rFonts w:hint="default" w:ascii="Times New Roman" w:hAnsi="Times New Roman" w:eastAsia="宋体" w:cs="Times New Roman"/>
              </w:rPr>
            </w:pPr>
            <w:r>
              <w:rPr>
                <w:rFonts w:hint="default" w:ascii="Times New Roman" w:hAnsi="Times New Roman" w:eastAsia="宋体" w:cs="Times New Roman"/>
              </w:rPr>
              <w:t>其他</w:t>
            </w:r>
          </w:p>
        </w:tc>
        <w:tc>
          <w:tcPr>
            <w:tcW w:w="9238" w:type="dxa"/>
            <w:vAlign w:val="center"/>
          </w:tcPr>
          <w:p w14:paraId="5EB29FAC">
            <w:pPr>
              <w:snapToGrid w:val="0"/>
              <w:spacing w:line="500" w:lineRule="exact"/>
              <w:jc w:val="center"/>
              <w:rPr>
                <w:rFonts w:hint="default" w:ascii="Times New Roman" w:hAnsi="Times New Roman" w:eastAsia="宋体" w:cs="Times New Roman"/>
                <w:b/>
                <w:color w:val="000000"/>
                <w:kern w:val="0"/>
                <w:sz w:val="21"/>
                <w:szCs w:val="21"/>
                <w:lang w:val="en-US" w:eastAsia="zh-CN"/>
              </w:rPr>
            </w:pPr>
            <w:r>
              <w:rPr>
                <w:rFonts w:hint="default" w:ascii="Times New Roman" w:hAnsi="Times New Roman" w:eastAsia="宋体" w:cs="Times New Roman"/>
              </w:rPr>
              <w:t>无</w:t>
            </w:r>
          </w:p>
        </w:tc>
      </w:tr>
    </w:tbl>
    <w:p w14:paraId="23AA281F">
      <w:pPr>
        <w:rPr>
          <w:rFonts w:hint="eastAsia" w:ascii="Times New Roman" w:hAnsi="Times New Roman" w:eastAsia="宋体" w:cs="黑体"/>
          <w:b w:val="0"/>
          <w:bCs/>
          <w:sz w:val="30"/>
          <w:szCs w:val="30"/>
        </w:rPr>
      </w:pPr>
      <w:r>
        <w:rPr>
          <w:rFonts w:hint="eastAsia" w:ascii="Times New Roman" w:hAnsi="Times New Roman" w:eastAsia="宋体" w:cs="黑体"/>
          <w:b w:val="0"/>
          <w:bCs/>
          <w:sz w:val="30"/>
          <w:szCs w:val="30"/>
        </w:rPr>
        <w:br w:type="page"/>
      </w:r>
    </w:p>
    <w:p w14:paraId="07B1072A">
      <w:pPr>
        <w:pStyle w:val="2"/>
        <w:snapToGrid w:val="0"/>
        <w:spacing w:before="0" w:after="0" w:line="360" w:lineRule="auto"/>
        <w:jc w:val="center"/>
        <w:rPr>
          <w:rFonts w:hint="eastAsia" w:ascii="Times New Roman" w:hAnsi="Times New Roman" w:eastAsia="宋体" w:cs="黑体"/>
          <w:b w:val="0"/>
          <w:bCs/>
          <w:sz w:val="30"/>
          <w:szCs w:val="30"/>
        </w:rPr>
      </w:pPr>
      <w:r>
        <w:rPr>
          <w:rFonts w:hint="eastAsia" w:ascii="Times New Roman" w:hAnsi="Times New Roman" w:eastAsia="宋体" w:cs="黑体"/>
          <w:b w:val="0"/>
          <w:bCs/>
          <w:sz w:val="30"/>
          <w:szCs w:val="30"/>
        </w:rPr>
        <w:t>三、生态环境现状、保护目标及评价标准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8678"/>
      </w:tblGrid>
      <w:tr w14:paraId="0658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0" w:hRule="atLeast"/>
          <w:jc w:val="center"/>
        </w:trPr>
        <w:tc>
          <w:tcPr>
            <w:tcW w:w="939" w:type="dxa"/>
            <w:vAlign w:val="center"/>
          </w:tcPr>
          <w:p w14:paraId="0084E7EB">
            <w:pPr>
              <w:pStyle w:val="7"/>
              <w:spacing w:line="500" w:lineRule="exact"/>
              <w:jc w:val="center"/>
              <w:rPr>
                <w:rFonts w:ascii="Times New Roman" w:hAnsi="Times New Roman" w:eastAsia="宋体" w:cs="宋体"/>
                <w:szCs w:val="24"/>
                <w:lang w:eastAsia="zh-CN"/>
              </w:rPr>
            </w:pPr>
            <w:r>
              <w:rPr>
                <w:rFonts w:hint="eastAsia" w:ascii="Times New Roman" w:hAnsi="Times New Roman" w:eastAsia="宋体" w:cs="宋体"/>
                <w:szCs w:val="24"/>
                <w:lang w:eastAsia="zh-CN"/>
              </w:rPr>
              <w:t>生态环境现状</w:t>
            </w:r>
          </w:p>
        </w:tc>
        <w:tc>
          <w:tcPr>
            <w:tcW w:w="8678" w:type="dxa"/>
          </w:tcPr>
          <w:p w14:paraId="5F4A161F">
            <w:pPr>
              <w:pStyle w:val="7"/>
              <w:widowControl/>
              <w:snapToGrid w:val="0"/>
              <w:spacing w:line="500" w:lineRule="exact"/>
              <w:rPr>
                <w:rFonts w:hint="eastAsia" w:ascii="Times New Roman" w:hAnsi="Times New Roman" w:eastAsia="宋体" w:cs="宋体"/>
                <w:b/>
                <w:bCs/>
                <w:kern w:val="0"/>
                <w:sz w:val="24"/>
                <w:szCs w:val="24"/>
                <w:lang w:eastAsia="zh-CN"/>
              </w:rPr>
            </w:pPr>
            <w:r>
              <w:rPr>
                <w:rFonts w:hint="eastAsia" w:ascii="Times New Roman" w:hAnsi="Times New Roman" w:eastAsia="宋体" w:cs="宋体"/>
                <w:b/>
                <w:bCs/>
                <w:kern w:val="0"/>
                <w:sz w:val="24"/>
                <w:szCs w:val="24"/>
                <w:lang w:eastAsia="zh-CN"/>
              </w:rPr>
              <w:t>1.新疆维吾尔自治区主体功能区规划</w:t>
            </w:r>
          </w:p>
          <w:p w14:paraId="324DA69D">
            <w:pPr>
              <w:snapToGrid w:val="0"/>
              <w:spacing w:line="500" w:lineRule="exact"/>
              <w:ind w:firstLine="480" w:firstLineChars="200"/>
              <w:rPr>
                <w:rFonts w:hint="eastAsia" w:cs="宋体"/>
                <w:highlight w:val="yellow"/>
                <w:lang w:val="en-US" w:eastAsia="zh-CN"/>
              </w:rPr>
            </w:pPr>
            <w:r>
              <w:rPr>
                <w:rFonts w:hint="eastAsia" w:cs="宋体"/>
                <w:lang w:val="en-US" w:eastAsia="zh-CN"/>
              </w:rPr>
              <w:t>根据主体功能区开发的理念，结合新疆独特的自然地理状况和新时期跨越式发展的需要，本规划将新疆国土空间划分为重点开发、限制开发和禁止开发区域；按开发内容，分为城市化地区、农产品主产区和重点生态功能区；按层级，包括国家和自治区两个层面（其中：国家层面主体功能区是《全国主体功能区规划》从我国战略全局出发划定的，自治区层面主体功能区是按要求在国家层面以外的区域划定的）。兵团各团场的主体功能定位遵照所在县（市）的主体功能执行。新疆的主体功能区划中，重点开发区域和限制开发区域覆盖国土全域，而禁止开发区域镶嵌于重点开发区域或者限制开发区域内。本项目位于和田地区民丰县和</w:t>
            </w:r>
            <w:r>
              <w:rPr>
                <w:rFonts w:hint="eastAsia" w:cs="宋体"/>
                <w:highlight w:val="none"/>
                <w:lang w:val="en-US" w:eastAsia="zh-CN"/>
              </w:rPr>
              <w:t>巴音郭楞蒙古自治州且末县，属于阿尔金草原荒漠化防治生态功能区，是国家级重点生态功能区。功能区气候极为干旱，地表植被稀少，保存着完整的高原自然生态系统，拥有许多极为珍贵的特有物种，土地沙漠化敏感程度极高。目前鼠害肆虐，土地荒漠化加剧，珍稀动植物的生存受到威胁。主要发展方向为：“控制放牧和旅游区范围，防范盗猎，减少人类活动干扰。”</w:t>
            </w:r>
          </w:p>
          <w:p w14:paraId="090D7642">
            <w:pPr>
              <w:snapToGrid w:val="0"/>
              <w:spacing w:line="500" w:lineRule="exact"/>
              <w:ind w:firstLine="480" w:firstLineChars="200"/>
              <w:rPr>
                <w:rFonts w:hint="eastAsia" w:cs="宋体"/>
                <w:lang w:val="en-US" w:eastAsia="zh-CN"/>
              </w:rPr>
            </w:pPr>
            <w:r>
              <w:rPr>
                <w:rFonts w:hint="eastAsia" w:cs="宋体"/>
                <w:lang w:val="en-US" w:eastAsia="zh-CN"/>
              </w:rPr>
              <w:t>根据新疆维吾尔自治区主体功能区规划，本项目所在地不属于自然保护区、世界文化和自然遗产、风景名胜区、森林公园和地质公园，不在主体功能区中的禁止开发区域内，且本项目为锰矿勘探，只对矿区进行勘探，勘探过后会对槽探、钻探平台、临时堆放场等进行恢复，因此符合《新疆维吾尔自治区主体功能区规划》的要求。</w:t>
            </w:r>
          </w:p>
          <w:p w14:paraId="60BE0B94">
            <w:pPr>
              <w:pStyle w:val="7"/>
              <w:widowControl/>
              <w:snapToGrid w:val="0"/>
              <w:spacing w:line="500" w:lineRule="exact"/>
              <w:rPr>
                <w:rFonts w:hint="eastAsia" w:ascii="Times New Roman" w:hAnsi="Times New Roman" w:eastAsia="宋体" w:cs="宋体"/>
                <w:b/>
                <w:bCs/>
                <w:kern w:val="0"/>
                <w:sz w:val="24"/>
                <w:szCs w:val="24"/>
                <w:lang w:eastAsia="zh-CN"/>
              </w:rPr>
            </w:pPr>
            <w:r>
              <w:rPr>
                <w:rFonts w:hint="eastAsia" w:ascii="Times New Roman" w:hAnsi="Times New Roman" w:eastAsia="宋体" w:cs="宋体"/>
                <w:b/>
                <w:bCs/>
                <w:kern w:val="0"/>
                <w:sz w:val="24"/>
                <w:szCs w:val="24"/>
                <w:lang w:eastAsia="zh-CN"/>
              </w:rPr>
              <w:t>2.</w:t>
            </w:r>
            <w:r>
              <w:rPr>
                <w:rFonts w:hint="eastAsia" w:ascii="Times New Roman" w:hAnsi="Times New Roman" w:eastAsia="宋体" w:cs="宋体"/>
                <w:b/>
                <w:bCs/>
                <w:kern w:val="0"/>
                <w:sz w:val="24"/>
                <w:szCs w:val="24"/>
                <w:lang w:val="en-US" w:eastAsia="zh-CN"/>
              </w:rPr>
              <w:t>新疆</w:t>
            </w:r>
            <w:r>
              <w:rPr>
                <w:rFonts w:hint="eastAsia" w:ascii="Times New Roman" w:hAnsi="Times New Roman" w:eastAsia="宋体" w:cs="宋体"/>
                <w:b/>
                <w:bCs/>
                <w:kern w:val="0"/>
                <w:sz w:val="24"/>
                <w:szCs w:val="24"/>
                <w:lang w:eastAsia="zh-CN"/>
              </w:rPr>
              <w:t>生态功能区划</w:t>
            </w:r>
          </w:p>
          <w:p w14:paraId="225C3AB4">
            <w:pPr>
              <w:pStyle w:val="7"/>
              <w:widowControl/>
              <w:snapToGrid w:val="0"/>
              <w:spacing w:line="500" w:lineRule="exact"/>
              <w:ind w:firstLine="480" w:firstLineChars="200"/>
              <w:rPr>
                <w:rFonts w:hint="eastAsia" w:ascii="Times New Roman" w:hAnsi="Times New Roman" w:eastAsia="宋体" w:cs="宋体"/>
                <w:kern w:val="0"/>
                <w:sz w:val="24"/>
                <w:szCs w:val="18"/>
                <w:lang w:eastAsia="zh-CN"/>
              </w:rPr>
            </w:pPr>
            <w:r>
              <w:rPr>
                <w:rFonts w:hint="eastAsia" w:ascii="Times New Roman" w:hAnsi="Times New Roman" w:eastAsia="宋体" w:cs="宋体"/>
                <w:kern w:val="0"/>
                <w:sz w:val="24"/>
                <w:szCs w:val="18"/>
                <w:lang w:eastAsia="zh-CN"/>
              </w:rPr>
              <w:t>新疆的生态功能区划采用生态区、生态亚区、生态功能区三级分区系统。划分各级区划单位的依据是：生态区—根据地貌特点、温湿状况和典型生态系统类型，可将全疆划分为阿尔泰—准噶尔西部山地温凉森林、草原生态区；准噶尔盆地温性荒漠与绿洲农业生态区；天山山地温性草原、森林生态区；塔里木盆地暖温荒漠及绿洲农业生态区；帕米尔—昆仑山—阿尔金山高寒荒漠草原生态区五个生态区。生态亚区—根据生态系统类型与生态系统服务功能类型，在生态区内，全疆可进一步划分出18个生态亚区。生态功能区—根据生态服务功能重要性与生态环境敏感性，在生态亚区内再续分生态功能区，全疆共划分出76个生态功能区。</w:t>
            </w:r>
          </w:p>
          <w:p w14:paraId="282DB9F6">
            <w:pPr>
              <w:pStyle w:val="7"/>
              <w:widowControl/>
              <w:snapToGrid w:val="0"/>
              <w:spacing w:line="500" w:lineRule="exact"/>
              <w:ind w:firstLine="480" w:firstLineChars="200"/>
              <w:rPr>
                <w:rFonts w:hint="eastAsia" w:ascii="Times New Roman" w:hAnsi="Times New Roman" w:eastAsia="宋体" w:cs="宋体"/>
                <w:kern w:val="0"/>
                <w:sz w:val="24"/>
                <w:szCs w:val="18"/>
                <w:lang w:eastAsia="zh-CN"/>
              </w:rPr>
            </w:pPr>
            <w:r>
              <w:rPr>
                <w:rFonts w:hint="eastAsia" w:ascii="Times New Roman" w:hAnsi="Times New Roman" w:eastAsia="宋体" w:cs="宋体"/>
                <w:kern w:val="0"/>
                <w:sz w:val="24"/>
                <w:szCs w:val="18"/>
                <w:lang w:eastAsia="zh-CN"/>
              </w:rPr>
              <w:t>根据《新疆生态功能区划》，项目区位于</w:t>
            </w:r>
            <w:r>
              <w:rPr>
                <w:rFonts w:hint="eastAsia" w:ascii="Times New Roman" w:hAnsi="Times New Roman" w:eastAsia="宋体" w:cs="宋体"/>
                <w:kern w:val="0"/>
                <w:sz w:val="24"/>
                <w:szCs w:val="18"/>
                <w:highlight w:val="none"/>
                <w:lang w:val="en-US" w:eastAsia="zh-CN"/>
              </w:rPr>
              <w:t>V</w:t>
            </w:r>
            <w:r>
              <w:rPr>
                <w:rFonts w:hint="eastAsia" w:ascii="Times New Roman" w:hAnsi="Times New Roman" w:eastAsia="宋体" w:cs="宋体"/>
                <w:kern w:val="0"/>
                <w:sz w:val="24"/>
                <w:szCs w:val="18"/>
                <w:highlight w:val="none"/>
                <w:lang w:eastAsia="zh-CN"/>
              </w:rPr>
              <w:t>帕米尔—昆仑山—阿尔金山荒漠干旱草原生态区，</w:t>
            </w:r>
            <w:r>
              <w:rPr>
                <w:rFonts w:hint="eastAsia" w:ascii="Times New Roman" w:hAnsi="Times New Roman" w:eastAsia="宋体" w:cs="宋体"/>
                <w:kern w:val="0"/>
                <w:sz w:val="24"/>
                <w:szCs w:val="18"/>
                <w:highlight w:val="none"/>
                <w:lang w:val="en-US" w:eastAsia="zh-CN"/>
              </w:rPr>
              <w:t>V</w:t>
            </w:r>
            <w:r>
              <w:rPr>
                <w:rFonts w:hint="eastAsia" w:ascii="Times New Roman" w:hAnsi="Times New Roman" w:eastAsia="宋体" w:cs="宋体"/>
                <w:kern w:val="0"/>
                <w:sz w:val="24"/>
                <w:szCs w:val="18"/>
                <w:highlight w:val="none"/>
                <w:lang w:eastAsia="zh-CN"/>
              </w:rPr>
              <w:t>2 昆仑山高寒草原侵蚀控制生态亚区，74．中昆仑山高寒荒漠草原保护生态功能区。</w:t>
            </w:r>
            <w:r>
              <w:rPr>
                <w:rFonts w:hint="eastAsia" w:ascii="Times New Roman" w:hAnsi="Times New Roman" w:eastAsia="宋体" w:cs="宋体"/>
                <w:kern w:val="0"/>
                <w:sz w:val="24"/>
                <w:szCs w:val="18"/>
                <w:lang w:eastAsia="zh-CN"/>
              </w:rPr>
              <w:t>项目区所在生态功能区的主要生态服务功能、生态敏感因子、主要生态环境问题和主要保护目标见表3-1和附图6。</w:t>
            </w:r>
          </w:p>
          <w:p w14:paraId="624BFB7E">
            <w:pPr>
              <w:keepNext/>
              <w:keepLines/>
              <w:widowControl/>
              <w:adjustRightInd w:val="0"/>
              <w:snapToGrid w:val="0"/>
              <w:spacing w:line="480" w:lineRule="exact"/>
              <w:jc w:val="center"/>
              <w:outlineLvl w:val="2"/>
              <w:rPr>
                <w:rFonts w:hint="eastAsia" w:ascii="Times New Roman" w:hAnsi="Times New Roman" w:eastAsia="宋体"/>
                <w:b/>
                <w:color w:val="000000"/>
                <w:kern w:val="0"/>
                <w:sz w:val="21"/>
                <w:szCs w:val="21"/>
              </w:rPr>
            </w:pPr>
            <w:r>
              <w:rPr>
                <w:rFonts w:hint="eastAsia" w:ascii="Times New Roman" w:hAnsi="Times New Roman" w:eastAsia="宋体"/>
                <w:b/>
                <w:color w:val="000000"/>
                <w:kern w:val="0"/>
                <w:sz w:val="21"/>
                <w:szCs w:val="21"/>
              </w:rPr>
              <w:t>表3-1项目区生态功能区划</w:t>
            </w:r>
          </w:p>
          <w:tbl>
            <w:tblPr>
              <w:tblStyle w:val="16"/>
              <w:tblW w:w="8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583"/>
              <w:gridCol w:w="5789"/>
            </w:tblGrid>
            <w:tr w14:paraId="6346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07" w:type="dxa"/>
                  <w:vMerge w:val="restart"/>
                  <w:vAlign w:val="center"/>
                </w:tcPr>
                <w:p w14:paraId="3DAEDF17">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生态功能分区单元</w:t>
                  </w:r>
                </w:p>
              </w:tc>
              <w:tc>
                <w:tcPr>
                  <w:tcW w:w="1583" w:type="dxa"/>
                  <w:vAlign w:val="center"/>
                </w:tcPr>
                <w:p w14:paraId="724A7CB9">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生态区</w:t>
                  </w:r>
                </w:p>
              </w:tc>
              <w:tc>
                <w:tcPr>
                  <w:tcW w:w="5789" w:type="dxa"/>
                  <w:vAlign w:val="center"/>
                </w:tcPr>
                <w:p w14:paraId="2AE466B6">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Ⅴ帕米尔—昆仑山—阿尔金山荒漠干旱草原生态区</w:t>
                  </w:r>
                </w:p>
              </w:tc>
            </w:tr>
            <w:tr w14:paraId="371F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07" w:type="dxa"/>
                  <w:vMerge w:val="continue"/>
                  <w:vAlign w:val="center"/>
                </w:tcPr>
                <w:p w14:paraId="56B5E3A0">
                  <w:pPr>
                    <w:pStyle w:val="7"/>
                    <w:spacing w:line="240" w:lineRule="auto"/>
                    <w:jc w:val="center"/>
                    <w:rPr>
                      <w:rFonts w:hint="eastAsia" w:ascii="Times New Roman" w:hAnsi="Times New Roman" w:eastAsia="宋体"/>
                      <w:color w:val="000000"/>
                      <w:kern w:val="0"/>
                      <w:sz w:val="21"/>
                      <w:szCs w:val="21"/>
                      <w:lang w:eastAsia="zh-CN"/>
                    </w:rPr>
                  </w:pPr>
                </w:p>
              </w:tc>
              <w:tc>
                <w:tcPr>
                  <w:tcW w:w="1583" w:type="dxa"/>
                  <w:vAlign w:val="center"/>
                </w:tcPr>
                <w:p w14:paraId="5CE7F0E7">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生态亚区</w:t>
                  </w:r>
                </w:p>
              </w:tc>
              <w:tc>
                <w:tcPr>
                  <w:tcW w:w="5789" w:type="dxa"/>
                  <w:vAlign w:val="center"/>
                </w:tcPr>
                <w:p w14:paraId="7B61556E">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Ⅴ</w:t>
                  </w:r>
                  <w:r>
                    <w:rPr>
                      <w:rFonts w:hint="eastAsia" w:ascii="Times New Roman" w:hAnsi="Times New Roman" w:eastAsia="宋体"/>
                      <w:color w:val="000000"/>
                      <w:kern w:val="0"/>
                      <w:sz w:val="21"/>
                      <w:szCs w:val="21"/>
                      <w:vertAlign w:val="subscript"/>
                      <w:lang w:eastAsia="zh-CN"/>
                    </w:rPr>
                    <w:t>2</w:t>
                  </w:r>
                  <w:r>
                    <w:rPr>
                      <w:rFonts w:hint="eastAsia" w:ascii="Times New Roman" w:hAnsi="Times New Roman" w:eastAsia="宋体"/>
                      <w:color w:val="000000"/>
                      <w:kern w:val="0"/>
                      <w:sz w:val="21"/>
                      <w:szCs w:val="21"/>
                      <w:lang w:eastAsia="zh-CN"/>
                    </w:rPr>
                    <w:t>昆仑山高寒草原侵蚀控制生态亚区</w:t>
                  </w:r>
                </w:p>
              </w:tc>
            </w:tr>
            <w:tr w14:paraId="3968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07" w:type="dxa"/>
                  <w:vMerge w:val="continue"/>
                  <w:vAlign w:val="center"/>
                </w:tcPr>
                <w:p w14:paraId="705B3AC9">
                  <w:pPr>
                    <w:pStyle w:val="7"/>
                    <w:spacing w:line="240" w:lineRule="auto"/>
                    <w:jc w:val="center"/>
                    <w:rPr>
                      <w:rFonts w:hint="eastAsia" w:ascii="Times New Roman" w:hAnsi="Times New Roman" w:eastAsia="宋体"/>
                      <w:color w:val="000000"/>
                      <w:kern w:val="0"/>
                      <w:sz w:val="21"/>
                      <w:szCs w:val="21"/>
                      <w:lang w:eastAsia="zh-CN"/>
                    </w:rPr>
                  </w:pPr>
                </w:p>
              </w:tc>
              <w:tc>
                <w:tcPr>
                  <w:tcW w:w="1583" w:type="dxa"/>
                  <w:vAlign w:val="center"/>
                </w:tcPr>
                <w:p w14:paraId="5B2BD1B2">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生态功能区</w:t>
                  </w:r>
                </w:p>
              </w:tc>
              <w:tc>
                <w:tcPr>
                  <w:tcW w:w="5789" w:type="dxa"/>
                  <w:vAlign w:val="center"/>
                </w:tcPr>
                <w:p w14:paraId="7953DC20">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74.中昆仑山高寒荒漠草原保护生态功能区</w:t>
                  </w:r>
                </w:p>
              </w:tc>
            </w:tr>
            <w:tr w14:paraId="6C92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290" w:type="dxa"/>
                  <w:gridSpan w:val="2"/>
                  <w:vAlign w:val="center"/>
                </w:tcPr>
                <w:p w14:paraId="77C3522D">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隶属行政区</w:t>
                  </w:r>
                </w:p>
              </w:tc>
              <w:tc>
                <w:tcPr>
                  <w:tcW w:w="5789" w:type="dxa"/>
                  <w:vAlign w:val="center"/>
                </w:tcPr>
                <w:p w14:paraId="51D0DC48">
                  <w:pPr>
                    <w:spacing w:line="240" w:lineRule="auto"/>
                    <w:jc w:val="center"/>
                    <w:rPr>
                      <w:rFonts w:hint="eastAsia" w:ascii="Times New Roman" w:hAnsi="Times New Roman" w:eastAsia="宋体"/>
                      <w:sz w:val="21"/>
                      <w:szCs w:val="21"/>
                    </w:rPr>
                  </w:pPr>
                  <w:r>
                    <w:rPr>
                      <w:rFonts w:hint="eastAsia" w:ascii="Times New Roman" w:hAnsi="Times New Roman" w:eastAsia="宋体"/>
                      <w:sz w:val="21"/>
                      <w:szCs w:val="21"/>
                    </w:rPr>
                    <w:t>皮山县、墨玉县、和田县、洛浦县、策勒县、于田县、民丰县</w:t>
                  </w:r>
                </w:p>
              </w:tc>
            </w:tr>
            <w:tr w14:paraId="041B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290" w:type="dxa"/>
                  <w:gridSpan w:val="2"/>
                  <w:vAlign w:val="center"/>
                </w:tcPr>
                <w:p w14:paraId="3746F929">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主要生态服务功能</w:t>
                  </w:r>
                </w:p>
              </w:tc>
              <w:tc>
                <w:tcPr>
                  <w:tcW w:w="5789" w:type="dxa"/>
                  <w:vAlign w:val="center"/>
                </w:tcPr>
                <w:p w14:paraId="51834E65">
                  <w:pPr>
                    <w:pStyle w:val="7"/>
                    <w:spacing w:line="240" w:lineRule="auto"/>
                    <w:jc w:val="center"/>
                    <w:rPr>
                      <w:rFonts w:ascii="Times New Roman" w:hAnsi="Times New Roman" w:eastAsia="宋体" w:cs="宋体"/>
                      <w:sz w:val="21"/>
                      <w:szCs w:val="21"/>
                      <w:lang w:eastAsia="zh-CN"/>
                    </w:rPr>
                  </w:pPr>
                  <w:r>
                    <w:rPr>
                      <w:rFonts w:hint="eastAsia" w:ascii="Times New Roman" w:hAnsi="Times New Roman" w:eastAsia="宋体"/>
                      <w:sz w:val="21"/>
                      <w:szCs w:val="21"/>
                      <w:lang w:eastAsia="zh-CN"/>
                    </w:rPr>
                    <w:t>土壤保持、生物多样性维护</w:t>
                  </w:r>
                </w:p>
              </w:tc>
            </w:tr>
            <w:tr w14:paraId="212E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290" w:type="dxa"/>
                  <w:gridSpan w:val="2"/>
                  <w:vAlign w:val="center"/>
                </w:tcPr>
                <w:p w14:paraId="6676EFAC">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主要生态环境问题</w:t>
                  </w:r>
                </w:p>
              </w:tc>
              <w:tc>
                <w:tcPr>
                  <w:tcW w:w="5789" w:type="dxa"/>
                  <w:vAlign w:val="center"/>
                </w:tcPr>
                <w:p w14:paraId="26E1023B">
                  <w:pPr>
                    <w:pStyle w:val="7"/>
                    <w:spacing w:line="240" w:lineRule="auto"/>
                    <w:jc w:val="center"/>
                    <w:rPr>
                      <w:rFonts w:ascii="Times New Roman" w:hAnsi="Times New Roman" w:eastAsia="宋体" w:cs="宋体"/>
                      <w:sz w:val="21"/>
                      <w:szCs w:val="21"/>
                      <w:lang w:eastAsia="zh-CN"/>
                    </w:rPr>
                  </w:pPr>
                  <w:r>
                    <w:rPr>
                      <w:rFonts w:hint="eastAsia" w:ascii="Times New Roman" w:hAnsi="Times New Roman" w:eastAsia="宋体"/>
                      <w:sz w:val="21"/>
                      <w:szCs w:val="21"/>
                      <w:lang w:eastAsia="zh-CN"/>
                    </w:rPr>
                    <w:t>草原过牧退化、草场虫害鼠害严重、人畜饮用水缺乏、樵采破坏山地草场</w:t>
                  </w:r>
                </w:p>
              </w:tc>
            </w:tr>
            <w:tr w14:paraId="7180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290" w:type="dxa"/>
                  <w:gridSpan w:val="2"/>
                  <w:vAlign w:val="center"/>
                </w:tcPr>
                <w:p w14:paraId="73C2267A">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主要生态敏感因子、敏感程度</w:t>
                  </w:r>
                </w:p>
              </w:tc>
              <w:tc>
                <w:tcPr>
                  <w:tcW w:w="5789" w:type="dxa"/>
                  <w:vAlign w:val="center"/>
                </w:tcPr>
                <w:p w14:paraId="308E526A">
                  <w:pPr>
                    <w:pStyle w:val="7"/>
                    <w:spacing w:line="240" w:lineRule="auto"/>
                    <w:jc w:val="center"/>
                    <w:rPr>
                      <w:rFonts w:ascii="Times New Roman" w:hAnsi="Times New Roman" w:eastAsia="宋体" w:cs="宋体"/>
                      <w:sz w:val="21"/>
                      <w:szCs w:val="21"/>
                      <w:lang w:eastAsia="zh-CN"/>
                    </w:rPr>
                  </w:pPr>
                  <w:r>
                    <w:rPr>
                      <w:rFonts w:hint="eastAsia" w:ascii="Times New Roman" w:hAnsi="Times New Roman" w:eastAsia="宋体"/>
                      <w:sz w:val="21"/>
                      <w:szCs w:val="21"/>
                      <w:lang w:eastAsia="zh-CN"/>
                    </w:rPr>
                    <w:t>生物多样性及其生境高度敏感</w:t>
                  </w:r>
                </w:p>
              </w:tc>
            </w:tr>
            <w:tr w14:paraId="111A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290" w:type="dxa"/>
                  <w:gridSpan w:val="2"/>
                  <w:vAlign w:val="center"/>
                </w:tcPr>
                <w:p w14:paraId="04C03B5A">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主要保护目标</w:t>
                  </w:r>
                </w:p>
              </w:tc>
              <w:tc>
                <w:tcPr>
                  <w:tcW w:w="5789" w:type="dxa"/>
                  <w:vAlign w:val="center"/>
                </w:tcPr>
                <w:p w14:paraId="46BDC5A4">
                  <w:pPr>
                    <w:pStyle w:val="7"/>
                    <w:spacing w:line="240" w:lineRule="auto"/>
                    <w:jc w:val="center"/>
                    <w:rPr>
                      <w:rFonts w:ascii="Times New Roman" w:hAnsi="Times New Roman" w:eastAsia="宋体" w:cs="宋体"/>
                      <w:sz w:val="21"/>
                      <w:szCs w:val="21"/>
                      <w:lang w:eastAsia="zh-CN"/>
                    </w:rPr>
                  </w:pPr>
                  <w:r>
                    <w:rPr>
                      <w:rFonts w:hint="eastAsia" w:ascii="Times New Roman" w:hAnsi="Times New Roman" w:eastAsia="宋体"/>
                      <w:sz w:val="21"/>
                      <w:szCs w:val="21"/>
                      <w:lang w:eastAsia="zh-CN"/>
                    </w:rPr>
                    <w:t>保护草地植被、保护野生动物</w:t>
                  </w:r>
                </w:p>
              </w:tc>
            </w:tr>
            <w:tr w14:paraId="52C1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290" w:type="dxa"/>
                  <w:gridSpan w:val="2"/>
                  <w:vAlign w:val="center"/>
                </w:tcPr>
                <w:p w14:paraId="15903DA0">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主要保护措施</w:t>
                  </w:r>
                </w:p>
              </w:tc>
              <w:tc>
                <w:tcPr>
                  <w:tcW w:w="5789" w:type="dxa"/>
                  <w:vAlign w:val="center"/>
                </w:tcPr>
                <w:p w14:paraId="745D6DD7">
                  <w:pPr>
                    <w:pStyle w:val="7"/>
                    <w:spacing w:line="240" w:lineRule="auto"/>
                    <w:jc w:val="center"/>
                    <w:rPr>
                      <w:rFonts w:ascii="Times New Roman" w:hAnsi="Times New Roman" w:eastAsia="宋体" w:cs="宋体"/>
                      <w:sz w:val="21"/>
                      <w:szCs w:val="21"/>
                      <w:lang w:eastAsia="zh-CN"/>
                    </w:rPr>
                  </w:pPr>
                  <w:r>
                    <w:rPr>
                      <w:rFonts w:hint="eastAsia" w:ascii="Times New Roman" w:hAnsi="Times New Roman" w:eastAsia="宋体"/>
                      <w:sz w:val="21"/>
                      <w:szCs w:val="21"/>
                      <w:lang w:eastAsia="zh-CN"/>
                    </w:rPr>
                    <w:t>高寒草场退牧、对牧民实行生态搬迁</w:t>
                  </w:r>
                </w:p>
              </w:tc>
            </w:tr>
            <w:tr w14:paraId="0F6A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2290" w:type="dxa"/>
                  <w:gridSpan w:val="2"/>
                  <w:vAlign w:val="center"/>
                </w:tcPr>
                <w:p w14:paraId="7FA8C326">
                  <w:pPr>
                    <w:pStyle w:val="7"/>
                    <w:spacing w:line="240" w:lineRule="auto"/>
                    <w:jc w:val="center"/>
                    <w:rPr>
                      <w:rFonts w:hint="eastAsia" w:ascii="Times New Roman" w:hAnsi="Times New Roman" w:eastAsia="宋体"/>
                      <w:color w:val="000000"/>
                      <w:kern w:val="0"/>
                      <w:sz w:val="21"/>
                      <w:szCs w:val="21"/>
                      <w:lang w:eastAsia="zh-CN"/>
                    </w:rPr>
                  </w:pPr>
                  <w:r>
                    <w:rPr>
                      <w:rFonts w:hint="eastAsia" w:ascii="Times New Roman" w:hAnsi="Times New Roman" w:eastAsia="宋体"/>
                      <w:color w:val="000000"/>
                      <w:kern w:val="0"/>
                      <w:sz w:val="21"/>
                      <w:szCs w:val="21"/>
                      <w:lang w:eastAsia="zh-CN"/>
                    </w:rPr>
                    <w:t>适宜发展方向</w:t>
                  </w:r>
                </w:p>
              </w:tc>
              <w:tc>
                <w:tcPr>
                  <w:tcW w:w="5789" w:type="dxa"/>
                  <w:vAlign w:val="center"/>
                </w:tcPr>
                <w:p w14:paraId="6711F9DA">
                  <w:pPr>
                    <w:pStyle w:val="7"/>
                    <w:spacing w:line="240" w:lineRule="auto"/>
                    <w:jc w:val="center"/>
                    <w:rPr>
                      <w:rFonts w:ascii="Times New Roman" w:hAnsi="Times New Roman" w:eastAsia="宋体" w:cs="宋体"/>
                      <w:sz w:val="21"/>
                      <w:szCs w:val="21"/>
                      <w:lang w:eastAsia="zh-CN"/>
                    </w:rPr>
                  </w:pPr>
                  <w:r>
                    <w:rPr>
                      <w:rFonts w:hint="eastAsia" w:ascii="Times New Roman" w:hAnsi="Times New Roman" w:eastAsia="宋体"/>
                      <w:sz w:val="21"/>
                      <w:szCs w:val="21"/>
                      <w:lang w:eastAsia="zh-CN"/>
                    </w:rPr>
                    <w:t>实施高山牧民生态搬迁和定居舍饲，保持草地生态平衡，发挥涵养水源作用</w:t>
                  </w:r>
                </w:p>
              </w:tc>
            </w:tr>
          </w:tbl>
          <w:p w14:paraId="2E43D67D">
            <w:pPr>
              <w:pStyle w:val="7"/>
              <w:widowControl/>
              <w:snapToGrid w:val="0"/>
              <w:spacing w:line="500" w:lineRule="exact"/>
              <w:rPr>
                <w:rFonts w:hint="eastAsia" w:ascii="Times New Roman" w:hAnsi="Times New Roman" w:eastAsia="宋体" w:cs="宋体"/>
                <w:b/>
                <w:bCs/>
                <w:color w:val="000000"/>
                <w:kern w:val="0"/>
                <w:sz w:val="24"/>
                <w:szCs w:val="24"/>
                <w:lang w:eastAsia="zh-CN"/>
              </w:rPr>
            </w:pPr>
            <w:bookmarkStart w:id="13" w:name="_Hlk167566767"/>
            <w:r>
              <w:rPr>
                <w:rFonts w:hint="eastAsia" w:ascii="Times New Roman" w:hAnsi="Times New Roman" w:eastAsia="宋体" w:cs="宋体"/>
                <w:b/>
                <w:bCs/>
                <w:color w:val="000000"/>
                <w:kern w:val="0"/>
                <w:sz w:val="24"/>
                <w:szCs w:val="24"/>
                <w:lang w:eastAsia="zh-CN"/>
              </w:rPr>
              <w:t>3.生态环境现状</w:t>
            </w:r>
          </w:p>
          <w:p w14:paraId="5D24769C">
            <w:pPr>
              <w:snapToGrid w:val="0"/>
              <w:spacing w:line="500" w:lineRule="exact"/>
              <w:ind w:firstLine="480" w:firstLineChars="200"/>
              <w:rPr>
                <w:rFonts w:hint="eastAsia" w:ascii="Times New Roman" w:hAnsi="Times New Roman" w:eastAsia="宋体" w:cs="宋体"/>
              </w:rPr>
            </w:pPr>
            <w:bookmarkStart w:id="14" w:name="OLE_LINK531"/>
            <w:r>
              <w:rPr>
                <w:rFonts w:hint="eastAsia" w:ascii="Times New Roman" w:hAnsi="Times New Roman" w:eastAsia="宋体" w:cs="宋体"/>
              </w:rPr>
              <w:t>（1）植被现状</w:t>
            </w:r>
          </w:p>
          <w:bookmarkEnd w:id="13"/>
          <w:bookmarkEnd w:id="14"/>
          <w:p w14:paraId="1423354A">
            <w:pPr>
              <w:snapToGrid w:val="0"/>
              <w:spacing w:line="500" w:lineRule="exact"/>
              <w:ind w:firstLine="480" w:firstLineChars="200"/>
              <w:rPr>
                <w:rFonts w:hint="eastAsia" w:cs="宋体"/>
                <w:lang w:eastAsia="zh-CN"/>
              </w:rPr>
            </w:pPr>
            <w:r>
              <w:rPr>
                <w:rFonts w:hint="eastAsia" w:ascii="宋体" w:hAnsi="宋体" w:eastAsia="宋体" w:cs="宋体"/>
                <w:color w:val="auto"/>
                <w:sz w:val="24"/>
                <w:szCs w:val="24"/>
                <w:highlight w:val="none"/>
                <w:lang w:val="en-US" w:eastAsia="zh-CN"/>
              </w:rPr>
              <w:t>勘查区所在区域范围内地表植被较少，地表植被不发育，仅有稀疏的耐旱草本植物覆盖地表，植被分布在山前砾质、砂砾质戈以及山坡和干涸的冲沟上。主要植被为</w:t>
            </w:r>
            <w:r>
              <w:rPr>
                <w:rFonts w:hint="eastAsia" w:ascii="宋体" w:hAnsi="宋体" w:cs="宋体"/>
                <w:color w:val="auto"/>
                <w:sz w:val="24"/>
                <w:szCs w:val="24"/>
                <w:highlight w:val="none"/>
                <w:lang w:val="en-US" w:eastAsia="zh-CN"/>
              </w:rPr>
              <w:t>紫花</w:t>
            </w:r>
            <w:r>
              <w:rPr>
                <w:rFonts w:hint="eastAsia" w:ascii="宋体" w:hAnsi="宋体" w:eastAsia="宋体" w:cs="宋体"/>
                <w:color w:val="auto"/>
                <w:sz w:val="24"/>
                <w:szCs w:val="24"/>
                <w:highlight w:val="none"/>
                <w:lang w:val="en-US" w:eastAsia="zh-CN"/>
              </w:rPr>
              <w:t>针茅</w:t>
            </w:r>
            <w:r>
              <w:rPr>
                <w:rFonts w:hint="eastAsia" w:ascii="宋体" w:hAnsi="宋体" w:cs="宋体"/>
                <w:color w:val="auto"/>
                <w:sz w:val="24"/>
                <w:szCs w:val="24"/>
                <w:highlight w:val="none"/>
                <w:lang w:val="en-US" w:eastAsia="zh-CN"/>
              </w:rPr>
              <w:t>、银穗羊茅、风毛菊、垂头菊</w:t>
            </w:r>
            <w:r>
              <w:rPr>
                <w:rFonts w:hint="eastAsia" w:ascii="宋体" w:hAnsi="宋体" w:eastAsia="宋体" w:cs="宋体"/>
                <w:color w:val="auto"/>
                <w:sz w:val="24"/>
                <w:szCs w:val="24"/>
                <w:highlight w:val="none"/>
                <w:lang w:val="en-US" w:eastAsia="zh-CN"/>
              </w:rPr>
              <w:t>。矿山开采区域范围内总体生态环境恶劣，植被覆盖度小于</w:t>
            </w:r>
            <w:r>
              <w:rPr>
                <w:rFonts w:hint="eastAsia" w:ascii="Times New Roman" w:hAnsi="Times New Roman" w:cs="Times New Roman"/>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，属于荒草地。</w:t>
            </w:r>
            <w:r>
              <w:rPr>
                <w:rFonts w:hint="eastAsia" w:ascii="宋体" w:hAnsi="宋体" w:eastAsia="宋体" w:cs="宋体"/>
                <w:color w:val="auto"/>
                <w:sz w:val="24"/>
                <w:highlight w:val="none"/>
                <w:lang w:val="en-US" w:eastAsia="zh-CN"/>
              </w:rPr>
              <w:t>项目区内土壤类型为</w:t>
            </w:r>
            <w:r>
              <w:rPr>
                <w:rFonts w:hint="eastAsia" w:ascii="宋体" w:hAnsi="宋体" w:cs="宋体"/>
                <w:color w:val="auto"/>
                <w:sz w:val="24"/>
                <w:highlight w:val="none"/>
                <w:lang w:val="en-US" w:eastAsia="zh-CN"/>
              </w:rPr>
              <w:t>亚高山草原土</w:t>
            </w:r>
            <w:r>
              <w:rPr>
                <w:rFonts w:hint="eastAsia" w:ascii="宋体" w:hAnsi="宋体" w:eastAsia="宋体" w:cs="宋体"/>
                <w:color w:val="auto"/>
                <w:sz w:val="24"/>
                <w:highlight w:val="none"/>
                <w:lang w:val="en-US" w:eastAsia="zh-CN"/>
              </w:rPr>
              <w:t>。</w:t>
            </w:r>
            <w:r>
              <w:rPr>
                <w:rFonts w:hint="eastAsia" w:ascii="宋体" w:hAnsi="宋体" w:cs="宋体"/>
                <w:color w:val="auto"/>
                <w:sz w:val="24"/>
                <w:szCs w:val="24"/>
                <w:highlight w:val="none"/>
                <w:lang w:val="en-US" w:eastAsia="zh-CN"/>
              </w:rPr>
              <w:t>项目区</w:t>
            </w:r>
            <w:r>
              <w:rPr>
                <w:rFonts w:hint="eastAsia" w:ascii="宋体" w:hAnsi="宋体" w:eastAsia="宋体" w:cs="宋体"/>
                <w:color w:val="auto"/>
                <w:sz w:val="24"/>
                <w:szCs w:val="24"/>
                <w:highlight w:val="none"/>
                <w:lang w:val="en-US" w:eastAsia="zh-CN"/>
              </w:rPr>
              <w:t>土壤类型图</w:t>
            </w:r>
            <w:r>
              <w:rPr>
                <w:rFonts w:hint="eastAsia" w:ascii="宋体" w:hAnsi="宋体" w:cs="宋体"/>
                <w:color w:val="auto"/>
                <w:sz w:val="24"/>
                <w:szCs w:val="24"/>
                <w:highlight w:val="none"/>
                <w:lang w:val="en-US" w:eastAsia="zh-CN"/>
              </w:rPr>
              <w:t>和植被类型图详见附图</w:t>
            </w:r>
            <w:r>
              <w:rPr>
                <w:rFonts w:hint="eastAsia" w:cs="Times New Roman"/>
                <w:color w:val="auto"/>
                <w:sz w:val="24"/>
                <w:szCs w:val="24"/>
                <w:highlight w:val="none"/>
                <w:lang w:val="en-US" w:eastAsia="zh-CN"/>
              </w:rPr>
              <w:t>7</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8</w:t>
            </w:r>
            <w:r>
              <w:rPr>
                <w:rFonts w:hint="eastAsia" w:ascii="宋体" w:hAnsi="宋体" w:cs="宋体"/>
                <w:color w:val="auto"/>
                <w:sz w:val="24"/>
                <w:szCs w:val="24"/>
                <w:highlight w:val="none"/>
                <w:lang w:val="en-US" w:eastAsia="zh-CN"/>
              </w:rPr>
              <w:t>。</w:t>
            </w:r>
          </w:p>
          <w:p w14:paraId="124E6CFA">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（2）野生动物现状</w:t>
            </w:r>
          </w:p>
          <w:p w14:paraId="631F8F2C">
            <w:pPr>
              <w:snapToGrid w:val="0"/>
              <w:spacing w:line="500" w:lineRule="exact"/>
              <w:ind w:firstLine="480" w:firstLineChars="200"/>
              <w:rPr>
                <w:rFonts w:hint="eastAsia" w:cs="宋体"/>
                <w:lang w:val="en-US" w:eastAsia="zh-CN"/>
              </w:rPr>
            </w:pPr>
            <w:r>
              <w:rPr>
                <w:rFonts w:hint="eastAsia" w:cs="宋体"/>
                <w:lang w:val="en-US" w:eastAsia="zh-CN"/>
              </w:rPr>
              <w:t>勘查区附近活动的野生动物主要为啮齿类及鸟类，由于人类活动的逐渐频繁，有些动物（如草兔、灰尾兔）已逐渐远离勘查区，迁移到其他地方。勘查区周边常见的野生动物有麻雀、壁虎、小家鼠、旱獭及多种昆虫等，无国家及自治区级重点保护野生动物分布。</w:t>
            </w:r>
          </w:p>
          <w:p w14:paraId="6557AE71">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（3）土地利用类型</w:t>
            </w:r>
          </w:p>
          <w:p w14:paraId="050453E8">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根据遥感调查结果，采用图形叠加法对评价范围内的生态现状进行分析</w:t>
            </w:r>
            <w:r>
              <w:rPr>
                <w:rFonts w:hint="eastAsia" w:cs="宋体"/>
                <w:lang w:eastAsia="zh-CN"/>
              </w:rPr>
              <w:t>，</w:t>
            </w:r>
            <w:r>
              <w:rPr>
                <w:rFonts w:hint="eastAsia" w:cs="宋体"/>
                <w:lang w:val="en-US" w:eastAsia="zh-CN"/>
              </w:rPr>
              <w:t>并参照</w:t>
            </w:r>
            <w:r>
              <w:rPr>
                <w:rFonts w:hint="eastAsia" w:ascii="Times New Roman" w:hAnsi="Times New Roman" w:eastAsia="宋体" w:cs="宋体"/>
              </w:rPr>
              <w:t>《土地利用现状分类》（</w:t>
            </w:r>
            <w:r>
              <w:rPr>
                <w:rFonts w:ascii="Times New Roman" w:hAnsi="Times New Roman" w:eastAsia="宋体" w:cs="宋体"/>
              </w:rPr>
              <w:t>GB/T21010-2017</w:t>
            </w:r>
            <w:r>
              <w:rPr>
                <w:rFonts w:hint="eastAsia" w:ascii="Times New Roman" w:hAnsi="Times New Roman" w:eastAsia="宋体" w:cs="宋体"/>
              </w:rPr>
              <w:t>）标准，</w:t>
            </w:r>
            <w:r>
              <w:rPr>
                <w:rFonts w:ascii="宋体" w:hAnsi="宋体" w:eastAsia="宋体" w:cs="宋体"/>
                <w:sz w:val="24"/>
                <w:szCs w:val="24"/>
              </w:rPr>
              <w:t>以确定本项目区域的土地利用类型。本项目土地利用现状以裸地为主</w:t>
            </w:r>
            <w:r>
              <w:rPr>
                <w:rFonts w:hint="eastAsia" w:ascii="宋体" w:hAnsi="宋体" w:eastAsia="宋体" w:cs="宋体"/>
                <w:sz w:val="24"/>
                <w:szCs w:val="24"/>
                <w:lang w:eastAsia="zh-CN"/>
              </w:rPr>
              <w:t>，</w:t>
            </w:r>
            <w:r>
              <w:rPr>
                <w:rFonts w:ascii="宋体" w:hAnsi="宋体" w:eastAsia="宋体" w:cs="宋体"/>
                <w:sz w:val="24"/>
                <w:szCs w:val="24"/>
              </w:rPr>
              <w:t>土地利用现状图详见</w:t>
            </w:r>
            <w:r>
              <w:rPr>
                <w:rFonts w:hint="eastAsia" w:ascii="宋体" w:hAnsi="宋体" w:cs="宋体"/>
                <w:sz w:val="24"/>
                <w:szCs w:val="24"/>
                <w:lang w:val="en-US" w:eastAsia="zh-CN"/>
              </w:rPr>
              <w:t>附图9</w:t>
            </w:r>
            <w:r>
              <w:rPr>
                <w:rFonts w:hint="eastAsia" w:ascii="宋体" w:hAnsi="宋体" w:eastAsia="宋体" w:cs="宋体"/>
                <w:sz w:val="24"/>
                <w:szCs w:val="24"/>
                <w:lang w:val="en-US" w:eastAsia="zh-CN"/>
              </w:rPr>
              <w:t>。</w:t>
            </w:r>
          </w:p>
          <w:p w14:paraId="4E4013FB">
            <w:pPr>
              <w:keepNext/>
              <w:keepLines/>
              <w:widowControl/>
              <w:adjustRightInd w:val="0"/>
              <w:snapToGrid w:val="0"/>
              <w:spacing w:line="480" w:lineRule="exact"/>
              <w:jc w:val="center"/>
              <w:outlineLvl w:val="2"/>
              <w:rPr>
                <w:rFonts w:hint="eastAsia"/>
              </w:rPr>
            </w:pPr>
            <w:r>
              <w:rPr>
                <w:rFonts w:hint="eastAsia" w:ascii="Times New Roman" w:hAnsi="Times New Roman" w:eastAsia="宋体"/>
                <w:b/>
                <w:color w:val="000000"/>
                <w:kern w:val="0"/>
                <w:sz w:val="21"/>
                <w:szCs w:val="21"/>
              </w:rPr>
              <w:t>表3-2</w:t>
            </w:r>
            <w:r>
              <w:rPr>
                <w:rFonts w:hint="eastAsia"/>
                <w:b/>
                <w:color w:val="000000"/>
                <w:kern w:val="0"/>
                <w:sz w:val="21"/>
                <w:szCs w:val="21"/>
                <w:lang w:val="en-US" w:eastAsia="zh-CN"/>
              </w:rPr>
              <w:t>项目土地利用</w:t>
            </w:r>
            <w:r>
              <w:rPr>
                <w:rFonts w:hint="eastAsia" w:ascii="Times New Roman" w:hAnsi="Times New Roman" w:eastAsia="宋体"/>
                <w:b/>
                <w:color w:val="000000"/>
                <w:kern w:val="0"/>
                <w:sz w:val="21"/>
                <w:szCs w:val="21"/>
              </w:rPr>
              <w:t>一览表</w:t>
            </w:r>
          </w:p>
          <w:tbl>
            <w:tblPr>
              <w:tblStyle w:val="16"/>
              <w:tblW w:w="7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1809"/>
              <w:gridCol w:w="1955"/>
              <w:gridCol w:w="1955"/>
            </w:tblGrid>
            <w:tr w14:paraId="23EC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099" w:type="dxa"/>
                  <w:vAlign w:val="center"/>
                </w:tcPr>
                <w:p w14:paraId="5E7DB6C5">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占地内容</w:t>
                  </w:r>
                </w:p>
              </w:tc>
              <w:tc>
                <w:tcPr>
                  <w:tcW w:w="1809" w:type="dxa"/>
                  <w:vAlign w:val="center"/>
                </w:tcPr>
                <w:p w14:paraId="12CDE2FB">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占地面积（km</w:t>
                  </w:r>
                  <w:r>
                    <w:rPr>
                      <w:rFonts w:hint="eastAsia" w:ascii="Times New Roman" w:hAnsi="Times New Roman"/>
                      <w:sz w:val="21"/>
                      <w:szCs w:val="21"/>
                      <w:highlight w:val="none"/>
                      <w:vertAlign w:val="superscript"/>
                      <w:lang w:val="en-US" w:eastAsia="zh-CN"/>
                    </w:rPr>
                    <w:t>2</w:t>
                  </w:r>
                  <w:r>
                    <w:rPr>
                      <w:rFonts w:hint="eastAsia" w:ascii="Times New Roman" w:hAnsi="Times New Roman"/>
                      <w:sz w:val="21"/>
                      <w:szCs w:val="21"/>
                      <w:highlight w:val="none"/>
                      <w:lang w:val="en-US" w:eastAsia="zh-CN"/>
                    </w:rPr>
                    <w:t>）</w:t>
                  </w:r>
                </w:p>
              </w:tc>
              <w:tc>
                <w:tcPr>
                  <w:tcW w:w="1955" w:type="dxa"/>
                  <w:vAlign w:val="center"/>
                </w:tcPr>
                <w:p w14:paraId="6A724FC3">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占地类型</w:t>
                  </w:r>
                </w:p>
              </w:tc>
              <w:tc>
                <w:tcPr>
                  <w:tcW w:w="1955" w:type="dxa"/>
                  <w:vAlign w:val="center"/>
                </w:tcPr>
                <w:p w14:paraId="390577B4">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占用状态</w:t>
                  </w:r>
                </w:p>
              </w:tc>
            </w:tr>
            <w:tr w14:paraId="7A5A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099" w:type="dxa"/>
                  <w:vAlign w:val="center"/>
                </w:tcPr>
                <w:p w14:paraId="0C586BB9">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钻探平台</w:t>
                  </w:r>
                </w:p>
              </w:tc>
              <w:tc>
                <w:tcPr>
                  <w:tcW w:w="1809" w:type="dxa"/>
                  <w:vAlign w:val="center"/>
                </w:tcPr>
                <w:p w14:paraId="7FCDC30E">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0.00004</w:t>
                  </w:r>
                </w:p>
              </w:tc>
              <w:tc>
                <w:tcPr>
                  <w:tcW w:w="1955" w:type="dxa"/>
                  <w:vAlign w:val="center"/>
                </w:tcPr>
                <w:p w14:paraId="697A6183">
                  <w:pPr>
                    <w:adjustRightInd w:val="0"/>
                    <w:snapToGrid w:val="0"/>
                    <w:jc w:val="center"/>
                    <w:rPr>
                      <w:rFonts w:hint="eastAsia" w:ascii="Times New Roman" w:hAnsi="Times New Roman" w:eastAsia="宋体" w:cs="Times New Roman"/>
                      <w:kern w:val="0"/>
                      <w:sz w:val="21"/>
                      <w:szCs w:val="21"/>
                      <w:highlight w:val="none"/>
                      <w:lang w:val="en-US" w:eastAsia="zh-CN" w:bidi="ar-SA"/>
                    </w:rPr>
                  </w:pPr>
                  <w:r>
                    <w:rPr>
                      <w:rFonts w:hint="eastAsia" w:cs="Times New Roman"/>
                      <w:kern w:val="0"/>
                      <w:sz w:val="21"/>
                      <w:szCs w:val="21"/>
                      <w:highlight w:val="none"/>
                      <w:lang w:val="en-US" w:eastAsia="zh-CN" w:bidi="ar-SA"/>
                    </w:rPr>
                    <w:t>裸地</w:t>
                  </w:r>
                </w:p>
              </w:tc>
              <w:tc>
                <w:tcPr>
                  <w:tcW w:w="1955" w:type="dxa"/>
                  <w:vAlign w:val="center"/>
                </w:tcPr>
                <w:p w14:paraId="59CBEAF0">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临时占地</w:t>
                  </w:r>
                </w:p>
              </w:tc>
            </w:tr>
            <w:tr w14:paraId="4340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99" w:type="dxa"/>
                  <w:vAlign w:val="center"/>
                </w:tcPr>
                <w:p w14:paraId="0C0A77BD">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槽探工程</w:t>
                  </w:r>
                </w:p>
              </w:tc>
              <w:tc>
                <w:tcPr>
                  <w:tcW w:w="1809" w:type="dxa"/>
                  <w:vAlign w:val="center"/>
                </w:tcPr>
                <w:p w14:paraId="384D18AB">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0.00133</w:t>
                  </w:r>
                </w:p>
              </w:tc>
              <w:tc>
                <w:tcPr>
                  <w:tcW w:w="1955" w:type="dxa"/>
                  <w:vAlign w:val="center"/>
                </w:tcPr>
                <w:p w14:paraId="26B2B735">
                  <w:pPr>
                    <w:adjustRightInd w:val="0"/>
                    <w:snapToGrid w:val="0"/>
                    <w:jc w:val="center"/>
                    <w:rPr>
                      <w:rFonts w:hint="eastAsia" w:ascii="Times New Roman" w:hAnsi="Times New Roman" w:eastAsia="宋体" w:cs="Times New Roman"/>
                      <w:kern w:val="0"/>
                      <w:sz w:val="21"/>
                      <w:szCs w:val="21"/>
                      <w:highlight w:val="none"/>
                      <w:lang w:val="en-US" w:eastAsia="zh-CN" w:bidi="ar-SA"/>
                    </w:rPr>
                  </w:pPr>
                  <w:r>
                    <w:rPr>
                      <w:rFonts w:hint="eastAsia" w:cs="Times New Roman"/>
                      <w:kern w:val="0"/>
                      <w:sz w:val="21"/>
                      <w:szCs w:val="21"/>
                      <w:highlight w:val="none"/>
                      <w:lang w:val="en-US" w:eastAsia="zh-CN" w:bidi="ar-SA"/>
                    </w:rPr>
                    <w:t>裸地</w:t>
                  </w:r>
                </w:p>
              </w:tc>
              <w:tc>
                <w:tcPr>
                  <w:tcW w:w="1955" w:type="dxa"/>
                  <w:vAlign w:val="center"/>
                </w:tcPr>
                <w:p w14:paraId="0E9813F1">
                  <w:pPr>
                    <w:pStyle w:val="24"/>
                    <w:adjustRightInd w:val="0"/>
                    <w:snapToGrid w:val="0"/>
                    <w:jc w:val="center"/>
                    <w:rPr>
                      <w:rFonts w:hint="eastAsia" w:ascii="Times New Roman" w:hAnsi="Times New Roman" w:eastAsia="宋体"/>
                      <w:sz w:val="21"/>
                      <w:szCs w:val="21"/>
                      <w:highlight w:val="none"/>
                      <w:lang w:eastAsia="zh-CN"/>
                    </w:rPr>
                  </w:pPr>
                  <w:r>
                    <w:rPr>
                      <w:rFonts w:hint="eastAsia" w:ascii="Times New Roman" w:hAnsi="Times New Roman"/>
                      <w:sz w:val="21"/>
                      <w:szCs w:val="21"/>
                      <w:highlight w:val="none"/>
                      <w:lang w:val="en-US" w:eastAsia="zh-CN"/>
                    </w:rPr>
                    <w:t>临时占地</w:t>
                  </w:r>
                </w:p>
              </w:tc>
            </w:tr>
            <w:tr w14:paraId="69CF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99" w:type="dxa"/>
                  <w:vAlign w:val="center"/>
                </w:tcPr>
                <w:p w14:paraId="3EDC35F9">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临时堆场</w:t>
                  </w:r>
                </w:p>
              </w:tc>
              <w:tc>
                <w:tcPr>
                  <w:tcW w:w="1809" w:type="dxa"/>
                  <w:vAlign w:val="center"/>
                </w:tcPr>
                <w:p w14:paraId="1EC4E199">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0.0008</w:t>
                  </w:r>
                </w:p>
              </w:tc>
              <w:tc>
                <w:tcPr>
                  <w:tcW w:w="1955" w:type="dxa"/>
                  <w:vAlign w:val="center"/>
                </w:tcPr>
                <w:p w14:paraId="64A418F3">
                  <w:pPr>
                    <w:adjustRightInd w:val="0"/>
                    <w:snapToGrid w:val="0"/>
                    <w:jc w:val="center"/>
                    <w:rPr>
                      <w:rFonts w:hint="eastAsia" w:ascii="Times New Roman" w:hAnsi="Times New Roman" w:eastAsia="宋体" w:cs="Times New Roman"/>
                      <w:kern w:val="0"/>
                      <w:sz w:val="21"/>
                      <w:szCs w:val="21"/>
                      <w:highlight w:val="none"/>
                      <w:lang w:val="en-US" w:eastAsia="zh-CN" w:bidi="ar-SA"/>
                    </w:rPr>
                  </w:pPr>
                  <w:r>
                    <w:rPr>
                      <w:rFonts w:hint="eastAsia" w:cs="Times New Roman"/>
                      <w:kern w:val="0"/>
                      <w:sz w:val="21"/>
                      <w:szCs w:val="21"/>
                      <w:highlight w:val="none"/>
                      <w:lang w:val="en-US" w:eastAsia="zh-CN" w:bidi="ar-SA"/>
                    </w:rPr>
                    <w:t>裸地</w:t>
                  </w:r>
                </w:p>
              </w:tc>
              <w:tc>
                <w:tcPr>
                  <w:tcW w:w="1955" w:type="dxa"/>
                  <w:vAlign w:val="center"/>
                </w:tcPr>
                <w:p w14:paraId="2C7D6994">
                  <w:pPr>
                    <w:adjustRightInd w:val="0"/>
                    <w:snapToGrid w:val="0"/>
                    <w:jc w:val="center"/>
                    <w:rPr>
                      <w:rFonts w:hint="eastAsia"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临时占地</w:t>
                  </w:r>
                </w:p>
              </w:tc>
            </w:tr>
            <w:tr w14:paraId="7908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99" w:type="dxa"/>
                  <w:vAlign w:val="center"/>
                </w:tcPr>
                <w:p w14:paraId="60DFE480">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办公生活营地</w:t>
                  </w:r>
                </w:p>
              </w:tc>
              <w:tc>
                <w:tcPr>
                  <w:tcW w:w="1809" w:type="dxa"/>
                  <w:vAlign w:val="center"/>
                </w:tcPr>
                <w:p w14:paraId="2F9D2623">
                  <w:pPr>
                    <w:pStyle w:val="24"/>
                    <w:adjustRightInd w:val="0"/>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0.0003</w:t>
                  </w:r>
                </w:p>
              </w:tc>
              <w:tc>
                <w:tcPr>
                  <w:tcW w:w="1955" w:type="dxa"/>
                  <w:vAlign w:val="center"/>
                </w:tcPr>
                <w:p w14:paraId="2543A48D">
                  <w:pPr>
                    <w:adjustRightInd w:val="0"/>
                    <w:snapToGrid w:val="0"/>
                    <w:jc w:val="center"/>
                    <w:rPr>
                      <w:rFonts w:hint="eastAsia" w:ascii="Times New Roman" w:hAnsi="Times New Roman" w:eastAsia="宋体" w:cs="Times New Roman"/>
                      <w:kern w:val="0"/>
                      <w:sz w:val="21"/>
                      <w:szCs w:val="21"/>
                      <w:highlight w:val="none"/>
                      <w:lang w:val="en-US" w:eastAsia="zh-CN" w:bidi="ar-SA"/>
                    </w:rPr>
                  </w:pPr>
                  <w:r>
                    <w:rPr>
                      <w:rFonts w:hint="eastAsia" w:cs="Times New Roman"/>
                      <w:kern w:val="0"/>
                      <w:sz w:val="21"/>
                      <w:szCs w:val="21"/>
                      <w:highlight w:val="none"/>
                      <w:lang w:val="en-US" w:eastAsia="zh-CN" w:bidi="ar-SA"/>
                    </w:rPr>
                    <w:t>裸地</w:t>
                  </w:r>
                </w:p>
              </w:tc>
              <w:tc>
                <w:tcPr>
                  <w:tcW w:w="1955" w:type="dxa"/>
                  <w:vAlign w:val="center"/>
                </w:tcPr>
                <w:p w14:paraId="15F19D09">
                  <w:pPr>
                    <w:adjustRightInd w:val="0"/>
                    <w:snapToGrid w:val="0"/>
                    <w:jc w:val="center"/>
                    <w:rPr>
                      <w:rFonts w:hint="eastAsia"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临时占地</w:t>
                  </w:r>
                </w:p>
              </w:tc>
            </w:tr>
            <w:tr w14:paraId="388E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099" w:type="dxa"/>
                  <w:vAlign w:val="center"/>
                </w:tcPr>
                <w:p w14:paraId="01AD2B9F">
                  <w:pPr>
                    <w:pStyle w:val="24"/>
                    <w:adjustRightInd w:val="0"/>
                    <w:snapToGrid w:val="0"/>
                    <w:jc w:val="center"/>
                    <w:rPr>
                      <w:rFonts w:hint="default"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探矿道路（不新建，属于重复占地）</w:t>
                  </w:r>
                </w:p>
              </w:tc>
              <w:tc>
                <w:tcPr>
                  <w:tcW w:w="1809" w:type="dxa"/>
                  <w:vAlign w:val="center"/>
                </w:tcPr>
                <w:p w14:paraId="4253B1CC">
                  <w:pPr>
                    <w:pStyle w:val="24"/>
                    <w:adjustRightInd w:val="0"/>
                    <w:snapToGrid w:val="0"/>
                    <w:jc w:val="center"/>
                    <w:rPr>
                      <w:rFonts w:hint="default"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0.09</w:t>
                  </w:r>
                </w:p>
              </w:tc>
              <w:tc>
                <w:tcPr>
                  <w:tcW w:w="1955" w:type="dxa"/>
                  <w:vAlign w:val="center"/>
                </w:tcPr>
                <w:p w14:paraId="35C5EB00">
                  <w:pPr>
                    <w:adjustRightInd w:val="0"/>
                    <w:snapToGrid w:val="0"/>
                    <w:jc w:val="center"/>
                    <w:rPr>
                      <w:rFonts w:hint="eastAsia" w:ascii="Times New Roman" w:hAnsi="Times New Roman" w:eastAsia="宋体" w:cs="Times New Roman"/>
                      <w:kern w:val="0"/>
                      <w:sz w:val="21"/>
                      <w:szCs w:val="21"/>
                      <w:highlight w:val="none"/>
                      <w:lang w:val="en-US" w:eastAsia="zh-CN" w:bidi="ar-SA"/>
                    </w:rPr>
                  </w:pPr>
                  <w:r>
                    <w:rPr>
                      <w:rFonts w:hint="eastAsia" w:cs="Times New Roman"/>
                      <w:kern w:val="0"/>
                      <w:sz w:val="21"/>
                      <w:szCs w:val="21"/>
                      <w:highlight w:val="none"/>
                      <w:lang w:val="en-US" w:eastAsia="zh-CN" w:bidi="ar-SA"/>
                    </w:rPr>
                    <w:t>裸地</w:t>
                  </w:r>
                </w:p>
              </w:tc>
              <w:tc>
                <w:tcPr>
                  <w:tcW w:w="1955" w:type="dxa"/>
                  <w:vAlign w:val="center"/>
                </w:tcPr>
                <w:p w14:paraId="7A0E786D">
                  <w:pPr>
                    <w:adjustRightInd w:val="0"/>
                    <w:snapToGrid w:val="0"/>
                    <w:jc w:val="center"/>
                    <w:rPr>
                      <w:rFonts w:hint="eastAsia"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临时占地</w:t>
                  </w:r>
                </w:p>
              </w:tc>
            </w:tr>
            <w:tr w14:paraId="760E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099" w:type="dxa"/>
                  <w:vAlign w:val="center"/>
                </w:tcPr>
                <w:p w14:paraId="2229351B">
                  <w:pPr>
                    <w:pStyle w:val="24"/>
                    <w:adjustRightInd w:val="0"/>
                    <w:snapToGrid w:val="0"/>
                    <w:jc w:val="center"/>
                    <w:rPr>
                      <w:rFonts w:hint="default"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合计</w:t>
                  </w:r>
                </w:p>
              </w:tc>
              <w:tc>
                <w:tcPr>
                  <w:tcW w:w="1809" w:type="dxa"/>
                  <w:vAlign w:val="center"/>
                </w:tcPr>
                <w:p w14:paraId="5480BE6C">
                  <w:pPr>
                    <w:pStyle w:val="24"/>
                    <w:adjustRightInd w:val="0"/>
                    <w:snapToGrid w:val="0"/>
                    <w:jc w:val="center"/>
                    <w:rPr>
                      <w:rFonts w:hint="default"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0.09247</w:t>
                  </w:r>
                </w:p>
              </w:tc>
              <w:tc>
                <w:tcPr>
                  <w:tcW w:w="1955" w:type="dxa"/>
                  <w:vAlign w:val="center"/>
                </w:tcPr>
                <w:p w14:paraId="45A37E0E">
                  <w:pPr>
                    <w:pStyle w:val="24"/>
                    <w:adjustRightInd w:val="0"/>
                    <w:snapToGrid w:val="0"/>
                    <w:jc w:val="center"/>
                    <w:rPr>
                      <w:rFonts w:hint="eastAsia" w:ascii="Times New Roman" w:hAnsi="Times New Roman" w:eastAsia="宋体"/>
                      <w:sz w:val="21"/>
                      <w:szCs w:val="21"/>
                      <w:highlight w:val="yellow"/>
                      <w:lang w:eastAsia="zh-CN"/>
                    </w:rPr>
                  </w:pPr>
                </w:p>
              </w:tc>
              <w:tc>
                <w:tcPr>
                  <w:tcW w:w="1955" w:type="dxa"/>
                  <w:vAlign w:val="center"/>
                </w:tcPr>
                <w:p w14:paraId="0C5DB213">
                  <w:pPr>
                    <w:pStyle w:val="24"/>
                    <w:adjustRightInd w:val="0"/>
                    <w:snapToGrid w:val="0"/>
                    <w:jc w:val="center"/>
                    <w:rPr>
                      <w:rFonts w:hint="eastAsia" w:ascii="Times New Roman" w:hAnsi="Times New Roman"/>
                      <w:sz w:val="21"/>
                      <w:szCs w:val="21"/>
                      <w:highlight w:val="yellow"/>
                      <w:lang w:val="en-US" w:eastAsia="zh-CN"/>
                    </w:rPr>
                  </w:pPr>
                </w:p>
              </w:tc>
            </w:tr>
          </w:tbl>
          <w:p w14:paraId="5FF794AA">
            <w:pPr>
              <w:snapToGrid w:val="0"/>
              <w:spacing w:line="500" w:lineRule="exact"/>
              <w:ind w:firstLine="480" w:firstLineChars="200"/>
              <w:rPr>
                <w:rFonts w:hint="eastAsia" w:ascii="Times New Roman" w:hAnsi="Times New Roman" w:eastAsia="宋体" w:cs="宋体"/>
                <w:highlight w:val="none"/>
              </w:rPr>
            </w:pPr>
            <w:r>
              <w:rPr>
                <w:rFonts w:hint="eastAsia" w:ascii="Times New Roman" w:hAnsi="Times New Roman" w:eastAsia="宋体" w:cs="宋体"/>
                <w:highlight w:val="none"/>
              </w:rPr>
              <w:t>（4）土地沙化现状</w:t>
            </w:r>
          </w:p>
          <w:p w14:paraId="63227F4A">
            <w:pPr>
              <w:snapToGrid w:val="0"/>
              <w:spacing w:line="500" w:lineRule="exact"/>
              <w:ind w:firstLine="480" w:firstLineChars="200"/>
              <w:rPr>
                <w:rFonts w:hint="eastAsia" w:ascii="Times New Roman" w:hAnsi="Times New Roman" w:eastAsia="宋体" w:cs="宋体"/>
                <w:highlight w:val="none"/>
              </w:rPr>
            </w:pPr>
            <w:bookmarkStart w:id="15" w:name="_Hlk167566778"/>
            <w:r>
              <w:rPr>
                <w:rFonts w:ascii="Times New Roman" w:hAnsi="Times New Roman" w:eastAsia="宋体" w:cs="宋体"/>
                <w:highlight w:val="none"/>
              </w:rPr>
              <w:t>根据</w:t>
            </w:r>
            <w:r>
              <w:rPr>
                <w:rFonts w:hint="default" w:ascii="Times New Roman" w:hAnsi="Times New Roman" w:eastAsia="宋体" w:cs="宋体"/>
                <w:highlight w:val="none"/>
                <w:lang w:val="en-US" w:eastAsia="zh-CN"/>
              </w:rPr>
              <w:t>《</w:t>
            </w:r>
            <w:bookmarkStart w:id="16" w:name="OLE_LINK1"/>
            <w:r>
              <w:rPr>
                <w:rFonts w:hint="default" w:ascii="Times New Roman" w:hAnsi="Times New Roman" w:eastAsia="宋体" w:cs="宋体"/>
                <w:highlight w:val="none"/>
                <w:lang w:val="en-US" w:eastAsia="zh-CN"/>
              </w:rPr>
              <w:t>新疆维吾尔自治区防沙治沙规划</w:t>
            </w:r>
            <w:bookmarkEnd w:id="16"/>
            <w:r>
              <w:rPr>
                <w:rFonts w:hint="default" w:ascii="Times New Roman" w:hAnsi="Times New Roman" w:eastAsia="宋体" w:cs="宋体"/>
                <w:highlight w:val="none"/>
                <w:lang w:val="en-US" w:eastAsia="zh-CN"/>
              </w:rPr>
              <w:t>（2021-2030）</w:t>
            </w:r>
            <w:r>
              <w:rPr>
                <w:rFonts w:hint="eastAsia" w:cs="宋体"/>
                <w:highlight w:val="none"/>
                <w:lang w:val="en-US" w:eastAsia="zh-CN"/>
              </w:rPr>
              <w:t>》和</w:t>
            </w:r>
            <w:r>
              <w:rPr>
                <w:rFonts w:ascii="Times New Roman" w:hAnsi="Times New Roman" w:eastAsia="宋体" w:cs="宋体"/>
                <w:highlight w:val="none"/>
              </w:rPr>
              <w:t>《新疆维吾尔自治区第</w:t>
            </w:r>
            <w:r>
              <w:rPr>
                <w:rFonts w:hint="eastAsia" w:ascii="Times New Roman" w:hAnsi="Times New Roman" w:eastAsia="宋体" w:cs="宋体"/>
                <w:highlight w:val="none"/>
              </w:rPr>
              <w:t>六</w:t>
            </w:r>
            <w:r>
              <w:rPr>
                <w:rFonts w:ascii="Times New Roman" w:hAnsi="Times New Roman" w:eastAsia="宋体" w:cs="宋体"/>
                <w:highlight w:val="none"/>
              </w:rPr>
              <w:t>次沙化</w:t>
            </w:r>
            <w:r>
              <w:rPr>
                <w:rFonts w:hint="eastAsia" w:ascii="Times New Roman" w:hAnsi="Times New Roman" w:eastAsia="宋体" w:cs="宋体"/>
                <w:highlight w:val="none"/>
              </w:rPr>
              <w:t>监测报告</w:t>
            </w:r>
            <w:r>
              <w:rPr>
                <w:rFonts w:ascii="Times New Roman" w:hAnsi="Times New Roman" w:eastAsia="宋体" w:cs="宋体"/>
                <w:highlight w:val="none"/>
              </w:rPr>
              <w:t>》可知，</w:t>
            </w:r>
            <w:r>
              <w:rPr>
                <w:rFonts w:hint="eastAsia" w:ascii="Times New Roman" w:hAnsi="Times New Roman" w:eastAsia="宋体" w:cs="宋体"/>
                <w:highlight w:val="none"/>
              </w:rPr>
              <w:t>项目位于</w:t>
            </w:r>
            <w:r>
              <w:rPr>
                <w:rFonts w:hint="eastAsia" w:ascii="宋体" w:hAnsi="宋体" w:cs="宋体"/>
                <w:highlight w:val="none"/>
              </w:rPr>
              <w:t>非沙化土地</w:t>
            </w:r>
            <w:r>
              <w:rPr>
                <w:rFonts w:hint="eastAsia" w:ascii="Times New Roman" w:hAnsi="Times New Roman" w:eastAsia="宋体" w:cs="宋体"/>
                <w:highlight w:val="none"/>
              </w:rPr>
              <w:t>，</w:t>
            </w:r>
            <w:r>
              <w:rPr>
                <w:rFonts w:hint="eastAsia" w:cs="宋体"/>
                <w:highlight w:val="none"/>
                <w:lang w:val="en-US" w:eastAsia="zh-CN"/>
              </w:rPr>
              <w:t>详见附图10</w:t>
            </w:r>
            <w:r>
              <w:rPr>
                <w:rFonts w:hint="eastAsia" w:ascii="Times New Roman" w:hAnsi="Times New Roman" w:eastAsia="宋体" w:cs="宋体"/>
                <w:highlight w:val="none"/>
              </w:rPr>
              <w:t>。</w:t>
            </w:r>
          </w:p>
          <w:p w14:paraId="757BBFED">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（5）水土流失现状</w:t>
            </w:r>
          </w:p>
          <w:bookmarkEnd w:id="15"/>
          <w:p w14:paraId="5D6F5517">
            <w:pPr>
              <w:snapToGrid w:val="0"/>
              <w:spacing w:line="500" w:lineRule="exact"/>
              <w:ind w:firstLine="480" w:firstLineChars="200"/>
              <w:rPr>
                <w:rFonts w:hint="default" w:ascii="Times New Roman" w:hAnsi="Times New Roman" w:eastAsia="宋体" w:cs="宋体"/>
                <w:lang w:val="en-US" w:eastAsia="zh-CN"/>
              </w:rPr>
            </w:pPr>
            <w:r>
              <w:rPr>
                <w:rFonts w:hint="eastAsia" w:ascii="Times New Roman" w:hAnsi="Times New Roman" w:eastAsia="宋体" w:cs="宋体"/>
              </w:rPr>
              <w:t>根据</w:t>
            </w:r>
            <w:r>
              <w:rPr>
                <w:rFonts w:hint="eastAsia" w:ascii="Times New Roman" w:hAnsi="Times New Roman" w:eastAsia="宋体" w:cs="宋体"/>
                <w:highlight w:val="none"/>
              </w:rPr>
              <w:t>《新疆维吾尔自治区水土保持规划（2018</w:t>
            </w:r>
            <w:r>
              <w:rPr>
                <w:rFonts w:hint="eastAsia" w:cs="宋体"/>
                <w:highlight w:val="none"/>
                <w:lang w:eastAsia="zh-CN"/>
              </w:rPr>
              <w:t>—</w:t>
            </w:r>
            <w:r>
              <w:rPr>
                <w:rFonts w:hint="eastAsia" w:ascii="Times New Roman" w:hAnsi="Times New Roman" w:eastAsia="宋体" w:cs="宋体"/>
                <w:highlight w:val="none"/>
              </w:rPr>
              <w:t>2030年）</w:t>
            </w:r>
            <w:r>
              <w:rPr>
                <w:rFonts w:hint="eastAsia" w:cs="宋体"/>
                <w:highlight w:val="none"/>
                <w:lang w:eastAsia="zh-CN"/>
              </w:rPr>
              <w:t>》和</w:t>
            </w:r>
            <w:r>
              <w:rPr>
                <w:rFonts w:hint="eastAsia" w:cs="宋体"/>
                <w:lang w:eastAsia="zh-CN"/>
              </w:rPr>
              <w:t>《全国水土保持规划（2015—2030年）》</w:t>
            </w:r>
            <w:r>
              <w:rPr>
                <w:rFonts w:hint="eastAsia" w:ascii="Times New Roman" w:hAnsi="Times New Roman" w:eastAsia="宋体" w:cs="宋体"/>
              </w:rPr>
              <w:t>，本项目所在区域</w:t>
            </w:r>
            <w:r>
              <w:rPr>
                <w:rFonts w:hint="eastAsia" w:cs="宋体"/>
                <w:lang w:val="en-US" w:eastAsia="zh-CN"/>
              </w:rPr>
              <w:t>不属于</w:t>
            </w:r>
            <w:r>
              <w:rPr>
                <w:rFonts w:hint="eastAsia" w:ascii="Times New Roman" w:hAnsi="Times New Roman" w:eastAsia="宋体" w:cs="宋体"/>
              </w:rPr>
              <w:t>水土流失重点预防区</w:t>
            </w:r>
            <w:r>
              <w:rPr>
                <w:rFonts w:hint="eastAsia" w:cs="宋体"/>
                <w:lang w:val="en-US" w:eastAsia="zh-CN"/>
              </w:rPr>
              <w:t>和</w:t>
            </w:r>
            <w:r>
              <w:rPr>
                <w:rFonts w:hint="eastAsia" w:ascii="Times New Roman" w:hAnsi="Times New Roman" w:eastAsia="宋体" w:cs="宋体"/>
              </w:rPr>
              <w:t>重点治理区。</w:t>
            </w:r>
            <w:r>
              <w:rPr>
                <w:rFonts w:hint="eastAsia" w:ascii="Times New Roman" w:hAnsi="Times New Roman" w:eastAsia="宋体" w:cs="宋体"/>
                <w:lang w:val="en-US" w:eastAsia="zh-CN"/>
              </w:rPr>
              <w:t>项目区</w:t>
            </w:r>
            <w:r>
              <w:rPr>
                <w:rFonts w:hint="eastAsia" w:cs="宋体"/>
                <w:lang w:val="en-US" w:eastAsia="zh-CN"/>
              </w:rPr>
              <w:t>水土</w:t>
            </w:r>
            <w:r>
              <w:rPr>
                <w:rFonts w:hint="eastAsia" w:ascii="Times New Roman" w:hAnsi="Times New Roman" w:eastAsia="宋体" w:cs="宋体"/>
              </w:rPr>
              <w:t>流失重点预防区</w:t>
            </w:r>
            <w:r>
              <w:rPr>
                <w:rFonts w:hint="eastAsia" w:cs="宋体"/>
                <w:lang w:val="en-US" w:eastAsia="zh-CN"/>
              </w:rPr>
              <w:t>和</w:t>
            </w:r>
            <w:r>
              <w:rPr>
                <w:rFonts w:hint="eastAsia" w:ascii="Times New Roman" w:hAnsi="Times New Roman" w:eastAsia="宋体" w:cs="宋体"/>
              </w:rPr>
              <w:t>重点治理区</w:t>
            </w:r>
            <w:r>
              <w:rPr>
                <w:rFonts w:hint="eastAsia" w:ascii="Times New Roman" w:hAnsi="Times New Roman" w:cs="宋体"/>
                <w:lang w:val="en-US" w:eastAsia="zh-CN"/>
              </w:rPr>
              <w:t>查询结果详见附图11。</w:t>
            </w:r>
          </w:p>
          <w:p w14:paraId="7C555944">
            <w:pPr>
              <w:pStyle w:val="7"/>
              <w:spacing w:line="500" w:lineRule="exact"/>
              <w:rPr>
                <w:rFonts w:hint="eastAsia" w:ascii="Times New Roman" w:hAnsi="Times New Roman" w:eastAsia="宋体" w:cs="宋体"/>
                <w:b/>
                <w:bCs/>
                <w:sz w:val="24"/>
                <w:szCs w:val="24"/>
                <w:lang w:eastAsia="zh-CN"/>
              </w:rPr>
            </w:pPr>
            <w:r>
              <w:rPr>
                <w:rFonts w:hint="eastAsia" w:ascii="Times New Roman" w:hAnsi="Times New Roman" w:eastAsia="宋体" w:cs="宋体"/>
                <w:b/>
                <w:bCs/>
                <w:sz w:val="24"/>
                <w:szCs w:val="24"/>
                <w:lang w:eastAsia="zh-CN"/>
              </w:rPr>
              <w:t>4.区域环境质量现状</w:t>
            </w:r>
          </w:p>
          <w:p w14:paraId="5516A1B3">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（1）环境空气质量现状调查</w:t>
            </w:r>
          </w:p>
          <w:p w14:paraId="45964B74">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本项目</w:t>
            </w:r>
            <w:r>
              <w:rPr>
                <w:rFonts w:hint="eastAsia" w:cs="宋体"/>
                <w:lang w:val="en-US" w:eastAsia="zh-CN"/>
              </w:rPr>
              <w:t>主要</w:t>
            </w:r>
            <w:r>
              <w:rPr>
                <w:rFonts w:hint="eastAsia" w:ascii="Times New Roman" w:hAnsi="Times New Roman" w:eastAsia="宋体" w:cs="宋体"/>
              </w:rPr>
              <w:t>位于</w:t>
            </w:r>
            <w:r>
              <w:rPr>
                <w:rFonts w:hint="eastAsia" w:cs="宋体"/>
                <w:lang w:val="en-US" w:eastAsia="zh-CN"/>
              </w:rPr>
              <w:t>民丰</w:t>
            </w:r>
            <w:r>
              <w:rPr>
                <w:rFonts w:hint="eastAsia" w:ascii="Times New Roman" w:hAnsi="Times New Roman" w:eastAsia="宋体" w:cs="宋体"/>
              </w:rPr>
              <w:t>县，没有环境空气自动监测站点，根据《环境影响评价技术导则大气环境》（HJ2.2-2018）对环境质量现状数据的要求，</w:t>
            </w:r>
            <w:r>
              <w:rPr>
                <w:rFonts w:ascii="Times New Roman" w:hAnsi="Times New Roman" w:eastAsia="宋体" w:cs="宋体"/>
              </w:rPr>
              <w:t>选择中国环境影响评价网环境空气质量模型技术支持服务系统中</w:t>
            </w:r>
            <w:r>
              <w:rPr>
                <w:rFonts w:hint="eastAsia" w:ascii="Times New Roman" w:hAnsi="Times New Roman" w:eastAsia="宋体" w:cs="宋体"/>
              </w:rPr>
              <w:t>和田地区</w:t>
            </w:r>
            <w:r>
              <w:rPr>
                <w:rFonts w:ascii="Times New Roman" w:hAnsi="Times New Roman" w:eastAsia="宋体" w:cs="宋体"/>
              </w:rPr>
              <w:t>202</w:t>
            </w:r>
            <w:r>
              <w:rPr>
                <w:rFonts w:hint="eastAsia" w:cs="宋体"/>
                <w:lang w:val="en-US" w:eastAsia="zh-CN"/>
              </w:rPr>
              <w:t>5</w:t>
            </w:r>
            <w:r>
              <w:rPr>
                <w:rFonts w:ascii="Times New Roman" w:hAnsi="Times New Roman" w:eastAsia="宋体" w:cs="宋体"/>
              </w:rPr>
              <w:t>年的监测数据，作为本项目环境空气现状评价基本污染物SO</w:t>
            </w:r>
            <w:r>
              <w:rPr>
                <w:rFonts w:ascii="Times New Roman" w:hAnsi="Times New Roman" w:eastAsia="宋体" w:cs="宋体"/>
                <w:vertAlign w:val="subscript"/>
              </w:rPr>
              <w:t>2</w:t>
            </w:r>
            <w:r>
              <w:rPr>
                <w:rFonts w:ascii="Times New Roman" w:hAnsi="Times New Roman" w:eastAsia="宋体" w:cs="宋体"/>
              </w:rPr>
              <w:t>、NO</w:t>
            </w:r>
            <w:r>
              <w:rPr>
                <w:rFonts w:ascii="Times New Roman" w:hAnsi="Times New Roman" w:eastAsia="宋体" w:cs="宋体"/>
                <w:vertAlign w:val="subscript"/>
              </w:rPr>
              <w:t>2</w:t>
            </w:r>
            <w:r>
              <w:rPr>
                <w:rFonts w:ascii="Times New Roman" w:hAnsi="Times New Roman" w:eastAsia="宋体" w:cs="宋体"/>
              </w:rPr>
              <w:t>、PM</w:t>
            </w:r>
            <w:r>
              <w:rPr>
                <w:rFonts w:ascii="Times New Roman" w:hAnsi="Times New Roman" w:eastAsia="宋体" w:cs="宋体"/>
                <w:vertAlign w:val="subscript"/>
              </w:rPr>
              <w:t>10</w:t>
            </w:r>
            <w:r>
              <w:rPr>
                <w:rFonts w:ascii="Times New Roman" w:hAnsi="Times New Roman" w:eastAsia="宋体" w:cs="宋体"/>
              </w:rPr>
              <w:t>、PM</w:t>
            </w:r>
            <w:r>
              <w:rPr>
                <w:rFonts w:ascii="Times New Roman" w:hAnsi="Times New Roman" w:eastAsia="宋体" w:cs="宋体"/>
                <w:vertAlign w:val="subscript"/>
              </w:rPr>
              <w:t>2</w:t>
            </w:r>
            <w:r>
              <w:rPr>
                <w:rFonts w:hint="eastAsia" w:ascii="Times New Roman" w:hAnsi="Times New Roman" w:eastAsia="宋体" w:cs="宋体"/>
                <w:vertAlign w:val="subscript"/>
              </w:rPr>
              <w:t>.</w:t>
            </w:r>
            <w:r>
              <w:rPr>
                <w:rFonts w:ascii="Times New Roman" w:hAnsi="Times New Roman" w:eastAsia="宋体" w:cs="宋体"/>
                <w:vertAlign w:val="subscript"/>
              </w:rPr>
              <w:t>5</w:t>
            </w:r>
            <w:r>
              <w:rPr>
                <w:rFonts w:ascii="Times New Roman" w:hAnsi="Times New Roman" w:eastAsia="宋体" w:cs="宋体"/>
              </w:rPr>
              <w:t>、CO和O</w:t>
            </w:r>
            <w:r>
              <w:rPr>
                <w:rFonts w:ascii="Times New Roman" w:hAnsi="Times New Roman" w:eastAsia="宋体" w:cs="宋体"/>
                <w:vertAlign w:val="subscript"/>
              </w:rPr>
              <w:t>3</w:t>
            </w:r>
            <w:r>
              <w:rPr>
                <w:rFonts w:ascii="Times New Roman" w:hAnsi="Times New Roman" w:eastAsia="宋体" w:cs="宋体"/>
              </w:rPr>
              <w:t>的数据来源</w:t>
            </w:r>
            <w:r>
              <w:rPr>
                <w:rFonts w:hint="eastAsia" w:ascii="Times New Roman" w:hAnsi="Times New Roman" w:eastAsia="宋体" w:cs="宋体"/>
              </w:rPr>
              <w:t>。该</w:t>
            </w:r>
            <w:r>
              <w:rPr>
                <w:rFonts w:hint="eastAsia" w:cs="宋体"/>
                <w:lang w:eastAsia="zh-CN"/>
              </w:rPr>
              <w:t>监测站</w:t>
            </w:r>
            <w:r>
              <w:rPr>
                <w:rFonts w:hint="eastAsia" w:ascii="Times New Roman" w:hAnsi="Times New Roman" w:eastAsia="宋体" w:cs="宋体"/>
              </w:rPr>
              <w:t>位于和田市环保局院内。</w:t>
            </w:r>
          </w:p>
          <w:p w14:paraId="4A6A4045">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202</w:t>
            </w:r>
            <w:r>
              <w:rPr>
                <w:rFonts w:hint="eastAsia" w:cs="宋体"/>
                <w:lang w:val="en-US" w:eastAsia="zh-CN"/>
              </w:rPr>
              <w:t>5</w:t>
            </w:r>
            <w:r>
              <w:rPr>
                <w:rFonts w:hint="eastAsia" w:ascii="Times New Roman" w:hAnsi="Times New Roman" w:eastAsia="宋体" w:cs="宋体"/>
              </w:rPr>
              <w:t>年空气质量达标区判定结果见表</w:t>
            </w:r>
            <w:r>
              <w:rPr>
                <w:rFonts w:ascii="Times New Roman" w:hAnsi="Times New Roman" w:eastAsia="宋体" w:cs="宋体"/>
              </w:rPr>
              <w:t>3-</w:t>
            </w:r>
            <w:r>
              <w:rPr>
                <w:rFonts w:hint="eastAsia" w:cs="宋体"/>
                <w:lang w:val="en-US" w:eastAsia="zh-CN"/>
              </w:rPr>
              <w:t>3</w:t>
            </w:r>
            <w:r>
              <w:rPr>
                <w:rFonts w:ascii="Times New Roman" w:hAnsi="Times New Roman" w:eastAsia="宋体" w:cs="宋体"/>
              </w:rPr>
              <w:t>。</w:t>
            </w:r>
          </w:p>
          <w:p w14:paraId="7A4B38B4">
            <w:pPr>
              <w:keepNext/>
              <w:keepLines/>
              <w:widowControl/>
              <w:adjustRightInd w:val="0"/>
              <w:snapToGrid w:val="0"/>
              <w:spacing w:line="480" w:lineRule="exact"/>
              <w:jc w:val="center"/>
              <w:outlineLvl w:val="2"/>
              <w:rPr>
                <w:rFonts w:hint="eastAsia" w:ascii="Times New Roman" w:hAnsi="Times New Roman" w:eastAsia="宋体"/>
                <w:b/>
                <w:color w:val="000000"/>
                <w:kern w:val="0"/>
                <w:sz w:val="21"/>
                <w:szCs w:val="21"/>
              </w:rPr>
            </w:pPr>
            <w:bookmarkStart w:id="17" w:name="_Ref21430043"/>
            <w:r>
              <w:rPr>
                <w:rFonts w:hint="eastAsia" w:ascii="Times New Roman" w:hAnsi="Times New Roman" w:eastAsia="宋体"/>
                <w:b/>
                <w:color w:val="000000"/>
                <w:kern w:val="0"/>
                <w:sz w:val="21"/>
                <w:szCs w:val="21"/>
              </w:rPr>
              <w:t>表3-</w:t>
            </w:r>
            <w:r>
              <w:rPr>
                <w:rFonts w:hint="eastAsia"/>
                <w:b/>
                <w:color w:val="000000"/>
                <w:kern w:val="0"/>
                <w:sz w:val="21"/>
                <w:szCs w:val="21"/>
                <w:lang w:val="en-US" w:eastAsia="zh-CN"/>
              </w:rPr>
              <w:t>3</w:t>
            </w:r>
            <w:r>
              <w:rPr>
                <w:rFonts w:hint="eastAsia" w:ascii="Times New Roman" w:hAnsi="Times New Roman" w:eastAsia="宋体"/>
                <w:b/>
                <w:color w:val="000000"/>
                <w:kern w:val="0"/>
                <w:sz w:val="21"/>
                <w:szCs w:val="21"/>
              </w:rPr>
              <w:t>大气质量及评价结果一览表</w:t>
            </w:r>
          </w:p>
          <w:tbl>
            <w:tblPr>
              <w:tblStyle w:val="15"/>
              <w:tblW w:w="81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45"/>
              <w:gridCol w:w="2432"/>
              <w:gridCol w:w="1320"/>
              <w:gridCol w:w="1191"/>
              <w:gridCol w:w="1194"/>
              <w:gridCol w:w="854"/>
            </w:tblGrid>
            <w:tr w14:paraId="2FED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0" w:hRule="exact"/>
                <w:jc w:val="center"/>
              </w:trPr>
              <w:tc>
                <w:tcPr>
                  <w:tcW w:w="703" w:type="pct"/>
                  <w:vAlign w:val="center"/>
                </w:tcPr>
                <w:p w14:paraId="37051777">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监测因子</w:t>
                  </w:r>
                </w:p>
              </w:tc>
              <w:tc>
                <w:tcPr>
                  <w:tcW w:w="1494" w:type="pct"/>
                  <w:vAlign w:val="center"/>
                </w:tcPr>
                <w:p w14:paraId="10D3B883">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年评价指标</w:t>
                  </w:r>
                </w:p>
              </w:tc>
              <w:tc>
                <w:tcPr>
                  <w:tcW w:w="811" w:type="pct"/>
                  <w:vAlign w:val="center"/>
                </w:tcPr>
                <w:p w14:paraId="1A74EEB2">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现状浓度</w:t>
                  </w:r>
                </w:p>
                <w:p w14:paraId="6A556016">
                  <w:pPr>
                    <w:pStyle w:val="24"/>
                    <w:adjustRightInd w:val="0"/>
                    <w:snapToGrid w:val="0"/>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μg/m</w:t>
                  </w:r>
                  <w:r>
                    <w:rPr>
                      <w:rFonts w:hint="default" w:ascii="Times New Roman" w:hAnsi="Times New Roman" w:eastAsia="宋体" w:cs="Times New Roman"/>
                      <w:sz w:val="21"/>
                      <w:szCs w:val="21"/>
                      <w:vertAlign w:val="superscript"/>
                    </w:rPr>
                    <w:t>3</w:t>
                  </w:r>
                  <w:r>
                    <w:rPr>
                      <w:rFonts w:hint="default" w:ascii="Times New Roman" w:hAnsi="Times New Roman" w:cs="Times New Roman"/>
                      <w:sz w:val="21"/>
                      <w:szCs w:val="21"/>
                      <w:vertAlign w:val="baseline"/>
                      <w:lang w:eastAsia="zh-CN"/>
                    </w:rPr>
                    <w:t>）</w:t>
                  </w:r>
                </w:p>
              </w:tc>
              <w:tc>
                <w:tcPr>
                  <w:tcW w:w="731" w:type="pct"/>
                  <w:vAlign w:val="center"/>
                </w:tcPr>
                <w:p w14:paraId="3E1CDE1E">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标准值</w:t>
                  </w:r>
                </w:p>
                <w:p w14:paraId="0035531C">
                  <w:pPr>
                    <w:pStyle w:val="24"/>
                    <w:adjustRightInd w:val="0"/>
                    <w:snapToGrid w:val="0"/>
                    <w:rPr>
                      <w:rFonts w:hint="default" w:ascii="Times New Roman" w:hAnsi="Times New Roman" w:eastAsia="宋体" w:cs="Times New Roman"/>
                      <w:sz w:val="21"/>
                      <w:szCs w:val="21"/>
                    </w:rPr>
                  </w:pP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μg/m</w:t>
                  </w:r>
                  <w:r>
                    <w:rPr>
                      <w:rFonts w:hint="default" w:ascii="Times New Roman" w:hAnsi="Times New Roman" w:eastAsia="宋体" w:cs="Times New Roman"/>
                      <w:sz w:val="21"/>
                      <w:szCs w:val="21"/>
                      <w:vertAlign w:val="superscript"/>
                    </w:rPr>
                    <w:t>3</w:t>
                  </w:r>
                  <w:r>
                    <w:rPr>
                      <w:rFonts w:hint="default" w:ascii="Times New Roman" w:hAnsi="Times New Roman" w:cs="Times New Roman"/>
                      <w:sz w:val="21"/>
                      <w:szCs w:val="21"/>
                      <w:vertAlign w:val="baseline"/>
                      <w:lang w:eastAsia="zh-CN"/>
                    </w:rPr>
                    <w:t>）</w:t>
                  </w:r>
                </w:p>
              </w:tc>
              <w:tc>
                <w:tcPr>
                  <w:tcW w:w="733" w:type="pct"/>
                  <w:vAlign w:val="center"/>
                </w:tcPr>
                <w:p w14:paraId="14368F41">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占标率</w:t>
                  </w:r>
                </w:p>
                <w:p w14:paraId="61D872F5">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524" w:type="pct"/>
                  <w:vAlign w:val="center"/>
                </w:tcPr>
                <w:p w14:paraId="790D5E2E">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p w14:paraId="459AA02F">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情况</w:t>
                  </w:r>
                </w:p>
              </w:tc>
            </w:tr>
            <w:tr w14:paraId="368D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4" w:hRule="exact"/>
                <w:jc w:val="center"/>
              </w:trPr>
              <w:tc>
                <w:tcPr>
                  <w:tcW w:w="703" w:type="pct"/>
                  <w:vAlign w:val="center"/>
                </w:tcPr>
                <w:p w14:paraId="333EDF0F">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SO</w:t>
                  </w:r>
                  <w:r>
                    <w:rPr>
                      <w:rFonts w:hint="default" w:ascii="Times New Roman" w:hAnsi="Times New Roman" w:eastAsia="宋体" w:cs="Times New Roman"/>
                      <w:sz w:val="21"/>
                      <w:szCs w:val="21"/>
                      <w:vertAlign w:val="subscript"/>
                    </w:rPr>
                    <w:t>2</w:t>
                  </w:r>
                </w:p>
              </w:tc>
              <w:tc>
                <w:tcPr>
                  <w:tcW w:w="1494" w:type="pct"/>
                  <w:vAlign w:val="center"/>
                </w:tcPr>
                <w:p w14:paraId="1E5C90F0">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年平均值</w:t>
                  </w:r>
                </w:p>
              </w:tc>
              <w:tc>
                <w:tcPr>
                  <w:tcW w:w="811" w:type="pct"/>
                  <w:vAlign w:val="center"/>
                </w:tcPr>
                <w:p w14:paraId="55B030A3">
                  <w:pPr>
                    <w:pStyle w:val="24"/>
                    <w:adjustRightInd w:val="0"/>
                    <w:snapToGrid w:val="0"/>
                    <w:rPr>
                      <w:rFonts w:hint="eastAsia" w:ascii="Times New Roman" w:hAnsi="Times New Roman" w:eastAsia="宋体" w:cs="Times New Roman"/>
                      <w:sz w:val="21"/>
                      <w:szCs w:val="21"/>
                      <w:lang w:eastAsia="zh-CN"/>
                    </w:rPr>
                  </w:pPr>
                  <w:r>
                    <w:rPr>
                      <w:rFonts w:hint="eastAsia" w:ascii="Times New Roman" w:hAnsi="Times New Roman" w:cs="Times New Roman"/>
                      <w:color w:val="000000"/>
                      <w:sz w:val="21"/>
                      <w:szCs w:val="21"/>
                      <w:lang w:val="en-US" w:eastAsia="zh-CN"/>
                    </w:rPr>
                    <w:t>5</w:t>
                  </w:r>
                </w:p>
              </w:tc>
              <w:tc>
                <w:tcPr>
                  <w:tcW w:w="731" w:type="pct"/>
                  <w:vAlign w:val="center"/>
                </w:tcPr>
                <w:p w14:paraId="01C8F796">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仿宋_GB2312" w:cs="Times New Roman"/>
                      <w:color w:val="auto"/>
                      <w:kern w:val="24"/>
                      <w:sz w:val="21"/>
                      <w:szCs w:val="21"/>
                      <w:lang w:val="en-US" w:eastAsia="zh-CN" w:bidi="ar-SA"/>
                    </w:rPr>
                    <w:t>60</w:t>
                  </w:r>
                </w:p>
              </w:tc>
              <w:tc>
                <w:tcPr>
                  <w:tcW w:w="733" w:type="pct"/>
                  <w:vAlign w:val="center"/>
                </w:tcPr>
                <w:p w14:paraId="3C89C234">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lang w:val="en-US"/>
                    </w:rPr>
                  </w:pPr>
                  <w:r>
                    <w:rPr>
                      <w:rFonts w:hint="eastAsia" w:ascii="Times New Roman" w:hAnsi="Times New Roman" w:eastAsia="仿宋_GB2312" w:cs="Times New Roman"/>
                      <w:color w:val="auto"/>
                      <w:kern w:val="24"/>
                      <w:sz w:val="21"/>
                      <w:szCs w:val="21"/>
                      <w:lang w:val="en-US" w:eastAsia="zh-CN" w:bidi="ar-SA"/>
                    </w:rPr>
                    <w:t>8.3</w:t>
                  </w:r>
                </w:p>
              </w:tc>
              <w:tc>
                <w:tcPr>
                  <w:tcW w:w="524" w:type="pct"/>
                  <w:vAlign w:val="center"/>
                </w:tcPr>
                <w:p w14:paraId="5CCDB44B">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14:paraId="217E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4" w:hRule="exact"/>
                <w:jc w:val="center"/>
              </w:trPr>
              <w:tc>
                <w:tcPr>
                  <w:tcW w:w="703" w:type="pct"/>
                  <w:vAlign w:val="center"/>
                </w:tcPr>
                <w:p w14:paraId="7018132C">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NO</w:t>
                  </w:r>
                  <w:r>
                    <w:rPr>
                      <w:rFonts w:hint="default" w:ascii="Times New Roman" w:hAnsi="Times New Roman" w:eastAsia="宋体" w:cs="Times New Roman"/>
                      <w:sz w:val="21"/>
                      <w:szCs w:val="21"/>
                      <w:vertAlign w:val="subscript"/>
                    </w:rPr>
                    <w:t>2</w:t>
                  </w:r>
                </w:p>
              </w:tc>
              <w:tc>
                <w:tcPr>
                  <w:tcW w:w="1494" w:type="pct"/>
                  <w:vAlign w:val="center"/>
                </w:tcPr>
                <w:p w14:paraId="408874AE">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年平均值</w:t>
                  </w:r>
                </w:p>
              </w:tc>
              <w:tc>
                <w:tcPr>
                  <w:tcW w:w="811" w:type="pct"/>
                  <w:vAlign w:val="center"/>
                </w:tcPr>
                <w:p w14:paraId="0FA55FD7">
                  <w:pPr>
                    <w:pStyle w:val="24"/>
                    <w:adjustRightInd w:val="0"/>
                    <w:snapToGrid w:val="0"/>
                    <w:rPr>
                      <w:rFonts w:hint="default" w:ascii="Times New Roman" w:hAnsi="Times New Roman" w:eastAsia="宋体" w:cs="Times New Roman"/>
                      <w:sz w:val="21"/>
                      <w:szCs w:val="21"/>
                      <w:lang w:val="en-US" w:eastAsia="zh-CN"/>
                    </w:rPr>
                  </w:pPr>
                  <w:r>
                    <w:rPr>
                      <w:rFonts w:hint="default" w:ascii="Times New Roman" w:hAnsi="Times New Roman" w:cs="Times New Roman"/>
                      <w:color w:val="000000"/>
                      <w:sz w:val="21"/>
                      <w:szCs w:val="21"/>
                      <w:lang w:val="en-US" w:eastAsia="zh-CN"/>
                    </w:rPr>
                    <w:t>20</w:t>
                  </w:r>
                </w:p>
              </w:tc>
              <w:tc>
                <w:tcPr>
                  <w:tcW w:w="731" w:type="pct"/>
                  <w:vAlign w:val="center"/>
                </w:tcPr>
                <w:p w14:paraId="46FF87CC">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仿宋_GB2312" w:cs="Times New Roman"/>
                      <w:color w:val="auto"/>
                      <w:kern w:val="24"/>
                      <w:sz w:val="21"/>
                      <w:szCs w:val="21"/>
                      <w:lang w:val="en-US" w:eastAsia="zh-CN" w:bidi="ar-SA"/>
                    </w:rPr>
                    <w:t>40</w:t>
                  </w:r>
                </w:p>
              </w:tc>
              <w:tc>
                <w:tcPr>
                  <w:tcW w:w="733" w:type="pct"/>
                  <w:vAlign w:val="center"/>
                </w:tcPr>
                <w:p w14:paraId="6A789D5D">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仿宋_GB2312" w:cs="Times New Roman"/>
                      <w:color w:val="auto"/>
                      <w:kern w:val="24"/>
                      <w:sz w:val="21"/>
                      <w:szCs w:val="21"/>
                      <w:lang w:val="en-US" w:eastAsia="zh-CN" w:bidi="ar-SA"/>
                    </w:rPr>
                    <w:t>50</w:t>
                  </w:r>
                </w:p>
              </w:tc>
              <w:tc>
                <w:tcPr>
                  <w:tcW w:w="524" w:type="pct"/>
                  <w:vAlign w:val="center"/>
                </w:tcPr>
                <w:p w14:paraId="1C607EA8">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14:paraId="319A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4" w:hRule="exact"/>
                <w:jc w:val="center"/>
              </w:trPr>
              <w:tc>
                <w:tcPr>
                  <w:tcW w:w="703" w:type="pct"/>
                  <w:vAlign w:val="center"/>
                </w:tcPr>
                <w:p w14:paraId="03445DEA">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PM</w:t>
                  </w:r>
                  <w:r>
                    <w:rPr>
                      <w:rFonts w:hint="default" w:ascii="Times New Roman" w:hAnsi="Times New Roman" w:eastAsia="宋体" w:cs="Times New Roman"/>
                      <w:sz w:val="21"/>
                      <w:szCs w:val="21"/>
                      <w:vertAlign w:val="subscript"/>
                    </w:rPr>
                    <w:t>10</w:t>
                  </w:r>
                </w:p>
              </w:tc>
              <w:tc>
                <w:tcPr>
                  <w:tcW w:w="1494" w:type="pct"/>
                  <w:vAlign w:val="center"/>
                </w:tcPr>
                <w:p w14:paraId="3C224A95">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年平均值</w:t>
                  </w:r>
                </w:p>
              </w:tc>
              <w:tc>
                <w:tcPr>
                  <w:tcW w:w="811" w:type="pct"/>
                  <w:vAlign w:val="center"/>
                </w:tcPr>
                <w:p w14:paraId="27762053">
                  <w:pPr>
                    <w:pStyle w:val="24"/>
                    <w:adjustRightInd w:val="0"/>
                    <w:snapToGrid w:val="0"/>
                    <w:rPr>
                      <w:rFonts w:hint="default" w:ascii="Times New Roman" w:hAnsi="Times New Roman" w:eastAsia="宋体" w:cs="Times New Roman"/>
                      <w:sz w:val="21"/>
                      <w:szCs w:val="21"/>
                      <w:lang w:val="en-US" w:eastAsia="zh-CN"/>
                    </w:rPr>
                  </w:pPr>
                  <w:r>
                    <w:rPr>
                      <w:rFonts w:hint="eastAsia" w:ascii="Times New Roman" w:hAnsi="Times New Roman" w:cs="Times New Roman"/>
                      <w:color w:val="000000"/>
                      <w:sz w:val="21"/>
                      <w:szCs w:val="21"/>
                      <w:lang w:val="en-US" w:eastAsia="zh-CN"/>
                    </w:rPr>
                    <w:t>122</w:t>
                  </w:r>
                </w:p>
              </w:tc>
              <w:tc>
                <w:tcPr>
                  <w:tcW w:w="731" w:type="pct"/>
                  <w:vAlign w:val="center"/>
                </w:tcPr>
                <w:p w14:paraId="2A36C7FD">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仿宋_GB2312" w:cs="Times New Roman"/>
                      <w:color w:val="auto"/>
                      <w:kern w:val="24"/>
                      <w:sz w:val="21"/>
                      <w:szCs w:val="21"/>
                      <w:lang w:val="en-US" w:eastAsia="zh-CN" w:bidi="ar-SA"/>
                    </w:rPr>
                    <w:t>60</w:t>
                  </w:r>
                </w:p>
              </w:tc>
              <w:tc>
                <w:tcPr>
                  <w:tcW w:w="733" w:type="pct"/>
                  <w:vAlign w:val="center"/>
                </w:tcPr>
                <w:p w14:paraId="6F1EEB28">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lang w:val="en-US"/>
                    </w:rPr>
                  </w:pPr>
                  <w:r>
                    <w:rPr>
                      <w:rFonts w:hint="eastAsia" w:ascii="Times New Roman" w:hAnsi="Times New Roman" w:eastAsia="仿宋_GB2312" w:cs="Times New Roman"/>
                      <w:color w:val="auto"/>
                      <w:kern w:val="24"/>
                      <w:sz w:val="21"/>
                      <w:szCs w:val="21"/>
                      <w:lang w:val="en-US" w:eastAsia="zh-CN" w:bidi="ar-SA"/>
                    </w:rPr>
                    <w:t>203.3</w:t>
                  </w:r>
                </w:p>
              </w:tc>
              <w:tc>
                <w:tcPr>
                  <w:tcW w:w="524" w:type="pct"/>
                  <w:vAlign w:val="center"/>
                </w:tcPr>
                <w:p w14:paraId="5277942F">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color w:val="000000"/>
                      <w:sz w:val="21"/>
                      <w:szCs w:val="21"/>
                    </w:rPr>
                    <w:t>不达标</w:t>
                  </w:r>
                </w:p>
              </w:tc>
            </w:tr>
            <w:tr w14:paraId="5E8F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4" w:hRule="exact"/>
                <w:jc w:val="center"/>
              </w:trPr>
              <w:tc>
                <w:tcPr>
                  <w:tcW w:w="703" w:type="pct"/>
                  <w:vAlign w:val="center"/>
                </w:tcPr>
                <w:p w14:paraId="4F4DFCD5">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PM</w:t>
                  </w:r>
                  <w:r>
                    <w:rPr>
                      <w:rFonts w:hint="default" w:ascii="Times New Roman" w:hAnsi="Times New Roman" w:eastAsia="宋体" w:cs="Times New Roman"/>
                      <w:sz w:val="21"/>
                      <w:szCs w:val="21"/>
                      <w:vertAlign w:val="subscript"/>
                    </w:rPr>
                    <w:t>2.5</w:t>
                  </w:r>
                </w:p>
              </w:tc>
              <w:tc>
                <w:tcPr>
                  <w:tcW w:w="1494" w:type="pct"/>
                  <w:vAlign w:val="center"/>
                </w:tcPr>
                <w:p w14:paraId="78F36CA3">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年平均值</w:t>
                  </w:r>
                </w:p>
              </w:tc>
              <w:tc>
                <w:tcPr>
                  <w:tcW w:w="811" w:type="pct"/>
                  <w:vAlign w:val="center"/>
                </w:tcPr>
                <w:p w14:paraId="29E98D79">
                  <w:pPr>
                    <w:pStyle w:val="24"/>
                    <w:adjustRightInd w:val="0"/>
                    <w:snapToGrid w:val="0"/>
                    <w:rPr>
                      <w:rFonts w:hint="default" w:ascii="Times New Roman" w:hAnsi="Times New Roman" w:eastAsia="宋体" w:cs="Times New Roman"/>
                      <w:sz w:val="21"/>
                      <w:szCs w:val="21"/>
                      <w:lang w:val="en-US" w:eastAsia="zh-CN"/>
                    </w:rPr>
                  </w:pPr>
                  <w:r>
                    <w:rPr>
                      <w:rFonts w:hint="eastAsia" w:ascii="Times New Roman" w:hAnsi="Times New Roman" w:cs="Times New Roman"/>
                      <w:color w:val="000000"/>
                      <w:sz w:val="21"/>
                      <w:szCs w:val="21"/>
                      <w:lang w:val="en-US" w:eastAsia="zh-CN"/>
                    </w:rPr>
                    <w:t>40</w:t>
                  </w:r>
                </w:p>
              </w:tc>
              <w:tc>
                <w:tcPr>
                  <w:tcW w:w="731" w:type="pct"/>
                  <w:vAlign w:val="center"/>
                </w:tcPr>
                <w:p w14:paraId="52DF2319">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仿宋_GB2312" w:cs="Times New Roman"/>
                      <w:color w:val="auto"/>
                      <w:kern w:val="24"/>
                      <w:sz w:val="21"/>
                      <w:szCs w:val="21"/>
                      <w:lang w:val="en-US" w:eastAsia="zh-CN" w:bidi="ar-SA"/>
                    </w:rPr>
                    <w:t>30</w:t>
                  </w:r>
                </w:p>
              </w:tc>
              <w:tc>
                <w:tcPr>
                  <w:tcW w:w="733" w:type="pct"/>
                  <w:vAlign w:val="center"/>
                </w:tcPr>
                <w:p w14:paraId="4B83ECE8">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lang w:val="en-US"/>
                    </w:rPr>
                  </w:pPr>
                  <w:r>
                    <w:rPr>
                      <w:rFonts w:hint="eastAsia" w:ascii="Times New Roman" w:hAnsi="Times New Roman" w:eastAsia="仿宋_GB2312" w:cs="Times New Roman"/>
                      <w:color w:val="auto"/>
                      <w:kern w:val="24"/>
                      <w:sz w:val="21"/>
                      <w:szCs w:val="21"/>
                      <w:lang w:val="en-US" w:eastAsia="zh-CN" w:bidi="ar-SA"/>
                    </w:rPr>
                    <w:t>133.3</w:t>
                  </w:r>
                </w:p>
              </w:tc>
              <w:tc>
                <w:tcPr>
                  <w:tcW w:w="524" w:type="pct"/>
                  <w:vAlign w:val="center"/>
                </w:tcPr>
                <w:p w14:paraId="7FB79D9D">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color w:val="000000"/>
                      <w:sz w:val="21"/>
                      <w:szCs w:val="21"/>
                    </w:rPr>
                    <w:t>不达标</w:t>
                  </w:r>
                </w:p>
              </w:tc>
            </w:tr>
            <w:tr w14:paraId="5E95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4" w:hRule="exact"/>
                <w:jc w:val="center"/>
              </w:trPr>
              <w:tc>
                <w:tcPr>
                  <w:tcW w:w="703" w:type="pct"/>
                  <w:vAlign w:val="center"/>
                </w:tcPr>
                <w:p w14:paraId="38BB30DC">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CO</w:t>
                  </w:r>
                </w:p>
              </w:tc>
              <w:tc>
                <w:tcPr>
                  <w:tcW w:w="1494" w:type="pct"/>
                  <w:vAlign w:val="center"/>
                </w:tcPr>
                <w:p w14:paraId="593470AC">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24小时平均第95百分位数</w:t>
                  </w:r>
                </w:p>
              </w:tc>
              <w:tc>
                <w:tcPr>
                  <w:tcW w:w="811" w:type="pct"/>
                  <w:vAlign w:val="center"/>
                </w:tcPr>
                <w:p w14:paraId="60D08BE0">
                  <w:pPr>
                    <w:pStyle w:val="24"/>
                    <w:adjustRightInd w:val="0"/>
                    <w:snapToGrid w:val="0"/>
                    <w:rPr>
                      <w:rFonts w:hint="default" w:ascii="Times New Roman" w:hAnsi="Times New Roman" w:eastAsia="宋体" w:cs="Times New Roman"/>
                      <w:sz w:val="21"/>
                      <w:szCs w:val="21"/>
                    </w:rPr>
                  </w:pPr>
                  <w:r>
                    <w:rPr>
                      <w:rFonts w:hint="default" w:ascii="Times New Roman" w:hAnsi="Times New Roman" w:cs="Times New Roman"/>
                      <w:color w:val="000000"/>
                      <w:sz w:val="21"/>
                      <w:szCs w:val="21"/>
                      <w:lang w:val="en-US" w:eastAsia="zh-CN"/>
                    </w:rPr>
                    <w:t>1.</w:t>
                  </w:r>
                  <w:r>
                    <w:rPr>
                      <w:rFonts w:hint="eastAsia" w:ascii="Times New Roman" w:hAnsi="Times New Roman" w:cs="Times New Roman"/>
                      <w:color w:val="000000"/>
                      <w:sz w:val="21"/>
                      <w:szCs w:val="21"/>
                      <w:lang w:val="en-US" w:eastAsia="zh-CN"/>
                    </w:rPr>
                    <w:t>6</w:t>
                  </w:r>
                  <w:r>
                    <w:rPr>
                      <w:rFonts w:hint="default" w:ascii="Times New Roman" w:hAnsi="Times New Roman" w:eastAsia="宋体" w:cs="Times New Roman"/>
                      <w:color w:val="000000"/>
                      <w:sz w:val="21"/>
                      <w:szCs w:val="21"/>
                    </w:rPr>
                    <w:t>mg/m</w:t>
                  </w:r>
                  <w:r>
                    <w:rPr>
                      <w:rFonts w:hint="default" w:ascii="Times New Roman" w:hAnsi="Times New Roman" w:eastAsia="宋体" w:cs="Times New Roman"/>
                      <w:color w:val="000000"/>
                      <w:sz w:val="21"/>
                      <w:szCs w:val="21"/>
                      <w:vertAlign w:val="superscript"/>
                    </w:rPr>
                    <w:t>3</w:t>
                  </w:r>
                </w:p>
              </w:tc>
              <w:tc>
                <w:tcPr>
                  <w:tcW w:w="731" w:type="pct"/>
                  <w:vAlign w:val="center"/>
                </w:tcPr>
                <w:p w14:paraId="2D7DFF94">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仿宋_GB2312" w:cs="Times New Roman"/>
                      <w:color w:val="auto"/>
                      <w:kern w:val="24"/>
                      <w:sz w:val="21"/>
                      <w:szCs w:val="21"/>
                      <w:lang w:val="en-US" w:eastAsia="zh-CN" w:bidi="ar-SA"/>
                    </w:rPr>
                    <w:t>4（mg/m</w:t>
                  </w:r>
                  <w:r>
                    <w:rPr>
                      <w:rFonts w:hint="default" w:ascii="Times New Roman" w:hAnsi="Times New Roman" w:eastAsia="仿宋_GB2312" w:cs="Times New Roman"/>
                      <w:color w:val="auto"/>
                      <w:kern w:val="24"/>
                      <w:sz w:val="21"/>
                      <w:szCs w:val="21"/>
                      <w:vertAlign w:val="superscript"/>
                      <w:lang w:val="en-US" w:eastAsia="zh-CN" w:bidi="ar-SA"/>
                    </w:rPr>
                    <w:t>3</w:t>
                  </w:r>
                  <w:r>
                    <w:rPr>
                      <w:rFonts w:hint="default" w:ascii="Times New Roman" w:hAnsi="Times New Roman" w:eastAsia="仿宋_GB2312" w:cs="Times New Roman"/>
                      <w:color w:val="auto"/>
                      <w:kern w:val="24"/>
                      <w:sz w:val="21"/>
                      <w:szCs w:val="21"/>
                      <w:lang w:val="en-US" w:eastAsia="zh-CN" w:bidi="ar-SA"/>
                    </w:rPr>
                    <w:t>）</w:t>
                  </w:r>
                </w:p>
              </w:tc>
              <w:tc>
                <w:tcPr>
                  <w:tcW w:w="733" w:type="pct"/>
                  <w:vAlign w:val="center"/>
                </w:tcPr>
                <w:p w14:paraId="5290DE95">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lang w:val="en-US"/>
                    </w:rPr>
                  </w:pPr>
                  <w:r>
                    <w:rPr>
                      <w:rFonts w:hint="eastAsia" w:ascii="Times New Roman" w:hAnsi="Times New Roman" w:eastAsia="仿宋_GB2312" w:cs="Times New Roman"/>
                      <w:color w:val="auto"/>
                      <w:kern w:val="24"/>
                      <w:sz w:val="21"/>
                      <w:szCs w:val="21"/>
                      <w:lang w:val="en-US" w:eastAsia="zh-CN" w:bidi="ar-SA"/>
                    </w:rPr>
                    <w:t>40</w:t>
                  </w:r>
                </w:p>
              </w:tc>
              <w:tc>
                <w:tcPr>
                  <w:tcW w:w="524" w:type="pct"/>
                  <w:vAlign w:val="center"/>
                </w:tcPr>
                <w:p w14:paraId="10E36F69">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14:paraId="14BC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9" w:hRule="exact"/>
                <w:jc w:val="center"/>
              </w:trPr>
              <w:tc>
                <w:tcPr>
                  <w:tcW w:w="703" w:type="pct"/>
                  <w:vAlign w:val="center"/>
                </w:tcPr>
                <w:p w14:paraId="4286DF5F">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O</w:t>
                  </w:r>
                  <w:r>
                    <w:rPr>
                      <w:rFonts w:hint="default" w:ascii="Times New Roman" w:hAnsi="Times New Roman" w:eastAsia="宋体" w:cs="Times New Roman"/>
                      <w:sz w:val="21"/>
                      <w:szCs w:val="21"/>
                      <w:vertAlign w:val="subscript"/>
                    </w:rPr>
                    <w:t>3</w:t>
                  </w:r>
                </w:p>
              </w:tc>
              <w:tc>
                <w:tcPr>
                  <w:tcW w:w="1494" w:type="pct"/>
                  <w:vAlign w:val="center"/>
                </w:tcPr>
                <w:p w14:paraId="29BD2DF8">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最大8小时平均第90百分位数</w:t>
                  </w:r>
                </w:p>
              </w:tc>
              <w:tc>
                <w:tcPr>
                  <w:tcW w:w="811" w:type="pct"/>
                  <w:vAlign w:val="center"/>
                </w:tcPr>
                <w:p w14:paraId="4A67A3EF">
                  <w:pPr>
                    <w:pStyle w:val="24"/>
                    <w:adjustRightInd w:val="0"/>
                    <w:snapToGrid w:val="0"/>
                    <w:rPr>
                      <w:rFonts w:hint="default" w:ascii="Times New Roman" w:hAnsi="Times New Roman" w:eastAsia="宋体" w:cs="Times New Roman"/>
                      <w:sz w:val="21"/>
                      <w:szCs w:val="21"/>
                      <w:lang w:val="en-US" w:eastAsia="zh-CN"/>
                    </w:rPr>
                  </w:pPr>
                  <w:r>
                    <w:rPr>
                      <w:rFonts w:hint="eastAsia" w:ascii="Times New Roman" w:hAnsi="Times New Roman" w:cs="Times New Roman"/>
                      <w:color w:val="000000"/>
                      <w:sz w:val="21"/>
                      <w:szCs w:val="21"/>
                      <w:lang w:val="en-US" w:eastAsia="zh-CN"/>
                    </w:rPr>
                    <w:t>119</w:t>
                  </w:r>
                </w:p>
              </w:tc>
              <w:tc>
                <w:tcPr>
                  <w:tcW w:w="731" w:type="pct"/>
                  <w:vAlign w:val="center"/>
                </w:tcPr>
                <w:p w14:paraId="225C96B4">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仿宋_GB2312" w:cs="Times New Roman"/>
                      <w:color w:val="auto"/>
                      <w:kern w:val="24"/>
                      <w:sz w:val="21"/>
                      <w:szCs w:val="21"/>
                      <w:lang w:val="en-US" w:eastAsia="zh-CN" w:bidi="ar-SA"/>
                    </w:rPr>
                    <w:t>160</w:t>
                  </w:r>
                </w:p>
              </w:tc>
              <w:tc>
                <w:tcPr>
                  <w:tcW w:w="733" w:type="pct"/>
                  <w:vAlign w:val="center"/>
                </w:tcPr>
                <w:p w14:paraId="21A851F3">
                  <w:pPr>
                    <w:pStyle w:val="21"/>
                    <w:keepNext w:val="0"/>
                    <w:keepLines w:val="0"/>
                    <w:pageBreakBefore w:val="0"/>
                    <w:widowControl w:val="0"/>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sz w:val="21"/>
                      <w:szCs w:val="21"/>
                      <w:lang w:val="en-US"/>
                    </w:rPr>
                  </w:pPr>
                  <w:r>
                    <w:rPr>
                      <w:rFonts w:hint="eastAsia" w:ascii="Times New Roman" w:hAnsi="Times New Roman" w:eastAsia="仿宋_GB2312" w:cs="Times New Roman"/>
                      <w:color w:val="auto"/>
                      <w:kern w:val="24"/>
                      <w:sz w:val="21"/>
                      <w:szCs w:val="21"/>
                      <w:lang w:val="en-US" w:eastAsia="zh-CN" w:bidi="ar-SA"/>
                    </w:rPr>
                    <w:t>74.4</w:t>
                  </w:r>
                </w:p>
              </w:tc>
              <w:tc>
                <w:tcPr>
                  <w:tcW w:w="524" w:type="pct"/>
                  <w:vAlign w:val="center"/>
                </w:tcPr>
                <w:p w14:paraId="0F1B326C">
                  <w:pPr>
                    <w:pStyle w:val="24"/>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bookmarkEnd w:id="17"/>
          </w:tbl>
          <w:p w14:paraId="1B28987D">
            <w:pPr>
              <w:snapToGrid w:val="0"/>
              <w:spacing w:line="500" w:lineRule="exact"/>
              <w:ind w:firstLine="480" w:firstLineChars="200"/>
              <w:rPr>
                <w:rFonts w:hint="eastAsia" w:cs="宋体"/>
                <w:lang w:val="en-US" w:eastAsia="zh-CN"/>
              </w:rPr>
            </w:pPr>
            <w:bookmarkStart w:id="18" w:name="_Toc51323037"/>
            <w:r>
              <w:rPr>
                <w:rFonts w:ascii="Times New Roman" w:hAnsi="Times New Roman" w:eastAsia="宋体" w:cs="宋体"/>
              </w:rPr>
              <w:t>由上表得出：</w:t>
            </w:r>
            <w:bookmarkEnd w:id="18"/>
            <w:r>
              <w:rPr>
                <w:rFonts w:hint="eastAsia" w:cs="宋体"/>
                <w:lang w:val="en-US" w:eastAsia="zh-CN"/>
              </w:rPr>
              <w:t>本</w:t>
            </w:r>
            <w:r>
              <w:rPr>
                <w:rFonts w:hint="default" w:ascii="Times New Roman" w:hAnsi="Times New Roman" w:eastAsia="宋体" w:cs="宋体"/>
              </w:rPr>
              <w:t>项目所在区域SO</w:t>
            </w:r>
            <w:r>
              <w:rPr>
                <w:rFonts w:hint="default" w:ascii="Times New Roman" w:hAnsi="Times New Roman" w:eastAsia="宋体" w:cs="宋体"/>
                <w:vertAlign w:val="subscript"/>
              </w:rPr>
              <w:t>2</w:t>
            </w:r>
            <w:r>
              <w:rPr>
                <w:rFonts w:hint="default" w:ascii="Times New Roman" w:hAnsi="Times New Roman" w:eastAsia="宋体" w:cs="宋体"/>
              </w:rPr>
              <w:t>、NO</w:t>
            </w:r>
            <w:r>
              <w:rPr>
                <w:rFonts w:hint="default" w:ascii="Times New Roman" w:hAnsi="Times New Roman" w:eastAsia="宋体" w:cs="宋体"/>
                <w:vertAlign w:val="subscript"/>
              </w:rPr>
              <w:t>2</w:t>
            </w:r>
            <w:r>
              <w:rPr>
                <w:rFonts w:hint="eastAsia" w:cs="宋体"/>
                <w:vertAlign w:val="baseline"/>
                <w:lang w:eastAsia="zh-CN"/>
              </w:rPr>
              <w:t>、</w:t>
            </w:r>
            <w:r>
              <w:rPr>
                <w:rFonts w:hint="default" w:ascii="Times New Roman" w:hAnsi="Times New Roman" w:eastAsia="宋体" w:cs="宋体"/>
              </w:rPr>
              <w:t>O</w:t>
            </w:r>
            <w:r>
              <w:rPr>
                <w:rFonts w:hint="default" w:ascii="Times New Roman" w:hAnsi="Times New Roman" w:eastAsia="宋体" w:cs="宋体"/>
                <w:vertAlign w:val="subscript"/>
              </w:rPr>
              <w:t>3</w:t>
            </w:r>
            <w:r>
              <w:rPr>
                <w:rFonts w:hint="eastAsia" w:cs="宋体"/>
                <w:vertAlign w:val="baseline"/>
                <w:lang w:eastAsia="zh-CN"/>
              </w:rPr>
              <w:t>、</w:t>
            </w:r>
            <w:r>
              <w:rPr>
                <w:rFonts w:hint="default" w:ascii="Times New Roman" w:hAnsi="Times New Roman" w:eastAsia="宋体" w:cs="宋体"/>
              </w:rPr>
              <w:t>CO年</w:t>
            </w:r>
            <w:r>
              <w:rPr>
                <w:rFonts w:hint="eastAsia" w:cs="宋体"/>
                <w:lang w:val="en-US" w:eastAsia="zh-CN"/>
              </w:rPr>
              <w:t>评价指标判定结果为达标，</w:t>
            </w:r>
            <w:r>
              <w:rPr>
                <w:rFonts w:hint="default" w:ascii="Times New Roman" w:hAnsi="Times New Roman" w:eastAsia="宋体" w:cs="宋体"/>
              </w:rPr>
              <w:t>PM</w:t>
            </w:r>
            <w:r>
              <w:rPr>
                <w:rFonts w:hint="default" w:ascii="Times New Roman" w:hAnsi="Times New Roman" w:eastAsia="宋体" w:cs="宋体"/>
                <w:vertAlign w:val="subscript"/>
              </w:rPr>
              <w:t>10</w:t>
            </w:r>
            <w:r>
              <w:rPr>
                <w:rFonts w:hint="default" w:ascii="Times New Roman" w:hAnsi="Times New Roman" w:eastAsia="宋体" w:cs="宋体"/>
              </w:rPr>
              <w:t>、PM</w:t>
            </w:r>
            <w:r>
              <w:rPr>
                <w:rFonts w:hint="default" w:ascii="Times New Roman" w:hAnsi="Times New Roman" w:eastAsia="宋体" w:cs="宋体"/>
                <w:vertAlign w:val="subscript"/>
              </w:rPr>
              <w:t>2.5</w:t>
            </w:r>
            <w:r>
              <w:rPr>
                <w:rFonts w:hint="default" w:ascii="Times New Roman" w:hAnsi="Times New Roman" w:eastAsia="宋体" w:cs="宋体"/>
              </w:rPr>
              <w:t>年</w:t>
            </w:r>
            <w:r>
              <w:rPr>
                <w:rFonts w:hint="eastAsia" w:cs="宋体"/>
                <w:lang w:val="en-US" w:eastAsia="zh-CN"/>
              </w:rPr>
              <w:t>评价指标判定结果为不达标，因此本项目所在区域为不达标区。</w:t>
            </w:r>
          </w:p>
          <w:p w14:paraId="50ECFCEC">
            <w:pPr>
              <w:snapToGrid w:val="0"/>
              <w:spacing w:line="500" w:lineRule="exact"/>
              <w:ind w:firstLine="480" w:firstLineChars="200"/>
              <w:rPr>
                <w:rFonts w:hint="eastAsia" w:ascii="Times New Roman" w:hAnsi="Times New Roman" w:eastAsia="宋体" w:cs="宋体"/>
              </w:rPr>
            </w:pPr>
            <w:r>
              <w:rPr>
                <w:rFonts w:hint="default" w:ascii="Times New Roman" w:hAnsi="Times New Roman" w:eastAsia="宋体" w:cs="宋体"/>
              </w:rPr>
              <w:t>超标主要影响因素</w:t>
            </w:r>
            <w:r>
              <w:rPr>
                <w:rFonts w:hint="eastAsia" w:cs="宋体"/>
                <w:lang w:eastAsia="zh-CN"/>
              </w:rPr>
              <w:t>：</w:t>
            </w:r>
            <w:r>
              <w:rPr>
                <w:rFonts w:hint="default" w:ascii="Times New Roman" w:hAnsi="Times New Roman" w:eastAsia="宋体" w:cs="宋体"/>
              </w:rPr>
              <w:t>和田北邻塔克拉玛干沙漠，南接昆仑山脉，沙源多</w:t>
            </w:r>
            <w:r>
              <w:rPr>
                <w:rFonts w:hint="eastAsia" w:cs="宋体"/>
                <w:lang w:eastAsia="zh-CN"/>
              </w:rPr>
              <w:t>；</w:t>
            </w:r>
            <w:r>
              <w:rPr>
                <w:rFonts w:hint="default" w:ascii="Times New Roman" w:hAnsi="Times New Roman" w:eastAsia="宋体" w:cs="宋体"/>
              </w:rPr>
              <w:t>春夏沙尘暴致PM</w:t>
            </w:r>
            <w:r>
              <w:rPr>
                <w:rFonts w:hint="default" w:ascii="Times New Roman" w:hAnsi="Times New Roman" w:eastAsia="宋体" w:cs="宋体"/>
                <w:vertAlign w:val="subscript"/>
              </w:rPr>
              <w:t>10</w:t>
            </w:r>
            <w:r>
              <w:rPr>
                <w:rFonts w:hint="default" w:ascii="Times New Roman" w:hAnsi="Times New Roman" w:eastAsia="宋体" w:cs="宋体"/>
              </w:rPr>
              <w:t>、PM</w:t>
            </w:r>
            <w:r>
              <w:rPr>
                <w:rFonts w:hint="default" w:ascii="Times New Roman" w:hAnsi="Times New Roman" w:eastAsia="宋体" w:cs="宋体"/>
                <w:vertAlign w:val="subscript"/>
              </w:rPr>
              <w:t>2.5</w:t>
            </w:r>
            <w:r>
              <w:rPr>
                <w:rFonts w:hint="default" w:ascii="Times New Roman" w:hAnsi="Times New Roman" w:eastAsia="宋体" w:cs="宋体"/>
              </w:rPr>
              <w:t>升高，空气对流受阻，污染物扩散难</w:t>
            </w:r>
            <w:r>
              <w:rPr>
                <w:rFonts w:hint="eastAsia" w:cs="宋体"/>
                <w:lang w:eastAsia="zh-CN"/>
              </w:rPr>
              <w:t>；</w:t>
            </w:r>
            <w:r>
              <w:rPr>
                <w:rFonts w:hint="default" w:ascii="Times New Roman" w:hAnsi="Times New Roman" w:eastAsia="宋体" w:cs="宋体"/>
              </w:rPr>
              <w:t>城市建成区植被少，地表土壤松散。</w:t>
            </w:r>
          </w:p>
          <w:p w14:paraId="6B76AB8C">
            <w:pPr>
              <w:numPr>
                <w:ilvl w:val="0"/>
                <w:numId w:val="10"/>
              </w:numPr>
              <w:snapToGrid w:val="0"/>
              <w:spacing w:line="500" w:lineRule="exact"/>
              <w:ind w:firstLine="480" w:firstLineChars="200"/>
              <w:rPr>
                <w:rFonts w:hint="eastAsia" w:ascii="Times New Roman" w:hAnsi="Times New Roman" w:eastAsia="宋体" w:cs="宋体"/>
                <w:highlight w:val="none"/>
              </w:rPr>
            </w:pPr>
            <w:r>
              <w:rPr>
                <w:rFonts w:hint="eastAsia" w:ascii="Times New Roman" w:hAnsi="Times New Roman" w:eastAsia="宋体" w:cs="宋体"/>
                <w:highlight w:val="none"/>
              </w:rPr>
              <w:t>水环境质量现状调查</w:t>
            </w:r>
          </w:p>
          <w:p w14:paraId="123B7561">
            <w:pPr>
              <w:snapToGrid w:val="0"/>
              <w:spacing w:line="500" w:lineRule="exact"/>
              <w:ind w:firstLine="480" w:firstLineChars="200"/>
              <w:rPr>
                <w:rFonts w:hint="eastAsia" w:ascii="Times New Roman" w:hAnsi="Times New Roman" w:eastAsia="宋体" w:cs="宋体"/>
                <w:highlight w:val="none"/>
              </w:rPr>
            </w:pPr>
            <w:r>
              <w:rPr>
                <w:rFonts w:hint="eastAsia" w:ascii="Times New Roman" w:hAnsi="Times New Roman" w:eastAsia="宋体" w:cs="宋体"/>
                <w:highlight w:val="none"/>
                <w:lang w:val="en-US" w:eastAsia="zh-CN"/>
              </w:rPr>
              <w:t>本项目废水主要是勘探工作人员产生的生活废水和钻井期废水</w:t>
            </w:r>
            <w:r>
              <w:rPr>
                <w:rFonts w:hint="eastAsia" w:cs="宋体"/>
                <w:highlight w:val="none"/>
                <w:lang w:val="en-US" w:eastAsia="zh-CN"/>
              </w:rPr>
              <w:t>，</w:t>
            </w:r>
            <w:r>
              <w:rPr>
                <w:rFonts w:hint="eastAsia" w:ascii="Times New Roman" w:hAnsi="Times New Roman" w:eastAsia="宋体" w:cs="宋体"/>
                <w:highlight w:val="none"/>
                <w:lang w:val="en-US" w:eastAsia="zh-CN"/>
              </w:rPr>
              <w:t>其中生活污水排入一体化污水处理设施处理达标后，用于洒水绿化，不外排；</w:t>
            </w:r>
            <w:r>
              <w:rPr>
                <w:rFonts w:hint="eastAsia" w:ascii="Times New Roman" w:hAnsi="Times New Roman" w:eastAsia="宋体" w:cs="宋体"/>
                <w:highlight w:val="none"/>
              </w:rPr>
              <w:t>钻井期产生的废水</w:t>
            </w:r>
            <w:r>
              <w:rPr>
                <w:rFonts w:hint="eastAsia" w:ascii="Times New Roman" w:hAnsi="Times New Roman" w:eastAsia="宋体" w:cs="宋体"/>
                <w:highlight w:val="none"/>
                <w:lang w:val="en-US" w:eastAsia="zh-CN"/>
              </w:rPr>
              <w:t>收集到泥浆池</w:t>
            </w:r>
            <w:r>
              <w:rPr>
                <w:rFonts w:hint="eastAsia" w:cs="宋体"/>
                <w:highlight w:val="none"/>
                <w:lang w:val="en-US" w:eastAsia="zh-CN"/>
              </w:rPr>
              <w:t>，</w:t>
            </w:r>
            <w:r>
              <w:rPr>
                <w:rFonts w:hint="eastAsia" w:ascii="Times New Roman" w:hAnsi="Times New Roman" w:eastAsia="宋体" w:cs="宋体"/>
                <w:highlight w:val="none"/>
                <w:lang w:val="en-US" w:eastAsia="zh-CN"/>
              </w:rPr>
              <w:t>经沉淀</w:t>
            </w:r>
            <w:r>
              <w:rPr>
                <w:rFonts w:hint="eastAsia" w:ascii="Times New Roman" w:hAnsi="Times New Roman" w:eastAsia="宋体" w:cs="宋体"/>
                <w:highlight w:val="none"/>
              </w:rPr>
              <w:t>处理后将固体和水分离，回收的废水</w:t>
            </w:r>
            <w:r>
              <w:rPr>
                <w:rFonts w:hint="eastAsia" w:ascii="Times New Roman" w:hAnsi="Times New Roman" w:eastAsia="宋体" w:cs="宋体"/>
                <w:highlight w:val="none"/>
                <w:lang w:val="en-US" w:eastAsia="zh-CN"/>
              </w:rPr>
              <w:t>回</w:t>
            </w:r>
            <w:r>
              <w:rPr>
                <w:rFonts w:hint="eastAsia" w:ascii="Times New Roman" w:hAnsi="Times New Roman" w:eastAsia="宋体" w:cs="宋体"/>
                <w:highlight w:val="none"/>
              </w:rPr>
              <w:t>用于清洗设备及泥浆的调配，不外排。与地表水体无任何水力联系，无需对地表水环境质量现状进行评价。</w:t>
            </w:r>
          </w:p>
          <w:p w14:paraId="4E496EC3">
            <w:pPr>
              <w:snapToGrid w:val="0"/>
              <w:spacing w:line="500" w:lineRule="exact"/>
              <w:ind w:firstLine="480" w:firstLineChars="200"/>
              <w:rPr>
                <w:rFonts w:hint="eastAsia" w:ascii="Times New Roman" w:hAnsi="Times New Roman" w:eastAsia="宋体" w:cs="宋体"/>
                <w:highlight w:val="none"/>
              </w:rPr>
            </w:pPr>
            <w:r>
              <w:rPr>
                <w:rFonts w:hint="eastAsia" w:ascii="Times New Roman" w:hAnsi="Times New Roman" w:eastAsia="宋体" w:cs="宋体"/>
                <w:highlight w:val="none"/>
              </w:rPr>
              <w:t>参照《环境影响评价技术导则地下水环境》（HJ610-2016）</w:t>
            </w:r>
            <w:r>
              <w:rPr>
                <w:rFonts w:ascii="Times New Roman" w:hAnsi="Times New Roman" w:cs="Times New Roman"/>
                <w:sz w:val="24"/>
                <w:szCs w:val="24"/>
                <w:highlight w:val="none"/>
                <w:lang w:eastAsia="zh-CN"/>
              </w:rPr>
              <w:t>附录A地下水环境影响评价行业分类表，</w:t>
            </w:r>
            <w:r>
              <w:rPr>
                <w:rFonts w:hint="eastAsia" w:ascii="Times New Roman" w:hAnsi="Times New Roman" w:eastAsia="宋体" w:cs="宋体"/>
                <w:highlight w:val="none"/>
              </w:rPr>
              <w:t>本项目</w:t>
            </w:r>
            <w:r>
              <w:rPr>
                <w:rFonts w:hint="eastAsia" w:cs="宋体"/>
                <w:highlight w:val="none"/>
                <w:lang w:val="en-US" w:eastAsia="zh-CN"/>
              </w:rPr>
              <w:t>属于“C地质勘查”的“24、矿产资源地质勘查（包括勘探活动）”，</w:t>
            </w:r>
            <w:r>
              <w:rPr>
                <w:rFonts w:hint="eastAsia" w:ascii="Times New Roman" w:hAnsi="Times New Roman" w:eastAsia="宋体" w:cs="宋体"/>
                <w:highlight w:val="none"/>
              </w:rPr>
              <w:t>为Ⅳ类项目，无需对地下水环境质量现状进行评价。</w:t>
            </w:r>
          </w:p>
          <w:p w14:paraId="7A7DC1D8">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（3）声环境质量现状调查</w:t>
            </w:r>
          </w:p>
          <w:p w14:paraId="5A405C71">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项目区周边50m范围内无声环境保护目标，参照《建设项目环境影响报告表编制技术指南（</w:t>
            </w:r>
            <w:r>
              <w:rPr>
                <w:rFonts w:hint="eastAsia" w:cs="宋体"/>
                <w:lang w:val="en-US" w:eastAsia="zh-CN"/>
              </w:rPr>
              <w:t>污染</w:t>
            </w:r>
            <w:r>
              <w:rPr>
                <w:rFonts w:hint="eastAsia" w:ascii="Times New Roman" w:hAnsi="Times New Roman" w:eastAsia="宋体" w:cs="宋体"/>
              </w:rPr>
              <w:t>影响类）</w:t>
            </w:r>
            <w:r>
              <w:rPr>
                <w:rFonts w:hint="eastAsia" w:cs="宋体"/>
                <w:lang w:eastAsia="zh-CN"/>
              </w:rPr>
              <w:t>（试行）》</w:t>
            </w:r>
            <w:r>
              <w:rPr>
                <w:rFonts w:hint="eastAsia" w:ascii="Times New Roman" w:hAnsi="Times New Roman" w:eastAsia="宋体" w:cs="宋体"/>
              </w:rPr>
              <w:t>相关要求，无需对声环境质量现状进行评价。</w:t>
            </w:r>
          </w:p>
          <w:p w14:paraId="29BC8877">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（4）土壤环境质量现状调查</w:t>
            </w:r>
          </w:p>
          <w:p w14:paraId="091E8A05">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参照《环境影响评价技术导则土壤环境（试行）》（HJ964-2018）</w:t>
            </w:r>
            <w:r>
              <w:rPr>
                <w:rFonts w:hint="eastAsia" w:cs="宋体"/>
                <w:lang w:val="en-US" w:eastAsia="zh-CN"/>
              </w:rPr>
              <w:t>的附录A土壤环境影响评价项目类别</w:t>
            </w:r>
            <w:r>
              <w:rPr>
                <w:rFonts w:hint="eastAsia" w:ascii="Times New Roman" w:hAnsi="Times New Roman" w:eastAsia="宋体" w:cs="宋体"/>
              </w:rPr>
              <w:t>，本项目</w:t>
            </w:r>
            <w:r>
              <w:rPr>
                <w:rFonts w:hint="eastAsia" w:cs="宋体"/>
                <w:lang w:val="en-US" w:eastAsia="zh-CN"/>
              </w:rPr>
              <w:t>属于“其他行业”</w:t>
            </w:r>
            <w:r>
              <w:rPr>
                <w:rFonts w:hint="eastAsia" w:ascii="Times New Roman" w:hAnsi="Times New Roman" w:eastAsia="宋体" w:cs="宋体"/>
              </w:rPr>
              <w:t>为Ⅳ类项目，无需对土壤环境质量现状进行评价。</w:t>
            </w:r>
          </w:p>
        </w:tc>
      </w:tr>
      <w:tr w14:paraId="1C46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3" w:hRule="atLeast"/>
          <w:jc w:val="center"/>
        </w:trPr>
        <w:tc>
          <w:tcPr>
            <w:tcW w:w="939" w:type="dxa"/>
            <w:vAlign w:val="center"/>
          </w:tcPr>
          <w:p w14:paraId="1255EE46">
            <w:pPr>
              <w:pStyle w:val="7"/>
              <w:spacing w:line="480" w:lineRule="exact"/>
              <w:jc w:val="both"/>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eastAsia="zh-CN"/>
              </w:rPr>
              <w:t>与项目有关的原有环境污染和生态破坏问题</w:t>
            </w:r>
          </w:p>
        </w:tc>
        <w:tc>
          <w:tcPr>
            <w:tcW w:w="8678" w:type="dxa"/>
            <w:vAlign w:val="center"/>
          </w:tcPr>
          <w:p w14:paraId="7F81BF49">
            <w:pPr>
              <w:pStyle w:val="7"/>
              <w:spacing w:line="480" w:lineRule="exact"/>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eastAsia="zh-CN"/>
              </w:rPr>
              <w:t>本项目为新建项目，无与本项目有关的原有环境污染和生态破坏问题。</w:t>
            </w:r>
          </w:p>
        </w:tc>
      </w:tr>
      <w:tr w14:paraId="53E6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0" w:hRule="atLeast"/>
          <w:jc w:val="center"/>
        </w:trPr>
        <w:tc>
          <w:tcPr>
            <w:tcW w:w="939" w:type="dxa"/>
            <w:vAlign w:val="center"/>
          </w:tcPr>
          <w:p w14:paraId="215ACF86">
            <w:pPr>
              <w:pStyle w:val="7"/>
              <w:spacing w:line="480" w:lineRule="exact"/>
              <w:jc w:val="both"/>
              <w:rPr>
                <w:rFonts w:hint="eastAsia" w:ascii="Times New Roman" w:hAnsi="Times New Roman" w:eastAsia="宋体" w:cs="宋体"/>
                <w:sz w:val="24"/>
                <w:szCs w:val="24"/>
                <w:lang w:eastAsia="zh-CN"/>
              </w:rPr>
            </w:pPr>
            <w:bookmarkStart w:id="19" w:name="_Hlk193796896"/>
            <w:r>
              <w:rPr>
                <w:rFonts w:hint="eastAsia" w:ascii="Times New Roman" w:hAnsi="Times New Roman" w:eastAsia="宋体" w:cs="宋体"/>
                <w:sz w:val="24"/>
                <w:szCs w:val="24"/>
                <w:lang w:eastAsia="zh-CN"/>
              </w:rPr>
              <w:t>生态环境保护目标</w:t>
            </w:r>
          </w:p>
        </w:tc>
        <w:tc>
          <w:tcPr>
            <w:tcW w:w="8678" w:type="dxa"/>
            <w:vAlign w:val="center"/>
          </w:tcPr>
          <w:p w14:paraId="3F0FF2D6">
            <w:pPr>
              <w:pStyle w:val="7"/>
              <w:spacing w:line="480" w:lineRule="exact"/>
              <w:ind w:firstLine="480" w:firstLineChars="200"/>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本项目区域内不涉及国家公园、自然保护区、风景名胜区、饮用水水源保护区、军事禁区、重大工程项目、历史文物保护区、生态保护红线、永久基本农田、城镇开发边界等环境敏感区，本项目评价范围内生态环境保护目标详见表3-4。</w:t>
            </w:r>
          </w:p>
          <w:p w14:paraId="36A655A9">
            <w:pPr>
              <w:keepNext/>
              <w:keepLines/>
              <w:widowControl/>
              <w:adjustRightInd w:val="0"/>
              <w:snapToGrid w:val="0"/>
              <w:spacing w:line="480" w:lineRule="exact"/>
              <w:jc w:val="center"/>
              <w:outlineLvl w:val="2"/>
              <w:rPr>
                <w:rFonts w:hint="default" w:ascii="Times New Roman" w:hAnsi="Times New Roman" w:eastAsia="宋体"/>
                <w:b/>
                <w:color w:val="000000"/>
                <w:kern w:val="0"/>
                <w:sz w:val="21"/>
                <w:szCs w:val="21"/>
                <w:lang w:val="en-US" w:eastAsia="zh-CN"/>
              </w:rPr>
            </w:pPr>
            <w:r>
              <w:rPr>
                <w:rFonts w:hint="eastAsia" w:ascii="Times New Roman" w:hAnsi="Times New Roman" w:eastAsia="宋体"/>
                <w:b/>
                <w:color w:val="000000"/>
                <w:kern w:val="0"/>
                <w:sz w:val="21"/>
                <w:szCs w:val="21"/>
                <w:lang w:val="en-US" w:eastAsia="zh-CN"/>
              </w:rPr>
              <w:t>表3-</w:t>
            </w:r>
            <w:r>
              <w:rPr>
                <w:rFonts w:hint="eastAsia"/>
                <w:b/>
                <w:color w:val="000000"/>
                <w:kern w:val="0"/>
                <w:sz w:val="21"/>
                <w:szCs w:val="21"/>
                <w:lang w:val="en-US" w:eastAsia="zh-CN"/>
              </w:rPr>
              <w:t>4</w:t>
            </w:r>
            <w:r>
              <w:rPr>
                <w:rFonts w:hint="eastAsia" w:ascii="Times New Roman" w:hAnsi="Times New Roman" w:eastAsia="宋体"/>
                <w:b/>
                <w:color w:val="000000"/>
                <w:kern w:val="0"/>
                <w:sz w:val="21"/>
                <w:szCs w:val="21"/>
                <w:lang w:val="en-US" w:eastAsia="zh-CN"/>
              </w:rPr>
              <w:t>项目主要生态环境保护目标</w:t>
            </w:r>
          </w:p>
          <w:tbl>
            <w:tblPr>
              <w:tblStyle w:val="16"/>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320"/>
              <w:gridCol w:w="1257"/>
              <w:gridCol w:w="1593"/>
              <w:gridCol w:w="2502"/>
            </w:tblGrid>
            <w:tr w14:paraId="55C7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86" w:type="dxa"/>
                  <w:vAlign w:val="center"/>
                </w:tcPr>
                <w:p w14:paraId="7491D948">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环境因素</w:t>
                  </w:r>
                </w:p>
              </w:tc>
              <w:tc>
                <w:tcPr>
                  <w:tcW w:w="1320" w:type="dxa"/>
                  <w:vAlign w:val="center"/>
                </w:tcPr>
                <w:p w14:paraId="58E68745">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保护对象</w:t>
                  </w:r>
                </w:p>
              </w:tc>
              <w:tc>
                <w:tcPr>
                  <w:tcW w:w="1257" w:type="dxa"/>
                  <w:vAlign w:val="center"/>
                </w:tcPr>
                <w:p w14:paraId="161DA934">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位置</w:t>
                  </w:r>
                </w:p>
              </w:tc>
              <w:tc>
                <w:tcPr>
                  <w:tcW w:w="1593" w:type="dxa"/>
                  <w:vAlign w:val="center"/>
                </w:tcPr>
                <w:p w14:paraId="113D1295">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影响源</w:t>
                  </w:r>
                </w:p>
              </w:tc>
              <w:tc>
                <w:tcPr>
                  <w:tcW w:w="2502" w:type="dxa"/>
                  <w:vAlign w:val="center"/>
                </w:tcPr>
                <w:p w14:paraId="6DE5C352">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保护达到的目标及要求</w:t>
                  </w:r>
                </w:p>
              </w:tc>
            </w:tr>
            <w:tr w14:paraId="7055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86" w:type="dxa"/>
                  <w:vMerge w:val="restart"/>
                  <w:vAlign w:val="center"/>
                </w:tcPr>
                <w:p w14:paraId="263E63F5">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生态环境</w:t>
                  </w:r>
                </w:p>
              </w:tc>
              <w:tc>
                <w:tcPr>
                  <w:tcW w:w="1320" w:type="dxa"/>
                  <w:vAlign w:val="center"/>
                </w:tcPr>
                <w:p w14:paraId="3BD922C1">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植被</w:t>
                  </w:r>
                </w:p>
              </w:tc>
              <w:tc>
                <w:tcPr>
                  <w:tcW w:w="1257" w:type="dxa"/>
                  <w:vAlign w:val="center"/>
                </w:tcPr>
                <w:p w14:paraId="361F7DA4">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临时占地内</w:t>
                  </w:r>
                </w:p>
              </w:tc>
              <w:tc>
                <w:tcPr>
                  <w:tcW w:w="1593" w:type="dxa"/>
                  <w:vAlign w:val="center"/>
                </w:tcPr>
                <w:p w14:paraId="3DF2FE82">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表土开挖、施工扰动、弃土堆放</w:t>
                  </w:r>
                </w:p>
              </w:tc>
              <w:tc>
                <w:tcPr>
                  <w:tcW w:w="2502" w:type="dxa"/>
                  <w:shd w:val="clear" w:color="auto" w:fill="auto"/>
                  <w:vAlign w:val="center"/>
                </w:tcPr>
                <w:p w14:paraId="0DA97657">
                  <w:pPr>
                    <w:pStyle w:val="7"/>
                    <w:spacing w:line="320" w:lineRule="exact"/>
                    <w:jc w:val="center"/>
                    <w:rPr>
                      <w:rFonts w:hint="default" w:ascii="Times New Roman" w:hAnsi="Times New Roman" w:eastAsia="宋体" w:cs="宋体"/>
                      <w:kern w:val="2"/>
                      <w:sz w:val="21"/>
                      <w:szCs w:val="21"/>
                      <w:lang w:val="en-US" w:eastAsia="zh-CN" w:bidi="ar-SA"/>
                    </w:rPr>
                  </w:pPr>
                  <w:r>
                    <w:rPr>
                      <w:rFonts w:hint="eastAsia" w:ascii="Times New Roman" w:hAnsi="Times New Roman" w:eastAsia="宋体" w:cs="宋体"/>
                      <w:lang w:eastAsia="zh-CN"/>
                    </w:rPr>
                    <w:t>禁止随意踩踏、碾压、砍伐</w:t>
                  </w:r>
                </w:p>
              </w:tc>
            </w:tr>
            <w:tr w14:paraId="6EE1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86" w:type="dxa"/>
                  <w:vMerge w:val="continue"/>
                  <w:vAlign w:val="center"/>
                </w:tcPr>
                <w:p w14:paraId="2608CB42">
                  <w:pPr>
                    <w:pStyle w:val="24"/>
                    <w:adjustRightInd w:val="0"/>
                    <w:snapToGrid w:val="0"/>
                    <w:jc w:val="center"/>
                  </w:pPr>
                </w:p>
              </w:tc>
              <w:tc>
                <w:tcPr>
                  <w:tcW w:w="1320" w:type="dxa"/>
                  <w:vAlign w:val="center"/>
                </w:tcPr>
                <w:p w14:paraId="04241937">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野生动物</w:t>
                  </w:r>
                </w:p>
              </w:tc>
              <w:tc>
                <w:tcPr>
                  <w:tcW w:w="1257" w:type="dxa"/>
                  <w:vAlign w:val="center"/>
                </w:tcPr>
                <w:p w14:paraId="2E72D8FA">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临时占地内</w:t>
                  </w:r>
                </w:p>
              </w:tc>
              <w:tc>
                <w:tcPr>
                  <w:tcW w:w="1593" w:type="dxa"/>
                  <w:vAlign w:val="center"/>
                </w:tcPr>
                <w:p w14:paraId="6A5BA8B1">
                  <w:pPr>
                    <w:pStyle w:val="24"/>
                    <w:adjustRightInd w:val="0"/>
                    <w:snapToGrid w:val="0"/>
                    <w:jc w:val="center"/>
                    <w:rPr>
                      <w:rFonts w:hint="default" w:ascii="Times New Roman" w:hAnsi="Times New Roman" w:eastAsia="宋体"/>
                      <w:lang w:val="en-US" w:eastAsia="zh-CN"/>
                    </w:rPr>
                  </w:pPr>
                  <w:r>
                    <w:rPr>
                      <w:rFonts w:hint="eastAsia" w:ascii="Times New Roman" w:hAnsi="Times New Roman"/>
                      <w:lang w:val="en-US" w:eastAsia="zh-CN"/>
                    </w:rPr>
                    <w:t>施工扰动</w:t>
                  </w:r>
                </w:p>
              </w:tc>
              <w:tc>
                <w:tcPr>
                  <w:tcW w:w="2502" w:type="dxa"/>
                  <w:shd w:val="clear" w:color="auto" w:fill="auto"/>
                  <w:vAlign w:val="center"/>
                </w:tcPr>
                <w:p w14:paraId="139AC437">
                  <w:pPr>
                    <w:pStyle w:val="7"/>
                    <w:spacing w:line="320" w:lineRule="exact"/>
                    <w:jc w:val="center"/>
                    <w:rPr>
                      <w:rFonts w:hint="default" w:ascii="Times New Roman" w:hAnsi="Times New Roman" w:eastAsia="宋体" w:cs="宋体"/>
                      <w:kern w:val="2"/>
                      <w:sz w:val="21"/>
                      <w:szCs w:val="21"/>
                      <w:lang w:val="en-US" w:eastAsia="zh-CN" w:bidi="ar-SA"/>
                    </w:rPr>
                  </w:pPr>
                  <w:r>
                    <w:rPr>
                      <w:rFonts w:hint="eastAsia" w:ascii="Times New Roman" w:hAnsi="Times New Roman" w:eastAsia="宋体" w:cs="宋体"/>
                      <w:lang w:eastAsia="zh-CN"/>
                    </w:rPr>
                    <w:t>禁止破坏野生动物生境，禁止捕猎野生动物</w:t>
                  </w:r>
                </w:p>
              </w:tc>
            </w:tr>
            <w:tr w14:paraId="1EC1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86" w:type="dxa"/>
                  <w:vAlign w:val="center"/>
                </w:tcPr>
                <w:p w14:paraId="73BD2E19">
                  <w:pPr>
                    <w:pStyle w:val="24"/>
                    <w:adjustRightInd w:val="0"/>
                    <w:snapToGrid w:val="0"/>
                    <w:jc w:val="center"/>
                    <w:rPr>
                      <w:rFonts w:hint="default" w:eastAsia="宋体"/>
                      <w:lang w:val="en-US" w:eastAsia="zh-CN"/>
                    </w:rPr>
                  </w:pPr>
                  <w:r>
                    <w:rPr>
                      <w:rFonts w:hint="eastAsia"/>
                      <w:lang w:val="en-US" w:eastAsia="zh-CN"/>
                    </w:rPr>
                    <w:t>生态保护红线</w:t>
                  </w:r>
                </w:p>
              </w:tc>
              <w:tc>
                <w:tcPr>
                  <w:tcW w:w="1320" w:type="dxa"/>
                  <w:vAlign w:val="center"/>
                </w:tcPr>
                <w:p w14:paraId="740C09F6">
                  <w:pPr>
                    <w:pStyle w:val="24"/>
                    <w:adjustRightInd w:val="0"/>
                    <w:snapToGrid w:val="0"/>
                    <w:jc w:val="center"/>
                    <w:rPr>
                      <w:rFonts w:hint="eastAsia" w:ascii="Times New Roman" w:hAnsi="Times New Roman"/>
                      <w:lang w:val="en-US" w:eastAsia="zh-CN"/>
                    </w:rPr>
                  </w:pPr>
                  <w:r>
                    <w:rPr>
                      <w:rFonts w:hint="eastAsia" w:ascii="Times New Roman" w:hAnsi="Times New Roman"/>
                      <w:lang w:val="en-US" w:eastAsia="zh-CN"/>
                    </w:rPr>
                    <w:t>帕米尔－昆仑山水土流失防控生态保护红线区</w:t>
                  </w:r>
                </w:p>
              </w:tc>
              <w:tc>
                <w:tcPr>
                  <w:tcW w:w="1257" w:type="dxa"/>
                  <w:vAlign w:val="center"/>
                </w:tcPr>
                <w:p w14:paraId="48A33E71">
                  <w:pPr>
                    <w:pStyle w:val="24"/>
                    <w:adjustRightInd w:val="0"/>
                    <w:snapToGrid w:val="0"/>
                    <w:jc w:val="center"/>
                    <w:rPr>
                      <w:rFonts w:hint="default" w:ascii="Times New Roman" w:hAnsi="Times New Roman"/>
                      <w:lang w:val="en-US" w:eastAsia="zh-CN"/>
                    </w:rPr>
                  </w:pPr>
                  <w:r>
                    <w:rPr>
                      <w:rFonts w:hint="default" w:ascii="Times New Roman" w:hAnsi="Times New Roman"/>
                      <w:sz w:val="21"/>
                      <w:szCs w:val="21"/>
                      <w:lang w:val="en-US" w:eastAsia="zh-CN"/>
                    </w:rPr>
                    <w:t>勘查区南</w:t>
                  </w:r>
                  <w:r>
                    <w:rPr>
                      <w:rFonts w:hint="eastAsia" w:ascii="Times New Roman" w:hAnsi="Times New Roman" w:eastAsia="宋体" w:cs="Times New Roman"/>
                      <w:lang w:val="en-US" w:eastAsia="zh-CN"/>
                    </w:rPr>
                    <w:t>侧</w:t>
                  </w:r>
                </w:p>
              </w:tc>
              <w:tc>
                <w:tcPr>
                  <w:tcW w:w="1593" w:type="dxa"/>
                  <w:vAlign w:val="center"/>
                </w:tcPr>
                <w:p w14:paraId="2B5F2DBD">
                  <w:pPr>
                    <w:pStyle w:val="24"/>
                    <w:adjustRightInd w:val="0"/>
                    <w:snapToGrid w:val="0"/>
                    <w:jc w:val="center"/>
                    <w:rPr>
                      <w:rFonts w:hint="default" w:ascii="Times New Roman" w:hAnsi="Times New Roman"/>
                      <w:lang w:val="en-US" w:eastAsia="zh-CN"/>
                    </w:rPr>
                  </w:pPr>
                  <w:r>
                    <w:rPr>
                      <w:rFonts w:hint="eastAsia" w:ascii="Times New Roman" w:hAnsi="Times New Roman"/>
                      <w:lang w:val="en-US" w:eastAsia="zh-CN"/>
                    </w:rPr>
                    <w:t>污染影响</w:t>
                  </w:r>
                </w:p>
              </w:tc>
              <w:tc>
                <w:tcPr>
                  <w:tcW w:w="2502" w:type="dxa"/>
                  <w:shd w:val="clear" w:color="auto" w:fill="auto"/>
                  <w:vAlign w:val="center"/>
                </w:tcPr>
                <w:p w14:paraId="3BA0A6EE">
                  <w:pPr>
                    <w:pStyle w:val="7"/>
                    <w:spacing w:line="320" w:lineRule="exact"/>
                    <w:jc w:val="center"/>
                    <w:rPr>
                      <w:rFonts w:hint="default" w:ascii="Times New Roman" w:hAnsi="Times New Roman" w:eastAsia="宋体" w:cs="宋体"/>
                      <w:lang w:val="en-US" w:eastAsia="zh-CN"/>
                    </w:rPr>
                  </w:pPr>
                  <w:r>
                    <w:rPr>
                      <w:rFonts w:hint="eastAsia" w:ascii="Times New Roman" w:hAnsi="Times New Roman" w:eastAsia="宋体" w:cs="宋体"/>
                      <w:sz w:val="21"/>
                      <w:szCs w:val="21"/>
                      <w:lang w:val="en-US" w:eastAsia="zh-CN"/>
                    </w:rPr>
                    <w:t>确保生态功能不降低、面积不减少、性质不改变</w:t>
                  </w:r>
                </w:p>
              </w:tc>
            </w:tr>
          </w:tbl>
          <w:p w14:paraId="0F0CA184">
            <w:pPr>
              <w:pStyle w:val="7"/>
              <w:spacing w:line="480" w:lineRule="exact"/>
              <w:rPr>
                <w:rFonts w:hint="eastAsia" w:ascii="Times New Roman" w:hAnsi="Times New Roman" w:eastAsia="宋体" w:cs="宋体"/>
                <w:sz w:val="24"/>
                <w:szCs w:val="24"/>
                <w:lang w:eastAsia="zh-CN"/>
              </w:rPr>
            </w:pPr>
          </w:p>
        </w:tc>
      </w:tr>
      <w:tr w14:paraId="2929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2" w:hRule="atLeast"/>
          <w:jc w:val="center"/>
        </w:trPr>
        <w:tc>
          <w:tcPr>
            <w:tcW w:w="939" w:type="dxa"/>
            <w:vAlign w:val="center"/>
          </w:tcPr>
          <w:p w14:paraId="60C26EDB">
            <w:pPr>
              <w:pStyle w:val="7"/>
              <w:spacing w:line="480" w:lineRule="exact"/>
              <w:jc w:val="center"/>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评价标准</w:t>
            </w:r>
          </w:p>
        </w:tc>
        <w:tc>
          <w:tcPr>
            <w:tcW w:w="8678" w:type="dxa"/>
            <w:vAlign w:val="center"/>
          </w:tcPr>
          <w:p w14:paraId="39253D51">
            <w:pPr>
              <w:keepNext/>
              <w:keepLines/>
              <w:widowControl/>
              <w:numPr>
                <w:ilvl w:val="0"/>
                <w:numId w:val="11"/>
              </w:numPr>
              <w:adjustRightInd w:val="0"/>
              <w:snapToGrid w:val="0"/>
              <w:spacing w:line="480" w:lineRule="exact"/>
              <w:jc w:val="both"/>
              <w:outlineLvl w:val="2"/>
              <w:rPr>
                <w:rFonts w:hint="eastAsia"/>
                <w:b/>
                <w:bCs w:val="0"/>
                <w:color w:val="000000"/>
                <w:kern w:val="0"/>
                <w:sz w:val="24"/>
                <w:szCs w:val="24"/>
                <w:lang w:val="en-US" w:eastAsia="zh-CN"/>
              </w:rPr>
            </w:pPr>
            <w:r>
              <w:rPr>
                <w:rFonts w:hint="eastAsia"/>
                <w:b/>
                <w:bCs w:val="0"/>
                <w:color w:val="000000"/>
                <w:kern w:val="0"/>
                <w:sz w:val="24"/>
                <w:szCs w:val="24"/>
                <w:lang w:val="en-US" w:eastAsia="zh-CN"/>
              </w:rPr>
              <w:t>环境质量标准</w:t>
            </w:r>
          </w:p>
          <w:p w14:paraId="367BE02E">
            <w:pPr>
              <w:keepNext/>
              <w:keepLines/>
              <w:widowControl/>
              <w:numPr>
                <w:ilvl w:val="0"/>
                <w:numId w:val="0"/>
              </w:numPr>
              <w:adjustRightInd w:val="0"/>
              <w:snapToGrid w:val="0"/>
              <w:spacing w:line="480" w:lineRule="exact"/>
              <w:jc w:val="both"/>
              <w:outlineLvl w:val="2"/>
              <w:rPr>
                <w:rFonts w:hint="default" w:ascii="宋体" w:hAnsi="宋体" w:cs="宋体"/>
                <w:sz w:val="24"/>
                <w:szCs w:val="24"/>
                <w:lang w:val="en-US" w:eastAsia="zh-CN"/>
              </w:rPr>
            </w:pPr>
            <w:r>
              <w:rPr>
                <w:rFonts w:hint="default" w:ascii="宋体" w:hAnsi="宋体" w:eastAsia="宋体" w:cs="宋体"/>
                <w:kern w:val="2"/>
                <w:sz w:val="24"/>
                <w:szCs w:val="24"/>
                <w:lang w:val="en-US" w:eastAsia="zh-CN" w:bidi="ar-SA"/>
              </w:rPr>
              <w:t>（1）</w:t>
            </w:r>
            <w:r>
              <w:rPr>
                <w:rFonts w:hint="eastAsia"/>
                <w:b w:val="0"/>
                <w:bCs/>
                <w:color w:val="000000"/>
                <w:kern w:val="0"/>
                <w:sz w:val="24"/>
                <w:szCs w:val="24"/>
                <w:lang w:val="en-US" w:eastAsia="zh-CN"/>
              </w:rPr>
              <w:t>环境空气：本项目位于</w:t>
            </w:r>
            <w:r>
              <w:rPr>
                <w:rFonts w:hint="eastAsia" w:ascii="Times New Roman" w:hAnsi="Times New Roman" w:eastAsia="宋体" w:cs="Times New Roman"/>
                <w:kern w:val="0"/>
                <w:sz w:val="24"/>
                <w:szCs w:val="24"/>
                <w:lang w:val="en-US" w:eastAsia="zh-CN" w:bidi="ar-SA"/>
              </w:rPr>
              <w:t>新疆维吾尔自治区和田地区民丰县东南</w:t>
            </w:r>
            <w:r>
              <w:rPr>
                <w:rFonts w:hint="default" w:ascii="Times New Roman" w:hAnsi="Times New Roman" w:cs="Times New Roman"/>
                <w:kern w:val="0"/>
                <w:sz w:val="24"/>
                <w:szCs w:val="24"/>
                <w:lang w:val="en-US" w:eastAsia="zh-CN" w:bidi="ar-SA"/>
              </w:rPr>
              <w:t>108°</w:t>
            </w:r>
            <w:r>
              <w:rPr>
                <w:rFonts w:hint="eastAsia" w:ascii="Times New Roman" w:hAnsi="Times New Roman" w:eastAsia="宋体" w:cs="Times New Roman"/>
                <w:kern w:val="0"/>
                <w:sz w:val="24"/>
                <w:szCs w:val="24"/>
                <w:lang w:val="en-US" w:eastAsia="zh-CN" w:bidi="ar-SA"/>
              </w:rPr>
              <w:t>约</w:t>
            </w:r>
            <w:r>
              <w:rPr>
                <w:rFonts w:hint="default" w:ascii="Times New Roman" w:hAnsi="Times New Roman" w:eastAsia="宋体" w:cs="Times New Roman"/>
                <w:kern w:val="0"/>
                <w:sz w:val="24"/>
                <w:szCs w:val="24"/>
                <w:lang w:val="en-US" w:eastAsia="zh-CN" w:bidi="ar-SA"/>
              </w:rPr>
              <w:t>1</w:t>
            </w:r>
            <w:r>
              <w:rPr>
                <w:rFonts w:hint="eastAsia" w:cs="Times New Roman"/>
                <w:kern w:val="0"/>
                <w:sz w:val="24"/>
                <w:szCs w:val="24"/>
                <w:lang w:val="en-US" w:eastAsia="zh-CN" w:bidi="ar-SA"/>
              </w:rPr>
              <w:t>3</w:t>
            </w:r>
            <w:r>
              <w:rPr>
                <w:rFonts w:hint="default" w:ascii="Times New Roman" w:hAnsi="Times New Roman" w:eastAsia="宋体" w:cs="Times New Roman"/>
                <w:kern w:val="0"/>
                <w:sz w:val="24"/>
                <w:szCs w:val="24"/>
                <w:lang w:val="en-US" w:eastAsia="zh-CN" w:bidi="ar-SA"/>
              </w:rPr>
              <w:t>0km</w:t>
            </w:r>
            <w:r>
              <w:rPr>
                <w:rFonts w:hint="eastAsia" w:ascii="Times New Roman" w:hAnsi="Times New Roman" w:eastAsia="宋体" w:cs="Times New Roman"/>
                <w:kern w:val="0"/>
                <w:sz w:val="24"/>
                <w:szCs w:val="24"/>
                <w:lang w:val="en-US" w:eastAsia="zh-CN" w:bidi="ar-SA"/>
              </w:rPr>
              <w:t>处</w:t>
            </w:r>
            <w:r>
              <w:rPr>
                <w:rFonts w:hint="eastAsia" w:cs="宋体"/>
                <w:sz w:val="24"/>
                <w:szCs w:val="24"/>
                <w:lang w:eastAsia="zh-CN"/>
              </w:rPr>
              <w:t>，</w:t>
            </w:r>
            <w:r>
              <w:rPr>
                <w:rFonts w:hint="eastAsia" w:cs="宋体"/>
                <w:sz w:val="24"/>
                <w:szCs w:val="24"/>
                <w:lang w:val="en-US" w:eastAsia="zh-CN"/>
              </w:rPr>
              <w:t>项目所在地属于二类环境空气功能区，执行</w:t>
            </w:r>
            <w:r>
              <w:rPr>
                <w:rFonts w:hint="default" w:ascii="Times New Roman" w:hAnsi="Times New Roman" w:eastAsia="华文中宋" w:cs="Times New Roman"/>
                <w:color w:val="000000"/>
                <w:sz w:val="24"/>
                <w:szCs w:val="24"/>
                <w:lang w:val="en-US" w:eastAsia="zh-CN"/>
              </w:rPr>
              <w:t>《环境空气质量标准》（GB3095-2026）中</w:t>
            </w:r>
            <w:r>
              <w:rPr>
                <w:rFonts w:hint="eastAsia" w:ascii="Times New Roman" w:hAnsi="Times New Roman" w:eastAsia="华文中宋" w:cs="Times New Roman"/>
                <w:color w:val="000000"/>
                <w:sz w:val="24"/>
                <w:szCs w:val="24"/>
                <w:lang w:val="en-US" w:eastAsia="zh-CN"/>
              </w:rPr>
              <w:t>的</w:t>
            </w:r>
            <w:r>
              <w:rPr>
                <w:rFonts w:hint="default" w:ascii="Times New Roman" w:hAnsi="Times New Roman" w:eastAsia="华文中宋" w:cs="Times New Roman"/>
                <w:color w:val="000000"/>
                <w:sz w:val="24"/>
                <w:szCs w:val="24"/>
                <w:lang w:val="en-US" w:eastAsia="zh-CN"/>
              </w:rPr>
              <w:t>二级标准</w:t>
            </w:r>
            <w:r>
              <w:rPr>
                <w:rFonts w:hint="eastAsia" w:ascii="宋体" w:hAnsi="宋体" w:cs="宋体"/>
                <w:sz w:val="24"/>
                <w:szCs w:val="24"/>
                <w:lang w:val="en-US" w:eastAsia="zh-CN"/>
              </w:rPr>
              <w:t>要求，标准限值详见表3-5。</w:t>
            </w:r>
          </w:p>
          <w:p w14:paraId="5DAC6E90">
            <w:pPr>
              <w:keepNext/>
              <w:keepLines/>
              <w:widowControl/>
              <w:numPr>
                <w:ilvl w:val="0"/>
                <w:numId w:val="0"/>
              </w:numPr>
              <w:adjustRightInd w:val="0"/>
              <w:snapToGrid w:val="0"/>
              <w:spacing w:line="480" w:lineRule="exact"/>
              <w:jc w:val="center"/>
              <w:outlineLvl w:val="2"/>
              <w:rPr>
                <w:rFonts w:hint="eastAsia" w:ascii="宋体" w:hAnsi="宋体" w:cs="宋体"/>
                <w:b/>
                <w:bCs/>
                <w:sz w:val="21"/>
                <w:szCs w:val="21"/>
                <w:lang w:val="en-US" w:eastAsia="zh-CN"/>
              </w:rPr>
            </w:pPr>
            <w:r>
              <w:rPr>
                <w:rFonts w:hint="eastAsia" w:ascii="宋体" w:hAnsi="宋体" w:cs="宋体"/>
                <w:b/>
                <w:bCs/>
                <w:sz w:val="21"/>
                <w:szCs w:val="21"/>
                <w:lang w:val="en-US" w:eastAsia="zh-CN"/>
              </w:rPr>
              <w:t>表3-5环境空气质量标准</w:t>
            </w:r>
          </w:p>
          <w:tbl>
            <w:tblPr>
              <w:tblStyle w:val="15"/>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8"/>
              <w:gridCol w:w="717"/>
              <w:gridCol w:w="1767"/>
              <w:gridCol w:w="793"/>
              <w:gridCol w:w="2083"/>
              <w:gridCol w:w="1919"/>
            </w:tblGrid>
            <w:tr w14:paraId="09C9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exact"/>
                <w:jc w:val="center"/>
              </w:trPr>
              <w:tc>
                <w:tcPr>
                  <w:tcW w:w="726" w:type="pct"/>
                  <w:vMerge w:val="restart"/>
                  <w:vAlign w:val="center"/>
                </w:tcPr>
                <w:p w14:paraId="7638652E">
                  <w:pPr>
                    <w:pStyle w:val="41"/>
                    <w:spacing w:line="260" w:lineRule="exact"/>
                    <w:ind w:left="0"/>
                    <w:rPr>
                      <w:rFonts w:eastAsia="宋体"/>
                      <w:sz w:val="21"/>
                      <w:szCs w:val="21"/>
                      <w:lang w:eastAsia="zh-CN"/>
                    </w:rPr>
                  </w:pPr>
                  <w:r>
                    <w:rPr>
                      <w:rFonts w:eastAsia="宋体"/>
                      <w:sz w:val="21"/>
                      <w:szCs w:val="21"/>
                      <w:lang w:eastAsia="zh-CN"/>
                    </w:rPr>
                    <w:t>标准名称</w:t>
                  </w:r>
                </w:p>
              </w:tc>
              <w:tc>
                <w:tcPr>
                  <w:tcW w:w="1458" w:type="pct"/>
                  <w:gridSpan w:val="2"/>
                  <w:vMerge w:val="restart"/>
                  <w:vAlign w:val="center"/>
                </w:tcPr>
                <w:p w14:paraId="31848EB3">
                  <w:pPr>
                    <w:pStyle w:val="41"/>
                    <w:spacing w:line="260" w:lineRule="exact"/>
                    <w:ind w:left="0"/>
                    <w:rPr>
                      <w:rFonts w:eastAsia="宋体"/>
                      <w:sz w:val="21"/>
                      <w:szCs w:val="21"/>
                      <w:lang w:eastAsia="zh-CN"/>
                    </w:rPr>
                  </w:pPr>
                  <w:r>
                    <w:rPr>
                      <w:rFonts w:eastAsia="宋体"/>
                      <w:sz w:val="21"/>
                      <w:szCs w:val="21"/>
                      <w:lang w:eastAsia="zh-CN"/>
                    </w:rPr>
                    <w:t>污染物名称</w:t>
                  </w:r>
                </w:p>
              </w:tc>
              <w:tc>
                <w:tcPr>
                  <w:tcW w:w="465" w:type="pct"/>
                  <w:vMerge w:val="restart"/>
                  <w:vAlign w:val="center"/>
                </w:tcPr>
                <w:p w14:paraId="19BE127A">
                  <w:pPr>
                    <w:pStyle w:val="41"/>
                    <w:spacing w:line="260" w:lineRule="exact"/>
                    <w:ind w:left="0"/>
                    <w:rPr>
                      <w:rFonts w:eastAsia="宋体"/>
                      <w:sz w:val="21"/>
                      <w:szCs w:val="21"/>
                      <w:lang w:eastAsia="zh-CN"/>
                    </w:rPr>
                  </w:pPr>
                  <w:r>
                    <w:rPr>
                      <w:rFonts w:eastAsia="宋体"/>
                      <w:sz w:val="21"/>
                      <w:szCs w:val="21"/>
                      <w:lang w:eastAsia="zh-CN"/>
                    </w:rPr>
                    <w:t>单位</w:t>
                  </w:r>
                </w:p>
              </w:tc>
              <w:tc>
                <w:tcPr>
                  <w:tcW w:w="1222" w:type="pct"/>
                  <w:vAlign w:val="center"/>
                </w:tcPr>
                <w:p w14:paraId="031DD398">
                  <w:pPr>
                    <w:pStyle w:val="41"/>
                    <w:spacing w:line="260" w:lineRule="exact"/>
                    <w:ind w:left="0"/>
                    <w:rPr>
                      <w:rFonts w:eastAsia="宋体"/>
                      <w:sz w:val="21"/>
                      <w:szCs w:val="21"/>
                      <w:lang w:eastAsia="zh-CN"/>
                    </w:rPr>
                  </w:pPr>
                  <w:r>
                    <w:rPr>
                      <w:rFonts w:hint="default" w:eastAsia="宋体"/>
                      <w:sz w:val="21"/>
                      <w:szCs w:val="21"/>
                      <w:lang w:eastAsia="zh-CN"/>
                    </w:rPr>
                    <w:t>二级</w:t>
                  </w:r>
                  <w:r>
                    <w:rPr>
                      <w:rFonts w:hint="default" w:eastAsia="宋体"/>
                      <w:sz w:val="21"/>
                      <w:szCs w:val="21"/>
                      <w:lang w:val="en-US" w:eastAsia="zh-CN"/>
                    </w:rPr>
                    <w:t>过渡阶段</w:t>
                  </w:r>
                  <w:r>
                    <w:rPr>
                      <w:rFonts w:hint="default" w:eastAsia="宋体"/>
                      <w:sz w:val="21"/>
                      <w:szCs w:val="21"/>
                      <w:lang w:eastAsia="zh-CN"/>
                    </w:rPr>
                    <w:t>浓度限值</w:t>
                  </w:r>
                </w:p>
              </w:tc>
              <w:tc>
                <w:tcPr>
                  <w:tcW w:w="1126" w:type="pct"/>
                  <w:vAlign w:val="center"/>
                </w:tcPr>
                <w:p w14:paraId="24D19D0A">
                  <w:pPr>
                    <w:pStyle w:val="41"/>
                    <w:spacing w:line="260" w:lineRule="exact"/>
                    <w:ind w:left="0"/>
                    <w:rPr>
                      <w:rFonts w:eastAsia="宋体"/>
                      <w:sz w:val="21"/>
                      <w:szCs w:val="21"/>
                      <w:lang w:eastAsia="zh-CN"/>
                    </w:rPr>
                  </w:pPr>
                  <w:r>
                    <w:rPr>
                      <w:rFonts w:hint="default" w:eastAsia="宋体"/>
                      <w:sz w:val="21"/>
                      <w:szCs w:val="21"/>
                      <w:lang w:eastAsia="zh-CN"/>
                    </w:rPr>
                    <w:t>二级浓度限值</w:t>
                  </w:r>
                </w:p>
              </w:tc>
            </w:tr>
            <w:tr w14:paraId="568FD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exact"/>
                <w:jc w:val="center"/>
              </w:trPr>
              <w:tc>
                <w:tcPr>
                  <w:tcW w:w="726" w:type="pct"/>
                  <w:vMerge w:val="continue"/>
                  <w:vAlign w:val="center"/>
                </w:tcPr>
                <w:p w14:paraId="6557C773">
                  <w:pPr>
                    <w:spacing w:line="260" w:lineRule="exact"/>
                    <w:jc w:val="center"/>
                    <w:rPr>
                      <w:rFonts w:ascii="Times New Roman" w:hAnsi="Times New Roman"/>
                      <w:sz w:val="21"/>
                      <w:szCs w:val="21"/>
                    </w:rPr>
                  </w:pPr>
                </w:p>
              </w:tc>
              <w:tc>
                <w:tcPr>
                  <w:tcW w:w="1458" w:type="pct"/>
                  <w:gridSpan w:val="2"/>
                  <w:vMerge w:val="continue"/>
                  <w:vAlign w:val="center"/>
                </w:tcPr>
                <w:p w14:paraId="700077C4">
                  <w:pPr>
                    <w:spacing w:line="260" w:lineRule="exact"/>
                    <w:jc w:val="center"/>
                    <w:rPr>
                      <w:rFonts w:ascii="Times New Roman" w:hAnsi="Times New Roman"/>
                      <w:sz w:val="21"/>
                      <w:szCs w:val="21"/>
                    </w:rPr>
                  </w:pPr>
                </w:p>
              </w:tc>
              <w:tc>
                <w:tcPr>
                  <w:tcW w:w="465" w:type="pct"/>
                  <w:vMerge w:val="continue"/>
                  <w:vAlign w:val="center"/>
                </w:tcPr>
                <w:p w14:paraId="655B57DA">
                  <w:pPr>
                    <w:pStyle w:val="41"/>
                    <w:spacing w:line="260" w:lineRule="exact"/>
                    <w:ind w:left="0"/>
                    <w:rPr>
                      <w:rFonts w:eastAsia="宋体"/>
                      <w:sz w:val="21"/>
                      <w:szCs w:val="21"/>
                      <w:lang w:eastAsia="zh-CN"/>
                    </w:rPr>
                  </w:pPr>
                </w:p>
              </w:tc>
              <w:tc>
                <w:tcPr>
                  <w:tcW w:w="1222" w:type="pct"/>
                  <w:vAlign w:val="center"/>
                </w:tcPr>
                <w:p w14:paraId="5E15501F">
                  <w:pPr>
                    <w:pStyle w:val="41"/>
                    <w:spacing w:line="260" w:lineRule="exact"/>
                    <w:ind w:left="0"/>
                    <w:rPr>
                      <w:rFonts w:eastAsia="宋体"/>
                      <w:sz w:val="21"/>
                      <w:szCs w:val="21"/>
                      <w:lang w:eastAsia="zh-CN"/>
                    </w:rPr>
                  </w:pPr>
                  <w:r>
                    <w:rPr>
                      <w:rFonts w:hint="default" w:eastAsia="宋体"/>
                      <w:sz w:val="21"/>
                      <w:szCs w:val="21"/>
                      <w:lang w:val="en-US" w:eastAsia="zh-CN"/>
                    </w:rPr>
                    <w:t>2030年12月31日前</w:t>
                  </w:r>
                </w:p>
              </w:tc>
              <w:tc>
                <w:tcPr>
                  <w:tcW w:w="1126" w:type="pct"/>
                  <w:vAlign w:val="center"/>
                </w:tcPr>
                <w:p w14:paraId="704DB87E">
                  <w:pPr>
                    <w:pStyle w:val="41"/>
                    <w:spacing w:line="260" w:lineRule="exact"/>
                    <w:ind w:left="0"/>
                    <w:rPr>
                      <w:rFonts w:eastAsia="宋体"/>
                      <w:sz w:val="21"/>
                      <w:szCs w:val="21"/>
                      <w:lang w:eastAsia="zh-CN"/>
                    </w:rPr>
                  </w:pPr>
                  <w:r>
                    <w:rPr>
                      <w:rFonts w:hint="default" w:eastAsia="宋体"/>
                      <w:sz w:val="21"/>
                      <w:szCs w:val="21"/>
                      <w:lang w:val="en-US" w:eastAsia="zh-CN"/>
                    </w:rPr>
                    <w:t>自2031年1月1日起</w:t>
                  </w:r>
                </w:p>
              </w:tc>
            </w:tr>
            <w:tr w14:paraId="1204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726" w:type="pct"/>
                  <w:vMerge w:val="restart"/>
                  <w:vAlign w:val="center"/>
                </w:tcPr>
                <w:p w14:paraId="5B98FEFD">
                  <w:pPr>
                    <w:pStyle w:val="41"/>
                    <w:spacing w:line="260" w:lineRule="exact"/>
                    <w:ind w:left="0"/>
                    <w:rPr>
                      <w:rFonts w:eastAsia="宋体"/>
                      <w:sz w:val="21"/>
                      <w:szCs w:val="21"/>
                    </w:rPr>
                  </w:pPr>
                  <w:r>
                    <w:rPr>
                      <w:rFonts w:hint="default" w:eastAsia="宋体"/>
                      <w:sz w:val="21"/>
                      <w:szCs w:val="21"/>
                      <w:lang w:val="en-US" w:eastAsia="zh-CN"/>
                    </w:rPr>
                    <w:t>《环境空气质量标准》（GB3095-2026）二级标准</w:t>
                  </w:r>
                </w:p>
              </w:tc>
              <w:tc>
                <w:tcPr>
                  <w:tcW w:w="420" w:type="pct"/>
                  <w:vMerge w:val="restart"/>
                  <w:vAlign w:val="center"/>
                </w:tcPr>
                <w:p w14:paraId="293D500B">
                  <w:pPr>
                    <w:pStyle w:val="41"/>
                    <w:spacing w:line="260" w:lineRule="exact"/>
                    <w:ind w:left="0"/>
                    <w:rPr>
                      <w:rFonts w:eastAsia="宋体"/>
                      <w:sz w:val="21"/>
                      <w:szCs w:val="21"/>
                    </w:rPr>
                  </w:pPr>
                  <w:r>
                    <w:rPr>
                      <w:rFonts w:eastAsia="宋体"/>
                      <w:sz w:val="21"/>
                      <w:szCs w:val="21"/>
                    </w:rPr>
                    <w:t>PM</w:t>
                  </w:r>
                  <w:r>
                    <w:rPr>
                      <w:rFonts w:eastAsia="宋体"/>
                      <w:sz w:val="21"/>
                      <w:szCs w:val="21"/>
                      <w:vertAlign w:val="subscript"/>
                    </w:rPr>
                    <w:t>10</w:t>
                  </w:r>
                </w:p>
              </w:tc>
              <w:tc>
                <w:tcPr>
                  <w:tcW w:w="1037" w:type="pct"/>
                  <w:vAlign w:val="center"/>
                </w:tcPr>
                <w:p w14:paraId="4752189D">
                  <w:pPr>
                    <w:pStyle w:val="41"/>
                    <w:spacing w:line="260" w:lineRule="exact"/>
                    <w:ind w:left="0" w:leftChars="0"/>
                    <w:rPr>
                      <w:rFonts w:eastAsia="宋体"/>
                      <w:sz w:val="21"/>
                      <w:szCs w:val="21"/>
                    </w:rPr>
                  </w:pPr>
                  <w:r>
                    <w:rPr>
                      <w:rFonts w:eastAsia="宋体"/>
                      <w:sz w:val="21"/>
                      <w:szCs w:val="21"/>
                    </w:rPr>
                    <w:t>年平均</w:t>
                  </w:r>
                </w:p>
              </w:tc>
              <w:tc>
                <w:tcPr>
                  <w:tcW w:w="465" w:type="pct"/>
                  <w:vAlign w:val="center"/>
                </w:tcPr>
                <w:p w14:paraId="55383E98">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3E301B8A">
                  <w:pPr>
                    <w:pStyle w:val="41"/>
                    <w:spacing w:line="260" w:lineRule="exact"/>
                    <w:ind w:left="0" w:leftChars="0"/>
                    <w:rPr>
                      <w:rFonts w:eastAsia="宋体"/>
                      <w:sz w:val="21"/>
                      <w:szCs w:val="21"/>
                    </w:rPr>
                  </w:pPr>
                  <w:r>
                    <w:rPr>
                      <w:rFonts w:hint="eastAsia" w:eastAsia="宋体"/>
                      <w:sz w:val="21"/>
                      <w:szCs w:val="21"/>
                      <w:lang w:val="en-US" w:eastAsia="zh-CN"/>
                    </w:rPr>
                    <w:t>60</w:t>
                  </w:r>
                </w:p>
              </w:tc>
              <w:tc>
                <w:tcPr>
                  <w:tcW w:w="1919" w:type="dxa"/>
                  <w:vAlign w:val="center"/>
                </w:tcPr>
                <w:p w14:paraId="1E8B1CAE">
                  <w:pPr>
                    <w:pStyle w:val="48"/>
                    <w:pageBreakBefore w:val="0"/>
                    <w:kinsoku/>
                    <w:wordWrap/>
                    <w:overflowPunct/>
                    <w:topLinePunct w:val="0"/>
                    <w:bidi w:val="0"/>
                    <w:textAlignment w:val="auto"/>
                    <w:rPr>
                      <w:rFonts w:hint="eastAsia" w:eastAsia="宋体"/>
                      <w:sz w:val="21"/>
                      <w:szCs w:val="21"/>
                      <w:lang w:val="en-US" w:eastAsia="zh-CN"/>
                    </w:rPr>
                  </w:pPr>
                  <w:r>
                    <w:rPr>
                      <w:rFonts w:hint="default" w:ascii="Times New Roman" w:hAnsi="Times New Roman" w:eastAsia="宋体" w:cs="Times New Roman"/>
                      <w:color w:val="auto"/>
                      <w:spacing w:val="0"/>
                      <w:kern w:val="21"/>
                      <w:position w:val="0"/>
                      <w:lang w:val="en-US" w:eastAsia="zh-CN"/>
                    </w:rPr>
                    <w:t>50</w:t>
                  </w:r>
                </w:p>
              </w:tc>
            </w:tr>
            <w:tr w14:paraId="0525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726" w:type="pct"/>
                  <w:vMerge w:val="continue"/>
                  <w:vAlign w:val="center"/>
                </w:tcPr>
                <w:p w14:paraId="7E6D5E15">
                  <w:pPr>
                    <w:spacing w:line="260" w:lineRule="exact"/>
                    <w:jc w:val="center"/>
                    <w:rPr>
                      <w:rFonts w:ascii="Times New Roman" w:hAnsi="Times New Roman"/>
                      <w:sz w:val="21"/>
                      <w:szCs w:val="21"/>
                    </w:rPr>
                  </w:pPr>
                </w:p>
              </w:tc>
              <w:tc>
                <w:tcPr>
                  <w:tcW w:w="420" w:type="pct"/>
                  <w:vMerge w:val="continue"/>
                  <w:vAlign w:val="center"/>
                </w:tcPr>
                <w:p w14:paraId="0044713D">
                  <w:pPr>
                    <w:spacing w:line="260" w:lineRule="exact"/>
                    <w:jc w:val="center"/>
                    <w:rPr>
                      <w:rFonts w:ascii="Times New Roman" w:hAnsi="Times New Roman"/>
                      <w:sz w:val="21"/>
                      <w:szCs w:val="21"/>
                    </w:rPr>
                  </w:pPr>
                </w:p>
              </w:tc>
              <w:tc>
                <w:tcPr>
                  <w:tcW w:w="1037" w:type="pct"/>
                  <w:vAlign w:val="center"/>
                </w:tcPr>
                <w:p w14:paraId="0CE8AAFF">
                  <w:pPr>
                    <w:pStyle w:val="41"/>
                    <w:spacing w:line="260" w:lineRule="exact"/>
                    <w:ind w:left="0" w:leftChars="0"/>
                    <w:rPr>
                      <w:rFonts w:eastAsia="宋体"/>
                      <w:sz w:val="21"/>
                      <w:szCs w:val="21"/>
                    </w:rPr>
                  </w:pPr>
                  <w:r>
                    <w:rPr>
                      <w:rFonts w:hint="eastAsia" w:eastAsia="宋体"/>
                      <w:sz w:val="21"/>
                      <w:szCs w:val="21"/>
                      <w:lang w:val="en-US" w:eastAsia="zh-CN"/>
                    </w:rPr>
                    <w:t>日</w:t>
                  </w:r>
                  <w:r>
                    <w:rPr>
                      <w:rFonts w:eastAsia="宋体"/>
                      <w:sz w:val="21"/>
                      <w:szCs w:val="21"/>
                    </w:rPr>
                    <w:t>平均</w:t>
                  </w:r>
                </w:p>
              </w:tc>
              <w:tc>
                <w:tcPr>
                  <w:tcW w:w="465" w:type="pct"/>
                  <w:vAlign w:val="center"/>
                </w:tcPr>
                <w:p w14:paraId="749733A7">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73E7CBBE">
                  <w:pPr>
                    <w:pStyle w:val="41"/>
                    <w:spacing w:line="260" w:lineRule="exact"/>
                    <w:ind w:left="0" w:leftChars="0"/>
                    <w:rPr>
                      <w:rFonts w:eastAsia="宋体"/>
                      <w:sz w:val="21"/>
                      <w:szCs w:val="21"/>
                    </w:rPr>
                  </w:pPr>
                  <w:r>
                    <w:rPr>
                      <w:rFonts w:hint="eastAsia" w:eastAsia="宋体"/>
                      <w:sz w:val="21"/>
                      <w:szCs w:val="21"/>
                      <w:lang w:val="en-US" w:eastAsia="zh-CN"/>
                    </w:rPr>
                    <w:t>120</w:t>
                  </w:r>
                </w:p>
              </w:tc>
              <w:tc>
                <w:tcPr>
                  <w:tcW w:w="1919" w:type="dxa"/>
                  <w:vAlign w:val="center"/>
                </w:tcPr>
                <w:p w14:paraId="7F698D48">
                  <w:pPr>
                    <w:pStyle w:val="48"/>
                    <w:pageBreakBefore w:val="0"/>
                    <w:kinsoku/>
                    <w:wordWrap/>
                    <w:overflowPunct/>
                    <w:topLinePunct w:val="0"/>
                    <w:bidi w:val="0"/>
                    <w:textAlignment w:val="auto"/>
                    <w:rPr>
                      <w:rFonts w:hint="eastAsia" w:eastAsia="宋体"/>
                      <w:sz w:val="21"/>
                      <w:szCs w:val="21"/>
                      <w:lang w:val="en-US" w:eastAsia="zh-CN"/>
                    </w:rPr>
                  </w:pPr>
                  <w:r>
                    <w:rPr>
                      <w:rFonts w:hint="default" w:ascii="Times New Roman" w:hAnsi="Times New Roman" w:eastAsia="宋体" w:cs="Times New Roman"/>
                      <w:color w:val="auto"/>
                      <w:spacing w:val="0"/>
                      <w:kern w:val="21"/>
                      <w:position w:val="0"/>
                      <w:lang w:val="en-US" w:eastAsia="zh-CN"/>
                    </w:rPr>
                    <w:t>100</w:t>
                  </w:r>
                </w:p>
              </w:tc>
            </w:tr>
            <w:tr w14:paraId="61A9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726" w:type="pct"/>
                  <w:vMerge w:val="continue"/>
                  <w:vAlign w:val="center"/>
                </w:tcPr>
                <w:p w14:paraId="3CB0F907">
                  <w:pPr>
                    <w:spacing w:line="260" w:lineRule="exact"/>
                    <w:jc w:val="center"/>
                    <w:rPr>
                      <w:rFonts w:ascii="Times New Roman" w:hAnsi="Times New Roman"/>
                      <w:sz w:val="21"/>
                      <w:szCs w:val="21"/>
                    </w:rPr>
                  </w:pPr>
                </w:p>
              </w:tc>
              <w:tc>
                <w:tcPr>
                  <w:tcW w:w="420" w:type="pct"/>
                  <w:vMerge w:val="restart"/>
                  <w:vAlign w:val="center"/>
                </w:tcPr>
                <w:p w14:paraId="77DDBA61">
                  <w:pPr>
                    <w:pStyle w:val="41"/>
                    <w:spacing w:line="260" w:lineRule="exact"/>
                    <w:ind w:left="0"/>
                    <w:rPr>
                      <w:rFonts w:eastAsia="宋体"/>
                      <w:sz w:val="21"/>
                      <w:szCs w:val="21"/>
                    </w:rPr>
                  </w:pPr>
                  <w:r>
                    <w:rPr>
                      <w:rFonts w:eastAsia="宋体"/>
                      <w:sz w:val="21"/>
                      <w:szCs w:val="21"/>
                    </w:rPr>
                    <w:t>PM</w:t>
                  </w:r>
                  <w:r>
                    <w:rPr>
                      <w:rFonts w:eastAsia="宋体"/>
                      <w:sz w:val="21"/>
                      <w:szCs w:val="21"/>
                      <w:vertAlign w:val="subscript"/>
                    </w:rPr>
                    <w:t>2.5</w:t>
                  </w:r>
                </w:p>
              </w:tc>
              <w:tc>
                <w:tcPr>
                  <w:tcW w:w="1037" w:type="pct"/>
                  <w:vAlign w:val="center"/>
                </w:tcPr>
                <w:p w14:paraId="080BBF5B">
                  <w:pPr>
                    <w:pStyle w:val="41"/>
                    <w:spacing w:line="260" w:lineRule="exact"/>
                    <w:ind w:left="0" w:leftChars="0"/>
                    <w:rPr>
                      <w:rFonts w:eastAsia="宋体"/>
                      <w:sz w:val="21"/>
                      <w:szCs w:val="21"/>
                    </w:rPr>
                  </w:pPr>
                  <w:r>
                    <w:rPr>
                      <w:rFonts w:eastAsia="宋体"/>
                      <w:sz w:val="21"/>
                      <w:szCs w:val="21"/>
                    </w:rPr>
                    <w:t>年平均</w:t>
                  </w:r>
                </w:p>
              </w:tc>
              <w:tc>
                <w:tcPr>
                  <w:tcW w:w="465" w:type="pct"/>
                  <w:vAlign w:val="center"/>
                </w:tcPr>
                <w:p w14:paraId="10A27AFB">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7FD3FA91">
                  <w:pPr>
                    <w:pStyle w:val="41"/>
                    <w:spacing w:line="260" w:lineRule="exact"/>
                    <w:ind w:left="0" w:leftChars="0"/>
                    <w:rPr>
                      <w:rFonts w:eastAsia="宋体"/>
                      <w:sz w:val="21"/>
                      <w:szCs w:val="21"/>
                    </w:rPr>
                  </w:pPr>
                  <w:r>
                    <w:rPr>
                      <w:rFonts w:hint="eastAsia" w:eastAsia="宋体"/>
                      <w:sz w:val="21"/>
                      <w:szCs w:val="21"/>
                      <w:lang w:val="en-US" w:eastAsia="zh-CN"/>
                    </w:rPr>
                    <w:t>30</w:t>
                  </w:r>
                </w:p>
              </w:tc>
              <w:tc>
                <w:tcPr>
                  <w:tcW w:w="1919" w:type="dxa"/>
                  <w:vAlign w:val="center"/>
                </w:tcPr>
                <w:p w14:paraId="1C54595E">
                  <w:pPr>
                    <w:pStyle w:val="48"/>
                    <w:pageBreakBefore w:val="0"/>
                    <w:kinsoku/>
                    <w:wordWrap/>
                    <w:overflowPunct/>
                    <w:topLinePunct w:val="0"/>
                    <w:bidi w:val="0"/>
                    <w:textAlignment w:val="auto"/>
                    <w:rPr>
                      <w:rFonts w:hint="eastAsia" w:eastAsia="宋体"/>
                      <w:sz w:val="21"/>
                      <w:szCs w:val="21"/>
                      <w:lang w:val="en-US" w:eastAsia="zh-CN"/>
                    </w:rPr>
                  </w:pPr>
                  <w:r>
                    <w:rPr>
                      <w:rFonts w:hint="default" w:ascii="Times New Roman" w:hAnsi="Times New Roman" w:eastAsia="宋体" w:cs="Times New Roman"/>
                      <w:color w:val="auto"/>
                      <w:spacing w:val="0"/>
                      <w:kern w:val="21"/>
                      <w:position w:val="0"/>
                      <w:lang w:val="en-US" w:eastAsia="zh-CN"/>
                    </w:rPr>
                    <w:t>25</w:t>
                  </w:r>
                </w:p>
              </w:tc>
            </w:tr>
            <w:tr w14:paraId="187D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726" w:type="pct"/>
                  <w:vMerge w:val="continue"/>
                  <w:vAlign w:val="center"/>
                </w:tcPr>
                <w:p w14:paraId="64A796E0">
                  <w:pPr>
                    <w:spacing w:line="260" w:lineRule="exact"/>
                    <w:jc w:val="center"/>
                    <w:rPr>
                      <w:rFonts w:ascii="Times New Roman" w:hAnsi="Times New Roman"/>
                      <w:sz w:val="21"/>
                      <w:szCs w:val="21"/>
                    </w:rPr>
                  </w:pPr>
                </w:p>
              </w:tc>
              <w:tc>
                <w:tcPr>
                  <w:tcW w:w="420" w:type="pct"/>
                  <w:vMerge w:val="continue"/>
                  <w:vAlign w:val="center"/>
                </w:tcPr>
                <w:p w14:paraId="15C8EEFA">
                  <w:pPr>
                    <w:spacing w:line="260" w:lineRule="exact"/>
                    <w:jc w:val="center"/>
                    <w:rPr>
                      <w:rFonts w:ascii="Times New Roman" w:hAnsi="Times New Roman"/>
                      <w:sz w:val="21"/>
                      <w:szCs w:val="21"/>
                    </w:rPr>
                  </w:pPr>
                </w:p>
              </w:tc>
              <w:tc>
                <w:tcPr>
                  <w:tcW w:w="1037" w:type="pct"/>
                  <w:vAlign w:val="center"/>
                </w:tcPr>
                <w:p w14:paraId="0B45ED85">
                  <w:pPr>
                    <w:pStyle w:val="41"/>
                    <w:spacing w:line="260" w:lineRule="exact"/>
                    <w:ind w:left="0" w:leftChars="0"/>
                    <w:rPr>
                      <w:rFonts w:eastAsia="宋体"/>
                      <w:sz w:val="21"/>
                      <w:szCs w:val="21"/>
                    </w:rPr>
                  </w:pPr>
                  <w:r>
                    <w:rPr>
                      <w:rFonts w:hint="eastAsia" w:eastAsia="宋体"/>
                      <w:sz w:val="21"/>
                      <w:szCs w:val="21"/>
                      <w:lang w:val="en-US" w:eastAsia="zh-CN"/>
                    </w:rPr>
                    <w:t>日</w:t>
                  </w:r>
                  <w:r>
                    <w:rPr>
                      <w:rFonts w:eastAsia="宋体"/>
                      <w:sz w:val="21"/>
                      <w:szCs w:val="21"/>
                    </w:rPr>
                    <w:t>平均</w:t>
                  </w:r>
                </w:p>
              </w:tc>
              <w:tc>
                <w:tcPr>
                  <w:tcW w:w="465" w:type="pct"/>
                  <w:vAlign w:val="center"/>
                </w:tcPr>
                <w:p w14:paraId="55F92F24">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3176025C">
                  <w:pPr>
                    <w:pStyle w:val="41"/>
                    <w:spacing w:line="260" w:lineRule="exact"/>
                    <w:ind w:left="0" w:leftChars="0"/>
                    <w:rPr>
                      <w:rFonts w:eastAsia="宋体"/>
                      <w:sz w:val="21"/>
                      <w:szCs w:val="21"/>
                    </w:rPr>
                  </w:pPr>
                  <w:r>
                    <w:rPr>
                      <w:rFonts w:hint="eastAsia" w:eastAsia="宋体"/>
                      <w:sz w:val="21"/>
                      <w:szCs w:val="21"/>
                      <w:lang w:val="en-US" w:eastAsia="zh-CN"/>
                    </w:rPr>
                    <w:t>60</w:t>
                  </w:r>
                </w:p>
              </w:tc>
              <w:tc>
                <w:tcPr>
                  <w:tcW w:w="1919" w:type="dxa"/>
                  <w:vAlign w:val="center"/>
                </w:tcPr>
                <w:p w14:paraId="5DA3F28D">
                  <w:pPr>
                    <w:pStyle w:val="48"/>
                    <w:pageBreakBefore w:val="0"/>
                    <w:kinsoku/>
                    <w:wordWrap/>
                    <w:overflowPunct/>
                    <w:topLinePunct w:val="0"/>
                    <w:bidi w:val="0"/>
                    <w:textAlignment w:val="auto"/>
                    <w:rPr>
                      <w:rFonts w:hint="eastAsia" w:eastAsia="宋体"/>
                      <w:sz w:val="21"/>
                      <w:szCs w:val="21"/>
                      <w:lang w:val="en-US" w:eastAsia="zh-CN"/>
                    </w:rPr>
                  </w:pPr>
                  <w:r>
                    <w:rPr>
                      <w:rFonts w:hint="default" w:ascii="Times New Roman" w:hAnsi="Times New Roman" w:eastAsia="宋体" w:cs="Times New Roman"/>
                      <w:color w:val="auto"/>
                      <w:spacing w:val="0"/>
                      <w:kern w:val="21"/>
                      <w:position w:val="0"/>
                      <w:lang w:val="en-US" w:eastAsia="zh-CN"/>
                    </w:rPr>
                    <w:t>50</w:t>
                  </w:r>
                </w:p>
              </w:tc>
            </w:tr>
            <w:tr w14:paraId="1CB9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726" w:type="pct"/>
                  <w:vMerge w:val="continue"/>
                  <w:vAlign w:val="center"/>
                </w:tcPr>
                <w:p w14:paraId="3B558899">
                  <w:pPr>
                    <w:spacing w:line="260" w:lineRule="exact"/>
                    <w:jc w:val="center"/>
                    <w:rPr>
                      <w:rFonts w:ascii="Times New Roman" w:hAnsi="Times New Roman"/>
                      <w:sz w:val="21"/>
                      <w:szCs w:val="21"/>
                    </w:rPr>
                  </w:pPr>
                </w:p>
              </w:tc>
              <w:tc>
                <w:tcPr>
                  <w:tcW w:w="420" w:type="pct"/>
                  <w:vMerge w:val="restart"/>
                  <w:vAlign w:val="center"/>
                </w:tcPr>
                <w:p w14:paraId="6F808CA8">
                  <w:pPr>
                    <w:pStyle w:val="41"/>
                    <w:spacing w:line="260" w:lineRule="exact"/>
                    <w:ind w:left="0"/>
                    <w:rPr>
                      <w:rFonts w:eastAsia="宋体"/>
                      <w:sz w:val="21"/>
                      <w:szCs w:val="21"/>
                    </w:rPr>
                  </w:pPr>
                  <w:r>
                    <w:rPr>
                      <w:rFonts w:eastAsia="宋体"/>
                      <w:sz w:val="21"/>
                      <w:szCs w:val="21"/>
                    </w:rPr>
                    <w:t>SO</w:t>
                  </w:r>
                  <w:r>
                    <w:rPr>
                      <w:rFonts w:eastAsia="宋体"/>
                      <w:sz w:val="21"/>
                      <w:szCs w:val="21"/>
                      <w:vertAlign w:val="subscript"/>
                    </w:rPr>
                    <w:t>2</w:t>
                  </w:r>
                </w:p>
              </w:tc>
              <w:tc>
                <w:tcPr>
                  <w:tcW w:w="1037" w:type="pct"/>
                  <w:vAlign w:val="center"/>
                </w:tcPr>
                <w:p w14:paraId="3A92B631">
                  <w:pPr>
                    <w:pStyle w:val="41"/>
                    <w:spacing w:line="260" w:lineRule="exact"/>
                    <w:ind w:left="0" w:leftChars="0"/>
                    <w:rPr>
                      <w:rFonts w:eastAsia="宋体"/>
                      <w:sz w:val="21"/>
                      <w:szCs w:val="21"/>
                    </w:rPr>
                  </w:pPr>
                  <w:r>
                    <w:rPr>
                      <w:rFonts w:eastAsia="宋体"/>
                      <w:sz w:val="21"/>
                      <w:szCs w:val="21"/>
                    </w:rPr>
                    <w:t>年平均</w:t>
                  </w:r>
                </w:p>
              </w:tc>
              <w:tc>
                <w:tcPr>
                  <w:tcW w:w="465" w:type="pct"/>
                  <w:vAlign w:val="center"/>
                </w:tcPr>
                <w:p w14:paraId="772AF17A">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2C829970">
                  <w:pPr>
                    <w:pStyle w:val="41"/>
                    <w:spacing w:line="260" w:lineRule="exact"/>
                    <w:ind w:left="0" w:leftChars="0"/>
                    <w:rPr>
                      <w:rFonts w:eastAsia="宋体"/>
                      <w:sz w:val="21"/>
                      <w:szCs w:val="21"/>
                    </w:rPr>
                  </w:pPr>
                  <w:r>
                    <w:rPr>
                      <w:rFonts w:eastAsia="宋体"/>
                      <w:sz w:val="21"/>
                      <w:szCs w:val="21"/>
                    </w:rPr>
                    <w:t>60</w:t>
                  </w:r>
                </w:p>
              </w:tc>
              <w:tc>
                <w:tcPr>
                  <w:tcW w:w="1919" w:type="dxa"/>
                  <w:vAlign w:val="center"/>
                </w:tcPr>
                <w:p w14:paraId="51B91049">
                  <w:pPr>
                    <w:pStyle w:val="48"/>
                    <w:pageBreakBefore w:val="0"/>
                    <w:kinsoku/>
                    <w:wordWrap/>
                    <w:overflowPunct/>
                    <w:topLinePunct w:val="0"/>
                    <w:bidi w:val="0"/>
                    <w:textAlignment w:val="auto"/>
                    <w:rPr>
                      <w:rFonts w:eastAsia="宋体"/>
                      <w:sz w:val="21"/>
                      <w:szCs w:val="21"/>
                    </w:rPr>
                  </w:pPr>
                  <w:r>
                    <w:rPr>
                      <w:rFonts w:hint="default" w:ascii="Times New Roman" w:hAnsi="Times New Roman" w:eastAsia="宋体" w:cs="Times New Roman"/>
                      <w:color w:val="auto"/>
                      <w:spacing w:val="0"/>
                      <w:kern w:val="21"/>
                      <w:position w:val="0"/>
                      <w:lang w:val="en-US" w:eastAsia="zh-CN"/>
                    </w:rPr>
                    <w:t>20</w:t>
                  </w:r>
                </w:p>
              </w:tc>
            </w:tr>
            <w:tr w14:paraId="0243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726" w:type="pct"/>
                  <w:vMerge w:val="continue"/>
                  <w:vAlign w:val="center"/>
                </w:tcPr>
                <w:p w14:paraId="05E67182">
                  <w:pPr>
                    <w:spacing w:line="260" w:lineRule="exact"/>
                    <w:jc w:val="center"/>
                    <w:rPr>
                      <w:rFonts w:ascii="Times New Roman" w:hAnsi="Times New Roman"/>
                      <w:sz w:val="21"/>
                      <w:szCs w:val="21"/>
                    </w:rPr>
                  </w:pPr>
                </w:p>
              </w:tc>
              <w:tc>
                <w:tcPr>
                  <w:tcW w:w="420" w:type="pct"/>
                  <w:vMerge w:val="continue"/>
                  <w:vAlign w:val="center"/>
                </w:tcPr>
                <w:p w14:paraId="26509125">
                  <w:pPr>
                    <w:spacing w:line="260" w:lineRule="exact"/>
                    <w:jc w:val="center"/>
                    <w:rPr>
                      <w:rFonts w:ascii="Times New Roman" w:hAnsi="Times New Roman"/>
                      <w:sz w:val="21"/>
                      <w:szCs w:val="21"/>
                    </w:rPr>
                  </w:pPr>
                </w:p>
              </w:tc>
              <w:tc>
                <w:tcPr>
                  <w:tcW w:w="1037" w:type="pct"/>
                  <w:vAlign w:val="center"/>
                </w:tcPr>
                <w:p w14:paraId="16C51E07">
                  <w:pPr>
                    <w:pStyle w:val="41"/>
                    <w:spacing w:line="260" w:lineRule="exact"/>
                    <w:ind w:left="0" w:leftChars="0"/>
                    <w:rPr>
                      <w:rFonts w:eastAsia="宋体"/>
                      <w:sz w:val="21"/>
                      <w:szCs w:val="21"/>
                    </w:rPr>
                  </w:pPr>
                  <w:r>
                    <w:rPr>
                      <w:rFonts w:hint="eastAsia" w:eastAsia="宋体"/>
                      <w:sz w:val="21"/>
                      <w:szCs w:val="21"/>
                      <w:lang w:val="en-US" w:eastAsia="zh-CN"/>
                    </w:rPr>
                    <w:t>日</w:t>
                  </w:r>
                  <w:r>
                    <w:rPr>
                      <w:rFonts w:eastAsia="宋体"/>
                      <w:sz w:val="21"/>
                      <w:szCs w:val="21"/>
                    </w:rPr>
                    <w:t>平均</w:t>
                  </w:r>
                </w:p>
              </w:tc>
              <w:tc>
                <w:tcPr>
                  <w:tcW w:w="465" w:type="pct"/>
                  <w:vAlign w:val="center"/>
                </w:tcPr>
                <w:p w14:paraId="2F6319B4">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7AD65CE6">
                  <w:pPr>
                    <w:pStyle w:val="41"/>
                    <w:spacing w:line="260" w:lineRule="exact"/>
                    <w:ind w:left="0" w:leftChars="0"/>
                    <w:rPr>
                      <w:rFonts w:eastAsia="宋体"/>
                      <w:sz w:val="21"/>
                      <w:szCs w:val="21"/>
                    </w:rPr>
                  </w:pPr>
                  <w:r>
                    <w:rPr>
                      <w:rFonts w:eastAsia="宋体"/>
                      <w:sz w:val="21"/>
                      <w:szCs w:val="21"/>
                    </w:rPr>
                    <w:t>150</w:t>
                  </w:r>
                </w:p>
              </w:tc>
              <w:tc>
                <w:tcPr>
                  <w:tcW w:w="1919" w:type="dxa"/>
                  <w:vAlign w:val="center"/>
                </w:tcPr>
                <w:p w14:paraId="78E8244B">
                  <w:pPr>
                    <w:pStyle w:val="48"/>
                    <w:pageBreakBefore w:val="0"/>
                    <w:kinsoku/>
                    <w:wordWrap/>
                    <w:overflowPunct/>
                    <w:topLinePunct w:val="0"/>
                    <w:bidi w:val="0"/>
                    <w:textAlignment w:val="auto"/>
                    <w:rPr>
                      <w:rFonts w:eastAsia="宋体"/>
                      <w:sz w:val="21"/>
                      <w:szCs w:val="21"/>
                    </w:rPr>
                  </w:pPr>
                  <w:r>
                    <w:rPr>
                      <w:rFonts w:hint="default" w:ascii="Times New Roman" w:hAnsi="Times New Roman" w:eastAsia="宋体" w:cs="Times New Roman"/>
                      <w:color w:val="auto"/>
                      <w:spacing w:val="0"/>
                      <w:kern w:val="21"/>
                      <w:position w:val="0"/>
                      <w:lang w:val="en-US" w:eastAsia="zh-CN"/>
                    </w:rPr>
                    <w:t>50</w:t>
                  </w:r>
                </w:p>
              </w:tc>
            </w:tr>
            <w:tr w14:paraId="52117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exact"/>
                <w:jc w:val="center"/>
              </w:trPr>
              <w:tc>
                <w:tcPr>
                  <w:tcW w:w="726" w:type="pct"/>
                  <w:vMerge w:val="continue"/>
                  <w:vAlign w:val="center"/>
                </w:tcPr>
                <w:p w14:paraId="499B0A64">
                  <w:pPr>
                    <w:spacing w:line="260" w:lineRule="exact"/>
                    <w:jc w:val="center"/>
                    <w:rPr>
                      <w:rFonts w:ascii="Times New Roman" w:hAnsi="Times New Roman"/>
                      <w:sz w:val="21"/>
                      <w:szCs w:val="21"/>
                    </w:rPr>
                  </w:pPr>
                </w:p>
              </w:tc>
              <w:tc>
                <w:tcPr>
                  <w:tcW w:w="420" w:type="pct"/>
                  <w:vMerge w:val="continue"/>
                  <w:vAlign w:val="center"/>
                </w:tcPr>
                <w:p w14:paraId="1DC5E62F">
                  <w:pPr>
                    <w:spacing w:line="260" w:lineRule="exact"/>
                    <w:jc w:val="center"/>
                    <w:rPr>
                      <w:rFonts w:ascii="Times New Roman" w:hAnsi="Times New Roman"/>
                      <w:sz w:val="21"/>
                      <w:szCs w:val="21"/>
                    </w:rPr>
                  </w:pPr>
                </w:p>
              </w:tc>
              <w:tc>
                <w:tcPr>
                  <w:tcW w:w="1037" w:type="pct"/>
                  <w:vAlign w:val="center"/>
                </w:tcPr>
                <w:p w14:paraId="5A2712E3">
                  <w:pPr>
                    <w:pStyle w:val="41"/>
                    <w:spacing w:line="260" w:lineRule="exact"/>
                    <w:ind w:left="0" w:leftChars="0"/>
                    <w:rPr>
                      <w:rFonts w:eastAsia="宋体"/>
                      <w:sz w:val="21"/>
                      <w:szCs w:val="21"/>
                    </w:rPr>
                  </w:pPr>
                  <w:r>
                    <w:rPr>
                      <w:rFonts w:eastAsia="宋体"/>
                      <w:sz w:val="21"/>
                      <w:szCs w:val="21"/>
                    </w:rPr>
                    <w:t>1小时平均</w:t>
                  </w:r>
                </w:p>
              </w:tc>
              <w:tc>
                <w:tcPr>
                  <w:tcW w:w="465" w:type="pct"/>
                  <w:vAlign w:val="center"/>
                </w:tcPr>
                <w:p w14:paraId="3C4C5F40">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6026FB21">
                  <w:pPr>
                    <w:pStyle w:val="41"/>
                    <w:spacing w:line="260" w:lineRule="exact"/>
                    <w:ind w:left="0" w:leftChars="0"/>
                    <w:rPr>
                      <w:rFonts w:eastAsia="宋体"/>
                      <w:sz w:val="21"/>
                      <w:szCs w:val="21"/>
                    </w:rPr>
                  </w:pPr>
                  <w:r>
                    <w:rPr>
                      <w:rFonts w:eastAsia="宋体"/>
                      <w:sz w:val="21"/>
                      <w:szCs w:val="21"/>
                    </w:rPr>
                    <w:t>500</w:t>
                  </w:r>
                </w:p>
              </w:tc>
              <w:tc>
                <w:tcPr>
                  <w:tcW w:w="1919" w:type="dxa"/>
                  <w:vAlign w:val="center"/>
                </w:tcPr>
                <w:p w14:paraId="3EC37D10">
                  <w:pPr>
                    <w:pStyle w:val="48"/>
                    <w:pageBreakBefore w:val="0"/>
                    <w:kinsoku/>
                    <w:wordWrap/>
                    <w:overflowPunct/>
                    <w:topLinePunct w:val="0"/>
                    <w:bidi w:val="0"/>
                    <w:textAlignment w:val="auto"/>
                    <w:rPr>
                      <w:rFonts w:eastAsia="宋体"/>
                      <w:sz w:val="21"/>
                      <w:szCs w:val="21"/>
                    </w:rPr>
                  </w:pPr>
                  <w:r>
                    <w:rPr>
                      <w:rFonts w:hint="default" w:ascii="Times New Roman" w:hAnsi="Times New Roman" w:eastAsia="宋体" w:cs="Times New Roman"/>
                      <w:color w:val="auto"/>
                      <w:spacing w:val="0"/>
                      <w:kern w:val="21"/>
                      <w:position w:val="0"/>
                      <w:lang w:val="en-US" w:eastAsia="zh-CN"/>
                    </w:rPr>
                    <w:t>150</w:t>
                  </w:r>
                </w:p>
              </w:tc>
            </w:tr>
            <w:tr w14:paraId="52EE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exact"/>
                <w:jc w:val="center"/>
              </w:trPr>
              <w:tc>
                <w:tcPr>
                  <w:tcW w:w="726" w:type="pct"/>
                  <w:vMerge w:val="continue"/>
                  <w:vAlign w:val="center"/>
                </w:tcPr>
                <w:p w14:paraId="234D9AA0">
                  <w:pPr>
                    <w:spacing w:line="260" w:lineRule="exact"/>
                    <w:jc w:val="center"/>
                    <w:rPr>
                      <w:rFonts w:ascii="Times New Roman" w:hAnsi="Times New Roman"/>
                      <w:sz w:val="21"/>
                      <w:szCs w:val="21"/>
                    </w:rPr>
                  </w:pPr>
                </w:p>
              </w:tc>
              <w:tc>
                <w:tcPr>
                  <w:tcW w:w="420" w:type="pct"/>
                  <w:vMerge w:val="restart"/>
                  <w:vAlign w:val="center"/>
                </w:tcPr>
                <w:p w14:paraId="25F95A0B">
                  <w:pPr>
                    <w:pStyle w:val="41"/>
                    <w:spacing w:line="260" w:lineRule="exact"/>
                    <w:ind w:left="0"/>
                    <w:rPr>
                      <w:rFonts w:eastAsia="宋体"/>
                      <w:sz w:val="21"/>
                      <w:szCs w:val="21"/>
                    </w:rPr>
                  </w:pPr>
                  <w:r>
                    <w:rPr>
                      <w:rFonts w:eastAsia="宋体"/>
                      <w:sz w:val="21"/>
                      <w:szCs w:val="21"/>
                    </w:rPr>
                    <w:t>NO</w:t>
                  </w:r>
                  <w:r>
                    <w:rPr>
                      <w:rFonts w:eastAsia="宋体"/>
                      <w:sz w:val="21"/>
                      <w:szCs w:val="21"/>
                      <w:vertAlign w:val="subscript"/>
                    </w:rPr>
                    <w:t>2</w:t>
                  </w:r>
                </w:p>
              </w:tc>
              <w:tc>
                <w:tcPr>
                  <w:tcW w:w="1037" w:type="pct"/>
                  <w:vAlign w:val="center"/>
                </w:tcPr>
                <w:p w14:paraId="763AA500">
                  <w:pPr>
                    <w:pStyle w:val="41"/>
                    <w:spacing w:line="260" w:lineRule="exact"/>
                    <w:ind w:left="0" w:leftChars="0"/>
                    <w:rPr>
                      <w:rFonts w:eastAsia="宋体"/>
                      <w:sz w:val="21"/>
                      <w:szCs w:val="21"/>
                    </w:rPr>
                  </w:pPr>
                  <w:r>
                    <w:rPr>
                      <w:rFonts w:eastAsia="宋体"/>
                      <w:sz w:val="21"/>
                      <w:szCs w:val="21"/>
                    </w:rPr>
                    <w:t>年平均</w:t>
                  </w:r>
                </w:p>
              </w:tc>
              <w:tc>
                <w:tcPr>
                  <w:tcW w:w="465" w:type="pct"/>
                  <w:vAlign w:val="center"/>
                </w:tcPr>
                <w:p w14:paraId="2F905BC8">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136C0F65">
                  <w:pPr>
                    <w:pStyle w:val="41"/>
                    <w:spacing w:line="260" w:lineRule="exact"/>
                    <w:ind w:left="0" w:leftChars="0"/>
                    <w:rPr>
                      <w:rFonts w:eastAsia="宋体"/>
                      <w:sz w:val="21"/>
                      <w:szCs w:val="21"/>
                    </w:rPr>
                  </w:pPr>
                  <w:r>
                    <w:rPr>
                      <w:rFonts w:eastAsia="宋体"/>
                      <w:sz w:val="21"/>
                      <w:szCs w:val="21"/>
                    </w:rPr>
                    <w:t>40</w:t>
                  </w:r>
                </w:p>
              </w:tc>
              <w:tc>
                <w:tcPr>
                  <w:tcW w:w="1919" w:type="dxa"/>
                  <w:vAlign w:val="center"/>
                </w:tcPr>
                <w:p w14:paraId="19133EA3">
                  <w:pPr>
                    <w:pStyle w:val="48"/>
                    <w:pageBreakBefore w:val="0"/>
                    <w:kinsoku/>
                    <w:wordWrap/>
                    <w:overflowPunct/>
                    <w:topLinePunct w:val="0"/>
                    <w:bidi w:val="0"/>
                    <w:textAlignment w:val="auto"/>
                    <w:rPr>
                      <w:rFonts w:eastAsia="宋体"/>
                      <w:sz w:val="21"/>
                      <w:szCs w:val="21"/>
                    </w:rPr>
                  </w:pPr>
                  <w:r>
                    <w:rPr>
                      <w:rFonts w:hint="default" w:ascii="Times New Roman" w:hAnsi="Times New Roman" w:eastAsia="宋体" w:cs="Times New Roman"/>
                      <w:color w:val="auto"/>
                      <w:spacing w:val="0"/>
                      <w:kern w:val="21"/>
                      <w:position w:val="0"/>
                      <w:lang w:val="en-US" w:eastAsia="zh-CN"/>
                    </w:rPr>
                    <w:t>30</w:t>
                  </w:r>
                </w:p>
              </w:tc>
            </w:tr>
            <w:tr w14:paraId="0F78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726" w:type="pct"/>
                  <w:vMerge w:val="continue"/>
                  <w:vAlign w:val="center"/>
                </w:tcPr>
                <w:p w14:paraId="2893EE2D">
                  <w:pPr>
                    <w:spacing w:line="260" w:lineRule="exact"/>
                    <w:jc w:val="center"/>
                    <w:rPr>
                      <w:rFonts w:ascii="Times New Roman" w:hAnsi="Times New Roman"/>
                      <w:sz w:val="21"/>
                      <w:szCs w:val="21"/>
                    </w:rPr>
                  </w:pPr>
                </w:p>
              </w:tc>
              <w:tc>
                <w:tcPr>
                  <w:tcW w:w="420" w:type="pct"/>
                  <w:vMerge w:val="continue"/>
                  <w:vAlign w:val="center"/>
                </w:tcPr>
                <w:p w14:paraId="1FB9588E">
                  <w:pPr>
                    <w:spacing w:line="260" w:lineRule="exact"/>
                    <w:jc w:val="center"/>
                    <w:rPr>
                      <w:rFonts w:ascii="Times New Roman" w:hAnsi="Times New Roman"/>
                      <w:sz w:val="21"/>
                      <w:szCs w:val="21"/>
                    </w:rPr>
                  </w:pPr>
                </w:p>
              </w:tc>
              <w:tc>
                <w:tcPr>
                  <w:tcW w:w="1037" w:type="pct"/>
                  <w:vAlign w:val="center"/>
                </w:tcPr>
                <w:p w14:paraId="44451103">
                  <w:pPr>
                    <w:pStyle w:val="41"/>
                    <w:spacing w:line="260" w:lineRule="exact"/>
                    <w:ind w:left="0" w:leftChars="0"/>
                    <w:rPr>
                      <w:rFonts w:eastAsia="宋体"/>
                      <w:sz w:val="21"/>
                      <w:szCs w:val="21"/>
                    </w:rPr>
                  </w:pPr>
                  <w:r>
                    <w:rPr>
                      <w:rFonts w:hint="eastAsia" w:eastAsia="宋体"/>
                      <w:sz w:val="21"/>
                      <w:szCs w:val="21"/>
                      <w:lang w:val="en-US" w:eastAsia="zh-CN"/>
                    </w:rPr>
                    <w:t>日</w:t>
                  </w:r>
                  <w:r>
                    <w:rPr>
                      <w:rFonts w:eastAsia="宋体"/>
                      <w:sz w:val="21"/>
                      <w:szCs w:val="21"/>
                    </w:rPr>
                    <w:t>平均</w:t>
                  </w:r>
                </w:p>
              </w:tc>
              <w:tc>
                <w:tcPr>
                  <w:tcW w:w="465" w:type="pct"/>
                  <w:vAlign w:val="center"/>
                </w:tcPr>
                <w:p w14:paraId="4FA12D38">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4A8A20FE">
                  <w:pPr>
                    <w:pStyle w:val="41"/>
                    <w:spacing w:line="260" w:lineRule="exact"/>
                    <w:ind w:left="0" w:leftChars="0"/>
                    <w:rPr>
                      <w:rFonts w:eastAsia="宋体"/>
                      <w:sz w:val="21"/>
                      <w:szCs w:val="21"/>
                    </w:rPr>
                  </w:pPr>
                  <w:r>
                    <w:rPr>
                      <w:rFonts w:eastAsia="宋体"/>
                      <w:sz w:val="21"/>
                      <w:szCs w:val="21"/>
                    </w:rPr>
                    <w:t>80</w:t>
                  </w:r>
                </w:p>
              </w:tc>
              <w:tc>
                <w:tcPr>
                  <w:tcW w:w="1919" w:type="dxa"/>
                  <w:vAlign w:val="center"/>
                </w:tcPr>
                <w:p w14:paraId="5BD11D8A">
                  <w:pPr>
                    <w:pStyle w:val="48"/>
                    <w:pageBreakBefore w:val="0"/>
                    <w:kinsoku/>
                    <w:wordWrap/>
                    <w:overflowPunct/>
                    <w:topLinePunct w:val="0"/>
                    <w:bidi w:val="0"/>
                    <w:textAlignment w:val="auto"/>
                    <w:rPr>
                      <w:rFonts w:eastAsia="宋体"/>
                      <w:sz w:val="21"/>
                      <w:szCs w:val="21"/>
                    </w:rPr>
                  </w:pPr>
                  <w:r>
                    <w:rPr>
                      <w:rFonts w:hint="default" w:ascii="Times New Roman" w:hAnsi="Times New Roman" w:eastAsia="宋体" w:cs="Times New Roman"/>
                      <w:color w:val="auto"/>
                      <w:spacing w:val="0"/>
                      <w:kern w:val="21"/>
                      <w:position w:val="0"/>
                      <w:lang w:val="en-US" w:eastAsia="zh-CN"/>
                    </w:rPr>
                    <w:t>50</w:t>
                  </w:r>
                </w:p>
              </w:tc>
            </w:tr>
            <w:tr w14:paraId="59D7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exact"/>
                <w:jc w:val="center"/>
              </w:trPr>
              <w:tc>
                <w:tcPr>
                  <w:tcW w:w="726" w:type="pct"/>
                  <w:vMerge w:val="continue"/>
                  <w:vAlign w:val="center"/>
                </w:tcPr>
                <w:p w14:paraId="63BB7A1F">
                  <w:pPr>
                    <w:spacing w:line="260" w:lineRule="exact"/>
                    <w:jc w:val="center"/>
                    <w:rPr>
                      <w:rFonts w:ascii="Times New Roman" w:hAnsi="Times New Roman"/>
                      <w:sz w:val="21"/>
                      <w:szCs w:val="21"/>
                    </w:rPr>
                  </w:pPr>
                </w:p>
              </w:tc>
              <w:tc>
                <w:tcPr>
                  <w:tcW w:w="420" w:type="pct"/>
                  <w:vMerge w:val="continue"/>
                  <w:vAlign w:val="center"/>
                </w:tcPr>
                <w:p w14:paraId="43CA1D08">
                  <w:pPr>
                    <w:spacing w:line="260" w:lineRule="exact"/>
                    <w:jc w:val="center"/>
                    <w:rPr>
                      <w:rFonts w:ascii="Times New Roman" w:hAnsi="Times New Roman"/>
                      <w:sz w:val="21"/>
                      <w:szCs w:val="21"/>
                    </w:rPr>
                  </w:pPr>
                </w:p>
              </w:tc>
              <w:tc>
                <w:tcPr>
                  <w:tcW w:w="1037" w:type="pct"/>
                  <w:vAlign w:val="center"/>
                </w:tcPr>
                <w:p w14:paraId="5A2D443A">
                  <w:pPr>
                    <w:pStyle w:val="41"/>
                    <w:spacing w:line="260" w:lineRule="exact"/>
                    <w:ind w:left="0" w:leftChars="0"/>
                    <w:rPr>
                      <w:rFonts w:eastAsia="宋体"/>
                      <w:sz w:val="21"/>
                      <w:szCs w:val="21"/>
                    </w:rPr>
                  </w:pPr>
                  <w:r>
                    <w:rPr>
                      <w:rFonts w:eastAsia="宋体"/>
                      <w:sz w:val="21"/>
                      <w:szCs w:val="21"/>
                    </w:rPr>
                    <w:t>1小时平均</w:t>
                  </w:r>
                </w:p>
              </w:tc>
              <w:tc>
                <w:tcPr>
                  <w:tcW w:w="465" w:type="pct"/>
                  <w:vAlign w:val="center"/>
                </w:tcPr>
                <w:p w14:paraId="74CD5613">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411123F6">
                  <w:pPr>
                    <w:pStyle w:val="41"/>
                    <w:spacing w:line="260" w:lineRule="exact"/>
                    <w:ind w:left="0" w:leftChars="0"/>
                    <w:rPr>
                      <w:rFonts w:eastAsia="宋体"/>
                      <w:sz w:val="21"/>
                      <w:szCs w:val="21"/>
                    </w:rPr>
                  </w:pPr>
                  <w:r>
                    <w:rPr>
                      <w:rFonts w:eastAsia="宋体"/>
                      <w:sz w:val="21"/>
                      <w:szCs w:val="21"/>
                    </w:rPr>
                    <w:t>200</w:t>
                  </w:r>
                </w:p>
              </w:tc>
              <w:tc>
                <w:tcPr>
                  <w:tcW w:w="1919" w:type="dxa"/>
                  <w:vAlign w:val="center"/>
                </w:tcPr>
                <w:p w14:paraId="19D96B85">
                  <w:pPr>
                    <w:pStyle w:val="48"/>
                    <w:pageBreakBefore w:val="0"/>
                    <w:kinsoku/>
                    <w:wordWrap/>
                    <w:overflowPunct/>
                    <w:topLinePunct w:val="0"/>
                    <w:bidi w:val="0"/>
                    <w:textAlignment w:val="auto"/>
                    <w:rPr>
                      <w:rFonts w:eastAsia="宋体"/>
                      <w:sz w:val="21"/>
                      <w:szCs w:val="21"/>
                    </w:rPr>
                  </w:pPr>
                  <w:r>
                    <w:rPr>
                      <w:rFonts w:hint="default" w:ascii="Times New Roman" w:hAnsi="Times New Roman" w:eastAsia="宋体" w:cs="Times New Roman"/>
                      <w:color w:val="auto"/>
                      <w:spacing w:val="0"/>
                      <w:kern w:val="21"/>
                      <w:position w:val="0"/>
                      <w:lang w:val="en-US" w:eastAsia="zh-CN"/>
                    </w:rPr>
                    <w:t>200</w:t>
                  </w:r>
                </w:p>
              </w:tc>
            </w:tr>
            <w:tr w14:paraId="0560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exact"/>
                <w:jc w:val="center"/>
              </w:trPr>
              <w:tc>
                <w:tcPr>
                  <w:tcW w:w="726" w:type="pct"/>
                  <w:vMerge w:val="continue"/>
                  <w:vAlign w:val="center"/>
                </w:tcPr>
                <w:p w14:paraId="5552B9AB">
                  <w:pPr>
                    <w:spacing w:line="260" w:lineRule="exact"/>
                    <w:jc w:val="center"/>
                    <w:rPr>
                      <w:rFonts w:ascii="Times New Roman" w:hAnsi="Times New Roman"/>
                      <w:sz w:val="21"/>
                      <w:szCs w:val="21"/>
                    </w:rPr>
                  </w:pPr>
                </w:p>
              </w:tc>
              <w:tc>
                <w:tcPr>
                  <w:tcW w:w="420" w:type="pct"/>
                  <w:vMerge w:val="restart"/>
                  <w:vAlign w:val="center"/>
                </w:tcPr>
                <w:p w14:paraId="7A7A031E">
                  <w:pPr>
                    <w:pStyle w:val="41"/>
                    <w:spacing w:line="260" w:lineRule="exact"/>
                    <w:ind w:left="0"/>
                    <w:rPr>
                      <w:rFonts w:eastAsia="宋体"/>
                      <w:sz w:val="21"/>
                      <w:szCs w:val="21"/>
                    </w:rPr>
                  </w:pPr>
                  <w:r>
                    <w:rPr>
                      <w:rFonts w:eastAsia="宋体"/>
                      <w:sz w:val="21"/>
                      <w:szCs w:val="21"/>
                    </w:rPr>
                    <w:t>CO</w:t>
                  </w:r>
                </w:p>
              </w:tc>
              <w:tc>
                <w:tcPr>
                  <w:tcW w:w="1037" w:type="pct"/>
                  <w:vAlign w:val="center"/>
                </w:tcPr>
                <w:p w14:paraId="1B29F277">
                  <w:pPr>
                    <w:pStyle w:val="41"/>
                    <w:spacing w:line="260" w:lineRule="exact"/>
                    <w:ind w:left="0" w:leftChars="0"/>
                    <w:rPr>
                      <w:rFonts w:eastAsia="宋体"/>
                      <w:sz w:val="21"/>
                      <w:szCs w:val="21"/>
                    </w:rPr>
                  </w:pPr>
                  <w:r>
                    <w:rPr>
                      <w:rFonts w:eastAsia="宋体"/>
                      <w:sz w:val="21"/>
                      <w:szCs w:val="21"/>
                    </w:rPr>
                    <w:t>1小时平均</w:t>
                  </w:r>
                </w:p>
              </w:tc>
              <w:tc>
                <w:tcPr>
                  <w:tcW w:w="465" w:type="pct"/>
                  <w:vAlign w:val="center"/>
                </w:tcPr>
                <w:p w14:paraId="6A56DC31">
                  <w:pPr>
                    <w:spacing w:line="260" w:lineRule="exact"/>
                    <w:jc w:val="center"/>
                    <w:rPr>
                      <w:rFonts w:ascii="Times New Roman" w:hAnsi="Times New Roman"/>
                      <w:sz w:val="21"/>
                      <w:szCs w:val="21"/>
                      <w:vertAlign w:val="superscript"/>
                    </w:rPr>
                  </w:pPr>
                  <w:r>
                    <w:rPr>
                      <w:rFonts w:ascii="Times New Roman" w:hAnsi="Times New Roman"/>
                      <w:sz w:val="21"/>
                      <w:szCs w:val="21"/>
                    </w:rPr>
                    <w:t>mg/m</w:t>
                  </w:r>
                  <w:r>
                    <w:rPr>
                      <w:rFonts w:ascii="Times New Roman" w:hAnsi="Times New Roman"/>
                      <w:sz w:val="21"/>
                      <w:szCs w:val="21"/>
                      <w:vertAlign w:val="superscript"/>
                    </w:rPr>
                    <w:t>3</w:t>
                  </w:r>
                </w:p>
              </w:tc>
              <w:tc>
                <w:tcPr>
                  <w:tcW w:w="1222" w:type="pct"/>
                  <w:vAlign w:val="center"/>
                </w:tcPr>
                <w:p w14:paraId="70FF5284">
                  <w:pPr>
                    <w:pStyle w:val="41"/>
                    <w:spacing w:line="260" w:lineRule="exact"/>
                    <w:ind w:left="0" w:leftChars="0"/>
                    <w:rPr>
                      <w:rFonts w:eastAsia="宋体"/>
                      <w:sz w:val="21"/>
                      <w:szCs w:val="21"/>
                    </w:rPr>
                  </w:pPr>
                  <w:r>
                    <w:rPr>
                      <w:rFonts w:eastAsia="宋体"/>
                      <w:sz w:val="21"/>
                      <w:szCs w:val="21"/>
                    </w:rPr>
                    <w:t>10</w:t>
                  </w:r>
                </w:p>
              </w:tc>
              <w:tc>
                <w:tcPr>
                  <w:tcW w:w="1126" w:type="pct"/>
                  <w:vAlign w:val="center"/>
                </w:tcPr>
                <w:p w14:paraId="23D56EC8">
                  <w:pPr>
                    <w:pStyle w:val="41"/>
                    <w:spacing w:line="260" w:lineRule="exact"/>
                    <w:ind w:left="0" w:leftChars="0"/>
                    <w:rPr>
                      <w:rFonts w:hint="default" w:eastAsia="宋体"/>
                      <w:sz w:val="21"/>
                      <w:szCs w:val="21"/>
                      <w:lang w:val="en-US" w:eastAsia="zh-CN"/>
                    </w:rPr>
                  </w:pPr>
                  <w:r>
                    <w:rPr>
                      <w:rFonts w:hint="eastAsia" w:eastAsia="宋体"/>
                      <w:sz w:val="21"/>
                      <w:szCs w:val="21"/>
                      <w:lang w:val="en-US" w:eastAsia="zh-CN"/>
                    </w:rPr>
                    <w:t>10</w:t>
                  </w:r>
                </w:p>
              </w:tc>
            </w:tr>
            <w:tr w14:paraId="0DE1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exact"/>
                <w:jc w:val="center"/>
              </w:trPr>
              <w:tc>
                <w:tcPr>
                  <w:tcW w:w="726" w:type="pct"/>
                  <w:vMerge w:val="continue"/>
                  <w:vAlign w:val="center"/>
                </w:tcPr>
                <w:p w14:paraId="7E4EEC01">
                  <w:pPr>
                    <w:spacing w:line="260" w:lineRule="exact"/>
                    <w:jc w:val="center"/>
                    <w:rPr>
                      <w:rFonts w:ascii="Times New Roman" w:hAnsi="Times New Roman"/>
                      <w:sz w:val="21"/>
                      <w:szCs w:val="21"/>
                    </w:rPr>
                  </w:pPr>
                </w:p>
              </w:tc>
              <w:tc>
                <w:tcPr>
                  <w:tcW w:w="420" w:type="pct"/>
                  <w:vMerge w:val="continue"/>
                  <w:vAlign w:val="center"/>
                </w:tcPr>
                <w:p w14:paraId="145F5C81">
                  <w:pPr>
                    <w:spacing w:line="260" w:lineRule="exact"/>
                    <w:jc w:val="center"/>
                    <w:rPr>
                      <w:rFonts w:ascii="Times New Roman" w:hAnsi="Times New Roman"/>
                      <w:sz w:val="21"/>
                      <w:szCs w:val="21"/>
                    </w:rPr>
                  </w:pPr>
                </w:p>
              </w:tc>
              <w:tc>
                <w:tcPr>
                  <w:tcW w:w="1037" w:type="pct"/>
                  <w:vAlign w:val="center"/>
                </w:tcPr>
                <w:p w14:paraId="30419324">
                  <w:pPr>
                    <w:pStyle w:val="41"/>
                    <w:spacing w:line="260" w:lineRule="exact"/>
                    <w:ind w:left="0" w:leftChars="0"/>
                    <w:rPr>
                      <w:rFonts w:eastAsia="宋体"/>
                      <w:sz w:val="21"/>
                      <w:szCs w:val="21"/>
                    </w:rPr>
                  </w:pPr>
                  <w:r>
                    <w:rPr>
                      <w:rFonts w:hint="eastAsia" w:eastAsia="宋体"/>
                      <w:sz w:val="21"/>
                      <w:szCs w:val="21"/>
                      <w:lang w:val="en-US" w:eastAsia="zh-CN"/>
                    </w:rPr>
                    <w:t>日</w:t>
                  </w:r>
                  <w:r>
                    <w:rPr>
                      <w:rFonts w:eastAsia="宋体"/>
                      <w:sz w:val="21"/>
                      <w:szCs w:val="21"/>
                    </w:rPr>
                    <w:t>平均</w:t>
                  </w:r>
                </w:p>
              </w:tc>
              <w:tc>
                <w:tcPr>
                  <w:tcW w:w="465" w:type="pct"/>
                  <w:vAlign w:val="center"/>
                </w:tcPr>
                <w:p w14:paraId="68C0D98F">
                  <w:pPr>
                    <w:spacing w:line="260" w:lineRule="exact"/>
                    <w:jc w:val="center"/>
                    <w:rPr>
                      <w:rFonts w:ascii="Times New Roman" w:hAnsi="Times New Roman"/>
                      <w:sz w:val="21"/>
                      <w:szCs w:val="21"/>
                    </w:rPr>
                  </w:pPr>
                  <w:r>
                    <w:rPr>
                      <w:rFonts w:ascii="Times New Roman" w:hAnsi="Times New Roman"/>
                      <w:sz w:val="21"/>
                      <w:szCs w:val="21"/>
                    </w:rPr>
                    <w:t>mg/m</w:t>
                  </w:r>
                  <w:r>
                    <w:rPr>
                      <w:rFonts w:ascii="Times New Roman" w:hAnsi="Times New Roman"/>
                      <w:sz w:val="21"/>
                      <w:szCs w:val="21"/>
                      <w:vertAlign w:val="superscript"/>
                    </w:rPr>
                    <w:t>3</w:t>
                  </w:r>
                </w:p>
              </w:tc>
              <w:tc>
                <w:tcPr>
                  <w:tcW w:w="1222" w:type="pct"/>
                  <w:vAlign w:val="center"/>
                </w:tcPr>
                <w:p w14:paraId="7CC68ECE">
                  <w:pPr>
                    <w:pStyle w:val="41"/>
                    <w:spacing w:line="260" w:lineRule="exact"/>
                    <w:ind w:left="0" w:leftChars="0"/>
                    <w:rPr>
                      <w:rFonts w:eastAsia="宋体"/>
                      <w:sz w:val="21"/>
                      <w:szCs w:val="21"/>
                    </w:rPr>
                  </w:pPr>
                  <w:r>
                    <w:rPr>
                      <w:rFonts w:eastAsia="宋体"/>
                      <w:sz w:val="21"/>
                      <w:szCs w:val="21"/>
                    </w:rPr>
                    <w:t>4</w:t>
                  </w:r>
                </w:p>
              </w:tc>
              <w:tc>
                <w:tcPr>
                  <w:tcW w:w="1126" w:type="pct"/>
                  <w:vAlign w:val="center"/>
                </w:tcPr>
                <w:p w14:paraId="76AF4770">
                  <w:pPr>
                    <w:pStyle w:val="41"/>
                    <w:spacing w:line="260" w:lineRule="exact"/>
                    <w:ind w:left="0" w:leftChars="0"/>
                    <w:rPr>
                      <w:rFonts w:hint="eastAsia" w:eastAsia="宋体"/>
                      <w:sz w:val="21"/>
                      <w:szCs w:val="21"/>
                      <w:lang w:val="en-US" w:eastAsia="zh-CN"/>
                    </w:rPr>
                  </w:pPr>
                  <w:r>
                    <w:rPr>
                      <w:rFonts w:hint="eastAsia" w:eastAsia="宋体"/>
                      <w:sz w:val="21"/>
                      <w:szCs w:val="21"/>
                      <w:lang w:val="en-US" w:eastAsia="zh-CN"/>
                    </w:rPr>
                    <w:t>4</w:t>
                  </w:r>
                </w:p>
              </w:tc>
            </w:tr>
            <w:tr w14:paraId="35D1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exact"/>
                <w:jc w:val="center"/>
              </w:trPr>
              <w:tc>
                <w:tcPr>
                  <w:tcW w:w="726" w:type="pct"/>
                  <w:vMerge w:val="continue"/>
                  <w:vAlign w:val="center"/>
                </w:tcPr>
                <w:p w14:paraId="1A1F6747">
                  <w:pPr>
                    <w:spacing w:line="260" w:lineRule="exact"/>
                    <w:jc w:val="center"/>
                    <w:rPr>
                      <w:rFonts w:ascii="Times New Roman" w:hAnsi="Times New Roman"/>
                      <w:sz w:val="21"/>
                      <w:szCs w:val="21"/>
                    </w:rPr>
                  </w:pPr>
                </w:p>
              </w:tc>
              <w:tc>
                <w:tcPr>
                  <w:tcW w:w="420" w:type="pct"/>
                  <w:vMerge w:val="restart"/>
                  <w:vAlign w:val="center"/>
                </w:tcPr>
                <w:p w14:paraId="60832520">
                  <w:pPr>
                    <w:pStyle w:val="41"/>
                    <w:spacing w:line="260" w:lineRule="exact"/>
                    <w:ind w:left="0"/>
                    <w:rPr>
                      <w:rFonts w:eastAsia="宋体"/>
                      <w:sz w:val="21"/>
                      <w:szCs w:val="21"/>
                      <w:lang w:eastAsia="zh-CN"/>
                    </w:rPr>
                  </w:pPr>
                  <w:r>
                    <w:rPr>
                      <w:rFonts w:eastAsia="宋体"/>
                      <w:sz w:val="21"/>
                      <w:szCs w:val="21"/>
                    </w:rPr>
                    <w:t>O</w:t>
                  </w:r>
                  <w:r>
                    <w:rPr>
                      <w:rFonts w:eastAsia="宋体"/>
                      <w:sz w:val="21"/>
                      <w:szCs w:val="21"/>
                      <w:vertAlign w:val="subscript"/>
                      <w:lang w:eastAsia="zh-CN"/>
                    </w:rPr>
                    <w:t>3</w:t>
                  </w:r>
                </w:p>
              </w:tc>
              <w:tc>
                <w:tcPr>
                  <w:tcW w:w="1037" w:type="pct"/>
                  <w:vAlign w:val="center"/>
                </w:tcPr>
                <w:p w14:paraId="22FB0789">
                  <w:pPr>
                    <w:pStyle w:val="41"/>
                    <w:spacing w:line="260" w:lineRule="exact"/>
                    <w:ind w:left="0" w:leftChars="0"/>
                    <w:rPr>
                      <w:rFonts w:eastAsia="宋体"/>
                      <w:sz w:val="21"/>
                      <w:szCs w:val="21"/>
                    </w:rPr>
                  </w:pPr>
                  <w:r>
                    <w:rPr>
                      <w:rFonts w:eastAsia="宋体"/>
                      <w:sz w:val="21"/>
                      <w:szCs w:val="21"/>
                    </w:rPr>
                    <w:t>1小时平均</w:t>
                  </w:r>
                </w:p>
              </w:tc>
              <w:tc>
                <w:tcPr>
                  <w:tcW w:w="465" w:type="pct"/>
                  <w:vAlign w:val="center"/>
                </w:tcPr>
                <w:p w14:paraId="73248C01">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41866AD5">
                  <w:pPr>
                    <w:pStyle w:val="41"/>
                    <w:spacing w:line="260" w:lineRule="exact"/>
                    <w:ind w:left="0" w:leftChars="0"/>
                    <w:rPr>
                      <w:rFonts w:eastAsia="宋体"/>
                      <w:sz w:val="21"/>
                      <w:szCs w:val="21"/>
                    </w:rPr>
                  </w:pPr>
                  <w:r>
                    <w:rPr>
                      <w:rFonts w:hint="eastAsia" w:eastAsia="宋体"/>
                      <w:sz w:val="21"/>
                      <w:szCs w:val="21"/>
                      <w:lang w:val="en-US" w:eastAsia="zh-CN"/>
                    </w:rPr>
                    <w:t>200</w:t>
                  </w:r>
                </w:p>
              </w:tc>
              <w:tc>
                <w:tcPr>
                  <w:tcW w:w="1919" w:type="dxa"/>
                  <w:vAlign w:val="center"/>
                </w:tcPr>
                <w:p w14:paraId="7DFB8A6E">
                  <w:pPr>
                    <w:pStyle w:val="41"/>
                    <w:spacing w:line="260" w:lineRule="exact"/>
                    <w:ind w:left="0" w:leftChars="0"/>
                    <w:rPr>
                      <w:rFonts w:hint="eastAsia" w:eastAsia="宋体"/>
                      <w:sz w:val="21"/>
                      <w:szCs w:val="21"/>
                      <w:lang w:val="en-US" w:eastAsia="zh-CN"/>
                    </w:rPr>
                  </w:pPr>
                  <w:r>
                    <w:rPr>
                      <w:rFonts w:hint="eastAsia" w:eastAsia="宋体"/>
                      <w:sz w:val="21"/>
                      <w:szCs w:val="21"/>
                      <w:lang w:val="en-US" w:eastAsia="zh-CN"/>
                    </w:rPr>
                    <w:t>200</w:t>
                  </w:r>
                </w:p>
              </w:tc>
            </w:tr>
            <w:tr w14:paraId="0DD6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exact"/>
                <w:jc w:val="center"/>
              </w:trPr>
              <w:tc>
                <w:tcPr>
                  <w:tcW w:w="726" w:type="pct"/>
                  <w:vMerge w:val="continue"/>
                  <w:vAlign w:val="center"/>
                </w:tcPr>
                <w:p w14:paraId="06114762">
                  <w:pPr>
                    <w:spacing w:line="260" w:lineRule="exact"/>
                    <w:jc w:val="center"/>
                    <w:rPr>
                      <w:rFonts w:ascii="Times New Roman" w:hAnsi="Times New Roman"/>
                      <w:sz w:val="21"/>
                      <w:szCs w:val="21"/>
                    </w:rPr>
                  </w:pPr>
                </w:p>
              </w:tc>
              <w:tc>
                <w:tcPr>
                  <w:tcW w:w="420" w:type="pct"/>
                  <w:vMerge w:val="continue"/>
                  <w:vAlign w:val="center"/>
                </w:tcPr>
                <w:p w14:paraId="5357A4BB">
                  <w:pPr>
                    <w:spacing w:line="260" w:lineRule="exact"/>
                    <w:jc w:val="center"/>
                    <w:rPr>
                      <w:rFonts w:ascii="Times New Roman" w:hAnsi="Times New Roman"/>
                      <w:sz w:val="21"/>
                      <w:szCs w:val="21"/>
                    </w:rPr>
                  </w:pPr>
                </w:p>
              </w:tc>
              <w:tc>
                <w:tcPr>
                  <w:tcW w:w="1037" w:type="pct"/>
                  <w:vAlign w:val="center"/>
                </w:tcPr>
                <w:p w14:paraId="1B898B3F">
                  <w:pPr>
                    <w:pStyle w:val="41"/>
                    <w:spacing w:line="260" w:lineRule="exact"/>
                    <w:ind w:left="0" w:leftChars="0"/>
                    <w:rPr>
                      <w:rFonts w:eastAsia="宋体"/>
                      <w:sz w:val="21"/>
                      <w:szCs w:val="21"/>
                    </w:rPr>
                  </w:pPr>
                  <w:r>
                    <w:rPr>
                      <w:rFonts w:eastAsia="宋体"/>
                      <w:sz w:val="21"/>
                      <w:szCs w:val="21"/>
                      <w:lang w:eastAsia="zh-CN"/>
                    </w:rPr>
                    <w:t>日最大</w:t>
                  </w:r>
                  <w:r>
                    <w:rPr>
                      <w:rFonts w:eastAsia="宋体"/>
                      <w:sz w:val="21"/>
                      <w:szCs w:val="21"/>
                    </w:rPr>
                    <w:t>8小时平均</w:t>
                  </w:r>
                </w:p>
              </w:tc>
              <w:tc>
                <w:tcPr>
                  <w:tcW w:w="465" w:type="pct"/>
                  <w:vAlign w:val="center"/>
                </w:tcPr>
                <w:p w14:paraId="110D8757">
                  <w:pPr>
                    <w:spacing w:line="260" w:lineRule="exact"/>
                    <w:jc w:val="center"/>
                    <w:rPr>
                      <w:rFonts w:ascii="Times New Roman" w:hAnsi="Times New Roman"/>
                      <w:sz w:val="21"/>
                      <w:szCs w:val="21"/>
                    </w:rPr>
                  </w:pPr>
                  <w:r>
                    <w:rPr>
                      <w:rFonts w:ascii="Times New Roman" w:hAnsi="Times New Roman"/>
                      <w:sz w:val="21"/>
                      <w:szCs w:val="21"/>
                    </w:rPr>
                    <w:t>μg/m</w:t>
                  </w:r>
                  <w:r>
                    <w:rPr>
                      <w:rFonts w:ascii="Times New Roman" w:hAnsi="Times New Roman"/>
                      <w:sz w:val="21"/>
                      <w:szCs w:val="21"/>
                      <w:vertAlign w:val="superscript"/>
                    </w:rPr>
                    <w:t>3</w:t>
                  </w:r>
                </w:p>
              </w:tc>
              <w:tc>
                <w:tcPr>
                  <w:tcW w:w="1222" w:type="pct"/>
                  <w:vAlign w:val="center"/>
                </w:tcPr>
                <w:p w14:paraId="0EEB2CCF">
                  <w:pPr>
                    <w:pStyle w:val="41"/>
                    <w:spacing w:line="260" w:lineRule="exact"/>
                    <w:ind w:left="0" w:leftChars="0"/>
                    <w:rPr>
                      <w:rFonts w:eastAsia="宋体"/>
                      <w:sz w:val="21"/>
                      <w:szCs w:val="21"/>
                    </w:rPr>
                  </w:pPr>
                  <w:r>
                    <w:rPr>
                      <w:rFonts w:hint="eastAsia" w:eastAsia="宋体"/>
                      <w:sz w:val="21"/>
                      <w:szCs w:val="21"/>
                      <w:lang w:val="en-US" w:eastAsia="zh-CN"/>
                    </w:rPr>
                    <w:t>160</w:t>
                  </w:r>
                </w:p>
              </w:tc>
              <w:tc>
                <w:tcPr>
                  <w:tcW w:w="1919" w:type="dxa"/>
                  <w:vAlign w:val="center"/>
                </w:tcPr>
                <w:p w14:paraId="5181B9F5">
                  <w:pPr>
                    <w:pStyle w:val="41"/>
                    <w:spacing w:line="260" w:lineRule="exact"/>
                    <w:ind w:left="0" w:leftChars="0"/>
                    <w:rPr>
                      <w:rFonts w:hint="eastAsia" w:eastAsia="宋体"/>
                      <w:sz w:val="21"/>
                      <w:szCs w:val="21"/>
                      <w:lang w:val="en-US" w:eastAsia="zh-CN"/>
                    </w:rPr>
                  </w:pPr>
                  <w:r>
                    <w:rPr>
                      <w:rFonts w:hint="eastAsia" w:eastAsia="宋体"/>
                      <w:sz w:val="21"/>
                      <w:szCs w:val="21"/>
                      <w:lang w:val="en-US" w:eastAsia="zh-CN"/>
                    </w:rPr>
                    <w:t>160</w:t>
                  </w:r>
                </w:p>
              </w:tc>
            </w:tr>
          </w:tbl>
          <w:p w14:paraId="26696ABD">
            <w:pPr>
              <w:keepNext/>
              <w:keepLines/>
              <w:widowControl/>
              <w:numPr>
                <w:ilvl w:val="0"/>
                <w:numId w:val="0"/>
              </w:numPr>
              <w:adjustRightInd w:val="0"/>
              <w:snapToGrid w:val="0"/>
              <w:spacing w:line="480" w:lineRule="exact"/>
              <w:jc w:val="both"/>
              <w:outlineLvl w:val="2"/>
              <w:rPr>
                <w:rFonts w:hint="default" w:ascii="Times New Roman" w:hAnsi="Times New Roman" w:eastAsia="宋体" w:cs="Times New Roman"/>
                <w:b w:val="0"/>
                <w:bCs/>
                <w:color w:val="000000"/>
                <w:kern w:val="0"/>
                <w:sz w:val="24"/>
                <w:szCs w:val="24"/>
                <w:lang w:val="en-US" w:eastAsia="zh-CN"/>
              </w:rPr>
            </w:pPr>
            <w:r>
              <w:rPr>
                <w:rFonts w:hint="default" w:ascii="Times New Roman" w:hAnsi="Times New Roman" w:eastAsia="宋体" w:cs="Times New Roman"/>
                <w:b w:val="0"/>
                <w:bCs/>
                <w:color w:val="000000"/>
                <w:kern w:val="0"/>
                <w:sz w:val="24"/>
                <w:szCs w:val="24"/>
                <w:lang w:val="en-US" w:eastAsia="zh-CN" w:bidi="ar-SA"/>
              </w:rPr>
              <w:t>（2）</w:t>
            </w:r>
            <w:r>
              <w:rPr>
                <w:rFonts w:hint="eastAsia" w:ascii="Times New Roman" w:hAnsi="Times New Roman" w:eastAsia="宋体" w:cs="Times New Roman"/>
                <w:b w:val="0"/>
                <w:bCs/>
                <w:color w:val="000000"/>
                <w:kern w:val="0"/>
                <w:sz w:val="24"/>
                <w:szCs w:val="24"/>
                <w:lang w:val="en-US" w:eastAsia="zh-CN"/>
              </w:rPr>
              <w:t>声环境：</w:t>
            </w:r>
            <w:r>
              <w:rPr>
                <w:rFonts w:ascii="Times New Roman" w:hAnsi="Times New Roman"/>
                <w:sz w:val="24"/>
              </w:rPr>
              <w:t>声环境质量执行《声环境质量标准》（GB3096-2008）中</w:t>
            </w:r>
            <w:r>
              <w:rPr>
                <w:rFonts w:hint="eastAsia" w:ascii="Times New Roman" w:hAnsi="Times New Roman"/>
                <w:sz w:val="24"/>
              </w:rPr>
              <w:t>2</w:t>
            </w:r>
            <w:r>
              <w:rPr>
                <w:rFonts w:ascii="Times New Roman" w:hAnsi="Times New Roman"/>
                <w:sz w:val="24"/>
              </w:rPr>
              <w:t>类标准</w:t>
            </w:r>
            <w:r>
              <w:rPr>
                <w:rFonts w:hint="eastAsia" w:ascii="Times New Roman" w:hAnsi="Times New Roman"/>
                <w:sz w:val="24"/>
                <w:lang w:eastAsia="zh-CN"/>
              </w:rPr>
              <w:t>，</w:t>
            </w:r>
            <w:r>
              <w:rPr>
                <w:rFonts w:hint="eastAsia" w:ascii="宋体" w:hAnsi="宋体" w:cs="宋体"/>
                <w:sz w:val="24"/>
                <w:szCs w:val="24"/>
                <w:lang w:val="en-US" w:eastAsia="zh-CN"/>
              </w:rPr>
              <w:t>标准限值详见表3-6。</w:t>
            </w:r>
          </w:p>
          <w:p w14:paraId="3F9CB335">
            <w:pPr>
              <w:keepNext/>
              <w:keepLines/>
              <w:widowControl/>
              <w:numPr>
                <w:ilvl w:val="0"/>
                <w:numId w:val="0"/>
              </w:numPr>
              <w:adjustRightInd w:val="0"/>
              <w:snapToGrid w:val="0"/>
              <w:spacing w:line="480" w:lineRule="exact"/>
              <w:jc w:val="center"/>
              <w:outlineLvl w:val="2"/>
              <w:rPr>
                <w:rFonts w:hint="default" w:ascii="Times New Roman" w:hAnsi="Times New Roman" w:eastAsia="宋体" w:cs="Times New Roman"/>
                <w:b w:val="0"/>
                <w:bCs/>
                <w:color w:val="000000"/>
                <w:kern w:val="0"/>
                <w:sz w:val="24"/>
                <w:szCs w:val="24"/>
                <w:lang w:val="en-US" w:eastAsia="zh-CN"/>
              </w:rPr>
            </w:pPr>
            <w:r>
              <w:rPr>
                <w:rFonts w:hint="eastAsia" w:ascii="宋体" w:hAnsi="宋体" w:cs="宋体"/>
                <w:b/>
                <w:bCs/>
                <w:sz w:val="21"/>
                <w:szCs w:val="21"/>
                <w:lang w:val="en-US" w:eastAsia="zh-CN"/>
              </w:rPr>
              <w:t>表3-6声环境质量标准</w:t>
            </w:r>
          </w:p>
          <w:tbl>
            <w:tblPr>
              <w:tblStyle w:val="15"/>
              <w:tblW w:w="7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50"/>
              <w:gridCol w:w="1689"/>
              <w:gridCol w:w="3180"/>
            </w:tblGrid>
            <w:tr w14:paraId="7D6C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1804" w:type="pct"/>
                  <w:vAlign w:val="center"/>
                </w:tcPr>
                <w:p w14:paraId="5D12B585">
                  <w:pPr>
                    <w:pStyle w:val="41"/>
                    <w:spacing w:line="260" w:lineRule="exact"/>
                    <w:ind w:left="0"/>
                    <w:rPr>
                      <w:rFonts w:eastAsia="宋体"/>
                      <w:sz w:val="21"/>
                      <w:szCs w:val="21"/>
                      <w:lang w:eastAsia="zh-CN"/>
                    </w:rPr>
                  </w:pPr>
                  <w:r>
                    <w:rPr>
                      <w:rFonts w:eastAsia="宋体"/>
                      <w:sz w:val="21"/>
                      <w:szCs w:val="21"/>
                      <w:lang w:eastAsia="zh-CN"/>
                    </w:rPr>
                    <w:t>标准名称</w:t>
                  </w:r>
                </w:p>
              </w:tc>
              <w:tc>
                <w:tcPr>
                  <w:tcW w:w="1108" w:type="pct"/>
                  <w:vAlign w:val="center"/>
                </w:tcPr>
                <w:p w14:paraId="2A9771F2">
                  <w:pPr>
                    <w:pStyle w:val="41"/>
                    <w:spacing w:line="260" w:lineRule="exact"/>
                    <w:ind w:left="0"/>
                    <w:rPr>
                      <w:rFonts w:eastAsia="宋体"/>
                      <w:sz w:val="21"/>
                      <w:szCs w:val="21"/>
                      <w:lang w:eastAsia="zh-CN"/>
                    </w:rPr>
                  </w:pPr>
                  <w:r>
                    <w:rPr>
                      <w:rFonts w:hint="eastAsia" w:eastAsia="宋体"/>
                      <w:sz w:val="21"/>
                      <w:szCs w:val="21"/>
                      <w:lang w:val="en-US" w:eastAsia="zh-CN"/>
                    </w:rPr>
                    <w:t>时段</w:t>
                  </w:r>
                </w:p>
              </w:tc>
              <w:tc>
                <w:tcPr>
                  <w:tcW w:w="2086" w:type="pct"/>
                  <w:vAlign w:val="center"/>
                </w:tcPr>
                <w:p w14:paraId="71D7E44B">
                  <w:pPr>
                    <w:pStyle w:val="41"/>
                    <w:spacing w:line="260" w:lineRule="exact"/>
                    <w:ind w:left="0"/>
                    <w:rPr>
                      <w:rFonts w:hint="default" w:eastAsia="宋体"/>
                      <w:sz w:val="21"/>
                      <w:szCs w:val="21"/>
                      <w:lang w:val="en-US" w:eastAsia="zh-CN"/>
                    </w:rPr>
                  </w:pPr>
                  <w:r>
                    <w:rPr>
                      <w:rFonts w:eastAsia="宋体"/>
                      <w:sz w:val="21"/>
                      <w:szCs w:val="21"/>
                      <w:lang w:eastAsia="zh-CN"/>
                    </w:rPr>
                    <w:t>浓度限值</w:t>
                  </w:r>
                </w:p>
              </w:tc>
            </w:tr>
            <w:tr w14:paraId="3C4E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1804" w:type="pct"/>
                  <w:vMerge w:val="restart"/>
                  <w:vAlign w:val="center"/>
                </w:tcPr>
                <w:p w14:paraId="6BA734CC">
                  <w:pPr>
                    <w:spacing w:line="260" w:lineRule="exact"/>
                    <w:jc w:val="center"/>
                    <w:rPr>
                      <w:rFonts w:ascii="Times New Roman" w:hAnsi="Times New Roman"/>
                      <w:sz w:val="21"/>
                      <w:szCs w:val="21"/>
                    </w:rPr>
                  </w:pPr>
                  <w:r>
                    <w:rPr>
                      <w:rFonts w:ascii="Times New Roman" w:hAnsi="Times New Roman"/>
                      <w:sz w:val="21"/>
                      <w:szCs w:val="21"/>
                    </w:rPr>
                    <w:t>《声环境质量标准》（GB3096-2008）中</w:t>
                  </w:r>
                  <w:r>
                    <w:rPr>
                      <w:rFonts w:hint="eastAsia" w:ascii="Times New Roman" w:hAnsi="Times New Roman"/>
                      <w:sz w:val="21"/>
                      <w:szCs w:val="21"/>
                    </w:rPr>
                    <w:t>2</w:t>
                  </w:r>
                  <w:r>
                    <w:rPr>
                      <w:rFonts w:ascii="Times New Roman" w:hAnsi="Times New Roman"/>
                      <w:sz w:val="21"/>
                      <w:szCs w:val="21"/>
                    </w:rPr>
                    <w:t>类标准</w:t>
                  </w:r>
                </w:p>
              </w:tc>
              <w:tc>
                <w:tcPr>
                  <w:tcW w:w="1108" w:type="pct"/>
                  <w:vAlign w:val="center"/>
                </w:tcPr>
                <w:p w14:paraId="168890E1">
                  <w:pPr>
                    <w:spacing w:line="260" w:lineRule="exact"/>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昼间</w:t>
                  </w:r>
                </w:p>
              </w:tc>
              <w:tc>
                <w:tcPr>
                  <w:tcW w:w="2086" w:type="pct"/>
                  <w:vAlign w:val="center"/>
                </w:tcPr>
                <w:p w14:paraId="1F4909C6">
                  <w:pPr>
                    <w:pStyle w:val="41"/>
                    <w:spacing w:line="260" w:lineRule="exact"/>
                    <w:ind w:left="0"/>
                    <w:rPr>
                      <w:rFonts w:hint="default" w:eastAsia="宋体"/>
                      <w:sz w:val="21"/>
                      <w:szCs w:val="21"/>
                      <w:lang w:val="en-US" w:eastAsia="zh-CN"/>
                    </w:rPr>
                  </w:pPr>
                  <w:r>
                    <w:rPr>
                      <w:rFonts w:hint="eastAsia" w:eastAsia="宋体"/>
                      <w:sz w:val="21"/>
                      <w:szCs w:val="21"/>
                      <w:lang w:val="en-US" w:eastAsia="zh-CN"/>
                    </w:rPr>
                    <w:t>60</w:t>
                  </w:r>
                  <w:r>
                    <w:rPr>
                      <w:rFonts w:hint="default" w:ascii="Times New Roman" w:hAnsi="Times New Roman" w:cs="Times New Roman"/>
                      <w:b w:val="0"/>
                      <w:bCs w:val="0"/>
                      <w:color w:val="000000"/>
                      <w:sz w:val="21"/>
                      <w:szCs w:val="21"/>
                    </w:rPr>
                    <w:t>dB</w:t>
                  </w:r>
                  <w:r>
                    <w:rPr>
                      <w:rFonts w:hint="eastAsia" w:eastAsia="宋体" w:cs="Times New Roman"/>
                      <w:b w:val="0"/>
                      <w:bCs w:val="0"/>
                      <w:color w:val="000000"/>
                      <w:sz w:val="21"/>
                      <w:szCs w:val="21"/>
                      <w:lang w:eastAsia="zh-CN"/>
                    </w:rPr>
                    <w:t>（</w:t>
                  </w:r>
                  <w:r>
                    <w:rPr>
                      <w:rFonts w:hint="default" w:ascii="Times New Roman" w:hAnsi="Times New Roman" w:cs="Times New Roman"/>
                      <w:b w:val="0"/>
                      <w:bCs w:val="0"/>
                      <w:color w:val="000000"/>
                      <w:sz w:val="21"/>
                      <w:szCs w:val="21"/>
                    </w:rPr>
                    <w:t>A</w:t>
                  </w:r>
                  <w:r>
                    <w:rPr>
                      <w:rFonts w:hint="eastAsia" w:eastAsia="宋体" w:cs="Times New Roman"/>
                      <w:b w:val="0"/>
                      <w:bCs w:val="0"/>
                      <w:color w:val="000000"/>
                      <w:sz w:val="21"/>
                      <w:szCs w:val="21"/>
                      <w:lang w:eastAsia="zh-CN"/>
                    </w:rPr>
                    <w:t>）</w:t>
                  </w:r>
                </w:p>
              </w:tc>
            </w:tr>
            <w:tr w14:paraId="3649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jc w:val="center"/>
              </w:trPr>
              <w:tc>
                <w:tcPr>
                  <w:tcW w:w="1804" w:type="pct"/>
                  <w:vMerge w:val="continue"/>
                  <w:vAlign w:val="center"/>
                </w:tcPr>
                <w:p w14:paraId="685B49B1">
                  <w:pPr>
                    <w:spacing w:line="260" w:lineRule="exact"/>
                    <w:jc w:val="center"/>
                  </w:pPr>
                </w:p>
              </w:tc>
              <w:tc>
                <w:tcPr>
                  <w:tcW w:w="1108" w:type="pct"/>
                  <w:vAlign w:val="center"/>
                </w:tcPr>
                <w:p w14:paraId="5E837EFB">
                  <w:pPr>
                    <w:spacing w:line="260" w:lineRule="exact"/>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夜间</w:t>
                  </w:r>
                </w:p>
              </w:tc>
              <w:tc>
                <w:tcPr>
                  <w:tcW w:w="2086" w:type="pct"/>
                  <w:vAlign w:val="center"/>
                </w:tcPr>
                <w:p w14:paraId="41230EB5">
                  <w:pPr>
                    <w:spacing w:line="260" w:lineRule="exact"/>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50</w:t>
                  </w:r>
                  <w:r>
                    <w:rPr>
                      <w:rFonts w:hint="default" w:ascii="Times New Roman" w:hAnsi="Times New Roman" w:cs="Times New Roman"/>
                      <w:b w:val="0"/>
                      <w:bCs w:val="0"/>
                      <w:color w:val="000000"/>
                      <w:sz w:val="21"/>
                      <w:szCs w:val="21"/>
                    </w:rPr>
                    <w:t>dB</w:t>
                  </w:r>
                  <w:r>
                    <w:rPr>
                      <w:rFonts w:hint="eastAsia" w:cs="Times New Roman"/>
                      <w:b w:val="0"/>
                      <w:bCs w:val="0"/>
                      <w:color w:val="000000"/>
                      <w:sz w:val="21"/>
                      <w:szCs w:val="21"/>
                      <w:lang w:eastAsia="zh-CN"/>
                    </w:rPr>
                    <w:t>（</w:t>
                  </w:r>
                  <w:r>
                    <w:rPr>
                      <w:rFonts w:hint="default" w:ascii="Times New Roman" w:hAnsi="Times New Roman" w:cs="Times New Roman"/>
                      <w:b w:val="0"/>
                      <w:bCs w:val="0"/>
                      <w:color w:val="000000"/>
                      <w:sz w:val="21"/>
                      <w:szCs w:val="21"/>
                    </w:rPr>
                    <w:t>A</w:t>
                  </w:r>
                  <w:r>
                    <w:rPr>
                      <w:rFonts w:hint="eastAsia" w:cs="Times New Roman"/>
                      <w:b w:val="0"/>
                      <w:bCs w:val="0"/>
                      <w:color w:val="000000"/>
                      <w:sz w:val="21"/>
                      <w:szCs w:val="21"/>
                      <w:lang w:eastAsia="zh-CN"/>
                    </w:rPr>
                    <w:t>）</w:t>
                  </w:r>
                </w:p>
              </w:tc>
            </w:tr>
          </w:tbl>
          <w:p w14:paraId="03BDD79B">
            <w:pPr>
              <w:keepNext/>
              <w:keepLines/>
              <w:widowControl/>
              <w:numPr>
                <w:ilvl w:val="0"/>
                <w:numId w:val="11"/>
              </w:numPr>
              <w:adjustRightInd w:val="0"/>
              <w:snapToGrid w:val="0"/>
              <w:spacing w:line="480" w:lineRule="exact"/>
              <w:ind w:left="0" w:leftChars="0" w:firstLine="0" w:firstLineChars="0"/>
              <w:jc w:val="both"/>
              <w:outlineLvl w:val="2"/>
              <w:rPr>
                <w:rFonts w:hint="eastAsia"/>
                <w:b/>
                <w:bCs w:val="0"/>
                <w:color w:val="000000"/>
                <w:kern w:val="0"/>
                <w:sz w:val="24"/>
                <w:szCs w:val="24"/>
                <w:lang w:val="en-US" w:eastAsia="zh-CN"/>
              </w:rPr>
            </w:pPr>
            <w:r>
              <w:rPr>
                <w:rFonts w:hint="eastAsia"/>
                <w:b/>
                <w:bCs w:val="0"/>
                <w:color w:val="000000"/>
                <w:kern w:val="0"/>
                <w:sz w:val="24"/>
                <w:szCs w:val="24"/>
                <w:lang w:val="en-US" w:eastAsia="zh-CN"/>
              </w:rPr>
              <w:t>污染物排放标准</w:t>
            </w:r>
          </w:p>
          <w:p w14:paraId="0E531A08">
            <w:pPr>
              <w:pStyle w:val="7"/>
              <w:spacing w:line="480" w:lineRule="exact"/>
              <w:ind w:firstLine="480" w:firstLineChars="200"/>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本项目为锰矿矿产资源勘探项目，污染物排放只涉及勘探期。</w:t>
            </w:r>
          </w:p>
          <w:p w14:paraId="2795DEFC">
            <w:pPr>
              <w:keepNext/>
              <w:keepLines/>
              <w:widowControl/>
              <w:numPr>
                <w:ilvl w:val="0"/>
                <w:numId w:val="0"/>
              </w:numPr>
              <w:adjustRightInd w:val="0"/>
              <w:snapToGrid w:val="0"/>
              <w:spacing w:line="480" w:lineRule="exact"/>
              <w:jc w:val="both"/>
              <w:outlineLvl w:val="2"/>
              <w:rPr>
                <w:rFonts w:hint="eastAsia"/>
                <w:b w:val="0"/>
                <w:bCs/>
                <w:color w:val="000000"/>
                <w:kern w:val="0"/>
                <w:sz w:val="24"/>
                <w:szCs w:val="24"/>
                <w:lang w:val="en-US" w:eastAsia="zh-CN"/>
              </w:rPr>
            </w:pPr>
            <w:r>
              <w:rPr>
                <w:rFonts w:hint="eastAsia" w:ascii="Times New Roman" w:hAnsi="Times New Roman" w:eastAsia="宋体" w:cs="Times New Roman"/>
                <w:b w:val="0"/>
                <w:bCs/>
                <w:color w:val="000000"/>
                <w:kern w:val="0"/>
                <w:sz w:val="24"/>
                <w:szCs w:val="24"/>
                <w:lang w:val="en-US" w:eastAsia="zh-CN" w:bidi="ar-SA"/>
              </w:rPr>
              <w:t>（1）</w:t>
            </w:r>
            <w:r>
              <w:rPr>
                <w:rFonts w:hint="eastAsia"/>
                <w:b w:val="0"/>
                <w:bCs/>
                <w:color w:val="000000"/>
                <w:kern w:val="0"/>
                <w:sz w:val="24"/>
                <w:szCs w:val="24"/>
                <w:lang w:val="en-US" w:eastAsia="zh-CN"/>
              </w:rPr>
              <w:t>废气</w:t>
            </w:r>
          </w:p>
          <w:p w14:paraId="570D7BCB">
            <w:pPr>
              <w:pStyle w:val="7"/>
              <w:spacing w:line="480" w:lineRule="exact"/>
              <w:ind w:firstLine="480" w:firstLineChars="200"/>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项目勘探期的施工扬尘和钻探施工、运输车辆等产生的燃油废气执行《大气污染物综合排放标准》（GB16297-1996）表2中的无组织排放限值要求，标准限值详见表3-7。</w:t>
            </w:r>
          </w:p>
          <w:p w14:paraId="39272F00">
            <w:pPr>
              <w:keepNext/>
              <w:keepLines/>
              <w:widowControl/>
              <w:numPr>
                <w:ilvl w:val="0"/>
                <w:numId w:val="0"/>
              </w:numPr>
              <w:adjustRightInd w:val="0"/>
              <w:snapToGrid w:val="0"/>
              <w:spacing w:line="480" w:lineRule="exact"/>
              <w:jc w:val="center"/>
              <w:outlineLvl w:val="2"/>
              <w:rPr>
                <w:rFonts w:hint="eastAsia" w:ascii="宋体" w:hAnsi="宋体" w:cs="宋体"/>
                <w:b/>
                <w:bCs/>
                <w:sz w:val="21"/>
                <w:szCs w:val="21"/>
                <w:lang w:val="en-US" w:eastAsia="zh-CN"/>
              </w:rPr>
            </w:pPr>
          </w:p>
          <w:p w14:paraId="1A90AA18">
            <w:pPr>
              <w:keepNext/>
              <w:keepLines/>
              <w:widowControl/>
              <w:numPr>
                <w:ilvl w:val="0"/>
                <w:numId w:val="0"/>
              </w:numPr>
              <w:adjustRightInd w:val="0"/>
              <w:snapToGrid w:val="0"/>
              <w:spacing w:line="480" w:lineRule="exact"/>
              <w:jc w:val="center"/>
              <w:outlineLvl w:val="2"/>
              <w:rPr>
                <w:rFonts w:hint="default" w:ascii="Times New Roman" w:hAnsi="Times New Roman" w:eastAsia="宋体" w:cs="宋体"/>
                <w:sz w:val="24"/>
                <w:szCs w:val="24"/>
                <w:lang w:val="en-US" w:eastAsia="zh-CN"/>
              </w:rPr>
            </w:pPr>
            <w:r>
              <w:rPr>
                <w:rFonts w:hint="eastAsia" w:ascii="宋体" w:hAnsi="宋体" w:cs="宋体"/>
                <w:b/>
                <w:bCs/>
                <w:sz w:val="21"/>
                <w:szCs w:val="21"/>
                <w:lang w:val="en-US" w:eastAsia="zh-CN"/>
              </w:rPr>
              <w:t>表3-7项目废气排放标准</w:t>
            </w:r>
          </w:p>
          <w:tbl>
            <w:tblPr>
              <w:tblStyle w:val="15"/>
              <w:tblW w:w="8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2"/>
              <w:gridCol w:w="2652"/>
              <w:gridCol w:w="2675"/>
            </w:tblGrid>
            <w:tr w14:paraId="2D1B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67" w:type="pct"/>
                  <w:vMerge w:val="restart"/>
                  <w:vAlign w:val="center"/>
                </w:tcPr>
                <w:p w14:paraId="4B6D9C5E">
                  <w:pPr>
                    <w:jc w:val="center"/>
                    <w:rPr>
                      <w:rFonts w:ascii="Times New Roman" w:hAnsi="Times New Roman"/>
                      <w:sz w:val="21"/>
                      <w:szCs w:val="21"/>
                    </w:rPr>
                  </w:pPr>
                  <w:r>
                    <w:rPr>
                      <w:rFonts w:hint="eastAsia" w:ascii="Times New Roman" w:hAnsi="Times New Roman"/>
                      <w:sz w:val="21"/>
                      <w:szCs w:val="21"/>
                    </w:rPr>
                    <w:t>污染物</w:t>
                  </w:r>
                </w:p>
              </w:tc>
              <w:tc>
                <w:tcPr>
                  <w:tcW w:w="3232" w:type="pct"/>
                  <w:gridSpan w:val="2"/>
                  <w:vAlign w:val="center"/>
                </w:tcPr>
                <w:p w14:paraId="5DCBF73F">
                  <w:pPr>
                    <w:jc w:val="center"/>
                    <w:rPr>
                      <w:rFonts w:ascii="Times New Roman" w:hAnsi="Times New Roman"/>
                      <w:sz w:val="21"/>
                      <w:szCs w:val="21"/>
                    </w:rPr>
                  </w:pPr>
                  <w:r>
                    <w:rPr>
                      <w:rFonts w:hint="eastAsia" w:ascii="Times New Roman" w:hAnsi="Times New Roman"/>
                      <w:sz w:val="21"/>
                      <w:szCs w:val="21"/>
                    </w:rPr>
                    <w:t>无组织排放监控浓度限值</w:t>
                  </w:r>
                </w:p>
              </w:tc>
            </w:tr>
            <w:tr w14:paraId="1C9C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67" w:type="pct"/>
                  <w:vMerge w:val="continue"/>
                  <w:vAlign w:val="center"/>
                </w:tcPr>
                <w:p w14:paraId="1AF5D1D9">
                  <w:pPr>
                    <w:jc w:val="center"/>
                    <w:rPr>
                      <w:rFonts w:ascii="Times New Roman" w:hAnsi="Times New Roman"/>
                      <w:sz w:val="21"/>
                      <w:szCs w:val="21"/>
                    </w:rPr>
                  </w:pPr>
                </w:p>
              </w:tc>
              <w:tc>
                <w:tcPr>
                  <w:tcW w:w="1609" w:type="pct"/>
                  <w:vAlign w:val="center"/>
                </w:tcPr>
                <w:p w14:paraId="18EA6D29">
                  <w:pPr>
                    <w:jc w:val="center"/>
                    <w:rPr>
                      <w:rFonts w:ascii="Times New Roman" w:hAnsi="Times New Roman"/>
                      <w:sz w:val="21"/>
                      <w:szCs w:val="21"/>
                    </w:rPr>
                  </w:pPr>
                  <w:r>
                    <w:rPr>
                      <w:rFonts w:hint="eastAsia" w:ascii="Times New Roman" w:hAnsi="Times New Roman"/>
                      <w:sz w:val="21"/>
                      <w:szCs w:val="21"/>
                    </w:rPr>
                    <w:t>监控点</w:t>
                  </w:r>
                </w:p>
              </w:tc>
              <w:tc>
                <w:tcPr>
                  <w:tcW w:w="1623" w:type="pct"/>
                  <w:vAlign w:val="center"/>
                </w:tcPr>
                <w:p w14:paraId="2F2A0090">
                  <w:pPr>
                    <w:jc w:val="center"/>
                    <w:rPr>
                      <w:rFonts w:ascii="Times New Roman" w:hAnsi="Times New Roman"/>
                      <w:sz w:val="21"/>
                      <w:szCs w:val="21"/>
                    </w:rPr>
                  </w:pPr>
                  <w:r>
                    <w:rPr>
                      <w:rFonts w:hint="eastAsia" w:ascii="Times New Roman" w:hAnsi="Times New Roman"/>
                      <w:sz w:val="21"/>
                      <w:szCs w:val="21"/>
                    </w:rPr>
                    <w:t>浓度（mg/m</w:t>
                  </w:r>
                  <w:r>
                    <w:rPr>
                      <w:rFonts w:hint="eastAsia" w:ascii="Times New Roman" w:hAnsi="Times New Roman"/>
                      <w:sz w:val="21"/>
                      <w:szCs w:val="21"/>
                      <w:vertAlign w:val="superscript"/>
                    </w:rPr>
                    <w:t>3</w:t>
                  </w:r>
                  <w:r>
                    <w:rPr>
                      <w:rFonts w:hint="eastAsia" w:ascii="Times New Roman" w:hAnsi="Times New Roman"/>
                      <w:sz w:val="21"/>
                      <w:szCs w:val="21"/>
                    </w:rPr>
                    <w:t>）</w:t>
                  </w:r>
                </w:p>
              </w:tc>
            </w:tr>
            <w:tr w14:paraId="702F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67" w:type="pct"/>
                  <w:vAlign w:val="center"/>
                </w:tcPr>
                <w:p w14:paraId="09BF70F5">
                  <w:pPr>
                    <w:jc w:val="center"/>
                    <w:rPr>
                      <w:rFonts w:ascii="Times New Roman" w:hAnsi="Times New Roman"/>
                      <w:sz w:val="21"/>
                      <w:szCs w:val="21"/>
                    </w:rPr>
                  </w:pPr>
                  <w:r>
                    <w:rPr>
                      <w:rFonts w:hint="eastAsia" w:ascii="Times New Roman" w:hAnsi="Times New Roman"/>
                      <w:sz w:val="21"/>
                      <w:szCs w:val="21"/>
                    </w:rPr>
                    <w:t>颗粒物</w:t>
                  </w:r>
                </w:p>
              </w:tc>
              <w:tc>
                <w:tcPr>
                  <w:tcW w:w="1609" w:type="pct"/>
                  <w:vAlign w:val="center"/>
                </w:tcPr>
                <w:p w14:paraId="51FA2A0E">
                  <w:pPr>
                    <w:jc w:val="center"/>
                    <w:rPr>
                      <w:rFonts w:ascii="Times New Roman" w:hAnsi="Times New Roman"/>
                      <w:sz w:val="21"/>
                      <w:szCs w:val="21"/>
                    </w:rPr>
                  </w:pPr>
                  <w:r>
                    <w:rPr>
                      <w:rFonts w:hint="eastAsia" w:ascii="Times New Roman" w:hAnsi="Times New Roman"/>
                      <w:sz w:val="21"/>
                      <w:szCs w:val="21"/>
                    </w:rPr>
                    <w:t>周界外浓度最高点</w:t>
                  </w:r>
                </w:p>
              </w:tc>
              <w:tc>
                <w:tcPr>
                  <w:tcW w:w="1623" w:type="pct"/>
                  <w:vAlign w:val="center"/>
                </w:tcPr>
                <w:p w14:paraId="3345DF2B">
                  <w:pPr>
                    <w:jc w:val="center"/>
                    <w:rPr>
                      <w:rFonts w:ascii="Times New Roman" w:hAnsi="Times New Roman"/>
                      <w:sz w:val="21"/>
                      <w:szCs w:val="21"/>
                    </w:rPr>
                  </w:pPr>
                  <w:r>
                    <w:rPr>
                      <w:rFonts w:hint="eastAsia" w:ascii="Times New Roman" w:hAnsi="Times New Roman"/>
                      <w:sz w:val="21"/>
                      <w:szCs w:val="21"/>
                    </w:rPr>
                    <w:t>1.0</w:t>
                  </w:r>
                </w:p>
              </w:tc>
            </w:tr>
            <w:tr w14:paraId="1854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67" w:type="pct"/>
                  <w:vAlign w:val="center"/>
                </w:tcPr>
                <w:p w14:paraId="27B47D84">
                  <w:pPr>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氮氧化物</w:t>
                  </w:r>
                </w:p>
              </w:tc>
              <w:tc>
                <w:tcPr>
                  <w:tcW w:w="1609" w:type="pct"/>
                  <w:vAlign w:val="center"/>
                </w:tcPr>
                <w:p w14:paraId="5F2A0579">
                  <w:pPr>
                    <w:jc w:val="center"/>
                    <w:rPr>
                      <w:rFonts w:hint="eastAsia" w:ascii="Times New Roman" w:hAnsi="Times New Roman"/>
                      <w:sz w:val="21"/>
                      <w:szCs w:val="21"/>
                    </w:rPr>
                  </w:pPr>
                  <w:r>
                    <w:rPr>
                      <w:rFonts w:hint="eastAsia" w:ascii="Times New Roman" w:hAnsi="Times New Roman"/>
                      <w:sz w:val="21"/>
                      <w:szCs w:val="21"/>
                    </w:rPr>
                    <w:t>周界外浓度最高点</w:t>
                  </w:r>
                </w:p>
              </w:tc>
              <w:tc>
                <w:tcPr>
                  <w:tcW w:w="1623" w:type="pct"/>
                  <w:vAlign w:val="center"/>
                </w:tcPr>
                <w:p w14:paraId="3B0F90C4">
                  <w:pPr>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0.12</w:t>
                  </w:r>
                </w:p>
              </w:tc>
            </w:tr>
            <w:tr w14:paraId="09C9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767" w:type="pct"/>
                  <w:vAlign w:val="center"/>
                </w:tcPr>
                <w:p w14:paraId="4E64216D">
                  <w:pPr>
                    <w:jc w:val="center"/>
                    <w:rPr>
                      <w:rFonts w:hint="default" w:ascii="Times New Roman" w:hAnsi="Times New Roman"/>
                      <w:sz w:val="21"/>
                      <w:szCs w:val="21"/>
                      <w:lang w:val="en-US" w:eastAsia="zh-CN"/>
                    </w:rPr>
                  </w:pPr>
                  <w:r>
                    <w:rPr>
                      <w:rFonts w:hint="eastAsia" w:ascii="Times New Roman" w:hAnsi="Times New Roman"/>
                      <w:sz w:val="21"/>
                      <w:szCs w:val="21"/>
                      <w:lang w:val="en-US" w:eastAsia="zh-CN"/>
                    </w:rPr>
                    <w:t>非甲烷总烃</w:t>
                  </w:r>
                </w:p>
              </w:tc>
              <w:tc>
                <w:tcPr>
                  <w:tcW w:w="1609" w:type="pct"/>
                  <w:vAlign w:val="center"/>
                </w:tcPr>
                <w:p w14:paraId="677D1F80">
                  <w:pPr>
                    <w:jc w:val="center"/>
                    <w:rPr>
                      <w:rFonts w:hint="eastAsia" w:ascii="Times New Roman" w:hAnsi="Times New Roman"/>
                      <w:sz w:val="21"/>
                      <w:szCs w:val="21"/>
                    </w:rPr>
                  </w:pPr>
                  <w:r>
                    <w:rPr>
                      <w:rFonts w:hint="eastAsia" w:ascii="Times New Roman" w:hAnsi="Times New Roman"/>
                      <w:sz w:val="21"/>
                      <w:szCs w:val="21"/>
                    </w:rPr>
                    <w:t>周界外浓度最高点</w:t>
                  </w:r>
                </w:p>
              </w:tc>
              <w:tc>
                <w:tcPr>
                  <w:tcW w:w="1623" w:type="pct"/>
                  <w:vAlign w:val="center"/>
                </w:tcPr>
                <w:p w14:paraId="7F3F778A">
                  <w:pPr>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4.0</w:t>
                  </w:r>
                </w:p>
              </w:tc>
            </w:tr>
          </w:tbl>
          <w:p w14:paraId="0753F316">
            <w:pPr>
              <w:keepNext/>
              <w:keepLines/>
              <w:widowControl/>
              <w:numPr>
                <w:ilvl w:val="0"/>
                <w:numId w:val="0"/>
              </w:numPr>
              <w:adjustRightInd w:val="0"/>
              <w:snapToGrid w:val="0"/>
              <w:spacing w:line="480" w:lineRule="exact"/>
              <w:jc w:val="both"/>
              <w:outlineLvl w:val="2"/>
              <w:rPr>
                <w:rFonts w:hint="default" w:ascii="Times New Roman" w:hAnsi="Times New Roman" w:eastAsia="宋体" w:cs="宋体"/>
                <w:kern w:val="2"/>
                <w:sz w:val="24"/>
                <w:szCs w:val="24"/>
                <w:lang w:val="en-US" w:eastAsia="zh-CN" w:bidi="ar-SA"/>
              </w:rPr>
            </w:pPr>
            <w:r>
              <w:rPr>
                <w:rFonts w:hint="default" w:ascii="Times New Roman" w:hAnsi="Times New Roman" w:eastAsia="宋体" w:cs="宋体"/>
                <w:kern w:val="2"/>
                <w:sz w:val="24"/>
                <w:szCs w:val="24"/>
                <w:lang w:val="en-US" w:eastAsia="zh-CN" w:bidi="ar-SA"/>
              </w:rPr>
              <w:t>（2）</w:t>
            </w:r>
            <w:r>
              <w:rPr>
                <w:rFonts w:hint="eastAsia" w:ascii="Times New Roman" w:hAnsi="Times New Roman" w:eastAsia="宋体" w:cs="Times New Roman"/>
                <w:b w:val="0"/>
                <w:bCs/>
                <w:color w:val="000000"/>
                <w:kern w:val="0"/>
                <w:sz w:val="24"/>
                <w:szCs w:val="24"/>
                <w:lang w:val="en-US" w:eastAsia="zh-CN"/>
              </w:rPr>
              <w:t>废水</w:t>
            </w:r>
          </w:p>
          <w:p w14:paraId="41F3DF71">
            <w:pPr>
              <w:keepNext/>
              <w:keepLines/>
              <w:widowControl/>
              <w:numPr>
                <w:ilvl w:val="0"/>
                <w:numId w:val="0"/>
              </w:numPr>
              <w:adjustRightInd w:val="0"/>
              <w:snapToGrid w:val="0"/>
              <w:spacing w:line="480" w:lineRule="exact"/>
              <w:ind w:firstLine="480" w:firstLineChars="200"/>
              <w:jc w:val="both"/>
              <w:outlineLvl w:val="2"/>
              <w:rPr>
                <w:rFonts w:hint="eastAsia" w:ascii="Times New Roman" w:hAnsi="Times New Roman" w:eastAsia="宋体" w:cs="宋体"/>
                <w:highlight w:val="none"/>
                <w:lang w:val="en-US" w:eastAsia="zh-CN"/>
              </w:rPr>
            </w:pPr>
            <w:r>
              <w:rPr>
                <w:rFonts w:hint="eastAsia" w:ascii="Times New Roman" w:hAnsi="Times New Roman" w:eastAsia="宋体" w:cs="宋体"/>
                <w:kern w:val="2"/>
                <w:sz w:val="24"/>
                <w:szCs w:val="24"/>
                <w:lang w:val="en-US" w:eastAsia="zh-CN" w:bidi="ar-SA"/>
              </w:rPr>
              <w:t>本项目在勘探区西</w:t>
            </w:r>
            <w:r>
              <w:rPr>
                <w:rFonts w:hint="eastAsia" w:cs="宋体"/>
                <w:kern w:val="2"/>
                <w:sz w:val="24"/>
                <w:szCs w:val="24"/>
                <w:lang w:val="en-US" w:eastAsia="zh-CN" w:bidi="ar-SA"/>
              </w:rPr>
              <w:t>北角</w:t>
            </w:r>
            <w:r>
              <w:rPr>
                <w:rFonts w:hint="eastAsia" w:ascii="Times New Roman" w:hAnsi="Times New Roman" w:eastAsia="宋体" w:cs="宋体"/>
                <w:kern w:val="2"/>
                <w:sz w:val="24"/>
                <w:szCs w:val="24"/>
                <w:lang w:val="en-US" w:eastAsia="zh-CN" w:bidi="ar-SA"/>
              </w:rPr>
              <w:t>搭建</w:t>
            </w:r>
            <w:r>
              <w:rPr>
                <w:rFonts w:hint="eastAsia" w:cs="宋体"/>
                <w:kern w:val="2"/>
                <w:sz w:val="24"/>
                <w:szCs w:val="24"/>
                <w:lang w:val="en-US" w:eastAsia="zh-CN" w:bidi="ar-SA"/>
              </w:rPr>
              <w:t>帐篷</w:t>
            </w:r>
            <w:r>
              <w:rPr>
                <w:rFonts w:hint="eastAsia" w:ascii="Times New Roman" w:hAnsi="Times New Roman" w:eastAsia="宋体" w:cs="宋体"/>
                <w:kern w:val="2"/>
                <w:sz w:val="24"/>
                <w:szCs w:val="24"/>
                <w:lang w:val="en-US" w:eastAsia="zh-CN" w:bidi="ar-SA"/>
              </w:rPr>
              <w:t>，设置办公生活营地</w:t>
            </w:r>
            <w:r>
              <w:rPr>
                <w:rFonts w:hint="eastAsia" w:cs="宋体"/>
                <w:kern w:val="2"/>
                <w:sz w:val="24"/>
                <w:szCs w:val="24"/>
                <w:lang w:val="en-US" w:eastAsia="zh-CN" w:bidi="ar-SA"/>
              </w:rPr>
              <w:t>，</w:t>
            </w:r>
            <w:r>
              <w:rPr>
                <w:rFonts w:hint="eastAsia" w:ascii="Times New Roman" w:hAnsi="Times New Roman" w:eastAsia="宋体" w:cs="宋体"/>
                <w:highlight w:val="none"/>
                <w:lang w:val="en-US" w:eastAsia="zh-CN"/>
              </w:rPr>
              <w:t>生活污水排入一体化污水处理设施处理达标后，用于洒水绿化，不外排</w:t>
            </w:r>
            <w:r>
              <w:rPr>
                <w:rFonts w:hint="eastAsia" w:ascii="Times New Roman" w:hAnsi="Times New Roman" w:eastAsia="宋体" w:cs="宋体"/>
                <w:highlight w:val="none"/>
                <w:lang w:eastAsia="zh-CN"/>
              </w:rPr>
              <w:t>；</w:t>
            </w:r>
            <w:r>
              <w:rPr>
                <w:rFonts w:hint="eastAsia" w:ascii="Times New Roman" w:hAnsi="Times New Roman" w:eastAsia="宋体" w:cs="宋体"/>
                <w:kern w:val="2"/>
                <w:sz w:val="24"/>
                <w:szCs w:val="24"/>
                <w:lang w:val="en-US" w:eastAsia="zh-CN" w:bidi="ar-SA"/>
              </w:rPr>
              <w:t>钻井期产生的废水收集到泥浆池经沉淀后回用于清洗设备及泥浆的调配，不外排。</w:t>
            </w:r>
            <w:r>
              <w:rPr>
                <w:rFonts w:hint="eastAsia" w:ascii="Times New Roman" w:hAnsi="Times New Roman" w:eastAsia="宋体" w:cs="宋体"/>
                <w:highlight w:val="none"/>
                <w:lang w:val="en-US" w:eastAsia="zh-CN"/>
              </w:rPr>
              <w:t>生活污水出水标准执行《农村生活污水处理排放标准》（</w:t>
            </w:r>
            <w:r>
              <w:rPr>
                <w:rFonts w:hint="eastAsia" w:cs="宋体"/>
                <w:highlight w:val="none"/>
                <w:lang w:val="en-US" w:eastAsia="zh-CN"/>
              </w:rPr>
              <w:t>DB65 4275-2025</w:t>
            </w:r>
            <w:r>
              <w:rPr>
                <w:rFonts w:hint="eastAsia" w:ascii="Times New Roman" w:hAnsi="Times New Roman" w:eastAsia="宋体" w:cs="宋体"/>
                <w:highlight w:val="none"/>
                <w:lang w:val="en-US" w:eastAsia="zh-CN"/>
              </w:rPr>
              <w:t>）表2中C级标准，标准限值详见表3-8。</w:t>
            </w:r>
          </w:p>
          <w:p w14:paraId="6706E52E">
            <w:pPr>
              <w:keepNext/>
              <w:keepLines/>
              <w:widowControl/>
              <w:numPr>
                <w:ilvl w:val="0"/>
                <w:numId w:val="0"/>
              </w:numPr>
              <w:adjustRightInd w:val="0"/>
              <w:snapToGrid w:val="0"/>
              <w:spacing w:line="480" w:lineRule="exact"/>
              <w:jc w:val="center"/>
              <w:outlineLvl w:val="2"/>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表3-8生活污水污染物排放限值</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699"/>
              <w:gridCol w:w="1691"/>
              <w:gridCol w:w="1651"/>
              <w:gridCol w:w="1536"/>
            </w:tblGrid>
            <w:tr w14:paraId="4BDC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6" w:type="pct"/>
                  <w:noWrap w:val="0"/>
                  <w:vAlign w:val="center"/>
                </w:tcPr>
                <w:p w14:paraId="45E3AE34">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序号</w:t>
                  </w:r>
                </w:p>
              </w:tc>
              <w:tc>
                <w:tcPr>
                  <w:tcW w:w="1597" w:type="pct"/>
                  <w:noWrap w:val="0"/>
                  <w:vAlign w:val="center"/>
                </w:tcPr>
                <w:p w14:paraId="28C461DE">
                  <w:pPr>
                    <w:pStyle w:val="41"/>
                    <w:spacing w:line="260" w:lineRule="exact"/>
                    <w:ind w:left="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污染物</w:t>
                  </w:r>
                </w:p>
              </w:tc>
              <w:tc>
                <w:tcPr>
                  <w:tcW w:w="1000" w:type="pct"/>
                  <w:noWrap w:val="0"/>
                  <w:vAlign w:val="center"/>
                </w:tcPr>
                <w:p w14:paraId="234BFA5C">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A级</w:t>
                  </w:r>
                </w:p>
              </w:tc>
              <w:tc>
                <w:tcPr>
                  <w:tcW w:w="977" w:type="pct"/>
                  <w:noWrap w:val="0"/>
                  <w:vAlign w:val="center"/>
                </w:tcPr>
                <w:p w14:paraId="1F863DC4">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B级</w:t>
                  </w:r>
                </w:p>
              </w:tc>
              <w:tc>
                <w:tcPr>
                  <w:tcW w:w="908" w:type="pct"/>
                  <w:noWrap w:val="0"/>
                  <w:vAlign w:val="center"/>
                </w:tcPr>
                <w:p w14:paraId="4B420D69">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C级</w:t>
                  </w:r>
                </w:p>
              </w:tc>
            </w:tr>
            <w:tr w14:paraId="2F97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14:paraId="2CC9FA8A">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1597" w:type="pct"/>
                  <w:noWrap w:val="0"/>
                  <w:vAlign w:val="center"/>
                </w:tcPr>
                <w:p w14:paraId="7FF8AED2">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pH值</w:t>
                  </w:r>
                </w:p>
              </w:tc>
              <w:tc>
                <w:tcPr>
                  <w:tcW w:w="2886" w:type="pct"/>
                  <w:gridSpan w:val="3"/>
                  <w:noWrap w:val="0"/>
                  <w:vAlign w:val="center"/>
                </w:tcPr>
                <w:p w14:paraId="283DEB04">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w:t>
                  </w:r>
                </w:p>
              </w:tc>
            </w:tr>
            <w:tr w14:paraId="315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14:paraId="569F8EA0">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1597" w:type="pct"/>
                  <w:noWrap w:val="0"/>
                  <w:vAlign w:val="center"/>
                </w:tcPr>
                <w:p w14:paraId="0E49C870">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化学需氧量，mg/L</w:t>
                  </w:r>
                </w:p>
              </w:tc>
              <w:tc>
                <w:tcPr>
                  <w:tcW w:w="1000" w:type="pct"/>
                  <w:noWrap w:val="0"/>
                  <w:vAlign w:val="center"/>
                </w:tcPr>
                <w:p w14:paraId="57A6C3D7">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w:t>
                  </w:r>
                </w:p>
              </w:tc>
              <w:tc>
                <w:tcPr>
                  <w:tcW w:w="977" w:type="pct"/>
                  <w:noWrap w:val="0"/>
                  <w:vAlign w:val="center"/>
                </w:tcPr>
                <w:p w14:paraId="49D78175">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180</w:t>
                  </w:r>
                </w:p>
              </w:tc>
              <w:tc>
                <w:tcPr>
                  <w:tcW w:w="908" w:type="pct"/>
                  <w:noWrap w:val="0"/>
                  <w:vAlign w:val="center"/>
                </w:tcPr>
                <w:p w14:paraId="1A191386">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200</w:t>
                  </w:r>
                </w:p>
              </w:tc>
            </w:tr>
            <w:tr w14:paraId="1FBF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14:paraId="28D9B254">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w:t>
                  </w:r>
                </w:p>
              </w:tc>
              <w:tc>
                <w:tcPr>
                  <w:tcW w:w="1597" w:type="pct"/>
                  <w:noWrap w:val="0"/>
                  <w:vAlign w:val="center"/>
                </w:tcPr>
                <w:p w14:paraId="388488C8">
                  <w:pPr>
                    <w:pStyle w:val="41"/>
                    <w:spacing w:line="260" w:lineRule="exact"/>
                    <w:ind w:left="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悬浮物，mg/L</w:t>
                  </w:r>
                </w:p>
              </w:tc>
              <w:tc>
                <w:tcPr>
                  <w:tcW w:w="1000" w:type="pct"/>
                  <w:noWrap w:val="0"/>
                  <w:vAlign w:val="center"/>
                </w:tcPr>
                <w:p w14:paraId="13BB90A3">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w:t>
                  </w:r>
                </w:p>
              </w:tc>
              <w:tc>
                <w:tcPr>
                  <w:tcW w:w="977" w:type="pct"/>
                  <w:noWrap w:val="0"/>
                  <w:vAlign w:val="center"/>
                </w:tcPr>
                <w:p w14:paraId="332E11D1">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90</w:t>
                  </w:r>
                </w:p>
              </w:tc>
              <w:tc>
                <w:tcPr>
                  <w:tcW w:w="908" w:type="pct"/>
                  <w:noWrap w:val="0"/>
                  <w:vAlign w:val="center"/>
                </w:tcPr>
                <w:p w14:paraId="1EEABCE5">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100</w:t>
                  </w:r>
                </w:p>
              </w:tc>
            </w:tr>
            <w:tr w14:paraId="7F4A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14:paraId="40FED067">
                  <w:pPr>
                    <w:pStyle w:val="41"/>
                    <w:spacing w:line="260" w:lineRule="exact"/>
                    <w:ind w:left="0"/>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4</w:t>
                  </w:r>
                </w:p>
              </w:tc>
              <w:tc>
                <w:tcPr>
                  <w:tcW w:w="1597" w:type="pct"/>
                  <w:noWrap w:val="0"/>
                  <w:vAlign w:val="center"/>
                </w:tcPr>
                <w:p w14:paraId="37F9A619">
                  <w:pPr>
                    <w:pStyle w:val="41"/>
                    <w:spacing w:line="260" w:lineRule="exact"/>
                    <w:ind w:left="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蛔虫卵个数，个/L</w:t>
                  </w:r>
                </w:p>
              </w:tc>
              <w:tc>
                <w:tcPr>
                  <w:tcW w:w="2886" w:type="pct"/>
                  <w:gridSpan w:val="3"/>
                  <w:noWrap w:val="0"/>
                  <w:vAlign w:val="center"/>
                </w:tcPr>
                <w:p w14:paraId="6460905F">
                  <w:pPr>
                    <w:pStyle w:val="41"/>
                    <w:spacing w:line="260" w:lineRule="exact"/>
                    <w:ind w:left="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r>
          </w:tbl>
          <w:p w14:paraId="6DC2A8C6">
            <w:pPr>
              <w:keepNext/>
              <w:keepLines/>
              <w:widowControl/>
              <w:numPr>
                <w:ilvl w:val="0"/>
                <w:numId w:val="0"/>
              </w:numPr>
              <w:adjustRightInd w:val="0"/>
              <w:snapToGrid w:val="0"/>
              <w:spacing w:line="480" w:lineRule="exact"/>
              <w:jc w:val="both"/>
              <w:outlineLvl w:val="2"/>
              <w:rPr>
                <w:rFonts w:hint="default" w:ascii="Times New Roman" w:hAnsi="Times New Roman" w:eastAsia="宋体" w:cs="Times New Roman"/>
                <w:b w:val="0"/>
                <w:bCs/>
                <w:color w:val="000000"/>
                <w:kern w:val="0"/>
                <w:sz w:val="24"/>
                <w:szCs w:val="24"/>
                <w:lang w:val="en-US" w:eastAsia="zh-CN"/>
              </w:rPr>
            </w:pPr>
            <w:r>
              <w:rPr>
                <w:rFonts w:hint="default" w:ascii="Times New Roman" w:hAnsi="Times New Roman" w:eastAsia="宋体" w:cs="Times New Roman"/>
                <w:b w:val="0"/>
                <w:bCs/>
                <w:color w:val="000000"/>
                <w:kern w:val="0"/>
                <w:sz w:val="24"/>
                <w:szCs w:val="24"/>
                <w:lang w:val="en-US" w:eastAsia="zh-CN" w:bidi="ar-SA"/>
              </w:rPr>
              <w:t>（3）</w:t>
            </w:r>
            <w:r>
              <w:rPr>
                <w:rFonts w:hint="eastAsia" w:ascii="Times New Roman" w:hAnsi="Times New Roman" w:eastAsia="宋体" w:cs="Times New Roman"/>
                <w:b w:val="0"/>
                <w:bCs/>
                <w:color w:val="000000"/>
                <w:kern w:val="0"/>
                <w:sz w:val="24"/>
                <w:szCs w:val="24"/>
                <w:lang w:val="en-US" w:eastAsia="zh-CN"/>
              </w:rPr>
              <w:t>噪声</w:t>
            </w:r>
          </w:p>
          <w:p w14:paraId="398E7B59">
            <w:pPr>
              <w:pStyle w:val="7"/>
              <w:spacing w:line="480" w:lineRule="exact"/>
              <w:ind w:firstLine="480" w:firstLineChars="200"/>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项目运输车辆、发电机、泥浆泵等产生的噪声执行《建筑施工噪声排放标准》（GB12523-2025）的要求，标准限值详见表3-9。</w:t>
            </w:r>
          </w:p>
          <w:p w14:paraId="5754E5F5">
            <w:pPr>
              <w:keepNext/>
              <w:keepLines/>
              <w:widowControl/>
              <w:numPr>
                <w:ilvl w:val="0"/>
                <w:numId w:val="0"/>
              </w:numPr>
              <w:adjustRightInd w:val="0"/>
              <w:snapToGrid w:val="0"/>
              <w:spacing w:line="480" w:lineRule="exact"/>
              <w:jc w:val="center"/>
              <w:outlineLvl w:val="2"/>
              <w:rPr>
                <w:rFonts w:hint="default" w:ascii="Times New Roman" w:hAnsi="Times New Roman" w:eastAsia="宋体" w:cs="Times New Roman"/>
                <w:b w:val="0"/>
                <w:bCs/>
                <w:color w:val="000000"/>
                <w:kern w:val="0"/>
                <w:sz w:val="24"/>
                <w:szCs w:val="24"/>
                <w:lang w:val="en-US" w:eastAsia="zh-CN"/>
              </w:rPr>
            </w:pPr>
            <w:r>
              <w:rPr>
                <w:rFonts w:hint="eastAsia" w:ascii="宋体" w:hAnsi="宋体" w:cs="宋体"/>
                <w:b/>
                <w:bCs/>
                <w:sz w:val="21"/>
                <w:szCs w:val="21"/>
                <w:lang w:val="en-US" w:eastAsia="zh-CN"/>
              </w:rPr>
              <w:t>表3-9项目噪声排放标准</w:t>
            </w:r>
          </w:p>
          <w:tbl>
            <w:tblPr>
              <w:tblStyle w:val="15"/>
              <w:tblW w:w="8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04"/>
              <w:gridCol w:w="1839"/>
              <w:gridCol w:w="3475"/>
            </w:tblGrid>
            <w:tr w14:paraId="3D8D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6" w:hRule="atLeast"/>
                <w:jc w:val="center"/>
              </w:trPr>
              <w:tc>
                <w:tcPr>
                  <w:tcW w:w="1805" w:type="pct"/>
                  <w:vAlign w:val="center"/>
                </w:tcPr>
                <w:p w14:paraId="4AE297B7">
                  <w:pPr>
                    <w:pStyle w:val="41"/>
                    <w:spacing w:line="260" w:lineRule="exact"/>
                    <w:ind w:left="0"/>
                    <w:rPr>
                      <w:rFonts w:eastAsia="宋体"/>
                      <w:sz w:val="21"/>
                      <w:szCs w:val="21"/>
                      <w:lang w:eastAsia="zh-CN"/>
                    </w:rPr>
                  </w:pPr>
                  <w:r>
                    <w:rPr>
                      <w:rFonts w:eastAsia="宋体"/>
                      <w:sz w:val="21"/>
                      <w:szCs w:val="21"/>
                      <w:lang w:eastAsia="zh-CN"/>
                    </w:rPr>
                    <w:t>标准名称</w:t>
                  </w:r>
                </w:p>
              </w:tc>
              <w:tc>
                <w:tcPr>
                  <w:tcW w:w="1105" w:type="pct"/>
                  <w:vAlign w:val="center"/>
                </w:tcPr>
                <w:p w14:paraId="7DCDFE08">
                  <w:pPr>
                    <w:pStyle w:val="41"/>
                    <w:spacing w:line="260" w:lineRule="exact"/>
                    <w:ind w:left="0"/>
                    <w:rPr>
                      <w:rFonts w:eastAsia="宋体"/>
                      <w:sz w:val="21"/>
                      <w:szCs w:val="21"/>
                      <w:lang w:eastAsia="zh-CN"/>
                    </w:rPr>
                  </w:pPr>
                  <w:r>
                    <w:rPr>
                      <w:rFonts w:hint="eastAsia" w:eastAsia="宋体"/>
                      <w:sz w:val="21"/>
                      <w:szCs w:val="21"/>
                      <w:lang w:val="en-US" w:eastAsia="zh-CN"/>
                    </w:rPr>
                    <w:t>时段</w:t>
                  </w:r>
                </w:p>
              </w:tc>
              <w:tc>
                <w:tcPr>
                  <w:tcW w:w="2088" w:type="pct"/>
                  <w:vAlign w:val="center"/>
                </w:tcPr>
                <w:p w14:paraId="75F4298F">
                  <w:pPr>
                    <w:pStyle w:val="41"/>
                    <w:spacing w:line="260" w:lineRule="exact"/>
                    <w:ind w:left="0"/>
                    <w:rPr>
                      <w:rFonts w:hint="default" w:eastAsia="宋体"/>
                      <w:sz w:val="21"/>
                      <w:szCs w:val="21"/>
                      <w:lang w:val="en-US" w:eastAsia="zh-CN"/>
                    </w:rPr>
                  </w:pPr>
                  <w:r>
                    <w:rPr>
                      <w:rFonts w:eastAsia="宋体"/>
                      <w:sz w:val="21"/>
                      <w:szCs w:val="21"/>
                      <w:lang w:eastAsia="zh-CN"/>
                    </w:rPr>
                    <w:t>浓度限值</w:t>
                  </w:r>
                </w:p>
              </w:tc>
            </w:tr>
            <w:tr w14:paraId="579A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1805" w:type="pct"/>
                  <w:vMerge w:val="restart"/>
                  <w:vAlign w:val="center"/>
                </w:tcPr>
                <w:p w14:paraId="7411DDDA">
                  <w:pPr>
                    <w:spacing w:line="260" w:lineRule="exact"/>
                    <w:jc w:val="center"/>
                    <w:rPr>
                      <w:rFonts w:ascii="Times New Roman" w:hAnsi="Times New Roman"/>
                      <w:sz w:val="21"/>
                      <w:szCs w:val="21"/>
                    </w:rPr>
                  </w:pPr>
                  <w:r>
                    <w:rPr>
                      <w:rFonts w:hint="eastAsia" w:ascii="Times New Roman" w:hAnsi="Times New Roman"/>
                      <w:sz w:val="21"/>
                      <w:szCs w:val="21"/>
                      <w:lang w:val="en-US" w:eastAsia="zh-CN"/>
                    </w:rPr>
                    <w:t>《建筑施工噪声排放标准》（GB12523-2025）</w:t>
                  </w:r>
                </w:p>
              </w:tc>
              <w:tc>
                <w:tcPr>
                  <w:tcW w:w="1105" w:type="pct"/>
                  <w:vAlign w:val="center"/>
                </w:tcPr>
                <w:p w14:paraId="7825C2A5">
                  <w:pPr>
                    <w:spacing w:line="260" w:lineRule="exact"/>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昼间</w:t>
                  </w:r>
                </w:p>
              </w:tc>
              <w:tc>
                <w:tcPr>
                  <w:tcW w:w="2088" w:type="pct"/>
                  <w:vAlign w:val="center"/>
                </w:tcPr>
                <w:p w14:paraId="23518FB8">
                  <w:pPr>
                    <w:pStyle w:val="41"/>
                    <w:spacing w:line="260" w:lineRule="exact"/>
                    <w:ind w:left="0"/>
                    <w:rPr>
                      <w:rFonts w:hint="default" w:eastAsia="宋体"/>
                      <w:sz w:val="21"/>
                      <w:szCs w:val="21"/>
                      <w:lang w:val="en-US" w:eastAsia="zh-CN"/>
                    </w:rPr>
                  </w:pPr>
                  <w:r>
                    <w:rPr>
                      <w:rFonts w:hint="eastAsia" w:eastAsia="宋体"/>
                      <w:sz w:val="21"/>
                      <w:szCs w:val="21"/>
                      <w:lang w:val="en-US" w:eastAsia="zh-CN"/>
                    </w:rPr>
                    <w:t>70</w:t>
                  </w:r>
                  <w:r>
                    <w:rPr>
                      <w:rFonts w:hint="default" w:ascii="Times New Roman" w:hAnsi="Times New Roman" w:cs="Times New Roman"/>
                      <w:b w:val="0"/>
                      <w:bCs w:val="0"/>
                      <w:color w:val="000000"/>
                      <w:sz w:val="21"/>
                      <w:szCs w:val="21"/>
                    </w:rPr>
                    <w:t>dB</w:t>
                  </w:r>
                  <w:r>
                    <w:rPr>
                      <w:rFonts w:hint="eastAsia" w:eastAsia="宋体" w:cs="Times New Roman"/>
                      <w:b w:val="0"/>
                      <w:bCs w:val="0"/>
                      <w:color w:val="000000"/>
                      <w:sz w:val="21"/>
                      <w:szCs w:val="21"/>
                      <w:lang w:eastAsia="zh-CN"/>
                    </w:rPr>
                    <w:t>（</w:t>
                  </w:r>
                  <w:r>
                    <w:rPr>
                      <w:rFonts w:hint="default" w:ascii="Times New Roman" w:hAnsi="Times New Roman" w:cs="Times New Roman"/>
                      <w:b w:val="0"/>
                      <w:bCs w:val="0"/>
                      <w:color w:val="000000"/>
                      <w:sz w:val="21"/>
                      <w:szCs w:val="21"/>
                    </w:rPr>
                    <w:t>A</w:t>
                  </w:r>
                  <w:r>
                    <w:rPr>
                      <w:rFonts w:hint="eastAsia" w:eastAsia="宋体" w:cs="Times New Roman"/>
                      <w:b w:val="0"/>
                      <w:bCs w:val="0"/>
                      <w:color w:val="000000"/>
                      <w:sz w:val="21"/>
                      <w:szCs w:val="21"/>
                      <w:lang w:eastAsia="zh-CN"/>
                    </w:rPr>
                    <w:t>）</w:t>
                  </w:r>
                </w:p>
              </w:tc>
            </w:tr>
            <w:tr w14:paraId="1D19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 w:hRule="atLeast"/>
                <w:jc w:val="center"/>
              </w:trPr>
              <w:tc>
                <w:tcPr>
                  <w:tcW w:w="1805" w:type="pct"/>
                  <w:vMerge w:val="continue"/>
                  <w:vAlign w:val="center"/>
                </w:tcPr>
                <w:p w14:paraId="36B8B179">
                  <w:pPr>
                    <w:spacing w:line="260" w:lineRule="exact"/>
                    <w:jc w:val="center"/>
                  </w:pPr>
                </w:p>
              </w:tc>
              <w:tc>
                <w:tcPr>
                  <w:tcW w:w="1105" w:type="pct"/>
                  <w:vAlign w:val="center"/>
                </w:tcPr>
                <w:p w14:paraId="4E4E1B0A">
                  <w:pPr>
                    <w:spacing w:line="260" w:lineRule="exact"/>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夜间</w:t>
                  </w:r>
                </w:p>
              </w:tc>
              <w:tc>
                <w:tcPr>
                  <w:tcW w:w="2088" w:type="pct"/>
                  <w:vAlign w:val="center"/>
                </w:tcPr>
                <w:p w14:paraId="308CA0EB">
                  <w:pPr>
                    <w:spacing w:line="260" w:lineRule="exact"/>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55</w:t>
                  </w:r>
                  <w:r>
                    <w:rPr>
                      <w:rFonts w:hint="default" w:ascii="Times New Roman" w:hAnsi="Times New Roman" w:cs="Times New Roman"/>
                      <w:b w:val="0"/>
                      <w:bCs w:val="0"/>
                      <w:color w:val="000000"/>
                      <w:sz w:val="21"/>
                      <w:szCs w:val="21"/>
                    </w:rPr>
                    <w:t>dB</w:t>
                  </w:r>
                  <w:r>
                    <w:rPr>
                      <w:rFonts w:hint="eastAsia" w:cs="Times New Roman"/>
                      <w:b w:val="0"/>
                      <w:bCs w:val="0"/>
                      <w:color w:val="000000"/>
                      <w:sz w:val="21"/>
                      <w:szCs w:val="21"/>
                      <w:lang w:eastAsia="zh-CN"/>
                    </w:rPr>
                    <w:t>（</w:t>
                  </w:r>
                  <w:r>
                    <w:rPr>
                      <w:rFonts w:hint="default" w:ascii="Times New Roman" w:hAnsi="Times New Roman" w:cs="Times New Roman"/>
                      <w:b w:val="0"/>
                      <w:bCs w:val="0"/>
                      <w:color w:val="000000"/>
                      <w:sz w:val="21"/>
                      <w:szCs w:val="21"/>
                    </w:rPr>
                    <w:t>A</w:t>
                  </w:r>
                  <w:r>
                    <w:rPr>
                      <w:rFonts w:hint="eastAsia" w:cs="Times New Roman"/>
                      <w:b w:val="0"/>
                      <w:bCs w:val="0"/>
                      <w:color w:val="000000"/>
                      <w:sz w:val="21"/>
                      <w:szCs w:val="21"/>
                      <w:lang w:eastAsia="zh-CN"/>
                    </w:rPr>
                    <w:t>）</w:t>
                  </w:r>
                </w:p>
              </w:tc>
            </w:tr>
          </w:tbl>
          <w:p w14:paraId="43AB4E08">
            <w:pPr>
              <w:keepNext/>
              <w:keepLines/>
              <w:widowControl/>
              <w:numPr>
                <w:ilvl w:val="0"/>
                <w:numId w:val="0"/>
              </w:numPr>
              <w:adjustRightInd w:val="0"/>
              <w:snapToGrid w:val="0"/>
              <w:spacing w:line="480" w:lineRule="exact"/>
              <w:jc w:val="both"/>
              <w:outlineLvl w:val="2"/>
              <w:rPr>
                <w:rFonts w:hint="default" w:ascii="Times New Roman" w:hAnsi="Times New Roman" w:eastAsia="宋体" w:cs="Times New Roman"/>
                <w:b w:val="0"/>
                <w:bCs/>
                <w:color w:val="000000"/>
                <w:kern w:val="0"/>
                <w:sz w:val="24"/>
                <w:szCs w:val="24"/>
                <w:lang w:val="en-US" w:eastAsia="zh-CN"/>
              </w:rPr>
            </w:pPr>
            <w:r>
              <w:rPr>
                <w:rFonts w:hint="default" w:ascii="Times New Roman" w:hAnsi="Times New Roman" w:eastAsia="宋体" w:cs="Times New Roman"/>
                <w:b w:val="0"/>
                <w:bCs/>
                <w:color w:val="000000"/>
                <w:kern w:val="0"/>
                <w:sz w:val="24"/>
                <w:szCs w:val="24"/>
                <w:lang w:val="en-US" w:eastAsia="zh-CN" w:bidi="ar-SA"/>
              </w:rPr>
              <w:t>（4）</w:t>
            </w:r>
            <w:r>
              <w:rPr>
                <w:rFonts w:hint="eastAsia" w:ascii="Times New Roman" w:hAnsi="Times New Roman" w:eastAsia="宋体" w:cs="Times New Roman"/>
                <w:b w:val="0"/>
                <w:bCs/>
                <w:color w:val="000000"/>
                <w:kern w:val="0"/>
                <w:sz w:val="24"/>
                <w:szCs w:val="24"/>
                <w:lang w:val="en-US" w:eastAsia="zh-CN"/>
              </w:rPr>
              <w:t>固体废物</w:t>
            </w:r>
          </w:p>
          <w:p w14:paraId="7B2E7E58">
            <w:pPr>
              <w:pStyle w:val="7"/>
              <w:spacing w:line="480" w:lineRule="exact"/>
              <w:ind w:firstLine="480" w:firstLineChars="200"/>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一般固体废物执行《一般工业固体废物贮存和填埋污染控制标准》（GB18599-2020），危险废物执行《危险废物贮存污染控制标准》（GB18597-2023）、《危险废物收集贮存运输技术规范》（HJ2025-2012）、《危险废物管理计划和管理台账制定技术导则》（HJ1259-2022）。</w:t>
            </w:r>
          </w:p>
        </w:tc>
      </w:tr>
      <w:tr w14:paraId="6059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939" w:type="dxa"/>
            <w:vAlign w:val="center"/>
          </w:tcPr>
          <w:p w14:paraId="737D627F">
            <w:pPr>
              <w:pStyle w:val="7"/>
              <w:spacing w:line="480" w:lineRule="exact"/>
              <w:jc w:val="center"/>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其他</w:t>
            </w:r>
          </w:p>
        </w:tc>
        <w:tc>
          <w:tcPr>
            <w:tcW w:w="8678" w:type="dxa"/>
            <w:vAlign w:val="center"/>
          </w:tcPr>
          <w:p w14:paraId="5FD874D7">
            <w:pPr>
              <w:pStyle w:val="7"/>
              <w:spacing w:line="240" w:lineRule="auto"/>
              <w:jc w:val="center"/>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32"/>
                <w:lang w:eastAsia="zh-CN"/>
              </w:rPr>
              <w:t>本项目不涉及总量控制指标。</w:t>
            </w:r>
          </w:p>
        </w:tc>
      </w:tr>
      <w:bookmarkEnd w:id="19"/>
    </w:tbl>
    <w:p w14:paraId="651454AB">
      <w:pPr>
        <w:rPr>
          <w:rFonts w:ascii="Times New Roman" w:hAnsi="Times New Roman" w:eastAsia="宋体"/>
        </w:rPr>
      </w:pPr>
      <w:r>
        <w:rPr>
          <w:rFonts w:ascii="Times New Roman" w:hAnsi="Times New Roman" w:eastAsia="宋体"/>
        </w:rPr>
        <w:br w:type="page"/>
      </w:r>
    </w:p>
    <w:p w14:paraId="5D2EC66E">
      <w:pPr>
        <w:pStyle w:val="2"/>
        <w:snapToGrid w:val="0"/>
        <w:spacing w:before="0" w:after="0" w:line="360" w:lineRule="auto"/>
        <w:jc w:val="center"/>
        <w:rPr>
          <w:rFonts w:hint="eastAsia" w:ascii="Times New Roman" w:hAnsi="Times New Roman" w:eastAsia="宋体" w:cs="黑体"/>
          <w:b w:val="0"/>
          <w:bCs/>
          <w:sz w:val="30"/>
          <w:szCs w:val="30"/>
        </w:rPr>
      </w:pPr>
      <w:r>
        <w:rPr>
          <w:rFonts w:hint="eastAsia" w:ascii="Times New Roman" w:hAnsi="Times New Roman" w:eastAsia="宋体" w:cs="黑体"/>
          <w:b w:val="0"/>
          <w:bCs/>
          <w:sz w:val="30"/>
          <w:szCs w:val="30"/>
        </w:rPr>
        <w:t>四、生态环境影响分析</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8862"/>
      </w:tblGrid>
      <w:tr w14:paraId="7C49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8" w:hRule="atLeast"/>
          <w:jc w:val="center"/>
        </w:trPr>
        <w:tc>
          <w:tcPr>
            <w:tcW w:w="815" w:type="dxa"/>
            <w:vAlign w:val="center"/>
          </w:tcPr>
          <w:p w14:paraId="46C16F16">
            <w:pPr>
              <w:pStyle w:val="7"/>
              <w:spacing w:line="300" w:lineRule="exact"/>
              <w:jc w:val="center"/>
              <w:rPr>
                <w:rFonts w:hint="eastAsia" w:ascii="Times New Roman" w:hAnsi="Times New Roman" w:eastAsia="宋体" w:cs="宋体"/>
                <w:szCs w:val="24"/>
                <w:lang w:eastAsia="zh-CN"/>
              </w:rPr>
            </w:pPr>
            <w:bookmarkStart w:id="20" w:name="_Hlk196296875"/>
            <w:r>
              <w:rPr>
                <w:rFonts w:hint="eastAsia" w:ascii="Times New Roman" w:hAnsi="Times New Roman" w:eastAsia="宋体" w:cs="宋体"/>
                <w:sz w:val="24"/>
                <w:szCs w:val="32"/>
                <w:lang w:eastAsia="zh-CN"/>
              </w:rPr>
              <w:t>施工期生态环境影响分析</w:t>
            </w:r>
            <w:bookmarkEnd w:id="20"/>
          </w:p>
        </w:tc>
        <w:tc>
          <w:tcPr>
            <w:tcW w:w="8862" w:type="dxa"/>
          </w:tcPr>
          <w:p w14:paraId="2193D453">
            <w:pPr>
              <w:pStyle w:val="7"/>
              <w:numPr>
                <w:ilvl w:val="0"/>
                <w:numId w:val="12"/>
              </w:numPr>
              <w:spacing w:line="500" w:lineRule="exact"/>
              <w:rPr>
                <w:rFonts w:hint="eastAsia" w:ascii="Times New Roman" w:hAnsi="Times New Roman" w:eastAsia="宋体" w:cs="宋体"/>
                <w:b/>
                <w:bCs/>
                <w:sz w:val="24"/>
                <w:szCs w:val="24"/>
                <w:lang w:eastAsia="zh-CN"/>
              </w:rPr>
            </w:pPr>
            <w:bookmarkStart w:id="21" w:name="_Hlk136794071"/>
            <w:r>
              <w:rPr>
                <w:rFonts w:hint="eastAsia" w:ascii="Times New Roman" w:hAnsi="Times New Roman" w:eastAsia="宋体" w:cs="宋体"/>
                <w:b/>
                <w:bCs/>
                <w:sz w:val="24"/>
                <w:szCs w:val="24"/>
                <w:lang w:eastAsia="zh-CN"/>
              </w:rPr>
              <w:t>生态环境影响分析</w:t>
            </w:r>
          </w:p>
          <w:p w14:paraId="4CE712B5">
            <w:pPr>
              <w:pStyle w:val="26"/>
              <w:ind w:firstLine="480"/>
              <w:rPr>
                <w:rFonts w:hint="default" w:ascii="Times New Roman" w:hAnsi="Times New Roman" w:eastAsia="宋体" w:cs="宋体"/>
                <w:lang w:val="en-US" w:eastAsia="zh-CN"/>
              </w:rPr>
            </w:pPr>
            <w:r>
              <w:rPr>
                <w:rFonts w:hint="eastAsia" w:ascii="Times New Roman" w:hAnsi="Times New Roman" w:eastAsia="宋体" w:cs="宋体"/>
                <w:lang w:val="en-US" w:eastAsia="zh-CN"/>
              </w:rPr>
              <w:t>本项目为</w:t>
            </w:r>
            <w:r>
              <w:rPr>
                <w:rFonts w:hint="eastAsia" w:ascii="Times New Roman" w:hAnsi="Times New Roman" w:cs="宋体"/>
                <w:lang w:val="en-US" w:eastAsia="zh-CN"/>
              </w:rPr>
              <w:t>锰</w:t>
            </w:r>
            <w:r>
              <w:rPr>
                <w:rFonts w:hint="eastAsia" w:ascii="Times New Roman" w:hAnsi="Times New Roman" w:eastAsia="宋体" w:cs="宋体"/>
                <w:lang w:val="en-US" w:eastAsia="zh-CN"/>
              </w:rPr>
              <w:t>矿矿产资源勘探项目，无运营期，项目只分析施工期对环境的影响。施工期主要的生态环境影响为占用土地、植被破坏、扰动地表和水土流失。</w:t>
            </w:r>
          </w:p>
          <w:bookmarkEnd w:id="21"/>
          <w:p w14:paraId="0E34AF8A">
            <w:pPr>
              <w:pStyle w:val="26"/>
              <w:numPr>
                <w:ilvl w:val="0"/>
                <w:numId w:val="13"/>
              </w:numPr>
              <w:ind w:firstLine="480"/>
              <w:rPr>
                <w:rFonts w:hint="eastAsia" w:ascii="Times New Roman" w:hAnsi="Times New Roman" w:eastAsia="宋体"/>
                <w:lang w:val="en-US" w:eastAsia="zh-CN"/>
              </w:rPr>
            </w:pPr>
            <w:r>
              <w:rPr>
                <w:rFonts w:hint="eastAsia" w:ascii="Times New Roman" w:hAnsi="Times New Roman" w:eastAsia="宋体"/>
                <w:lang w:val="en-US" w:eastAsia="zh-CN"/>
              </w:rPr>
              <w:t>项目临时占地影响分析</w:t>
            </w:r>
          </w:p>
          <w:p w14:paraId="4F73D56C">
            <w:pPr>
              <w:pStyle w:val="26"/>
              <w:ind w:firstLine="480"/>
              <w:rPr>
                <w:rFonts w:hint="eastAsia" w:ascii="Times New Roman" w:hAnsi="Times New Roman" w:eastAsia="宋体"/>
                <w:vertAlign w:val="baseline"/>
                <w:lang w:val="en-US" w:eastAsia="zh-CN"/>
              </w:rPr>
            </w:pPr>
            <w:r>
              <w:rPr>
                <w:rFonts w:hint="eastAsia" w:ascii="Times New Roman" w:hAnsi="Times New Roman" w:eastAsia="宋体"/>
                <w:lang w:val="en-US" w:eastAsia="zh-CN"/>
              </w:rPr>
              <w:t>本项目勘探区面积为</w:t>
            </w:r>
            <w:r>
              <w:rPr>
                <w:rFonts w:hint="eastAsia" w:ascii="Times New Roman" w:hAnsi="Times New Roman"/>
                <w:lang w:val="en-US" w:eastAsia="zh-CN"/>
              </w:rPr>
              <w:t>50.50</w:t>
            </w:r>
            <w:r>
              <w:rPr>
                <w:rFonts w:hint="eastAsia" w:ascii="Times New Roman" w:hAnsi="Times New Roman" w:eastAsia="宋体"/>
                <w:lang w:val="en-US" w:eastAsia="zh-CN"/>
              </w:rPr>
              <w:t>km</w:t>
            </w:r>
            <w:r>
              <w:rPr>
                <w:rFonts w:hint="eastAsia" w:ascii="Times New Roman" w:hAnsi="Times New Roman" w:eastAsia="宋体"/>
                <w:vertAlign w:val="superscript"/>
                <w:lang w:val="en-US" w:eastAsia="zh-CN"/>
              </w:rPr>
              <w:t>2</w:t>
            </w:r>
            <w:r>
              <w:rPr>
                <w:rFonts w:hint="eastAsia" w:ascii="Times New Roman" w:hAnsi="Times New Roman" w:eastAsia="宋体"/>
                <w:vertAlign w:val="baseline"/>
                <w:lang w:val="en-US" w:eastAsia="zh-CN"/>
              </w:rPr>
              <w:t>，</w:t>
            </w:r>
            <w:r>
              <w:rPr>
                <w:rFonts w:hint="eastAsia" w:ascii="Times New Roman" w:hAnsi="Times New Roman" w:eastAsia="宋体"/>
                <w:highlight w:val="none"/>
                <w:vertAlign w:val="baseline"/>
                <w:lang w:val="en-US" w:eastAsia="zh-CN"/>
              </w:rPr>
              <w:t>实际占地面积为</w:t>
            </w:r>
            <w:r>
              <w:rPr>
                <w:rFonts w:hint="eastAsia" w:ascii="Times New Roman" w:hAnsi="Times New Roman"/>
                <w:highlight w:val="none"/>
                <w:vertAlign w:val="baseline"/>
                <w:lang w:val="en-US" w:eastAsia="zh-CN"/>
              </w:rPr>
              <w:t>0.09247</w:t>
            </w:r>
            <w:r>
              <w:rPr>
                <w:rFonts w:hint="eastAsia" w:ascii="Times New Roman" w:hAnsi="Times New Roman" w:eastAsia="宋体"/>
                <w:highlight w:val="none"/>
                <w:lang w:val="en-US" w:eastAsia="zh-CN"/>
              </w:rPr>
              <w:t>km</w:t>
            </w:r>
            <w:r>
              <w:rPr>
                <w:rFonts w:hint="eastAsia" w:ascii="Times New Roman" w:hAnsi="Times New Roman" w:eastAsia="宋体"/>
                <w:highlight w:val="none"/>
                <w:vertAlign w:val="superscript"/>
                <w:lang w:val="en-US" w:eastAsia="zh-CN"/>
              </w:rPr>
              <w:t>2</w:t>
            </w:r>
            <w:r>
              <w:rPr>
                <w:rFonts w:hint="eastAsia" w:ascii="Times New Roman" w:hAnsi="Times New Roman" w:eastAsia="宋体"/>
                <w:vertAlign w:val="baseline"/>
                <w:lang w:val="en-US" w:eastAsia="zh-CN"/>
              </w:rPr>
              <w:t>，占地类型为</w:t>
            </w:r>
            <w:r>
              <w:rPr>
                <w:rFonts w:hint="eastAsia" w:ascii="Times New Roman" w:hAnsi="Times New Roman" w:eastAsia="宋体"/>
                <w:highlight w:val="none"/>
                <w:vertAlign w:val="baseline"/>
                <w:lang w:val="en-US" w:eastAsia="zh-CN"/>
              </w:rPr>
              <w:t>裸地</w:t>
            </w:r>
            <w:r>
              <w:rPr>
                <w:rFonts w:hint="eastAsia" w:ascii="Times New Roman" w:hAnsi="Times New Roman" w:eastAsia="宋体"/>
                <w:vertAlign w:val="baseline"/>
                <w:lang w:val="en-US" w:eastAsia="zh-CN"/>
              </w:rPr>
              <w:t>。</w:t>
            </w:r>
          </w:p>
          <w:p w14:paraId="133D211E">
            <w:pPr>
              <w:pStyle w:val="26"/>
              <w:ind w:firstLine="480"/>
              <w:rPr>
                <w:rFonts w:hint="default" w:ascii="Times New Roman" w:hAnsi="Times New Roman" w:eastAsia="宋体" w:cs="宋体"/>
                <w:lang w:val="en-US" w:eastAsia="zh-CN"/>
              </w:rPr>
            </w:pPr>
            <w:r>
              <w:rPr>
                <w:rFonts w:hint="eastAsia" w:ascii="Times New Roman" w:hAnsi="Times New Roman" w:eastAsia="宋体" w:cs="宋体"/>
                <w:lang w:val="en-US" w:eastAsia="zh-CN"/>
              </w:rPr>
              <w:t>①临时用地范围内不可避免对地表造成破坏，植被从地表剥离，在一定程度上降低了工作区域内的生物量和生产力；</w:t>
            </w:r>
            <w:r>
              <w:rPr>
                <w:rFonts w:hint="eastAsia" w:ascii="Times New Roman" w:hAnsi="Times New Roman" w:eastAsia="宋体"/>
                <w:vertAlign w:val="baseline"/>
                <w:lang w:val="en-US" w:eastAsia="zh-CN"/>
              </w:rPr>
              <w:t>本项目属于高海拔地区，植被分布稀疏，生物量低，生物覆盖率小于5%，项目施工时间短，临时占地影响较小。</w:t>
            </w:r>
          </w:p>
          <w:p w14:paraId="1032E197">
            <w:pPr>
              <w:pStyle w:val="26"/>
              <w:ind w:firstLine="480"/>
              <w:rPr>
                <w:rFonts w:hint="eastAsia" w:ascii="Times New Roman" w:hAnsi="Times New Roman" w:eastAsia="宋体" w:cs="宋体"/>
                <w:lang w:val="en-US" w:eastAsia="zh-CN"/>
              </w:rPr>
            </w:pPr>
            <w:r>
              <w:rPr>
                <w:rFonts w:hint="eastAsia" w:ascii="Times New Roman" w:hAnsi="Times New Roman" w:eastAsia="宋体" w:cs="宋体"/>
                <w:lang w:val="en-US" w:eastAsia="zh-CN"/>
              </w:rPr>
              <w:t>②临时用地的占地类型发生改变，主要体现为裸地变为临时建设用地。</w:t>
            </w:r>
          </w:p>
          <w:p w14:paraId="76B38C79">
            <w:pPr>
              <w:pStyle w:val="26"/>
              <w:ind w:firstLine="480"/>
              <w:rPr>
                <w:rFonts w:hint="default" w:ascii="Times New Roman" w:hAnsi="Times New Roman" w:eastAsia="宋体"/>
                <w:lang w:val="en-US" w:eastAsia="zh-CN"/>
              </w:rPr>
            </w:pPr>
            <w:r>
              <w:rPr>
                <w:rFonts w:hint="eastAsia" w:ascii="Times New Roman" w:hAnsi="Times New Roman" w:eastAsia="宋体"/>
                <w:lang w:val="en-US" w:eastAsia="zh-CN"/>
              </w:rPr>
              <w:t>探矿工程对土地的占用是短期的，</w:t>
            </w:r>
            <w:r>
              <w:rPr>
                <w:rFonts w:hint="eastAsia" w:ascii="Times New Roman" w:hAnsi="Times New Roman" w:eastAsia="宋体" w:cs="宋体"/>
                <w:lang w:val="en-US" w:eastAsia="zh-CN"/>
              </w:rPr>
              <w:t>探矿完成后将</w:t>
            </w:r>
            <w:r>
              <w:rPr>
                <w:rFonts w:hint="eastAsia" w:ascii="Times New Roman" w:hAnsi="Times New Roman" w:cs="宋体"/>
                <w:lang w:val="en-US" w:eastAsia="zh-CN"/>
              </w:rPr>
              <w:t>一体化污水处理设施</w:t>
            </w:r>
            <w:r>
              <w:rPr>
                <w:rFonts w:hint="eastAsia" w:ascii="Times New Roman" w:hAnsi="Times New Roman" w:eastAsia="宋体" w:cs="宋体"/>
                <w:lang w:val="en-US" w:eastAsia="zh-CN"/>
              </w:rPr>
              <w:t>、泥浆池等临时工程拆除，及时进行生态植被恢复，土地利用性质基本不会改变。因此本项目的建设对土地利用的影响较小。</w:t>
            </w:r>
          </w:p>
          <w:p w14:paraId="171B00E0">
            <w:pPr>
              <w:pStyle w:val="26"/>
              <w:numPr>
                <w:ilvl w:val="0"/>
                <w:numId w:val="13"/>
              </w:numPr>
              <w:ind w:left="0" w:leftChars="0" w:firstLine="480" w:firstLineChars="200"/>
              <w:rPr>
                <w:rFonts w:hint="eastAsia" w:ascii="Times New Roman" w:hAnsi="Times New Roman" w:eastAsia="宋体"/>
              </w:rPr>
            </w:pPr>
            <w:r>
              <w:rPr>
                <w:rFonts w:hint="eastAsia" w:ascii="Times New Roman" w:hAnsi="Times New Roman" w:eastAsia="宋体"/>
              </w:rPr>
              <w:t>对植被的影响分析</w:t>
            </w:r>
          </w:p>
          <w:p w14:paraId="09AFC1E3">
            <w:pPr>
              <w:pStyle w:val="26"/>
              <w:ind w:firstLine="480"/>
              <w:rPr>
                <w:rFonts w:hint="eastAsia" w:ascii="Times New Roman" w:hAnsi="Times New Roman" w:eastAsia="宋体"/>
                <w:lang w:val="en-US" w:eastAsia="zh-CN"/>
              </w:rPr>
            </w:pPr>
            <w:r>
              <w:rPr>
                <w:rFonts w:hint="eastAsia" w:ascii="Times New Roman" w:hAnsi="Times New Roman" w:eastAsia="宋体"/>
                <w:lang w:val="en-US" w:eastAsia="zh-CN"/>
              </w:rPr>
              <w:t>本项目进行槽探、钻探时会因表土剥离使部分植被被铲除，部分地表裸露，破坏原有的地形地貌；同时施工过程中若土方随意堆放至植被茂盛区域，会压占植被，使堆放处植被减少；此外，人为踩踏也会对地表植被造成直接影响，导致生物量的毁损，从而使项目区的生物量有所减少。但随着施工期结束和人工恢复，本项目建设对其造成的影响将逐步减弱。</w:t>
            </w:r>
          </w:p>
          <w:p w14:paraId="27545973">
            <w:pPr>
              <w:pStyle w:val="26"/>
              <w:ind w:firstLine="480"/>
              <w:rPr>
                <w:rFonts w:hint="eastAsia"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临时用地范围内未见珍稀、濒危、名木古树或其他需要特殊保护的植物，因此，项目探矿工作不会导致珍稀物种灭绝、引起物种损失等问题。</w:t>
            </w:r>
          </w:p>
          <w:p w14:paraId="42A11945">
            <w:pPr>
              <w:pStyle w:val="26"/>
              <w:ind w:firstLine="480"/>
              <w:rPr>
                <w:rFonts w:hint="eastAsia"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项目临时工程占地大多为</w:t>
            </w:r>
            <w:r>
              <w:rPr>
                <w:rFonts w:hint="eastAsia" w:ascii="Times New Roman" w:hAnsi="Times New Roman" w:cs="宋体"/>
                <w:kern w:val="0"/>
                <w:sz w:val="24"/>
                <w:szCs w:val="24"/>
                <w:highlight w:val="none"/>
                <w:lang w:val="en-US" w:eastAsia="zh-CN" w:bidi="ar-SA"/>
              </w:rPr>
              <w:t>裸地</w:t>
            </w:r>
            <w:r>
              <w:rPr>
                <w:rFonts w:hint="eastAsia" w:ascii="Times New Roman" w:hAnsi="Times New Roman" w:eastAsia="宋体" w:cs="宋体"/>
                <w:kern w:val="0"/>
                <w:sz w:val="24"/>
                <w:szCs w:val="24"/>
                <w:lang w:val="en-US" w:eastAsia="zh-CN" w:bidi="ar-SA"/>
              </w:rPr>
              <w:t>，草地占用量较小，对植被的破坏量较低，项目勘查期加强施工管理，临时土方、弃渣堆放应选择裸地处，避免占压植被。在采取环评提出的措施后，随着区域生态系统的自我修复及人工重建修复，勘查工作对植被的影响较小。</w:t>
            </w:r>
          </w:p>
          <w:p w14:paraId="76B35F1E">
            <w:pPr>
              <w:pStyle w:val="26"/>
              <w:ind w:firstLine="480"/>
              <w:rPr>
                <w:rFonts w:hint="eastAsia" w:ascii="Times New Roman" w:hAnsi="Times New Roman" w:eastAsia="宋体"/>
              </w:rPr>
            </w:pPr>
            <w:r>
              <w:rPr>
                <w:rFonts w:hint="eastAsia" w:ascii="Times New Roman" w:hAnsi="Times New Roman" w:eastAsia="宋体"/>
              </w:rPr>
              <w:t>（</w:t>
            </w:r>
            <w:r>
              <w:rPr>
                <w:rFonts w:hint="eastAsia" w:ascii="Times New Roman" w:hAnsi="Times New Roman" w:eastAsia="宋体"/>
                <w:lang w:val="en-US" w:eastAsia="zh-CN"/>
              </w:rPr>
              <w:t>3</w:t>
            </w:r>
            <w:r>
              <w:rPr>
                <w:rFonts w:hint="eastAsia" w:ascii="Times New Roman" w:hAnsi="Times New Roman" w:eastAsia="宋体"/>
              </w:rPr>
              <w:t>）对野生动物的影响分析</w:t>
            </w:r>
          </w:p>
          <w:p w14:paraId="44663620">
            <w:pPr>
              <w:snapToGrid w:val="0"/>
              <w:spacing w:line="500" w:lineRule="exact"/>
              <w:ind w:firstLine="480" w:firstLineChars="200"/>
              <w:rPr>
                <w:rFonts w:hint="eastAsia" w:ascii="Times New Roman" w:hAnsi="Times New Roman" w:eastAsia="宋体"/>
                <w:lang w:val="en-US" w:eastAsia="zh-CN"/>
              </w:rPr>
            </w:pPr>
            <w:r>
              <w:rPr>
                <w:rFonts w:hint="eastAsia" w:ascii="Times New Roman" w:hAnsi="Times New Roman" w:eastAsia="宋体"/>
                <w:lang w:val="en-US" w:eastAsia="zh-CN"/>
              </w:rPr>
              <w:t>项目的实施对野生动物生存环境、分布范围和种群数量的影响，主要分为直接影响和间接影响两个方面。直接影响主要表现为建设项目占地，使野生动物的原始生存环境被破坏或改变；间接影响主要表现为由于植被的减少或污染破坏而引起野生动物食物来源减少。施工过程中，由于机械设备的轰鸣惊扰、人群活动的增加，项目区内的野生动物将远离施工现场，使区域内单位面积上的动物种群数量下降，原有的野生动物将逐渐避开人类活动的干扰迁至其他区域，远离影响范围；施工期设备及车辆发出的噪声、人为活动会惊扰项目区附近的野生动物，影响其觅食、活动等行为。</w:t>
            </w:r>
            <w:r>
              <w:rPr>
                <w:rFonts w:hint="eastAsia" w:cs="宋体"/>
                <w:highlight w:val="none"/>
                <w:lang w:val="en-US" w:eastAsia="zh-CN"/>
              </w:rPr>
              <w:t>勘探区偶见数量很少的</w:t>
            </w:r>
            <w:r>
              <w:rPr>
                <w:rFonts w:hint="eastAsia" w:cs="宋体"/>
                <w:lang w:val="en-US" w:eastAsia="zh-CN"/>
              </w:rPr>
              <w:t>麻雀、壁虎、小家鼠、旱獭及多种昆虫等，无重点保护的珍稀濒危物种、关键种、土著种、建群种等。勘探区植被覆盖度低、自然环境恶劣、食源差、隐蔽性差，野生动物种类稀少。</w:t>
            </w:r>
            <w:r>
              <w:rPr>
                <w:rFonts w:hint="eastAsia" w:ascii="Times New Roman" w:hAnsi="Times New Roman" w:eastAsia="宋体"/>
                <w:lang w:val="en-US" w:eastAsia="zh-CN"/>
              </w:rPr>
              <w:t>且项目开展钻探、槽探区域并不是其活动区域，亦不涉及其栖息地，加上工程占地面积较小，该区域替代生境较多，故项目勘查期对其影响较小。而且施工结束后，各种机械噪声和人类活动显著减少，由于生活习惯，野生动物有可能逐渐返回原来的区域，故该建设项目对动物区域性生境不产生明显影响。</w:t>
            </w:r>
          </w:p>
          <w:p w14:paraId="04F4B230">
            <w:pPr>
              <w:pStyle w:val="26"/>
              <w:ind w:firstLine="480"/>
              <w:rPr>
                <w:rFonts w:hint="eastAsia" w:ascii="Times New Roman" w:hAnsi="Times New Roman" w:eastAsia="宋体" w:cs="宋体"/>
              </w:rPr>
            </w:pPr>
            <w:bookmarkStart w:id="22" w:name="_Hlk140835968"/>
            <w:r>
              <w:rPr>
                <w:rFonts w:hint="eastAsia" w:ascii="Times New Roman" w:hAnsi="Times New Roman" w:eastAsia="宋体" w:cs="宋体"/>
              </w:rPr>
              <w:t>（</w:t>
            </w:r>
            <w:r>
              <w:rPr>
                <w:rFonts w:hint="eastAsia" w:ascii="Times New Roman" w:hAnsi="Times New Roman" w:eastAsia="宋体" w:cs="宋体"/>
                <w:lang w:val="en-US" w:eastAsia="zh-CN"/>
              </w:rPr>
              <w:t>4</w:t>
            </w:r>
            <w:r>
              <w:rPr>
                <w:rFonts w:hint="eastAsia" w:ascii="Times New Roman" w:hAnsi="Times New Roman" w:eastAsia="宋体" w:cs="宋体"/>
              </w:rPr>
              <w:t>）水土流失影响分析</w:t>
            </w:r>
          </w:p>
          <w:p w14:paraId="6B65DFE7">
            <w:pPr>
              <w:pStyle w:val="26"/>
              <w:ind w:firstLine="480"/>
              <w:rPr>
                <w:rFonts w:hint="default" w:ascii="Times New Roman" w:hAnsi="Times New Roman" w:eastAsia="宋体"/>
                <w:lang w:val="en-US" w:eastAsia="zh-CN"/>
              </w:rPr>
            </w:pPr>
            <w:r>
              <w:rPr>
                <w:rFonts w:hint="eastAsia" w:ascii="Times New Roman" w:hAnsi="Times New Roman" w:eastAsia="宋体"/>
              </w:rPr>
              <w:t>项目区</w:t>
            </w:r>
            <w:r>
              <w:rPr>
                <w:rFonts w:hint="eastAsia" w:cs="宋体"/>
                <w:lang w:val="en-US" w:eastAsia="zh-CN"/>
              </w:rPr>
              <w:t>不属于</w:t>
            </w:r>
            <w:r>
              <w:rPr>
                <w:rFonts w:hint="eastAsia" w:ascii="Times New Roman" w:hAnsi="Times New Roman" w:eastAsia="宋体" w:cs="宋体"/>
              </w:rPr>
              <w:t>水土流失重点预防区</w:t>
            </w:r>
            <w:r>
              <w:rPr>
                <w:rFonts w:hint="eastAsia" w:cs="宋体"/>
                <w:lang w:val="en-US" w:eastAsia="zh-CN"/>
              </w:rPr>
              <w:t>和</w:t>
            </w:r>
            <w:r>
              <w:rPr>
                <w:rFonts w:hint="eastAsia" w:ascii="Times New Roman" w:hAnsi="Times New Roman" w:eastAsia="宋体" w:cs="宋体"/>
              </w:rPr>
              <w:t>重点治理区</w:t>
            </w:r>
            <w:r>
              <w:rPr>
                <w:rFonts w:hint="eastAsia" w:ascii="Times New Roman" w:hAnsi="Times New Roman" w:eastAsia="宋体"/>
              </w:rPr>
              <w:t>，</w:t>
            </w:r>
            <w:r>
              <w:rPr>
                <w:rFonts w:hint="eastAsia" w:ascii="Times New Roman" w:hAnsi="Times New Roman" w:eastAsia="宋体"/>
                <w:lang w:val="en-US" w:eastAsia="zh-CN"/>
              </w:rPr>
              <w:t>项目勘探对水土流失的影响主要有以下方面：</w:t>
            </w:r>
          </w:p>
          <w:p w14:paraId="0607318F">
            <w:pPr>
              <w:pStyle w:val="26"/>
              <w:ind w:firstLine="480"/>
              <w:rPr>
                <w:rFonts w:hint="eastAsia" w:ascii="Times New Roman" w:hAnsi="Times New Roman" w:eastAsia="宋体"/>
              </w:rPr>
            </w:pPr>
            <w:r>
              <w:rPr>
                <w:rFonts w:hint="eastAsia" w:ascii="Times New Roman" w:hAnsi="Times New Roman" w:eastAsia="宋体"/>
              </w:rPr>
              <w:fldChar w:fldCharType="begin"/>
            </w:r>
            <w:r>
              <w:rPr>
                <w:rFonts w:hint="eastAsia" w:ascii="Times New Roman" w:hAnsi="Times New Roman" w:eastAsia="宋体"/>
              </w:rPr>
              <w:instrText xml:space="preserve"> = 1 \* GB3 \* MERGEFORMAT </w:instrText>
            </w:r>
            <w:r>
              <w:rPr>
                <w:rFonts w:hint="eastAsia" w:ascii="Times New Roman" w:hAnsi="Times New Roman" w:eastAsia="宋体"/>
              </w:rPr>
              <w:fldChar w:fldCharType="separate"/>
            </w:r>
            <w:r>
              <w:t>①</w:t>
            </w:r>
            <w:r>
              <w:rPr>
                <w:rFonts w:hint="eastAsia" w:ascii="Times New Roman" w:hAnsi="Times New Roman" w:eastAsia="宋体"/>
              </w:rPr>
              <w:fldChar w:fldCharType="end"/>
            </w:r>
            <w:r>
              <w:rPr>
                <w:rFonts w:hint="eastAsia" w:ascii="Times New Roman" w:hAnsi="Times New Roman" w:eastAsia="宋体"/>
                <w:lang w:val="en-US" w:eastAsia="zh-CN"/>
              </w:rPr>
              <w:t>项目</w:t>
            </w:r>
            <w:r>
              <w:rPr>
                <w:rFonts w:hint="eastAsia" w:ascii="Times New Roman" w:hAnsi="Times New Roman" w:eastAsia="宋体"/>
              </w:rPr>
              <w:t>扰动</w:t>
            </w:r>
            <w:r>
              <w:rPr>
                <w:rFonts w:hint="eastAsia" w:ascii="Times New Roman" w:hAnsi="Times New Roman" w:eastAsia="宋体"/>
                <w:lang w:val="en-US" w:eastAsia="zh-CN"/>
              </w:rPr>
              <w:t>的</w:t>
            </w:r>
            <w:r>
              <w:rPr>
                <w:rFonts w:hint="eastAsia" w:ascii="Times New Roman" w:hAnsi="Times New Roman" w:eastAsia="宋体"/>
              </w:rPr>
              <w:t>地表范围广且分散</w:t>
            </w:r>
          </w:p>
          <w:p w14:paraId="38A2F4E5">
            <w:pPr>
              <w:pStyle w:val="26"/>
              <w:ind w:firstLine="480"/>
              <w:rPr>
                <w:rFonts w:hint="eastAsia" w:ascii="Times New Roman" w:hAnsi="Times New Roman" w:eastAsia="宋体"/>
              </w:rPr>
            </w:pPr>
            <w:r>
              <w:rPr>
                <w:rFonts w:hint="eastAsia" w:ascii="Times New Roman" w:hAnsi="Times New Roman" w:eastAsia="宋体"/>
              </w:rPr>
              <w:t>地质填图与路线调查</w:t>
            </w:r>
            <w:r>
              <w:rPr>
                <w:rFonts w:hint="eastAsia" w:ascii="Times New Roman" w:hAnsi="Times New Roman" w:eastAsia="宋体"/>
                <w:lang w:val="en-US" w:eastAsia="zh-CN"/>
              </w:rPr>
              <w:t>时，</w:t>
            </w:r>
            <w:r>
              <w:rPr>
                <w:rFonts w:hint="eastAsia" w:ascii="Times New Roman" w:hAnsi="Times New Roman" w:eastAsia="宋体"/>
              </w:rPr>
              <w:t>人员频繁穿越勘查区，踩踏植被，形成小型路径</w:t>
            </w:r>
            <w:r>
              <w:rPr>
                <w:rFonts w:hint="eastAsia" w:ascii="Times New Roman" w:hAnsi="Times New Roman" w:eastAsia="宋体"/>
                <w:lang w:eastAsia="zh-CN"/>
              </w:rPr>
              <w:t>；</w:t>
            </w:r>
            <w:r>
              <w:rPr>
                <w:rFonts w:hint="eastAsia" w:ascii="Times New Roman" w:hAnsi="Times New Roman" w:eastAsia="宋体"/>
              </w:rPr>
              <w:t>物探</w:t>
            </w:r>
            <w:r>
              <w:rPr>
                <w:rFonts w:hint="eastAsia" w:ascii="Times New Roman" w:hAnsi="Times New Roman" w:eastAsia="宋体"/>
                <w:lang w:eastAsia="zh-CN"/>
              </w:rPr>
              <w:t>、</w:t>
            </w:r>
            <w:r>
              <w:rPr>
                <w:rFonts w:hint="eastAsia" w:ascii="Times New Roman" w:hAnsi="Times New Roman" w:eastAsia="宋体"/>
                <w:lang w:val="en-US" w:eastAsia="zh-CN"/>
              </w:rPr>
              <w:t>化探</w:t>
            </w:r>
            <w:r>
              <w:rPr>
                <w:rFonts w:hint="eastAsia" w:ascii="Times New Roman" w:hAnsi="Times New Roman" w:eastAsia="宋体"/>
              </w:rPr>
              <w:t>工作，需开挖浅坑</w:t>
            </w:r>
            <w:r>
              <w:rPr>
                <w:rFonts w:hint="eastAsia" w:ascii="Times New Roman" w:hAnsi="Times New Roman" w:eastAsia="宋体"/>
                <w:lang w:eastAsia="zh-CN"/>
              </w:rPr>
              <w:t>；</w:t>
            </w:r>
            <w:r>
              <w:rPr>
                <w:rFonts w:hint="eastAsia" w:ascii="Times New Roman" w:hAnsi="Times New Roman" w:eastAsia="宋体"/>
              </w:rPr>
              <w:t>槽探工程</w:t>
            </w:r>
            <w:r>
              <w:rPr>
                <w:rFonts w:hint="eastAsia" w:ascii="Times New Roman" w:hAnsi="Times New Roman" w:eastAsia="宋体"/>
                <w:lang w:val="en-US" w:eastAsia="zh-CN"/>
              </w:rPr>
              <w:t>为</w:t>
            </w:r>
            <w:r>
              <w:rPr>
                <w:rFonts w:hint="eastAsia" w:ascii="Times New Roman" w:hAnsi="Times New Roman" w:eastAsia="宋体"/>
              </w:rPr>
              <w:t>主要扰动源之一</w:t>
            </w:r>
            <w:r>
              <w:rPr>
                <w:rFonts w:hint="eastAsia" w:ascii="Times New Roman" w:hAnsi="Times New Roman" w:eastAsia="宋体"/>
                <w:lang w:eastAsia="zh-CN"/>
              </w:rPr>
              <w:t>，</w:t>
            </w:r>
            <w:r>
              <w:rPr>
                <w:rFonts w:hint="eastAsia" w:ascii="Times New Roman" w:hAnsi="Times New Roman" w:eastAsia="宋体"/>
              </w:rPr>
              <w:t>为揭露基岩或矿化体，需开挖具有一定长度、宽度和深度的探槽（几米至几十米），剥离大量</w:t>
            </w:r>
            <w:r>
              <w:rPr>
                <w:rFonts w:hint="eastAsia" w:ascii="Times New Roman" w:hAnsi="Times New Roman" w:eastAsia="宋体"/>
                <w:lang w:val="en-US" w:eastAsia="zh-CN"/>
              </w:rPr>
              <w:t>表层和</w:t>
            </w:r>
            <w:r>
              <w:rPr>
                <w:rFonts w:hint="eastAsia" w:ascii="Times New Roman" w:hAnsi="Times New Roman" w:eastAsia="宋体"/>
              </w:rPr>
              <w:t>风化层，形成裸露坡面</w:t>
            </w:r>
            <w:r>
              <w:rPr>
                <w:rFonts w:hint="eastAsia" w:ascii="Times New Roman" w:hAnsi="Times New Roman" w:eastAsia="宋体"/>
                <w:lang w:eastAsia="zh-CN"/>
              </w:rPr>
              <w:t>；</w:t>
            </w:r>
            <w:r>
              <w:rPr>
                <w:rFonts w:hint="eastAsia" w:ascii="Times New Roman" w:hAnsi="Times New Roman" w:eastAsia="宋体"/>
              </w:rPr>
              <w:t>钻探工程</w:t>
            </w:r>
            <w:r>
              <w:rPr>
                <w:rFonts w:hint="eastAsia" w:ascii="Times New Roman" w:hAnsi="Times New Roman" w:eastAsia="宋体"/>
                <w:lang w:val="en-US" w:eastAsia="zh-CN"/>
              </w:rPr>
              <w:t>为</w:t>
            </w:r>
            <w:r>
              <w:rPr>
                <w:rFonts w:hint="eastAsia" w:ascii="Times New Roman" w:hAnsi="Times New Roman" w:eastAsia="宋体"/>
              </w:rPr>
              <w:t>主要扰动源之二</w:t>
            </w:r>
            <w:r>
              <w:rPr>
                <w:rFonts w:hint="eastAsia" w:ascii="Times New Roman" w:hAnsi="Times New Roman" w:eastAsia="宋体"/>
                <w:lang w:eastAsia="zh-CN"/>
              </w:rPr>
              <w:t>，</w:t>
            </w:r>
            <w:r>
              <w:rPr>
                <w:rFonts w:hint="eastAsia" w:ascii="Times New Roman" w:hAnsi="Times New Roman" w:eastAsia="宋体"/>
              </w:rPr>
              <w:t>钻机平台建设（需平整场地）、泥浆池建设、岩芯堆放等，都会形成集中扰动点。</w:t>
            </w:r>
          </w:p>
          <w:p w14:paraId="6B0FC0D9">
            <w:pPr>
              <w:pStyle w:val="26"/>
              <w:ind w:firstLine="480"/>
              <w:rPr>
                <w:rFonts w:hint="eastAsia" w:ascii="Times New Roman" w:hAnsi="Times New Roman" w:eastAsia="宋体"/>
              </w:rPr>
            </w:pPr>
            <w:r>
              <w:rPr>
                <w:rFonts w:hint="eastAsia" w:ascii="Times New Roman" w:hAnsi="Times New Roman" w:eastAsia="宋体"/>
              </w:rPr>
              <w:fldChar w:fldCharType="begin"/>
            </w:r>
            <w:r>
              <w:rPr>
                <w:rFonts w:hint="eastAsia" w:ascii="Times New Roman" w:hAnsi="Times New Roman" w:eastAsia="宋体"/>
              </w:rPr>
              <w:instrText xml:space="preserve"> = 2 \* GB3 \* MERGEFORMAT </w:instrText>
            </w:r>
            <w:r>
              <w:rPr>
                <w:rFonts w:hint="eastAsia" w:ascii="Times New Roman" w:hAnsi="Times New Roman" w:eastAsia="宋体"/>
              </w:rPr>
              <w:fldChar w:fldCharType="separate"/>
            </w:r>
            <w:r>
              <w:t>②</w:t>
            </w:r>
            <w:r>
              <w:rPr>
                <w:rFonts w:hint="eastAsia" w:ascii="Times New Roman" w:hAnsi="Times New Roman" w:eastAsia="宋体"/>
              </w:rPr>
              <w:fldChar w:fldCharType="end"/>
            </w:r>
            <w:r>
              <w:rPr>
                <w:rFonts w:hint="eastAsia" w:ascii="Times New Roman" w:hAnsi="Times New Roman" w:eastAsia="宋体"/>
              </w:rPr>
              <w:t>破坏原有水土保持功能</w:t>
            </w:r>
          </w:p>
          <w:p w14:paraId="479D4D67">
            <w:pPr>
              <w:pStyle w:val="26"/>
              <w:ind w:firstLine="480"/>
              <w:rPr>
                <w:rFonts w:hint="eastAsia" w:ascii="Times New Roman" w:hAnsi="Times New Roman" w:eastAsia="宋体"/>
                <w:lang w:eastAsia="zh-CN"/>
              </w:rPr>
            </w:pPr>
            <w:r>
              <w:rPr>
                <w:rFonts w:hint="eastAsia" w:ascii="Times New Roman" w:hAnsi="Times New Roman" w:eastAsia="宋体"/>
              </w:rPr>
              <w:t>勘探活动直接清除地表植被，使其丧失拦截降雨、减缓径流、固持土壤的能力。机械开挖、碾压导致土壤孔隙度下降，团粒结构破坏，降低了土壤的入渗能力和抗蚀能力。形成</w:t>
            </w:r>
            <w:r>
              <w:rPr>
                <w:rFonts w:hint="eastAsia" w:ascii="Times New Roman" w:hAnsi="Times New Roman" w:eastAsia="宋体"/>
                <w:lang w:val="en-US" w:eastAsia="zh-CN"/>
              </w:rPr>
              <w:t>的</w:t>
            </w:r>
            <w:r>
              <w:rPr>
                <w:rFonts w:hint="eastAsia" w:ascii="Times New Roman" w:hAnsi="Times New Roman" w:eastAsia="宋体"/>
              </w:rPr>
              <w:t>探槽边坡、钻机平台、道路边坡、堆土（渣）场等微地貌，改变了原地表汇流路径，增加了汇水面积和坡度，加剧水流冲刷力</w:t>
            </w:r>
            <w:r>
              <w:rPr>
                <w:rFonts w:hint="eastAsia" w:ascii="Times New Roman" w:hAnsi="Times New Roman" w:eastAsia="宋体"/>
                <w:lang w:eastAsia="zh-CN"/>
              </w:rPr>
              <w:t>。</w:t>
            </w:r>
          </w:p>
          <w:p w14:paraId="1E142B8D">
            <w:pPr>
              <w:pStyle w:val="26"/>
              <w:ind w:firstLine="480"/>
              <w:rPr>
                <w:rFonts w:hint="eastAsia" w:ascii="Times New Roman" w:hAnsi="Times New Roman" w:eastAsia="宋体"/>
              </w:rPr>
            </w:pPr>
            <w:r>
              <w:rPr>
                <w:rFonts w:hint="eastAsia" w:ascii="Times New Roman" w:hAnsi="Times New Roman" w:eastAsia="宋体"/>
              </w:rPr>
              <w:fldChar w:fldCharType="begin"/>
            </w:r>
            <w:r>
              <w:rPr>
                <w:rFonts w:hint="eastAsia" w:ascii="Times New Roman" w:hAnsi="Times New Roman" w:eastAsia="宋体"/>
              </w:rPr>
              <w:instrText xml:space="preserve"> = 3 \* GB3 \* MERGEFORMAT </w:instrText>
            </w:r>
            <w:r>
              <w:rPr>
                <w:rFonts w:hint="eastAsia" w:ascii="Times New Roman" w:hAnsi="Times New Roman" w:eastAsia="宋体"/>
              </w:rPr>
              <w:fldChar w:fldCharType="separate"/>
            </w:r>
            <w:r>
              <w:t>③</w:t>
            </w:r>
            <w:r>
              <w:rPr>
                <w:rFonts w:hint="eastAsia" w:ascii="Times New Roman" w:hAnsi="Times New Roman" w:eastAsia="宋体"/>
              </w:rPr>
              <w:fldChar w:fldCharType="end"/>
            </w:r>
            <w:r>
              <w:rPr>
                <w:rFonts w:hint="eastAsia" w:ascii="Times New Roman" w:hAnsi="Times New Roman" w:eastAsia="宋体"/>
              </w:rPr>
              <w:t>松散堆积物易蚀源丰富</w:t>
            </w:r>
          </w:p>
          <w:p w14:paraId="4B1F24E1">
            <w:pPr>
              <w:pStyle w:val="26"/>
              <w:ind w:firstLine="480"/>
              <w:rPr>
                <w:rFonts w:hint="eastAsia" w:ascii="Times New Roman" w:hAnsi="Times New Roman" w:eastAsia="宋体"/>
              </w:rPr>
            </w:pPr>
            <w:r>
              <w:rPr>
                <w:rFonts w:hint="eastAsia" w:ascii="Times New Roman" w:hAnsi="Times New Roman" w:eastAsia="宋体"/>
              </w:rPr>
              <w:t>槽探、钻探平台建设等</w:t>
            </w:r>
            <w:r>
              <w:rPr>
                <w:rFonts w:hint="eastAsia" w:ascii="Times New Roman" w:hAnsi="Times New Roman" w:eastAsia="宋体"/>
                <w:lang w:val="en-US" w:eastAsia="zh-CN"/>
              </w:rPr>
              <w:t>产生</w:t>
            </w:r>
            <w:r>
              <w:rPr>
                <w:rFonts w:hint="eastAsia" w:ascii="Times New Roman" w:hAnsi="Times New Roman" w:eastAsia="宋体"/>
              </w:rPr>
              <w:t>的松散岩土，若堆放不当（如堆放在坡面、沟道边，未压实、未防护），</w:t>
            </w:r>
            <w:r>
              <w:rPr>
                <w:rFonts w:hint="eastAsia" w:ascii="Times New Roman" w:hAnsi="Times New Roman" w:eastAsia="宋体"/>
                <w:lang w:val="en-US" w:eastAsia="zh-CN"/>
              </w:rPr>
              <w:t>会</w:t>
            </w:r>
            <w:r>
              <w:rPr>
                <w:rFonts w:hint="eastAsia" w:ascii="Times New Roman" w:hAnsi="Times New Roman" w:eastAsia="宋体"/>
              </w:rPr>
              <w:t>成为极易被水流冲刷携带的物源。</w:t>
            </w:r>
          </w:p>
          <w:p w14:paraId="020A5B0C">
            <w:pPr>
              <w:pStyle w:val="26"/>
              <w:ind w:firstLine="480"/>
              <w:rPr>
                <w:rFonts w:hint="eastAsia" w:ascii="Times New Roman" w:hAnsi="Times New Roman" w:eastAsia="宋体"/>
              </w:rPr>
            </w:pPr>
            <w:r>
              <w:rPr>
                <w:rFonts w:hint="eastAsia" w:ascii="Times New Roman" w:hAnsi="Times New Roman" w:eastAsia="宋体"/>
              </w:rPr>
              <w:fldChar w:fldCharType="begin"/>
            </w:r>
            <w:r>
              <w:rPr>
                <w:rFonts w:hint="eastAsia" w:ascii="Times New Roman" w:hAnsi="Times New Roman" w:eastAsia="宋体"/>
              </w:rPr>
              <w:instrText xml:space="preserve"> = 4 \* GB3 \* MERGEFORMAT </w:instrText>
            </w:r>
            <w:r>
              <w:rPr>
                <w:rFonts w:hint="eastAsia" w:ascii="Times New Roman" w:hAnsi="Times New Roman" w:eastAsia="宋体"/>
              </w:rPr>
              <w:fldChar w:fldCharType="separate"/>
            </w:r>
            <w:r>
              <w:t>④</w:t>
            </w:r>
            <w:r>
              <w:rPr>
                <w:rFonts w:hint="eastAsia" w:ascii="Times New Roman" w:hAnsi="Times New Roman" w:eastAsia="宋体"/>
              </w:rPr>
              <w:fldChar w:fldCharType="end"/>
            </w:r>
            <w:r>
              <w:rPr>
                <w:rFonts w:hint="eastAsia" w:ascii="Times New Roman" w:hAnsi="Times New Roman" w:eastAsia="宋体"/>
              </w:rPr>
              <w:t>水文过程改变</w:t>
            </w:r>
          </w:p>
          <w:p w14:paraId="0F0EAC58">
            <w:pPr>
              <w:pStyle w:val="26"/>
              <w:ind w:firstLine="480"/>
              <w:rPr>
                <w:rFonts w:hint="eastAsia" w:ascii="Times New Roman" w:hAnsi="Times New Roman" w:eastAsia="宋体"/>
                <w:lang w:val="en-US" w:eastAsia="zh-CN"/>
              </w:rPr>
            </w:pPr>
            <w:r>
              <w:rPr>
                <w:rFonts w:hint="eastAsia" w:ascii="Times New Roman" w:hAnsi="Times New Roman" w:eastAsia="宋体"/>
                <w:lang w:eastAsia="zh-CN"/>
              </w:rPr>
              <w:t>降雨是诱发水土流失的主要动力。勘探期若处于雨季，水土流失风险将成倍增加。融雪期、冻融交替期也易发生侵蚀。大风天气会加剧地表松散物质的扬尘和风蚀（尤其在干旱</w:t>
            </w:r>
            <w:r>
              <w:rPr>
                <w:rFonts w:hint="eastAsia" w:ascii="Times New Roman" w:hAnsi="Times New Roman"/>
                <w:lang w:eastAsia="zh-CN"/>
              </w:rPr>
              <w:t>、</w:t>
            </w:r>
            <w:r>
              <w:rPr>
                <w:rFonts w:hint="eastAsia" w:ascii="Times New Roman" w:hAnsi="Times New Roman" w:eastAsia="宋体"/>
                <w:lang w:eastAsia="zh-CN"/>
              </w:rPr>
              <w:t>半干旱区）。</w:t>
            </w:r>
          </w:p>
          <w:p w14:paraId="719DEF07">
            <w:pPr>
              <w:pStyle w:val="26"/>
              <w:ind w:left="2" w:firstLine="482"/>
              <w:rPr>
                <w:rFonts w:hint="eastAsia"/>
                <w:b/>
                <w:bCs/>
              </w:rPr>
            </w:pPr>
            <w:r>
              <w:rPr>
                <w:rFonts w:hint="eastAsia" w:ascii="Times New Roman" w:hAnsi="Times New Roman" w:eastAsia="宋体" w:cs="宋体"/>
                <w:highlight w:val="none"/>
              </w:rPr>
              <w:t>（</w:t>
            </w:r>
            <w:r>
              <w:rPr>
                <w:rFonts w:hint="eastAsia" w:ascii="Times New Roman" w:hAnsi="Times New Roman" w:eastAsia="宋体" w:cs="宋体"/>
                <w:highlight w:val="none"/>
                <w:lang w:val="en-US" w:eastAsia="zh-CN"/>
              </w:rPr>
              <w:t>5</w:t>
            </w:r>
            <w:r>
              <w:rPr>
                <w:rFonts w:hint="eastAsia" w:ascii="Times New Roman" w:hAnsi="Times New Roman" w:eastAsia="宋体" w:cs="宋体"/>
                <w:highlight w:val="none"/>
              </w:rPr>
              <w:t>）</w:t>
            </w:r>
            <w:bookmarkStart w:id="23" w:name="_Hlk143602167"/>
            <w:r>
              <w:rPr>
                <w:rFonts w:hint="eastAsia" w:ascii="Times New Roman" w:hAnsi="Times New Roman" w:eastAsia="宋体" w:cs="宋体"/>
              </w:rPr>
              <w:t>对区域土地沙化的影响分析</w:t>
            </w:r>
            <w:bookmarkEnd w:id="23"/>
          </w:p>
          <w:p w14:paraId="57A0BD63">
            <w:pPr>
              <w:pStyle w:val="26"/>
              <w:ind w:left="2" w:firstLine="480"/>
              <w:rPr>
                <w:rFonts w:hint="eastAsia"/>
                <w:highlight w:val="none"/>
              </w:rPr>
            </w:pPr>
            <w:r>
              <w:rPr>
                <w:rFonts w:hint="eastAsia"/>
                <w:highlight w:val="none"/>
              </w:rPr>
              <w:t>项目区地处干旱的荒漠区，在半干旱、干旱荒漠区都广泛分布和发育着生物土壤结皮，地表一般分布着生物土壤结皮—土壤表层由苔藓、藻类、地衣等隐花植物和微生物菌类等为主体的生物组分与土壤构成的有机复合体。</w:t>
            </w:r>
          </w:p>
          <w:p w14:paraId="3CD9EC3E">
            <w:pPr>
              <w:pStyle w:val="26"/>
              <w:ind w:firstLine="480"/>
              <w:rPr>
                <w:rFonts w:hint="eastAsia" w:ascii="Times New Roman" w:hAnsi="Times New Roman" w:eastAsia="宋体"/>
              </w:rPr>
            </w:pPr>
            <w:r>
              <w:rPr>
                <w:rFonts w:hint="eastAsia"/>
              </w:rPr>
              <w:t>项目实施过程中将会破坏占地范围内的土壤表层稳定结皮和地表荒漠植被，项目所在区域具有多风、降水量偏低等气候特征，地表稳定结皮被破坏后，在大风天气条件下，施工会使占地范围内的土地就地起尘，造成局部水土流失，严重时可能导致沙化。但是由于项目</w:t>
            </w:r>
            <w:r>
              <w:rPr>
                <w:rFonts w:hint="eastAsia"/>
                <w:lang w:val="en-US" w:eastAsia="zh-CN"/>
              </w:rPr>
              <w:t>实际</w:t>
            </w:r>
            <w:r>
              <w:rPr>
                <w:rFonts w:hint="eastAsia"/>
              </w:rPr>
              <w:t>占地范围较小，施工时间短，施工结束后及时对临时占地范围内场地进行平整和清理，尽量利用施工时产生的表层土对临时占地进行覆盖，采用自然恢复的方式对区域植被进行恢复。综上所述，本项目对区域土地沙化影响不大。</w:t>
            </w:r>
          </w:p>
          <w:bookmarkEnd w:id="22"/>
          <w:p w14:paraId="52091A68">
            <w:pPr>
              <w:pStyle w:val="26"/>
              <w:ind w:left="0" w:leftChars="0" w:firstLine="0" w:firstLineChars="0"/>
              <w:rPr>
                <w:rFonts w:hint="eastAsia" w:ascii="Times New Roman" w:hAnsi="Times New Roman" w:eastAsia="宋体"/>
                <w:b/>
                <w:bCs/>
              </w:rPr>
            </w:pPr>
            <w:r>
              <w:rPr>
                <w:rFonts w:hint="eastAsia" w:ascii="Times New Roman" w:hAnsi="Times New Roman"/>
                <w:b/>
                <w:bCs/>
                <w:lang w:val="en-US" w:eastAsia="zh-CN"/>
              </w:rPr>
              <w:t>2.</w:t>
            </w:r>
            <w:r>
              <w:rPr>
                <w:rFonts w:hint="eastAsia" w:ascii="Times New Roman" w:hAnsi="Times New Roman" w:eastAsia="宋体"/>
                <w:b/>
                <w:bCs/>
              </w:rPr>
              <w:t>大气环境影响分析</w:t>
            </w:r>
          </w:p>
          <w:p w14:paraId="2D34CBE3">
            <w:pPr>
              <w:pStyle w:val="26"/>
              <w:ind w:firstLine="480"/>
              <w:rPr>
                <w:rFonts w:hint="eastAsia" w:ascii="Times New Roman" w:hAnsi="Times New Roman" w:eastAsia="宋体"/>
              </w:rPr>
            </w:pPr>
            <w:r>
              <w:rPr>
                <w:rFonts w:hint="eastAsia" w:ascii="Times New Roman" w:hAnsi="Times New Roman" w:eastAsia="宋体"/>
              </w:rPr>
              <w:t>废气主要为</w:t>
            </w:r>
            <w:r>
              <w:rPr>
                <w:rFonts w:hint="eastAsia" w:ascii="Times New Roman" w:hAnsi="Times New Roman" w:eastAsia="宋体"/>
                <w:lang w:val="en-US" w:eastAsia="zh-CN"/>
              </w:rPr>
              <w:t>施工扬尘、</w:t>
            </w:r>
            <w:r>
              <w:rPr>
                <w:rFonts w:hint="eastAsia" w:ascii="Times New Roman" w:hAnsi="Times New Roman" w:eastAsia="宋体"/>
              </w:rPr>
              <w:t>柴油</w:t>
            </w:r>
            <w:r>
              <w:rPr>
                <w:rFonts w:hint="eastAsia" w:ascii="Times New Roman" w:hAnsi="Times New Roman" w:eastAsia="宋体"/>
                <w:lang w:val="en-US" w:eastAsia="zh-CN"/>
              </w:rPr>
              <w:t>机和</w:t>
            </w:r>
            <w:r>
              <w:rPr>
                <w:rFonts w:hint="eastAsia" w:ascii="Times New Roman" w:hAnsi="Times New Roman" w:eastAsia="宋体"/>
              </w:rPr>
              <w:t>发电机</w:t>
            </w:r>
            <w:r>
              <w:rPr>
                <w:rFonts w:hint="eastAsia" w:ascii="Times New Roman" w:hAnsi="Times New Roman" w:eastAsia="宋体"/>
                <w:lang w:val="en-US" w:eastAsia="zh-CN"/>
              </w:rPr>
              <w:t>产生的</w:t>
            </w:r>
            <w:r>
              <w:rPr>
                <w:rFonts w:hint="eastAsia" w:ascii="Times New Roman" w:hAnsi="Times New Roman" w:eastAsia="宋体"/>
              </w:rPr>
              <w:t>燃</w:t>
            </w:r>
            <w:r>
              <w:rPr>
                <w:rFonts w:hint="eastAsia" w:ascii="Times New Roman" w:hAnsi="Times New Roman" w:eastAsia="宋体"/>
                <w:lang w:val="en-US" w:eastAsia="zh-CN"/>
              </w:rPr>
              <w:t>油废</w:t>
            </w:r>
            <w:r>
              <w:rPr>
                <w:rFonts w:hint="eastAsia" w:ascii="Times New Roman" w:hAnsi="Times New Roman" w:eastAsia="宋体"/>
              </w:rPr>
              <w:t>气</w:t>
            </w:r>
            <w:r>
              <w:rPr>
                <w:rFonts w:hint="eastAsia" w:ascii="Times New Roman" w:hAnsi="Times New Roman" w:eastAsia="宋体"/>
                <w:lang w:eastAsia="zh-CN"/>
              </w:rPr>
              <w:t>、</w:t>
            </w:r>
            <w:r>
              <w:rPr>
                <w:rFonts w:hint="eastAsia" w:ascii="Times New Roman" w:hAnsi="Times New Roman" w:eastAsia="宋体"/>
                <w:lang w:val="en-US" w:eastAsia="zh-CN"/>
              </w:rPr>
              <w:t>施工机械和</w:t>
            </w:r>
            <w:r>
              <w:rPr>
                <w:rFonts w:hint="eastAsia" w:ascii="Times New Roman" w:hAnsi="Times New Roman" w:eastAsia="宋体"/>
              </w:rPr>
              <w:t>施工车辆</w:t>
            </w:r>
            <w:r>
              <w:rPr>
                <w:rFonts w:hint="eastAsia" w:ascii="Times New Roman" w:hAnsi="Times New Roman" w:eastAsia="宋体"/>
                <w:lang w:val="en-US" w:eastAsia="zh-CN"/>
              </w:rPr>
              <w:t>产生的尾气。</w:t>
            </w:r>
          </w:p>
          <w:p w14:paraId="01F8D068">
            <w:pPr>
              <w:pStyle w:val="26"/>
              <w:ind w:firstLine="480"/>
              <w:rPr>
                <w:rFonts w:hint="eastAsia" w:ascii="Times New Roman" w:hAnsi="Times New Roman" w:eastAsia="宋体"/>
              </w:rPr>
            </w:pPr>
            <w:r>
              <w:rPr>
                <w:rFonts w:ascii="Times New Roman" w:hAnsi="Times New Roman" w:eastAsia="宋体"/>
              </w:rPr>
              <w:t>（1）</w:t>
            </w:r>
            <w:r>
              <w:rPr>
                <w:rFonts w:hint="eastAsia" w:ascii="Times New Roman" w:hAnsi="Times New Roman" w:eastAsia="宋体"/>
              </w:rPr>
              <w:t>施工扬尘</w:t>
            </w:r>
          </w:p>
          <w:p w14:paraId="23D0FAB2">
            <w:pPr>
              <w:pStyle w:val="26"/>
              <w:ind w:firstLine="480"/>
              <w:rPr>
                <w:rFonts w:ascii="Times New Roman" w:hAnsi="Times New Roman" w:eastAsia="宋体"/>
              </w:rPr>
            </w:pPr>
            <w:r>
              <w:rPr>
                <w:rFonts w:hint="eastAsia"/>
                <w:spacing w:val="-1"/>
                <w:sz w:val="24"/>
                <w:szCs w:val="24"/>
                <w:lang w:val="en-US" w:eastAsia="zh-CN"/>
              </w:rPr>
              <w:t>槽探</w:t>
            </w:r>
            <w:r>
              <w:rPr>
                <w:spacing w:val="-1"/>
                <w:sz w:val="24"/>
                <w:szCs w:val="24"/>
              </w:rPr>
              <w:t>时表土剥离</w:t>
            </w:r>
            <w:r>
              <w:rPr>
                <w:rFonts w:hint="eastAsia"/>
                <w:spacing w:val="-1"/>
                <w:sz w:val="24"/>
                <w:szCs w:val="24"/>
                <w:lang w:eastAsia="zh-CN"/>
              </w:rPr>
              <w:t>、</w:t>
            </w:r>
            <w:r>
              <w:rPr>
                <w:rFonts w:hint="eastAsia"/>
                <w:spacing w:val="-1"/>
                <w:sz w:val="24"/>
                <w:szCs w:val="24"/>
                <w:lang w:val="en-US" w:eastAsia="zh-CN"/>
              </w:rPr>
              <w:t>人工挖掘</w:t>
            </w:r>
            <w:r>
              <w:rPr>
                <w:spacing w:val="-1"/>
                <w:sz w:val="24"/>
                <w:szCs w:val="24"/>
              </w:rPr>
              <w:t>钻</w:t>
            </w:r>
            <w:r>
              <w:rPr>
                <w:rFonts w:hint="eastAsia"/>
                <w:spacing w:val="-1"/>
                <w:sz w:val="24"/>
                <w:szCs w:val="24"/>
                <w:lang w:val="en-US" w:eastAsia="zh-CN"/>
              </w:rPr>
              <w:t>机进出场道路</w:t>
            </w:r>
            <w:r>
              <w:rPr>
                <w:spacing w:val="-1"/>
                <w:sz w:val="24"/>
                <w:szCs w:val="24"/>
              </w:rPr>
              <w:t>、</w:t>
            </w:r>
            <w:r>
              <w:rPr>
                <w:rFonts w:hint="eastAsia"/>
                <w:spacing w:val="-1"/>
                <w:sz w:val="24"/>
                <w:szCs w:val="24"/>
                <w:lang w:val="en-US" w:eastAsia="zh-CN"/>
              </w:rPr>
              <w:t>钻探场地平整、</w:t>
            </w:r>
            <w:r>
              <w:rPr>
                <w:spacing w:val="-1"/>
                <w:sz w:val="24"/>
                <w:szCs w:val="24"/>
              </w:rPr>
              <w:t>弃渣堆存</w:t>
            </w:r>
            <w:r>
              <w:rPr>
                <w:rFonts w:hint="eastAsia" w:ascii="Times New Roman" w:hAnsi="Times New Roman" w:eastAsia="宋体"/>
              </w:rPr>
              <w:t>及</w:t>
            </w:r>
            <w:r>
              <w:rPr>
                <w:rFonts w:hint="eastAsia" w:ascii="Times New Roman" w:hAnsi="Times New Roman" w:eastAsia="宋体"/>
                <w:lang w:val="en-US" w:eastAsia="zh-CN"/>
              </w:rPr>
              <w:t>施工</w:t>
            </w:r>
            <w:r>
              <w:rPr>
                <w:rFonts w:hint="eastAsia" w:ascii="Times New Roman" w:hAnsi="Times New Roman" w:eastAsia="宋体"/>
              </w:rPr>
              <w:t>车辆运输</w:t>
            </w:r>
            <w:r>
              <w:rPr>
                <w:rFonts w:hint="eastAsia" w:ascii="Times New Roman" w:hAnsi="Times New Roman" w:eastAsia="宋体"/>
                <w:lang w:val="en-US" w:eastAsia="zh-CN"/>
              </w:rPr>
              <w:t>物料等过程均</w:t>
            </w:r>
            <w:r>
              <w:rPr>
                <w:rFonts w:hint="eastAsia" w:ascii="Times New Roman" w:hAnsi="Times New Roman" w:eastAsia="宋体"/>
              </w:rPr>
              <w:t>会产生扬尘，对周围大气环境产生一定的影响</w:t>
            </w:r>
            <w:r>
              <w:rPr>
                <w:rFonts w:hint="eastAsia" w:ascii="Times New Roman" w:hAnsi="Times New Roman"/>
                <w:lang w:eastAsia="zh-CN"/>
              </w:rPr>
              <w:t>；在</w:t>
            </w:r>
            <w:r>
              <w:rPr>
                <w:rFonts w:hint="eastAsia" w:ascii="Times New Roman" w:hAnsi="Times New Roman" w:eastAsia="宋体"/>
              </w:rPr>
              <w:t>施工期加强管理</w:t>
            </w:r>
            <w:r>
              <w:rPr>
                <w:rFonts w:hint="eastAsia" w:ascii="Times New Roman" w:hAnsi="Times New Roman" w:eastAsia="宋体"/>
                <w:lang w:eastAsia="zh-CN"/>
              </w:rPr>
              <w:t>，</w:t>
            </w:r>
            <w:r>
              <w:rPr>
                <w:rFonts w:hint="eastAsia" w:ascii="Times New Roman" w:hAnsi="Times New Roman" w:eastAsia="宋体"/>
              </w:rPr>
              <w:t>对易起尘物料进行遮盖、</w:t>
            </w:r>
            <w:r>
              <w:rPr>
                <w:rFonts w:hint="eastAsia" w:ascii="Times New Roman" w:hAnsi="Times New Roman" w:eastAsia="宋体"/>
                <w:lang w:val="en-US" w:eastAsia="zh-CN"/>
              </w:rPr>
              <w:t>运输</w:t>
            </w:r>
            <w:r>
              <w:rPr>
                <w:rFonts w:hint="eastAsia" w:ascii="Times New Roman" w:hAnsi="Times New Roman" w:eastAsia="宋体"/>
              </w:rPr>
              <w:t>车辆低速慢行</w:t>
            </w:r>
            <w:r>
              <w:rPr>
                <w:rFonts w:hint="eastAsia" w:ascii="Times New Roman" w:hAnsi="Times New Roman" w:eastAsia="宋体"/>
                <w:lang w:val="en-US" w:eastAsia="zh-CN"/>
              </w:rPr>
              <w:t>并</w:t>
            </w:r>
            <w:r>
              <w:rPr>
                <w:rFonts w:hint="eastAsia" w:ascii="Times New Roman" w:hAnsi="Times New Roman" w:eastAsia="宋体" w:cs="宋体"/>
              </w:rPr>
              <w:t>采取密闭或遮盖措施</w:t>
            </w:r>
            <w:r>
              <w:rPr>
                <w:rFonts w:hint="eastAsia" w:ascii="Times New Roman" w:hAnsi="Times New Roman" w:eastAsia="宋体"/>
              </w:rPr>
              <w:t>等措施，且扬尘随着施工期的结束而消失，对周围大气环境产生</w:t>
            </w:r>
            <w:r>
              <w:rPr>
                <w:rFonts w:hint="eastAsia" w:ascii="Times New Roman" w:hAnsi="Times New Roman" w:eastAsia="宋体"/>
                <w:lang w:val="en-US" w:eastAsia="zh-CN"/>
              </w:rPr>
              <w:t>的</w:t>
            </w:r>
            <w:r>
              <w:rPr>
                <w:rFonts w:hint="eastAsia" w:ascii="Times New Roman" w:hAnsi="Times New Roman" w:eastAsia="宋体"/>
              </w:rPr>
              <w:t>影响</w:t>
            </w:r>
            <w:r>
              <w:rPr>
                <w:rFonts w:hint="eastAsia" w:ascii="Times New Roman" w:hAnsi="Times New Roman" w:eastAsia="宋体"/>
                <w:lang w:val="en-US" w:eastAsia="zh-CN"/>
              </w:rPr>
              <w:t>较小</w:t>
            </w:r>
            <w:r>
              <w:rPr>
                <w:rFonts w:hint="eastAsia" w:ascii="Times New Roman" w:hAnsi="Times New Roman" w:eastAsia="宋体"/>
              </w:rPr>
              <w:t>。</w:t>
            </w:r>
          </w:p>
          <w:p w14:paraId="548FF19B">
            <w:pPr>
              <w:pStyle w:val="26"/>
              <w:ind w:firstLine="480"/>
              <w:rPr>
                <w:rFonts w:hint="eastAsia" w:ascii="Times New Roman" w:hAnsi="Times New Roman" w:eastAsia="宋体"/>
              </w:rPr>
            </w:pPr>
            <w:r>
              <w:rPr>
                <w:rFonts w:hint="eastAsia" w:ascii="Times New Roman" w:hAnsi="Times New Roman" w:eastAsia="宋体"/>
              </w:rPr>
              <w:t>（2）柴油机</w:t>
            </w:r>
            <w:r>
              <w:rPr>
                <w:rFonts w:hint="eastAsia" w:ascii="Times New Roman" w:hAnsi="Times New Roman" w:eastAsia="宋体"/>
                <w:lang w:val="en-US" w:eastAsia="zh-CN"/>
              </w:rPr>
              <w:t>、</w:t>
            </w:r>
            <w:r>
              <w:rPr>
                <w:rFonts w:hint="eastAsia" w:ascii="Times New Roman" w:hAnsi="Times New Roman" w:eastAsia="宋体"/>
              </w:rPr>
              <w:t>发电机</w:t>
            </w:r>
            <w:r>
              <w:rPr>
                <w:rFonts w:hint="eastAsia" w:ascii="Times New Roman" w:hAnsi="Times New Roman" w:eastAsia="宋体"/>
                <w:lang w:val="en-US" w:eastAsia="zh-CN"/>
              </w:rPr>
              <w:t>产生的燃油废</w:t>
            </w:r>
            <w:r>
              <w:rPr>
                <w:rFonts w:hint="eastAsia" w:ascii="Times New Roman" w:hAnsi="Times New Roman" w:eastAsia="宋体"/>
              </w:rPr>
              <w:t>气</w:t>
            </w:r>
          </w:p>
          <w:p w14:paraId="7188BE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pPr>
            <w:r>
              <w:rPr>
                <w:rFonts w:hint="default" w:ascii="Times New Roman" w:hAnsi="Times New Roman" w:eastAsia="华文中宋" w:cs="Times New Roman"/>
                <w:color w:val="000000" w:themeColor="text1"/>
                <w:kern w:val="0"/>
                <w:sz w:val="24"/>
                <w:szCs w:val="21"/>
                <w14:textFill>
                  <w14:solidFill>
                    <w14:schemeClr w14:val="tx1"/>
                  </w14:solidFill>
                </w14:textFill>
              </w:rPr>
              <w:t>根据勘探方案，项目选用</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2</w:t>
            </w:r>
            <w:r>
              <w:rPr>
                <w:rFonts w:hint="default" w:ascii="Times New Roman" w:hAnsi="Times New Roman" w:eastAsia="华文中宋" w:cs="Times New Roman"/>
                <w:color w:val="000000" w:themeColor="text1"/>
                <w:kern w:val="0"/>
                <w:sz w:val="24"/>
                <w:szCs w:val="21"/>
                <w14:textFill>
                  <w14:solidFill>
                    <w14:schemeClr w14:val="tx1"/>
                  </w14:solidFill>
                </w14:textFill>
              </w:rPr>
              <w:t>台</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50</w:t>
            </w:r>
            <w:r>
              <w:rPr>
                <w:rFonts w:hint="default" w:ascii="Times New Roman" w:hAnsi="Times New Roman" w:eastAsia="华文中宋" w:cs="Times New Roman"/>
                <w:color w:val="000000" w:themeColor="text1"/>
                <w:kern w:val="0"/>
                <w:sz w:val="24"/>
                <w:szCs w:val="21"/>
                <w:lang w:val="en-US" w:eastAsia="zh-CN"/>
                <w14:textFill>
                  <w14:solidFill>
                    <w14:schemeClr w14:val="tx1"/>
                  </w14:solidFill>
                </w14:textFill>
              </w:rPr>
              <w:t>kW</w:t>
            </w:r>
            <w:r>
              <w:rPr>
                <w:rFonts w:hint="eastAsia" w:ascii="Times New Roman" w:hAnsi="Times New Roman" w:eastAsia="宋体"/>
                <w:lang w:val="en-US" w:eastAsia="zh-CN"/>
              </w:rPr>
              <w:t>柴油</w:t>
            </w:r>
            <w:r>
              <w:rPr>
                <w:rFonts w:hint="default" w:ascii="Times New Roman" w:hAnsi="Times New Roman" w:eastAsia="华文中宋" w:cs="Times New Roman"/>
                <w:color w:val="000000" w:themeColor="text1"/>
                <w:kern w:val="0"/>
                <w:sz w:val="24"/>
                <w:szCs w:val="21"/>
                <w14:textFill>
                  <w14:solidFill>
                    <w14:schemeClr w14:val="tx1"/>
                  </w14:solidFill>
                </w14:textFill>
              </w:rPr>
              <w:t>发电机提供项目</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生产和生活用电</w:t>
            </w:r>
            <w:r>
              <w:rPr>
                <w:rFonts w:hint="default" w:ascii="Times New Roman" w:hAnsi="Times New Roman" w:eastAsia="华文中宋" w:cs="Times New Roman"/>
                <w:color w:val="000000" w:themeColor="text1"/>
                <w:kern w:val="0"/>
                <w:sz w:val="24"/>
                <w:szCs w:val="21"/>
                <w14:textFill>
                  <w14:solidFill>
                    <w14:schemeClr w14:val="tx1"/>
                  </w14:solidFill>
                </w14:textFill>
              </w:rPr>
              <w:t>，正常情况下，动力机燃油消耗为20</w:t>
            </w:r>
            <w:r>
              <w:rPr>
                <w:rFonts w:hint="default" w:ascii="Times New Roman" w:hAnsi="Times New Roman" w:eastAsia="华文中宋" w:cs="Times New Roman"/>
                <w:color w:val="000000" w:themeColor="text1"/>
                <w:kern w:val="0"/>
                <w:sz w:val="24"/>
                <w:szCs w:val="21"/>
                <w:lang w:val="en-US" w:eastAsia="zh-CN"/>
                <w14:textFill>
                  <w14:solidFill>
                    <w14:schemeClr w14:val="tx1"/>
                  </w14:solidFill>
                </w14:textFill>
              </w:rPr>
              <w:t>5</w:t>
            </w:r>
            <w:r>
              <w:rPr>
                <w:rFonts w:hint="default" w:ascii="Times New Roman" w:hAnsi="Times New Roman" w:eastAsia="华文中宋" w:cs="Times New Roman"/>
                <w:color w:val="000000" w:themeColor="text1"/>
                <w:kern w:val="0"/>
                <w:sz w:val="24"/>
                <w:szCs w:val="21"/>
                <w14:textFill>
                  <w14:solidFill>
                    <w14:schemeClr w14:val="tx1"/>
                  </w14:solidFill>
                </w14:textFill>
              </w:rPr>
              <w:t>g/</w:t>
            </w:r>
            <w:r>
              <w:rPr>
                <w:rFonts w:hint="default" w:ascii="Times New Roman" w:hAnsi="Times New Roman" w:eastAsia="华文中宋" w:cs="Times New Roman"/>
                <w:color w:val="000000" w:themeColor="text1"/>
                <w:kern w:val="0"/>
                <w:sz w:val="24"/>
                <w:szCs w:val="21"/>
                <w:lang w:eastAsia="zh-CN"/>
                <w14:textFill>
                  <w14:solidFill>
                    <w14:schemeClr w14:val="tx1"/>
                  </w14:solidFill>
                </w14:textFill>
              </w:rPr>
              <w:t>kW</w:t>
            </w:r>
            <w:r>
              <w:rPr>
                <w:rFonts w:hint="default" w:ascii="Times New Roman" w:hAnsi="Times New Roman" w:eastAsia="华文中宋" w:cs="Times New Roman"/>
                <w:color w:val="000000" w:themeColor="text1"/>
                <w:kern w:val="0"/>
                <w:sz w:val="24"/>
                <w:szCs w:val="21"/>
                <w14:textFill>
                  <w14:solidFill>
                    <w14:schemeClr w14:val="tx1"/>
                  </w14:solidFill>
                </w14:textFill>
              </w:rPr>
              <w:t>·h，本项目</w:t>
            </w:r>
            <w:r>
              <w:rPr>
                <w:rFonts w:hint="default" w:ascii="Times New Roman" w:hAnsi="Times New Roman" w:eastAsia="华文中宋" w:cs="Times New Roman"/>
                <w:color w:val="000000" w:themeColor="text1"/>
                <w:kern w:val="0"/>
                <w:sz w:val="24"/>
                <w:szCs w:val="21"/>
                <w:lang w:eastAsia="zh-CN"/>
                <w14:textFill>
                  <w14:solidFill>
                    <w14:schemeClr w14:val="tx1"/>
                  </w14:solidFill>
                </w14:textFill>
              </w:rPr>
              <w:t>实际</w:t>
            </w:r>
            <w:r>
              <w:rPr>
                <w:rFonts w:hint="default" w:ascii="Times New Roman" w:hAnsi="Times New Roman" w:eastAsia="华文中宋" w:cs="Times New Roman"/>
                <w:color w:val="000000" w:themeColor="text1"/>
                <w:kern w:val="0"/>
                <w:sz w:val="24"/>
                <w:szCs w:val="21"/>
                <w14:textFill>
                  <w14:solidFill>
                    <w14:schemeClr w14:val="tx1"/>
                  </w14:solidFill>
                </w14:textFill>
              </w:rPr>
              <w:t>勘探</w:t>
            </w:r>
            <w:r>
              <w:rPr>
                <w:rFonts w:hint="eastAsia" w:eastAsia="华文中宋" w:cs="Times New Roman"/>
                <w:color w:val="000000" w:themeColor="text1"/>
                <w:kern w:val="0"/>
                <w:sz w:val="24"/>
                <w:szCs w:val="21"/>
                <w:lang w:val="en-US" w:eastAsia="zh-CN"/>
                <w14:textFill>
                  <w14:solidFill>
                    <w14:schemeClr w14:val="tx1"/>
                  </w14:solidFill>
                </w14:textFill>
              </w:rPr>
              <w:t>时间</w:t>
            </w:r>
            <w:r>
              <w:rPr>
                <w:rFonts w:hint="default" w:ascii="Times New Roman" w:hAnsi="Times New Roman" w:eastAsia="华文中宋" w:cs="Times New Roman"/>
                <w:color w:val="000000" w:themeColor="text1"/>
                <w:kern w:val="0"/>
                <w:sz w:val="24"/>
                <w:szCs w:val="21"/>
                <w14:textFill>
                  <w14:solidFill>
                    <w14:schemeClr w14:val="tx1"/>
                  </w14:solidFill>
                </w14:textFill>
              </w:rPr>
              <w:t>为</w:t>
            </w:r>
            <w:r>
              <w:rPr>
                <w:rFonts w:hint="eastAsia" w:eastAsia="华文中宋" w:cs="Times New Roman"/>
                <w:color w:val="000000" w:themeColor="text1"/>
                <w:kern w:val="0"/>
                <w:sz w:val="24"/>
                <w:szCs w:val="21"/>
                <w:lang w:val="en-US" w:eastAsia="zh-CN"/>
                <w14:textFill>
                  <w14:solidFill>
                    <w14:schemeClr w14:val="tx1"/>
                  </w14:solidFill>
                </w14:textFill>
              </w:rPr>
              <w:t>210</w:t>
            </w:r>
            <w:r>
              <w:rPr>
                <w:rFonts w:hint="default" w:ascii="Times New Roman" w:hAnsi="Times New Roman" w:eastAsia="华文中宋" w:cs="Times New Roman"/>
                <w:color w:val="000000" w:themeColor="text1"/>
                <w:kern w:val="0"/>
                <w:sz w:val="24"/>
                <w:szCs w:val="21"/>
                <w14:textFill>
                  <w14:solidFill>
                    <w14:schemeClr w14:val="tx1"/>
                  </w14:solidFill>
                </w14:textFill>
              </w:rPr>
              <w:t>天</w:t>
            </w:r>
            <w:r>
              <w:rPr>
                <w:rFonts w:hint="eastAsia" w:eastAsia="华文中宋" w:cs="Times New Roman"/>
                <w:color w:val="000000" w:themeColor="text1"/>
                <w:kern w:val="0"/>
                <w:sz w:val="24"/>
                <w:szCs w:val="21"/>
                <w:lang w:val="en-US" w:eastAsia="zh-CN"/>
                <w14:textFill>
                  <w14:solidFill>
                    <w14:schemeClr w14:val="tx1"/>
                  </w14:solidFill>
                </w14:textFill>
              </w:rPr>
              <w:t>/年</w:t>
            </w:r>
            <w:r>
              <w:rPr>
                <w:rFonts w:hint="default" w:ascii="Times New Roman" w:hAnsi="Times New Roman" w:eastAsia="华文中宋" w:cs="Times New Roman"/>
                <w:color w:val="000000" w:themeColor="text1"/>
                <w:kern w:val="0"/>
                <w:sz w:val="24"/>
                <w:szCs w:val="21"/>
                <w14:textFill>
                  <w14:solidFill>
                    <w14:schemeClr w14:val="tx1"/>
                  </w14:solidFill>
                </w14:textFill>
              </w:rPr>
              <w:t>，每天工作</w:t>
            </w:r>
            <w:r>
              <w:rPr>
                <w:rFonts w:hint="eastAsia" w:eastAsia="华文中宋" w:cs="Times New Roman"/>
                <w:color w:val="000000" w:themeColor="text1"/>
                <w:kern w:val="0"/>
                <w:sz w:val="24"/>
                <w:szCs w:val="21"/>
                <w:lang w:val="en-US" w:eastAsia="zh-CN"/>
                <w14:textFill>
                  <w14:solidFill>
                    <w14:schemeClr w14:val="tx1"/>
                  </w14:solidFill>
                </w14:textFill>
              </w:rPr>
              <w:t>8</w:t>
            </w:r>
            <w:r>
              <w:rPr>
                <w:rFonts w:hint="default" w:ascii="Times New Roman" w:hAnsi="Times New Roman" w:eastAsia="华文中宋" w:cs="Times New Roman"/>
                <w:color w:val="000000" w:themeColor="text1"/>
                <w:kern w:val="0"/>
                <w:sz w:val="24"/>
                <w:szCs w:val="21"/>
                <w14:textFill>
                  <w14:solidFill>
                    <w14:schemeClr w14:val="tx1"/>
                  </w14:solidFill>
                </w14:textFill>
              </w:rPr>
              <w:t>小时，</w:t>
            </w:r>
            <w:r>
              <w:rPr>
                <w:rFonts w:hint="eastAsia" w:eastAsia="华文中宋" w:cs="Times New Roman"/>
                <w:color w:val="000000" w:themeColor="text1"/>
                <w:kern w:val="0"/>
                <w:sz w:val="24"/>
                <w:szCs w:val="21"/>
                <w:lang w:val="en-US" w:eastAsia="zh-CN"/>
                <w14:textFill>
                  <w14:solidFill>
                    <w14:schemeClr w14:val="tx1"/>
                  </w14:solidFill>
                </w14:textFill>
              </w:rPr>
              <w:t>耗油量为34.44t/a（</w:t>
            </w:r>
            <w:r>
              <w:rPr>
                <w:rFonts w:hint="default" w:ascii="Times New Roman" w:hAnsi="Times New Roman" w:eastAsia="华文中宋" w:cs="Times New Roman"/>
                <w:color w:val="000000" w:themeColor="text1"/>
                <w:kern w:val="0"/>
                <w:sz w:val="24"/>
                <w:szCs w:val="21"/>
                <w:lang w:val="en-US" w:eastAsia="zh-CN"/>
                <w14:textFill>
                  <w14:solidFill>
                    <w14:schemeClr w14:val="tx1"/>
                  </w14:solidFill>
                </w14:textFill>
              </w:rPr>
              <w:t>2×</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5</w:t>
            </w:r>
            <w:r>
              <w:rPr>
                <w:rFonts w:hint="default" w:ascii="Times New Roman" w:hAnsi="Times New Roman" w:eastAsia="华文中宋" w:cs="Times New Roman"/>
                <w:color w:val="000000" w:themeColor="text1"/>
                <w:kern w:val="0"/>
                <w:sz w:val="24"/>
                <w:szCs w:val="21"/>
                <w:lang w:val="en-US" w:eastAsia="zh-CN"/>
                <w14:textFill>
                  <w14:solidFill>
                    <w14:schemeClr w14:val="tx1"/>
                  </w14:solidFill>
                </w14:textFill>
              </w:rPr>
              <w:t>0×</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210</w:t>
            </w:r>
            <w:r>
              <w:rPr>
                <w:rFonts w:hint="default" w:ascii="Times New Roman" w:hAnsi="Times New Roman" w:eastAsia="华文中宋" w:cs="Times New Roman"/>
                <w:color w:val="000000" w:themeColor="text1"/>
                <w:kern w:val="0"/>
                <w:sz w:val="24"/>
                <w:szCs w:val="21"/>
                <w:lang w:val="en-US" w:eastAsia="zh-CN"/>
                <w14:textFill>
                  <w14:solidFill>
                    <w14:schemeClr w14:val="tx1"/>
                  </w14:solidFill>
                </w14:textFill>
              </w:rPr>
              <w:t>×8×205</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w:t>
            </w:r>
            <w:r>
              <w:rPr>
                <w:rFonts w:hint="default" w:ascii="Times New Roman" w:hAnsi="Times New Roman" w:eastAsia="华文中宋" w:cs="Times New Roman"/>
                <w:color w:val="000000" w:themeColor="text1"/>
                <w:kern w:val="0"/>
                <w:sz w:val="24"/>
                <w:szCs w:val="21"/>
                <w:lang w:val="en-US" w:eastAsia="zh-CN"/>
                <w14:textFill>
                  <w14:solidFill>
                    <w14:schemeClr w14:val="tx1"/>
                  </w14:solidFill>
                </w14:textFill>
              </w:rPr>
              <w:t>1000000</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w:t>
            </w:r>
            <w:r>
              <w:rPr>
                <w:rFonts w:hint="eastAsia" w:eastAsia="华文中宋" w:cs="Times New Roman"/>
                <w:color w:val="000000" w:themeColor="text1"/>
                <w:kern w:val="0"/>
                <w:sz w:val="24"/>
                <w:szCs w:val="21"/>
                <w:lang w:val="en-US" w:eastAsia="zh-CN"/>
                <w14:textFill>
                  <w14:solidFill>
                    <w14:schemeClr w14:val="tx1"/>
                  </w14:solidFill>
                </w14:textFill>
              </w:rPr>
              <w:t>。</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根据《非道路移动源大气污染物排放清单编制技术指南》（生态环境部2014年第92号）中非道路移动机械（柴油发电机组）大气污染物排放量计算方法1，计算CO、NO</w:t>
            </w:r>
            <w:r>
              <w:rPr>
                <w:rFonts w:hint="eastAsia" w:ascii="Times New Roman" w:hAnsi="Times New Roman" w:eastAsia="华文中宋" w:cs="Times New Roman"/>
                <w:color w:val="000000" w:themeColor="text1"/>
                <w:kern w:val="0"/>
                <w:sz w:val="24"/>
                <w:szCs w:val="21"/>
                <w:vertAlign w:val="subscript"/>
                <w:lang w:val="en-US" w:eastAsia="zh-CN"/>
                <w14:textFill>
                  <w14:solidFill>
                    <w14:schemeClr w14:val="tx1"/>
                  </w14:solidFill>
                </w14:textFill>
              </w:rPr>
              <w:t>x</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和THC、PM</w:t>
            </w:r>
            <w:r>
              <w:rPr>
                <w:rFonts w:hint="eastAsia" w:ascii="Times New Roman" w:hAnsi="Times New Roman" w:eastAsia="华文中宋" w:cs="Times New Roman"/>
                <w:color w:val="000000" w:themeColor="text1"/>
                <w:kern w:val="0"/>
                <w:sz w:val="24"/>
                <w:szCs w:val="21"/>
                <w:vertAlign w:val="subscript"/>
                <w:lang w:val="en-US" w:eastAsia="zh-CN"/>
                <w14:textFill>
                  <w14:solidFill>
                    <w14:schemeClr w14:val="tx1"/>
                  </w14:solidFill>
                </w14:textFill>
              </w:rPr>
              <w:t>2.5</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和PM</w:t>
            </w:r>
            <w:r>
              <w:rPr>
                <w:rFonts w:hint="eastAsia" w:ascii="Times New Roman" w:hAnsi="Times New Roman" w:eastAsia="华文中宋" w:cs="Times New Roman"/>
                <w:color w:val="000000" w:themeColor="text1"/>
                <w:kern w:val="0"/>
                <w:sz w:val="24"/>
                <w:szCs w:val="21"/>
                <w:vertAlign w:val="subscript"/>
                <w:lang w:val="en-US" w:eastAsia="zh-CN"/>
                <w14:textFill>
                  <w14:solidFill>
                    <w14:schemeClr w14:val="tx1"/>
                  </w14:solidFill>
                </w14:textFill>
              </w:rPr>
              <w:t>10</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的排放量。计算公式如下：</w:t>
            </w:r>
          </w:p>
          <w:p w14:paraId="556D90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center"/>
              <w:textAlignment w:val="auto"/>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pP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E=（Y</w:t>
            </w:r>
            <w:r>
              <w:rPr>
                <w:rFonts w:hint="default" w:ascii="Times New Roman" w:hAnsi="Times New Roman" w:eastAsia="华文中宋" w:cs="Times New Roman"/>
                <w:color w:val="000000" w:themeColor="text1"/>
                <w:kern w:val="0"/>
                <w:sz w:val="24"/>
                <w:szCs w:val="21"/>
                <w:lang w:val="en-US" w:eastAsia="zh-CN"/>
                <w14:textFill>
                  <w14:solidFill>
                    <w14:schemeClr w14:val="tx1"/>
                  </w14:solidFill>
                </w14:textFill>
              </w:rPr>
              <w:t>×</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EF）</w:t>
            </w:r>
            <w:r>
              <w:rPr>
                <w:rFonts w:hint="default" w:ascii="Times New Roman" w:hAnsi="Times New Roman" w:eastAsia="华文中宋" w:cs="Times New Roman"/>
                <w:color w:val="000000" w:themeColor="text1"/>
                <w:kern w:val="0"/>
                <w:sz w:val="24"/>
                <w:szCs w:val="21"/>
                <w:lang w:val="en-US" w:eastAsia="zh-CN"/>
                <w14:textFill>
                  <w14:solidFill>
                    <w14:schemeClr w14:val="tx1"/>
                  </w14:solidFill>
                </w14:textFill>
              </w:rPr>
              <w:t>×</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10</w:t>
            </w:r>
            <w:r>
              <w:rPr>
                <w:rFonts w:hint="eastAsia" w:ascii="Times New Roman" w:hAnsi="Times New Roman" w:eastAsia="华文中宋" w:cs="Times New Roman"/>
                <w:color w:val="000000" w:themeColor="text1"/>
                <w:kern w:val="0"/>
                <w:sz w:val="24"/>
                <w:szCs w:val="21"/>
                <w:vertAlign w:val="superscript"/>
                <w:lang w:val="en-US" w:eastAsia="zh-CN"/>
                <w14:textFill>
                  <w14:solidFill>
                    <w14:schemeClr w14:val="tx1"/>
                  </w14:solidFill>
                </w14:textFill>
              </w:rPr>
              <w:t>-6</w:t>
            </w:r>
          </w:p>
          <w:p w14:paraId="3ECB72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pP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式中，E为非道路移动机械的CO、NO</w:t>
            </w:r>
            <w:r>
              <w:rPr>
                <w:rFonts w:hint="eastAsia" w:ascii="Times New Roman" w:hAnsi="Times New Roman" w:eastAsia="华文中宋" w:cs="Times New Roman"/>
                <w:color w:val="000000" w:themeColor="text1"/>
                <w:kern w:val="0"/>
                <w:sz w:val="24"/>
                <w:szCs w:val="21"/>
                <w:vertAlign w:val="subscript"/>
                <w:lang w:val="en-US" w:eastAsia="zh-CN"/>
                <w14:textFill>
                  <w14:solidFill>
                    <w14:schemeClr w14:val="tx1"/>
                  </w14:solidFill>
                </w14:textFill>
              </w:rPr>
              <w:t>x</w:t>
            </w:r>
            <w:r>
              <w:rPr>
                <w:rFonts w:hint="eastAsia" w:ascii="Times New Roman" w:hAnsi="Times New Roman" w:eastAsia="华文中宋" w:cs="Times New Roman"/>
                <w:color w:val="000000" w:themeColor="text1"/>
                <w:kern w:val="0"/>
                <w:sz w:val="24"/>
                <w:szCs w:val="21"/>
                <w:vertAlign w:val="baseline"/>
                <w:lang w:val="en-US" w:eastAsia="zh-CN"/>
                <w14:textFill>
                  <w14:solidFill>
                    <w14:schemeClr w14:val="tx1"/>
                  </w14:solidFill>
                </w14:textFill>
              </w:rPr>
              <w:t>、</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THC、PM</w:t>
            </w:r>
            <w:r>
              <w:rPr>
                <w:rFonts w:hint="eastAsia" w:ascii="Times New Roman" w:hAnsi="Times New Roman" w:eastAsia="华文中宋" w:cs="Times New Roman"/>
                <w:color w:val="000000" w:themeColor="text1"/>
                <w:kern w:val="0"/>
                <w:sz w:val="24"/>
                <w:szCs w:val="21"/>
                <w:vertAlign w:val="subscript"/>
                <w:lang w:val="en-US" w:eastAsia="zh-CN"/>
                <w14:textFill>
                  <w14:solidFill>
                    <w14:schemeClr w14:val="tx1"/>
                  </w14:solidFill>
                </w14:textFill>
              </w:rPr>
              <w:t>2.5</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和PM</w:t>
            </w:r>
            <w:r>
              <w:rPr>
                <w:rFonts w:hint="eastAsia" w:ascii="Times New Roman" w:hAnsi="Times New Roman" w:eastAsia="华文中宋" w:cs="Times New Roman"/>
                <w:color w:val="000000" w:themeColor="text1"/>
                <w:kern w:val="0"/>
                <w:sz w:val="24"/>
                <w:szCs w:val="21"/>
                <w:vertAlign w:val="subscript"/>
                <w:lang w:val="en-US" w:eastAsia="zh-CN"/>
                <w14:textFill>
                  <w14:solidFill>
                    <w14:schemeClr w14:val="tx1"/>
                  </w14:solidFill>
                </w14:textFill>
              </w:rPr>
              <w:t>10</w:t>
            </w: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排放量，单位为吨；Y为燃油消耗量，单位为千克；EF为排放系数，单位为g/kg燃料。</w:t>
            </w:r>
          </w:p>
          <w:p w14:paraId="1081C1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textAlignment w:val="auto"/>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pPr>
            <w:r>
              <w:rPr>
                <w:rFonts w:hint="eastAsia" w:ascii="Times New Roman" w:hAnsi="Times New Roman" w:eastAsia="华文中宋" w:cs="Times New Roman"/>
                <w:color w:val="000000" w:themeColor="text1"/>
                <w:kern w:val="0"/>
                <w:sz w:val="24"/>
                <w:szCs w:val="21"/>
                <w:lang w:val="en-US" w:eastAsia="zh-CN"/>
                <w14:textFill>
                  <w14:solidFill>
                    <w14:schemeClr w14:val="tx1"/>
                  </w14:solidFill>
                </w14:textFill>
              </w:rPr>
              <w:t>根据该指南表5方法1适用于简易方法的非道路移动机械平均排放因子，本项目发电机产排污情况见表4-1。</w:t>
            </w:r>
          </w:p>
          <w:p w14:paraId="0C5BEFDD">
            <w:pPr>
              <w:pStyle w:val="7"/>
              <w:keepNext w:val="0"/>
              <w:keepLines w:val="0"/>
              <w:suppressLineNumbers w:val="0"/>
              <w:spacing w:before="0" w:beforeAutospacing="0" w:after="0" w:afterAutospacing="0" w:line="500" w:lineRule="exact"/>
              <w:ind w:left="0" w:right="0"/>
              <w:jc w:val="center"/>
              <w:rPr>
                <w:rFonts w:hint="eastAsia" w:ascii="Times New Roman" w:hAnsi="Times New Roman" w:eastAsia="宋体" w:cs="黑体"/>
                <w:b/>
                <w:bCs/>
                <w:lang w:val="en-US" w:eastAsia="zh-CN"/>
              </w:rPr>
            </w:pPr>
            <w:r>
              <w:rPr>
                <w:rFonts w:hint="eastAsia" w:ascii="Times New Roman" w:hAnsi="Times New Roman" w:eastAsia="宋体" w:cs="黑体"/>
                <w:b/>
                <w:bCs/>
                <w:lang w:val="en-US" w:eastAsia="zh-CN"/>
              </w:rPr>
              <w:t>表4-1柴油发电机产排污情况一览表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278"/>
              <w:gridCol w:w="2162"/>
              <w:gridCol w:w="1530"/>
              <w:gridCol w:w="1404"/>
              <w:gridCol w:w="1266"/>
            </w:tblGrid>
            <w:tr w14:paraId="030E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17" w:type="dxa"/>
                  <w:noWrap w:val="0"/>
                  <w:vAlign w:val="center"/>
                </w:tcPr>
                <w:p w14:paraId="2799DE70">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序号</w:t>
                  </w:r>
                </w:p>
              </w:tc>
              <w:tc>
                <w:tcPr>
                  <w:tcW w:w="1278" w:type="dxa"/>
                  <w:noWrap w:val="0"/>
                  <w:vAlign w:val="center"/>
                </w:tcPr>
                <w:p w14:paraId="42AC7B1E">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污染物</w:t>
                  </w:r>
                </w:p>
              </w:tc>
              <w:tc>
                <w:tcPr>
                  <w:tcW w:w="2162" w:type="dxa"/>
                  <w:noWrap w:val="0"/>
                  <w:vAlign w:val="center"/>
                </w:tcPr>
                <w:p w14:paraId="634EE61F">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产物系数</w:t>
                  </w:r>
                </w:p>
              </w:tc>
              <w:tc>
                <w:tcPr>
                  <w:tcW w:w="1530" w:type="dxa"/>
                  <w:noWrap w:val="0"/>
                  <w:vAlign w:val="center"/>
                </w:tcPr>
                <w:p w14:paraId="4D1CEC25">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产生量</w:t>
                  </w:r>
                </w:p>
              </w:tc>
              <w:tc>
                <w:tcPr>
                  <w:tcW w:w="1404" w:type="dxa"/>
                  <w:noWrap w:val="0"/>
                  <w:vAlign w:val="center"/>
                </w:tcPr>
                <w:p w14:paraId="2607C378">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排放量</w:t>
                  </w:r>
                </w:p>
              </w:tc>
              <w:tc>
                <w:tcPr>
                  <w:tcW w:w="1266" w:type="dxa"/>
                  <w:noWrap w:val="0"/>
                  <w:vAlign w:val="center"/>
                </w:tcPr>
                <w:p w14:paraId="478BEDD7">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排放浓度</w:t>
                  </w:r>
                </w:p>
              </w:tc>
            </w:tr>
            <w:tr w14:paraId="4E9D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17" w:type="dxa"/>
                  <w:noWrap w:val="0"/>
                  <w:vAlign w:val="center"/>
                </w:tcPr>
                <w:p w14:paraId="04153BF0">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1</w:t>
                  </w:r>
                </w:p>
              </w:tc>
              <w:tc>
                <w:tcPr>
                  <w:tcW w:w="1278" w:type="dxa"/>
                  <w:noWrap w:val="0"/>
                  <w:vAlign w:val="center"/>
                </w:tcPr>
                <w:p w14:paraId="65D8D3FD">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PM10</w:t>
                  </w:r>
                </w:p>
              </w:tc>
              <w:tc>
                <w:tcPr>
                  <w:tcW w:w="2162" w:type="dxa"/>
                  <w:noWrap w:val="0"/>
                  <w:vAlign w:val="center"/>
                </w:tcPr>
                <w:p w14:paraId="71D3E1D1">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2.09g/kg燃料</w:t>
                  </w:r>
                </w:p>
              </w:tc>
              <w:tc>
                <w:tcPr>
                  <w:tcW w:w="1530" w:type="dxa"/>
                  <w:noWrap w:val="0"/>
                  <w:vAlign w:val="center"/>
                </w:tcPr>
                <w:p w14:paraId="1687D695">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0.0720t/a</w:t>
                  </w:r>
                </w:p>
              </w:tc>
              <w:tc>
                <w:tcPr>
                  <w:tcW w:w="1404" w:type="dxa"/>
                  <w:noWrap w:val="0"/>
                  <w:vAlign w:val="center"/>
                </w:tcPr>
                <w:p w14:paraId="20AFFF57">
                  <w:pPr>
                    <w:pStyle w:val="7"/>
                    <w:keepNext w:val="0"/>
                    <w:keepLines w:val="0"/>
                    <w:suppressLineNumbers w:val="0"/>
                    <w:spacing w:before="0" w:beforeAutospacing="0" w:after="0" w:afterAutospacing="0" w:line="300" w:lineRule="exact"/>
                    <w:ind w:left="0" w:leftChars="0" w:right="0" w:rightChars="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0.0720t/a</w:t>
                  </w:r>
                </w:p>
              </w:tc>
              <w:tc>
                <w:tcPr>
                  <w:tcW w:w="1266" w:type="dxa"/>
                  <w:noWrap w:val="0"/>
                  <w:vAlign w:val="center"/>
                </w:tcPr>
                <w:p w14:paraId="3659597A">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w:t>
                  </w:r>
                </w:p>
              </w:tc>
            </w:tr>
            <w:tr w14:paraId="3CA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17" w:type="dxa"/>
                  <w:noWrap w:val="0"/>
                  <w:vAlign w:val="center"/>
                </w:tcPr>
                <w:p w14:paraId="1588ED64">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2</w:t>
                  </w:r>
                </w:p>
              </w:tc>
              <w:tc>
                <w:tcPr>
                  <w:tcW w:w="1278" w:type="dxa"/>
                  <w:noWrap w:val="0"/>
                  <w:vAlign w:val="center"/>
                </w:tcPr>
                <w:p w14:paraId="6C8B9FB4">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PM2.5</w:t>
                  </w:r>
                </w:p>
              </w:tc>
              <w:tc>
                <w:tcPr>
                  <w:tcW w:w="2162" w:type="dxa"/>
                  <w:noWrap w:val="0"/>
                  <w:vAlign w:val="center"/>
                </w:tcPr>
                <w:p w14:paraId="7549EC5A">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2.09g/kg燃料</w:t>
                  </w:r>
                </w:p>
              </w:tc>
              <w:tc>
                <w:tcPr>
                  <w:tcW w:w="1530" w:type="dxa"/>
                  <w:noWrap w:val="0"/>
                  <w:vAlign w:val="center"/>
                </w:tcPr>
                <w:p w14:paraId="29BF7ECC">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0.0720t/a</w:t>
                  </w:r>
                </w:p>
              </w:tc>
              <w:tc>
                <w:tcPr>
                  <w:tcW w:w="1404" w:type="dxa"/>
                  <w:noWrap w:val="0"/>
                  <w:vAlign w:val="center"/>
                </w:tcPr>
                <w:p w14:paraId="358F3F19">
                  <w:pPr>
                    <w:pStyle w:val="7"/>
                    <w:keepNext w:val="0"/>
                    <w:keepLines w:val="0"/>
                    <w:suppressLineNumbers w:val="0"/>
                    <w:spacing w:before="0" w:beforeAutospacing="0" w:after="0" w:afterAutospacing="0" w:line="300" w:lineRule="exact"/>
                    <w:ind w:left="0" w:leftChars="0" w:right="0" w:rightChars="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0.0720t/a</w:t>
                  </w:r>
                </w:p>
              </w:tc>
              <w:tc>
                <w:tcPr>
                  <w:tcW w:w="1266" w:type="dxa"/>
                  <w:noWrap w:val="0"/>
                  <w:vAlign w:val="center"/>
                </w:tcPr>
                <w:p w14:paraId="5EA4C1CF">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w:t>
                  </w:r>
                </w:p>
              </w:tc>
            </w:tr>
            <w:tr w14:paraId="4BE0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17" w:type="dxa"/>
                  <w:noWrap w:val="0"/>
                  <w:vAlign w:val="center"/>
                </w:tcPr>
                <w:p w14:paraId="54DCA044">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3</w:t>
                  </w:r>
                </w:p>
              </w:tc>
              <w:tc>
                <w:tcPr>
                  <w:tcW w:w="1278" w:type="dxa"/>
                  <w:noWrap w:val="0"/>
                  <w:vAlign w:val="center"/>
                </w:tcPr>
                <w:p w14:paraId="0B0AB86C">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THC</w:t>
                  </w:r>
                </w:p>
              </w:tc>
              <w:tc>
                <w:tcPr>
                  <w:tcW w:w="2162" w:type="dxa"/>
                  <w:noWrap w:val="0"/>
                  <w:vAlign w:val="center"/>
                </w:tcPr>
                <w:p w14:paraId="05CE3D34">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3.39g/kg燃料</w:t>
                  </w:r>
                </w:p>
              </w:tc>
              <w:tc>
                <w:tcPr>
                  <w:tcW w:w="1530" w:type="dxa"/>
                  <w:noWrap w:val="0"/>
                  <w:vAlign w:val="center"/>
                </w:tcPr>
                <w:p w14:paraId="0ADFC92D">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0.1168t/a</w:t>
                  </w:r>
                </w:p>
              </w:tc>
              <w:tc>
                <w:tcPr>
                  <w:tcW w:w="1404" w:type="dxa"/>
                  <w:noWrap w:val="0"/>
                  <w:vAlign w:val="center"/>
                </w:tcPr>
                <w:p w14:paraId="61DC7EBF">
                  <w:pPr>
                    <w:pStyle w:val="7"/>
                    <w:keepNext w:val="0"/>
                    <w:keepLines w:val="0"/>
                    <w:suppressLineNumbers w:val="0"/>
                    <w:spacing w:before="0" w:beforeAutospacing="0" w:after="0" w:afterAutospacing="0" w:line="300" w:lineRule="exact"/>
                    <w:ind w:left="0" w:leftChars="0" w:right="0" w:rightChars="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0.1168t/a</w:t>
                  </w:r>
                </w:p>
              </w:tc>
              <w:tc>
                <w:tcPr>
                  <w:tcW w:w="1266" w:type="dxa"/>
                  <w:noWrap w:val="0"/>
                  <w:vAlign w:val="center"/>
                </w:tcPr>
                <w:p w14:paraId="78CE7C69">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w:t>
                  </w:r>
                </w:p>
              </w:tc>
            </w:tr>
            <w:tr w14:paraId="0642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17" w:type="dxa"/>
                  <w:noWrap w:val="0"/>
                  <w:vAlign w:val="center"/>
                </w:tcPr>
                <w:p w14:paraId="74D2B70F">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4</w:t>
                  </w:r>
                </w:p>
              </w:tc>
              <w:tc>
                <w:tcPr>
                  <w:tcW w:w="1278" w:type="dxa"/>
                  <w:noWrap w:val="0"/>
                  <w:vAlign w:val="center"/>
                </w:tcPr>
                <w:p w14:paraId="33B7B3D2">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NO</w:t>
                  </w:r>
                  <w:r>
                    <w:rPr>
                      <w:rFonts w:hint="eastAsia" w:ascii="Times New Roman" w:hAnsi="Times New Roman" w:eastAsia="宋体" w:cs="宋体"/>
                      <w:color w:val="000000" w:themeColor="text1"/>
                      <w:highlight w:val="none"/>
                      <w:vertAlign w:val="subscript"/>
                      <w:lang w:val="en-US" w:eastAsia="zh-CN"/>
                      <w14:textFill>
                        <w14:solidFill>
                          <w14:schemeClr w14:val="tx1"/>
                        </w14:solidFill>
                      </w14:textFill>
                      <w14:ligatures w14:val="standardContextual"/>
                    </w:rPr>
                    <w:t>X</w:t>
                  </w:r>
                </w:p>
              </w:tc>
              <w:tc>
                <w:tcPr>
                  <w:tcW w:w="2162" w:type="dxa"/>
                  <w:noWrap w:val="0"/>
                  <w:vAlign w:val="center"/>
                </w:tcPr>
                <w:p w14:paraId="4CF4EA8C">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32.79g/kg燃料</w:t>
                  </w:r>
                </w:p>
              </w:tc>
              <w:tc>
                <w:tcPr>
                  <w:tcW w:w="1530" w:type="dxa"/>
                  <w:noWrap w:val="0"/>
                  <w:vAlign w:val="center"/>
                </w:tcPr>
                <w:p w14:paraId="29BC575D">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1.1293t/a</w:t>
                  </w:r>
                </w:p>
              </w:tc>
              <w:tc>
                <w:tcPr>
                  <w:tcW w:w="1404" w:type="dxa"/>
                  <w:noWrap w:val="0"/>
                  <w:vAlign w:val="center"/>
                </w:tcPr>
                <w:p w14:paraId="14B9E73E">
                  <w:pPr>
                    <w:pStyle w:val="7"/>
                    <w:keepNext w:val="0"/>
                    <w:keepLines w:val="0"/>
                    <w:suppressLineNumbers w:val="0"/>
                    <w:spacing w:before="0" w:beforeAutospacing="0" w:after="0" w:afterAutospacing="0" w:line="300" w:lineRule="exact"/>
                    <w:ind w:left="0" w:leftChars="0" w:right="0" w:rightChars="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1.1293t/a</w:t>
                  </w:r>
                </w:p>
              </w:tc>
              <w:tc>
                <w:tcPr>
                  <w:tcW w:w="1266" w:type="dxa"/>
                  <w:noWrap w:val="0"/>
                  <w:vAlign w:val="center"/>
                </w:tcPr>
                <w:p w14:paraId="01510B63">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w:t>
                  </w:r>
                </w:p>
              </w:tc>
            </w:tr>
            <w:tr w14:paraId="6800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17" w:type="dxa"/>
                  <w:noWrap w:val="0"/>
                  <w:vAlign w:val="center"/>
                </w:tcPr>
                <w:p w14:paraId="172B5FDD">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5</w:t>
                  </w:r>
                </w:p>
              </w:tc>
              <w:tc>
                <w:tcPr>
                  <w:tcW w:w="1278" w:type="dxa"/>
                  <w:noWrap w:val="0"/>
                  <w:vAlign w:val="center"/>
                </w:tcPr>
                <w:p w14:paraId="70E3D735">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CO</w:t>
                  </w:r>
                </w:p>
              </w:tc>
              <w:tc>
                <w:tcPr>
                  <w:tcW w:w="2162" w:type="dxa"/>
                  <w:noWrap w:val="0"/>
                  <w:vAlign w:val="center"/>
                </w:tcPr>
                <w:p w14:paraId="6A394074">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10.72g/kg燃料</w:t>
                  </w:r>
                </w:p>
              </w:tc>
              <w:tc>
                <w:tcPr>
                  <w:tcW w:w="1530" w:type="dxa"/>
                  <w:noWrap w:val="0"/>
                  <w:vAlign w:val="center"/>
                </w:tcPr>
                <w:p w14:paraId="628F1DA3">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0.3692t/a</w:t>
                  </w:r>
                </w:p>
              </w:tc>
              <w:tc>
                <w:tcPr>
                  <w:tcW w:w="1404" w:type="dxa"/>
                  <w:noWrap w:val="0"/>
                  <w:vAlign w:val="center"/>
                </w:tcPr>
                <w:p w14:paraId="1F51EA47">
                  <w:pPr>
                    <w:pStyle w:val="7"/>
                    <w:keepNext w:val="0"/>
                    <w:keepLines w:val="0"/>
                    <w:suppressLineNumbers w:val="0"/>
                    <w:spacing w:before="0" w:beforeAutospacing="0" w:after="0" w:afterAutospacing="0" w:line="300" w:lineRule="exact"/>
                    <w:ind w:left="0" w:leftChars="0" w:right="0" w:rightChars="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0.3692t/a</w:t>
                  </w:r>
                </w:p>
              </w:tc>
              <w:tc>
                <w:tcPr>
                  <w:tcW w:w="1266" w:type="dxa"/>
                  <w:noWrap w:val="0"/>
                  <w:vAlign w:val="center"/>
                </w:tcPr>
                <w:p w14:paraId="0D64643C">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w:t>
                  </w:r>
                </w:p>
              </w:tc>
            </w:tr>
          </w:tbl>
          <w:p w14:paraId="41FA4127">
            <w:pPr>
              <w:pStyle w:val="26"/>
              <w:keepNext w:val="0"/>
              <w:keepLines w:val="0"/>
              <w:suppressLineNumbers w:val="0"/>
              <w:spacing w:before="0" w:beforeAutospacing="0" w:after="0" w:afterAutospacing="0"/>
              <w:ind w:left="0" w:right="0" w:firstLine="480"/>
              <w:rPr>
                <w:rFonts w:hint="eastAsia" w:ascii="Times New Roman" w:hAnsi="Times New Roman" w:eastAsia="宋体"/>
              </w:rPr>
            </w:pPr>
            <w:r>
              <w:rPr>
                <w:rFonts w:hint="eastAsia" w:ascii="Times New Roman" w:hAnsi="Times New Roman" w:eastAsia="宋体"/>
                <w:lang w:eastAsia="zh-CN"/>
              </w:rPr>
              <w:t>柴油</w:t>
            </w:r>
            <w:r>
              <w:rPr>
                <w:rFonts w:hint="eastAsia" w:ascii="Times New Roman" w:hAnsi="Times New Roman" w:eastAsia="宋体"/>
              </w:rPr>
              <w:t>燃烧后会产生烟气，以无组织形式逸散，烟气中主要污染物为</w:t>
            </w:r>
            <w:r>
              <w:rPr>
                <w:rFonts w:hint="eastAsia" w:ascii="Times New Roman" w:hAnsi="Times New Roman" w:eastAsia="宋体"/>
                <w:lang w:val="en-US" w:eastAsia="zh-CN"/>
              </w:rPr>
              <w:t>二氧化碳、</w:t>
            </w:r>
            <w:r>
              <w:rPr>
                <w:rFonts w:hint="eastAsia" w:ascii="Times New Roman" w:hAnsi="Times New Roman" w:eastAsia="宋体"/>
              </w:rPr>
              <w:t>二氧化硫、氮氧化物及总烃等。项目区地域空旷，周围扩散条件良好，</w:t>
            </w:r>
            <w:r>
              <w:rPr>
                <w:rFonts w:hint="eastAsia" w:ascii="Times New Roman" w:hAnsi="Times New Roman" w:eastAsia="宋体"/>
                <w:lang w:val="en-US" w:eastAsia="zh-CN"/>
              </w:rPr>
              <w:t>污染物落地浓度增量极低，项目选用符合国家排放标准的发电机，燃烧效率高，污染物初始排放浓度相对较低，</w:t>
            </w:r>
            <w:r>
              <w:rPr>
                <w:rFonts w:hint="eastAsia" w:ascii="Times New Roman" w:hAnsi="Times New Roman" w:eastAsia="宋体"/>
              </w:rPr>
              <w:t>且废气随施工的结束而消失。因此，对区域大气环境影响不大。</w:t>
            </w:r>
          </w:p>
          <w:p w14:paraId="213D37A5">
            <w:pPr>
              <w:pStyle w:val="26"/>
              <w:ind w:firstLine="480"/>
              <w:rPr>
                <w:rFonts w:hint="eastAsia" w:ascii="Times New Roman" w:hAnsi="Times New Roman" w:eastAsia="宋体"/>
              </w:rPr>
            </w:pPr>
            <w:r>
              <w:rPr>
                <w:rFonts w:hint="eastAsia" w:ascii="Times New Roman" w:hAnsi="Times New Roman" w:eastAsia="宋体"/>
              </w:rPr>
              <w:t>施工期需使用柴油机、发电机提供动力及电力，施工期柴油消耗总量约</w:t>
            </w:r>
            <w:r>
              <w:rPr>
                <w:rFonts w:hint="eastAsia" w:ascii="Times New Roman" w:hAnsi="Times New Roman"/>
                <w:highlight w:val="none"/>
                <w:lang w:val="en-US" w:eastAsia="zh-CN"/>
              </w:rPr>
              <w:t>34.44</w:t>
            </w:r>
            <w:r>
              <w:rPr>
                <w:rFonts w:hint="eastAsia" w:ascii="Times New Roman" w:hAnsi="Times New Roman" w:eastAsia="宋体"/>
                <w:highlight w:val="none"/>
                <w:lang w:val="en-US" w:eastAsia="zh-CN"/>
              </w:rPr>
              <w:t>t/a</w:t>
            </w:r>
            <w:r>
              <w:rPr>
                <w:rFonts w:hint="eastAsia" w:ascii="Times New Roman" w:hAnsi="Times New Roman" w:eastAsia="宋体"/>
                <w:highlight w:val="none"/>
              </w:rPr>
              <w:t>。</w:t>
            </w:r>
            <w:r>
              <w:rPr>
                <w:rFonts w:hint="eastAsia" w:ascii="Times New Roman" w:hAnsi="Times New Roman" w:eastAsia="宋体"/>
              </w:rPr>
              <w:t>柴油燃烧后会产生烟气，以无组织形式逸散，烟气中主要污染物为</w:t>
            </w:r>
            <w:bookmarkStart w:id="24" w:name="_Hlk15402090"/>
            <w:r>
              <w:rPr>
                <w:rFonts w:hint="eastAsia" w:ascii="Times New Roman" w:hAnsi="Times New Roman" w:eastAsia="宋体"/>
                <w:lang w:val="en-US" w:eastAsia="zh-CN"/>
              </w:rPr>
              <w:t>二氧化碳、</w:t>
            </w:r>
            <w:r>
              <w:rPr>
                <w:rFonts w:hint="eastAsia" w:ascii="Times New Roman" w:hAnsi="Times New Roman" w:eastAsia="宋体"/>
              </w:rPr>
              <w:t>二氧化硫、氮氧化物及总烃等。</w:t>
            </w:r>
            <w:bookmarkEnd w:id="24"/>
            <w:r>
              <w:rPr>
                <w:rFonts w:hint="eastAsia" w:ascii="Times New Roman" w:hAnsi="Times New Roman" w:eastAsia="宋体"/>
              </w:rPr>
              <w:t>项目区地域空旷，周围扩散条件良好，且废气随施工的结束而消失。因此，对区域大气环境影响不大。</w:t>
            </w:r>
          </w:p>
          <w:p w14:paraId="071B5BF7">
            <w:pPr>
              <w:pStyle w:val="26"/>
              <w:ind w:firstLine="480"/>
              <w:rPr>
                <w:rFonts w:hint="eastAsia" w:ascii="Times New Roman" w:hAnsi="Times New Roman" w:eastAsia="宋体"/>
              </w:rPr>
            </w:pPr>
            <w:r>
              <w:rPr>
                <w:rFonts w:hint="eastAsia" w:ascii="Times New Roman" w:hAnsi="Times New Roman" w:eastAsia="宋体"/>
              </w:rPr>
              <w:t>（</w:t>
            </w:r>
            <w:r>
              <w:rPr>
                <w:rFonts w:hint="eastAsia" w:ascii="Times New Roman" w:hAnsi="Times New Roman" w:eastAsia="宋体"/>
                <w:lang w:val="en-US" w:eastAsia="zh-CN"/>
              </w:rPr>
              <w:t>3</w:t>
            </w:r>
            <w:r>
              <w:rPr>
                <w:rFonts w:hint="eastAsia" w:ascii="Times New Roman" w:hAnsi="Times New Roman" w:eastAsia="宋体"/>
              </w:rPr>
              <w:t>）</w:t>
            </w:r>
            <w:r>
              <w:rPr>
                <w:rFonts w:hint="eastAsia" w:ascii="Times New Roman" w:hAnsi="Times New Roman" w:eastAsia="宋体"/>
                <w:lang w:val="en-US" w:eastAsia="zh-CN"/>
              </w:rPr>
              <w:t>施工机械、</w:t>
            </w:r>
            <w:r>
              <w:rPr>
                <w:rFonts w:hint="eastAsia" w:ascii="Times New Roman" w:hAnsi="Times New Roman" w:eastAsia="宋体"/>
              </w:rPr>
              <w:t>施工车辆</w:t>
            </w:r>
            <w:r>
              <w:rPr>
                <w:rFonts w:hint="eastAsia" w:ascii="Times New Roman" w:hAnsi="Times New Roman" w:eastAsia="宋体"/>
                <w:lang w:val="en-US" w:eastAsia="zh-CN"/>
              </w:rPr>
              <w:t>产生的尾气</w:t>
            </w:r>
          </w:p>
          <w:p w14:paraId="69ACEAAC">
            <w:pPr>
              <w:pStyle w:val="26"/>
              <w:ind w:firstLine="480"/>
              <w:rPr>
                <w:rFonts w:hint="eastAsia" w:ascii="Times New Roman" w:hAnsi="Times New Roman" w:eastAsia="宋体"/>
              </w:rPr>
            </w:pPr>
            <w:r>
              <w:rPr>
                <w:rFonts w:hint="eastAsia" w:ascii="Times New Roman" w:hAnsi="Times New Roman" w:eastAsia="宋体"/>
              </w:rPr>
              <w:t>施工机械及施工车辆运行过程中会产生一定的尾气，对周围大气环境产生一定的影响；各类施工机械及施工车辆均采用符合国家标准的油品，定期对施工机械</w:t>
            </w:r>
            <w:r>
              <w:rPr>
                <w:rFonts w:hint="eastAsia" w:ascii="Times New Roman" w:hAnsi="Times New Roman" w:eastAsia="宋体"/>
                <w:lang w:eastAsia="zh-CN"/>
              </w:rPr>
              <w:t>、</w:t>
            </w:r>
            <w:r>
              <w:rPr>
                <w:rFonts w:hint="eastAsia" w:ascii="Times New Roman" w:hAnsi="Times New Roman" w:eastAsia="宋体"/>
              </w:rPr>
              <w:t>车辆</w:t>
            </w:r>
            <w:r>
              <w:rPr>
                <w:rFonts w:hint="eastAsia" w:ascii="Times New Roman" w:hAnsi="Times New Roman" w:eastAsia="宋体"/>
                <w:lang w:val="en-US" w:eastAsia="zh-CN"/>
              </w:rPr>
              <w:t>进行</w:t>
            </w:r>
            <w:r>
              <w:rPr>
                <w:rFonts w:hint="eastAsia" w:ascii="Times New Roman" w:hAnsi="Times New Roman" w:eastAsia="宋体"/>
              </w:rPr>
              <w:t>检维修</w:t>
            </w:r>
            <w:r>
              <w:rPr>
                <w:rFonts w:hint="eastAsia" w:ascii="Times New Roman" w:hAnsi="Times New Roman" w:eastAsia="宋体"/>
                <w:lang w:val="en-US" w:eastAsia="zh-CN"/>
              </w:rPr>
              <w:t>及</w:t>
            </w:r>
            <w:r>
              <w:rPr>
                <w:rFonts w:hint="eastAsia" w:ascii="Times New Roman" w:hAnsi="Times New Roman" w:eastAsia="宋体"/>
              </w:rPr>
              <w:t>保养，保证施工机械及车辆正常运行，</w:t>
            </w:r>
            <w:r>
              <w:rPr>
                <w:rFonts w:hint="eastAsia" w:ascii="Times New Roman" w:hAnsi="Times New Roman"/>
                <w:lang w:val="en-US" w:eastAsia="zh-CN"/>
              </w:rPr>
              <w:t>且</w:t>
            </w:r>
            <w:r>
              <w:rPr>
                <w:rFonts w:hint="eastAsia"/>
              </w:rPr>
              <w:t>项目区属背景沙尘主导区域，施工扬尘为短时无组织源，在落实限速、遮盖、洒水等抑尘措施前提下，对区域达标压力可接受。</w:t>
            </w:r>
          </w:p>
          <w:p w14:paraId="7CC6E511">
            <w:pPr>
              <w:pStyle w:val="26"/>
              <w:ind w:firstLine="480"/>
              <w:rPr>
                <w:rFonts w:hint="eastAsia" w:ascii="Times New Roman" w:hAnsi="Times New Roman" w:eastAsia="宋体"/>
              </w:rPr>
            </w:pPr>
            <w:bookmarkStart w:id="25" w:name="_Hlk136794460"/>
            <w:r>
              <w:rPr>
                <w:rFonts w:hint="eastAsia" w:ascii="Times New Roman" w:hAnsi="Times New Roman" w:eastAsia="宋体"/>
              </w:rPr>
              <w:t>综上所述，施工期间产生的废气对大气环境影响不大。</w:t>
            </w:r>
          </w:p>
          <w:bookmarkEnd w:id="25"/>
          <w:p w14:paraId="05E8B6BC">
            <w:pPr>
              <w:pStyle w:val="26"/>
              <w:ind w:left="0" w:leftChars="0" w:firstLine="0" w:firstLineChars="0"/>
              <w:rPr>
                <w:rFonts w:hint="eastAsia" w:ascii="Times New Roman" w:hAnsi="Times New Roman" w:eastAsia="宋体"/>
                <w:b/>
                <w:bCs/>
                <w:highlight w:val="none"/>
              </w:rPr>
            </w:pPr>
            <w:bookmarkStart w:id="26" w:name="_Hlk136795076"/>
            <w:r>
              <w:rPr>
                <w:rFonts w:hint="eastAsia" w:ascii="Times New Roman" w:hAnsi="Times New Roman"/>
                <w:b/>
                <w:bCs/>
                <w:highlight w:val="none"/>
                <w:lang w:val="en-US" w:eastAsia="zh-CN"/>
              </w:rPr>
              <w:t>3.</w:t>
            </w:r>
            <w:r>
              <w:rPr>
                <w:rFonts w:hint="eastAsia" w:ascii="Times New Roman" w:hAnsi="Times New Roman" w:eastAsia="宋体"/>
                <w:b/>
                <w:bCs/>
                <w:highlight w:val="none"/>
              </w:rPr>
              <w:t>地表水环境影响分析</w:t>
            </w:r>
          </w:p>
          <w:bookmarkEnd w:id="26"/>
          <w:p w14:paraId="5180B05D">
            <w:pPr>
              <w:pStyle w:val="26"/>
              <w:ind w:firstLine="480"/>
              <w:rPr>
                <w:rFonts w:hint="default" w:ascii="Times New Roman" w:hAnsi="Times New Roman" w:eastAsia="宋体"/>
                <w:lang w:val="en-US" w:eastAsia="zh-CN"/>
              </w:rPr>
            </w:pPr>
            <w:r>
              <w:rPr>
                <w:rFonts w:hint="eastAsia" w:ascii="Times New Roman" w:hAnsi="Times New Roman" w:eastAsia="宋体"/>
                <w:lang w:val="en-US" w:eastAsia="zh-CN"/>
              </w:rPr>
              <w:t>施工期产生的废水主要为施工人员产生的生活污水和钻井废水。</w:t>
            </w:r>
          </w:p>
          <w:p w14:paraId="4EAB2A94">
            <w:pPr>
              <w:pStyle w:val="26"/>
              <w:ind w:firstLine="480"/>
              <w:rPr>
                <w:rFonts w:hint="eastAsia" w:ascii="Times New Roman" w:hAnsi="Times New Roman" w:eastAsia="宋体"/>
              </w:rPr>
            </w:pPr>
            <w:r>
              <w:rPr>
                <w:rFonts w:hint="eastAsia" w:ascii="Times New Roman" w:hAnsi="Times New Roman" w:eastAsia="宋体"/>
              </w:rPr>
              <w:t>施工期</w:t>
            </w:r>
            <w:r>
              <w:rPr>
                <w:rFonts w:hint="eastAsia" w:ascii="Times New Roman" w:hAnsi="Times New Roman" w:eastAsia="宋体"/>
                <w:lang w:val="en-US" w:eastAsia="zh-CN"/>
              </w:rPr>
              <w:t>施工人员</w:t>
            </w:r>
            <w:r>
              <w:rPr>
                <w:rFonts w:hint="eastAsia" w:ascii="Times New Roman" w:hAnsi="Times New Roman"/>
                <w:highlight w:val="none"/>
                <w:lang w:eastAsia="zh-CN"/>
              </w:rPr>
              <w:t>在勘探区西北角搭建帐篷</w:t>
            </w:r>
            <w:r>
              <w:rPr>
                <w:rFonts w:hint="eastAsia" w:ascii="Times New Roman" w:hAnsi="Times New Roman" w:eastAsia="宋体"/>
                <w:highlight w:val="none"/>
              </w:rPr>
              <w:t>，设置办公生活营地</w:t>
            </w:r>
            <w:r>
              <w:rPr>
                <w:rFonts w:hint="eastAsia" w:ascii="Times New Roman" w:hAnsi="Times New Roman" w:eastAsia="宋体"/>
              </w:rPr>
              <w:t>。施工人员根据《新疆维吾尔自治区生活用水定额》，</w:t>
            </w:r>
            <w:r>
              <w:rPr>
                <w:rFonts w:hint="eastAsia" w:ascii="Times New Roman" w:hAnsi="Times New Roman" w:eastAsia="宋体"/>
                <w:highlight w:val="none"/>
              </w:rPr>
              <w:t>单人生活用水量取</w:t>
            </w:r>
            <w:r>
              <w:rPr>
                <w:rFonts w:hint="eastAsia" w:ascii="Times New Roman" w:hAnsi="Times New Roman" w:eastAsia="宋体"/>
                <w:highlight w:val="none"/>
                <w:lang w:val="en-US" w:eastAsia="zh-CN"/>
              </w:rPr>
              <w:t>50</w:t>
            </w:r>
            <w:r>
              <w:rPr>
                <w:rFonts w:hint="eastAsia" w:ascii="Times New Roman" w:hAnsi="Times New Roman" w:eastAsia="宋体"/>
                <w:highlight w:val="none"/>
              </w:rPr>
              <w:t>L/d</w:t>
            </w:r>
            <w:r>
              <w:rPr>
                <w:rFonts w:hint="eastAsia" w:ascii="Times New Roman" w:hAnsi="Times New Roman" w:eastAsia="宋体"/>
                <w:highlight w:val="none"/>
                <w:lang w:eastAsia="zh-CN"/>
              </w:rPr>
              <w:t>，</w:t>
            </w:r>
            <w:r>
              <w:rPr>
                <w:rFonts w:hint="eastAsia" w:ascii="Times New Roman" w:hAnsi="Times New Roman" w:eastAsia="宋体"/>
                <w:highlight w:val="none"/>
                <w:lang w:val="en-US" w:eastAsia="zh-CN"/>
              </w:rPr>
              <w:t>施工人员</w:t>
            </w:r>
            <w:r>
              <w:rPr>
                <w:rFonts w:hint="eastAsia" w:ascii="Times New Roman" w:hAnsi="Times New Roman"/>
                <w:highlight w:val="none"/>
                <w:lang w:val="en-US" w:eastAsia="zh-CN"/>
              </w:rPr>
              <w:t>6人</w:t>
            </w:r>
            <w:r>
              <w:rPr>
                <w:rFonts w:hint="eastAsia" w:ascii="Times New Roman" w:hAnsi="Times New Roman" w:eastAsia="宋体"/>
                <w:highlight w:val="none"/>
                <w:lang w:val="en-US" w:eastAsia="zh-CN"/>
              </w:rPr>
              <w:t>，</w:t>
            </w:r>
            <w:r>
              <w:rPr>
                <w:rFonts w:hint="eastAsia" w:ascii="Times New Roman" w:hAnsi="Times New Roman" w:eastAsia="宋体"/>
                <w:highlight w:val="none"/>
              </w:rPr>
              <w:t>施工期间生活用水总</w:t>
            </w:r>
            <w:r>
              <w:rPr>
                <w:rFonts w:hint="eastAsia" w:ascii="Times New Roman" w:hAnsi="Times New Roman" w:eastAsia="宋体"/>
                <w:color w:val="000000"/>
                <w:highlight w:val="none"/>
              </w:rPr>
              <w:t>量约为</w:t>
            </w:r>
            <w:r>
              <w:rPr>
                <w:rFonts w:hint="eastAsia" w:ascii="Times New Roman" w:hAnsi="Times New Roman"/>
                <w:color w:val="000000"/>
                <w:highlight w:val="none"/>
                <w:lang w:val="en-US" w:eastAsia="zh-CN"/>
              </w:rPr>
              <w:t>63</w:t>
            </w:r>
            <w:r>
              <w:rPr>
                <w:rFonts w:hint="eastAsia" w:ascii="Times New Roman" w:hAnsi="Times New Roman" w:eastAsia="宋体"/>
                <w:color w:val="000000"/>
                <w:highlight w:val="none"/>
              </w:rPr>
              <w:t>m</w:t>
            </w:r>
            <w:r>
              <w:rPr>
                <w:rFonts w:hint="eastAsia" w:ascii="Times New Roman" w:hAnsi="Times New Roman" w:eastAsia="宋体"/>
                <w:color w:val="000000"/>
                <w:highlight w:val="none"/>
                <w:vertAlign w:val="superscript"/>
              </w:rPr>
              <w:t>3</w:t>
            </w:r>
            <w:r>
              <w:rPr>
                <w:rFonts w:hint="eastAsia" w:ascii="Times New Roman" w:hAnsi="Times New Roman"/>
                <w:color w:val="000000"/>
                <w:highlight w:val="none"/>
                <w:vertAlign w:val="baseline"/>
                <w:lang w:val="en-US" w:eastAsia="zh-CN"/>
              </w:rPr>
              <w:t>/a</w:t>
            </w:r>
            <w:r>
              <w:rPr>
                <w:rFonts w:hint="eastAsia" w:ascii="Times New Roman" w:hAnsi="Times New Roman" w:eastAsia="宋体"/>
                <w:color w:val="000000"/>
                <w:highlight w:val="none"/>
              </w:rPr>
              <w:t>。</w:t>
            </w:r>
            <w:r>
              <w:rPr>
                <w:rFonts w:hint="eastAsia" w:ascii="Times New Roman" w:hAnsi="Times New Roman" w:eastAsia="宋体"/>
                <w:highlight w:val="none"/>
              </w:rPr>
              <w:t>排水系数取0.8，则生活污水产生</w:t>
            </w:r>
            <w:r>
              <w:rPr>
                <w:rFonts w:hint="eastAsia" w:ascii="Times New Roman" w:hAnsi="Times New Roman" w:eastAsia="宋体"/>
                <w:color w:val="000000"/>
                <w:highlight w:val="none"/>
              </w:rPr>
              <w:t>量约为</w:t>
            </w:r>
            <w:r>
              <w:rPr>
                <w:rFonts w:hint="eastAsia" w:ascii="Times New Roman" w:hAnsi="Times New Roman"/>
                <w:color w:val="000000"/>
                <w:highlight w:val="none"/>
                <w:lang w:val="en-US" w:eastAsia="zh-CN"/>
              </w:rPr>
              <w:t>50.4</w:t>
            </w:r>
            <w:r>
              <w:rPr>
                <w:rFonts w:hint="eastAsia" w:ascii="Times New Roman" w:hAnsi="Times New Roman" w:eastAsia="宋体"/>
                <w:color w:val="000000"/>
                <w:highlight w:val="none"/>
              </w:rPr>
              <w:t>m</w:t>
            </w:r>
            <w:r>
              <w:rPr>
                <w:rFonts w:hint="eastAsia" w:ascii="Times New Roman" w:hAnsi="Times New Roman" w:eastAsia="宋体"/>
                <w:color w:val="000000"/>
                <w:highlight w:val="none"/>
                <w:vertAlign w:val="superscript"/>
              </w:rPr>
              <w:t>3</w:t>
            </w:r>
            <w:r>
              <w:rPr>
                <w:rFonts w:hint="eastAsia" w:ascii="Times New Roman" w:hAnsi="Times New Roman"/>
                <w:color w:val="000000"/>
                <w:highlight w:val="none"/>
                <w:vertAlign w:val="baseline"/>
                <w:lang w:val="en-US" w:eastAsia="zh-CN"/>
              </w:rPr>
              <w:t>/a</w:t>
            </w:r>
            <w:r>
              <w:rPr>
                <w:rFonts w:hint="eastAsia" w:ascii="Times New Roman" w:hAnsi="Times New Roman" w:eastAsia="宋体"/>
                <w:color w:val="000000"/>
              </w:rPr>
              <w:t>。</w:t>
            </w:r>
            <w:r>
              <w:rPr>
                <w:rFonts w:hint="eastAsia" w:ascii="Times New Roman" w:hAnsi="Times New Roman" w:eastAsia="宋体"/>
              </w:rPr>
              <w:t>施工人员产生的生活污水水质与居民生活污水相似，主要污染物浓度分别为化学需氧量（COD）350mg/L、氨氮（NH</w:t>
            </w:r>
            <w:r>
              <w:rPr>
                <w:rFonts w:hint="eastAsia" w:ascii="Times New Roman" w:hAnsi="Times New Roman" w:eastAsia="宋体"/>
                <w:vertAlign w:val="subscript"/>
              </w:rPr>
              <w:t>3</w:t>
            </w:r>
            <w:r>
              <w:rPr>
                <w:rFonts w:hint="eastAsia" w:ascii="Times New Roman" w:hAnsi="Times New Roman" w:eastAsia="宋体"/>
              </w:rPr>
              <w:t>-N）30mg/L、悬浮物（SS）200mg/L。</w:t>
            </w:r>
          </w:p>
          <w:p w14:paraId="711B4EBD">
            <w:pPr>
              <w:pStyle w:val="20"/>
              <w:ind w:firstLine="480"/>
              <w:rPr>
                <w:rFonts w:hint="eastAsia" w:ascii="Times New Roman" w:hAnsi="Times New Roman" w:eastAsia="宋体"/>
                <w:sz w:val="24"/>
                <w:szCs w:val="24"/>
                <w:highlight w:val="none"/>
              </w:rPr>
            </w:pPr>
            <w:r>
              <w:rPr>
                <w:rFonts w:hint="eastAsia" w:ascii="Times New Roman" w:hAnsi="Times New Roman" w:eastAsia="宋体"/>
                <w:highlight w:val="none"/>
              </w:rPr>
              <w:t>本项目</w:t>
            </w:r>
            <w:r>
              <w:rPr>
                <w:rFonts w:hint="eastAsia" w:ascii="Times New Roman" w:hAnsi="Times New Roman"/>
                <w:highlight w:val="none"/>
                <w:lang w:eastAsia="zh-CN"/>
              </w:rPr>
              <w:t>在勘探区西北角搭建帐篷</w:t>
            </w:r>
            <w:r>
              <w:rPr>
                <w:rFonts w:hint="eastAsia" w:ascii="Times New Roman" w:hAnsi="Times New Roman" w:eastAsia="宋体"/>
                <w:highlight w:val="none"/>
              </w:rPr>
              <w:t>，设置办公生活营地，</w:t>
            </w:r>
            <w:r>
              <w:rPr>
                <w:rFonts w:hint="eastAsia" w:ascii="Times New Roman" w:hAnsi="Times New Roman" w:eastAsia="宋体"/>
                <w:highlight w:val="none"/>
                <w:lang w:val="en-US" w:eastAsia="zh-CN"/>
              </w:rPr>
              <w:t>生活污水排入一体化污水处理设施处理达标后，其出水标准可达到《农村生活污水处理排放标准》（</w:t>
            </w:r>
            <w:r>
              <w:rPr>
                <w:rFonts w:hint="eastAsia" w:ascii="Times New Roman" w:hAnsi="Times New Roman"/>
                <w:highlight w:val="none"/>
                <w:lang w:val="en-US" w:eastAsia="zh-CN"/>
              </w:rPr>
              <w:t>DB65 4275-2025</w:t>
            </w:r>
            <w:r>
              <w:rPr>
                <w:rFonts w:hint="eastAsia" w:ascii="Times New Roman" w:hAnsi="Times New Roman" w:eastAsia="宋体"/>
                <w:highlight w:val="none"/>
                <w:lang w:val="en-US" w:eastAsia="zh-CN"/>
              </w:rPr>
              <w:t>）表2中C级标准，用于洒水绿化，不外排</w:t>
            </w:r>
            <w:r>
              <w:rPr>
                <w:rFonts w:hint="eastAsia" w:ascii="Times New Roman" w:hAnsi="Times New Roman" w:eastAsia="宋体"/>
                <w:highlight w:val="none"/>
                <w:lang w:eastAsia="zh-CN"/>
              </w:rPr>
              <w:t>。</w:t>
            </w:r>
          </w:p>
          <w:p w14:paraId="1F9F54FB">
            <w:pPr>
              <w:pStyle w:val="20"/>
              <w:ind w:firstLine="480"/>
              <w:rPr>
                <w:rFonts w:hint="eastAsia" w:ascii="Times New Roman" w:hAnsi="Times New Roman" w:eastAsia="宋体"/>
                <w:highlight w:val="none"/>
              </w:rPr>
            </w:pPr>
            <w:r>
              <w:rPr>
                <w:rFonts w:hint="eastAsia" w:ascii="Times New Roman" w:hAnsi="Times New Roman" w:eastAsia="宋体"/>
                <w:highlight w:val="none"/>
              </w:rPr>
              <w:t>钻井期产生的废水收集到泥浆池经沉淀后回用于清洗设备及泥浆的调配，不外排。</w:t>
            </w:r>
          </w:p>
          <w:p w14:paraId="69244147">
            <w:pPr>
              <w:pStyle w:val="20"/>
              <w:ind w:firstLine="480"/>
              <w:rPr>
                <w:rFonts w:hint="eastAsia" w:ascii="Times New Roman" w:hAnsi="Times New Roman" w:eastAsia="宋体"/>
                <w:highlight w:val="none"/>
              </w:rPr>
            </w:pPr>
            <w:r>
              <w:rPr>
                <w:rFonts w:hint="eastAsia" w:ascii="Times New Roman" w:hAnsi="Times New Roman" w:eastAsia="宋体"/>
                <w:highlight w:val="none"/>
              </w:rPr>
              <w:t>综上所述，施工期产生的废水不会对地表水环境产生影响。</w:t>
            </w:r>
          </w:p>
          <w:p w14:paraId="48C9B292">
            <w:pPr>
              <w:pStyle w:val="26"/>
              <w:ind w:left="0" w:leftChars="0" w:firstLine="0" w:firstLineChars="0"/>
              <w:rPr>
                <w:rFonts w:hint="eastAsia" w:ascii="Times New Roman" w:hAnsi="Times New Roman" w:eastAsia="宋体"/>
                <w:b/>
                <w:bCs/>
              </w:rPr>
            </w:pPr>
            <w:r>
              <w:rPr>
                <w:rFonts w:hint="eastAsia" w:ascii="Times New Roman" w:hAnsi="Times New Roman"/>
                <w:b/>
                <w:bCs/>
                <w:lang w:val="en-US" w:eastAsia="zh-CN"/>
              </w:rPr>
              <w:t>4.</w:t>
            </w:r>
            <w:r>
              <w:rPr>
                <w:rFonts w:hint="eastAsia" w:ascii="Times New Roman" w:hAnsi="Times New Roman" w:eastAsia="宋体"/>
                <w:b/>
                <w:bCs/>
              </w:rPr>
              <w:t>声环境影响分析</w:t>
            </w:r>
          </w:p>
          <w:p w14:paraId="56D7DB75">
            <w:pPr>
              <w:pStyle w:val="20"/>
              <w:keepNext w:val="0"/>
              <w:keepLines w:val="0"/>
              <w:suppressLineNumbers w:val="0"/>
              <w:spacing w:before="0" w:beforeAutospacing="0" w:after="0" w:afterAutospacing="0"/>
              <w:ind w:left="0" w:right="0" w:firstLine="480"/>
              <w:rPr>
                <w:rFonts w:hint="eastAsia" w:ascii="Times New Roman" w:hAnsi="Times New Roman" w:eastAsia="宋体" w:cs="黑体"/>
                <w:b/>
                <w:bCs/>
                <w:lang w:eastAsia="zh-CN"/>
              </w:rPr>
            </w:pPr>
            <w:r>
              <w:rPr>
                <w:rFonts w:hint="eastAsia" w:ascii="Times New Roman" w:hAnsi="Times New Roman" w:eastAsia="宋体"/>
              </w:rPr>
              <w:t>施工期噪声源主要为柴油发电机、钻井设备</w:t>
            </w:r>
            <w:r>
              <w:rPr>
                <w:rFonts w:hint="eastAsia" w:ascii="Times New Roman" w:hAnsi="Times New Roman"/>
                <w:lang w:eastAsia="zh-CN"/>
              </w:rPr>
              <w:t>、</w:t>
            </w:r>
            <w:r>
              <w:rPr>
                <w:rFonts w:hint="eastAsia" w:ascii="Times New Roman" w:hAnsi="Times New Roman"/>
                <w:lang w:val="en-US" w:eastAsia="zh-CN"/>
              </w:rPr>
              <w:t>运输车辆</w:t>
            </w:r>
            <w:r>
              <w:rPr>
                <w:rFonts w:hint="eastAsia" w:ascii="Times New Roman" w:hAnsi="Times New Roman" w:eastAsia="宋体"/>
              </w:rPr>
              <w:t>等，源强一般为85～</w:t>
            </w:r>
            <w:r>
              <w:rPr>
                <w:rFonts w:hint="eastAsia" w:ascii="Times New Roman" w:hAnsi="Times New Roman"/>
                <w:lang w:val="en-US" w:eastAsia="zh-CN"/>
              </w:rPr>
              <w:t>9</w:t>
            </w:r>
            <w:r>
              <w:rPr>
                <w:rFonts w:hint="eastAsia" w:ascii="Times New Roman" w:hAnsi="Times New Roman" w:eastAsia="宋体"/>
              </w:rPr>
              <w:t>0dB（A），基础减振降噪效果约为10dB（A）。根据现场调查，声环境评价范围内没有固定居住人群等声敏感目标，不会造成扰民现象，施工期的噪声仅对施工人员产生影响。</w:t>
            </w:r>
            <w:bookmarkStart w:id="27" w:name="_Hlk163506224"/>
            <w:r>
              <w:rPr>
                <w:rFonts w:hint="eastAsia" w:ascii="Times New Roman" w:hAnsi="Times New Roman" w:eastAsia="宋体"/>
                <w:lang w:val="en-US" w:eastAsia="zh-CN"/>
              </w:rPr>
              <w:t>依据《环境影响评价技术导则-声环境》（HJ 2.4-2021），结合设备选型资料与同类项目类比数据，识别并整理主要噪声源强信息如下表所示：</w:t>
            </w:r>
          </w:p>
          <w:p w14:paraId="42EF8BCD">
            <w:pPr>
              <w:pStyle w:val="7"/>
              <w:keepNext w:val="0"/>
              <w:keepLines w:val="0"/>
              <w:suppressLineNumbers w:val="0"/>
              <w:spacing w:before="0" w:beforeAutospacing="0" w:after="0" w:afterAutospacing="0" w:line="500" w:lineRule="exact"/>
              <w:ind w:left="0" w:right="0"/>
              <w:jc w:val="center"/>
              <w:rPr>
                <w:rFonts w:hint="default" w:ascii="Times New Roman" w:hAnsi="Times New Roman" w:eastAsia="宋体" w:cs="黑体"/>
                <w:b/>
                <w:bCs/>
                <w:lang w:val="en-US" w:eastAsia="zh-CN"/>
              </w:rPr>
            </w:pPr>
            <w:r>
              <w:rPr>
                <w:rFonts w:hint="eastAsia" w:ascii="Times New Roman" w:hAnsi="Times New Roman" w:eastAsia="宋体" w:cs="黑体"/>
                <w:b/>
                <w:bCs/>
                <w:lang w:eastAsia="zh-CN"/>
              </w:rPr>
              <w:t>表4-</w:t>
            </w:r>
            <w:r>
              <w:rPr>
                <w:rFonts w:hint="eastAsia" w:ascii="Times New Roman" w:hAnsi="Times New Roman" w:eastAsia="宋体" w:cs="黑体"/>
                <w:b/>
                <w:bCs/>
                <w:lang w:val="en-US" w:eastAsia="zh-CN"/>
              </w:rPr>
              <w:t>2</w:t>
            </w:r>
            <w:r>
              <w:rPr>
                <w:rFonts w:hint="eastAsia" w:ascii="Times New Roman" w:hAnsi="Times New Roman" w:eastAsia="宋体" w:cs="黑体"/>
                <w:b/>
                <w:bCs/>
                <w:lang w:eastAsia="zh-CN"/>
              </w:rPr>
              <w:t>施工期主要噪声源强</w:t>
            </w:r>
            <w:r>
              <w:rPr>
                <w:rFonts w:hint="eastAsia" w:ascii="Times New Roman" w:hAnsi="Times New Roman" w:eastAsia="宋体" w:cs="黑体"/>
                <w:b/>
                <w:bCs/>
                <w:lang w:val="en-US" w:eastAsia="zh-CN"/>
              </w:rPr>
              <w:t>信息一览表</w:t>
            </w:r>
          </w:p>
          <w:tbl>
            <w:tblPr>
              <w:tblStyle w:val="29"/>
              <w:tblW w:w="507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061"/>
              <w:gridCol w:w="566"/>
              <w:gridCol w:w="1284"/>
              <w:gridCol w:w="490"/>
              <w:gridCol w:w="817"/>
              <w:gridCol w:w="3686"/>
              <w:gridCol w:w="867"/>
            </w:tblGrid>
            <w:tr w14:paraId="0E994E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873" w:hRule="exact"/>
                <w:jc w:val="center"/>
              </w:trPr>
              <w:tc>
                <w:tcPr>
                  <w:tcW w:w="604" w:type="pct"/>
                  <w:vAlign w:val="center"/>
                </w:tcPr>
                <w:p w14:paraId="6796FEC5">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噪声设备</w:t>
                  </w:r>
                </w:p>
              </w:tc>
              <w:tc>
                <w:tcPr>
                  <w:tcW w:w="322" w:type="pct"/>
                  <w:vAlign w:val="center"/>
                </w:tcPr>
                <w:p w14:paraId="3F7FE969">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数量</w:t>
                  </w:r>
                </w:p>
              </w:tc>
              <w:tc>
                <w:tcPr>
                  <w:tcW w:w="731" w:type="pct"/>
                  <w:vAlign w:val="center"/>
                </w:tcPr>
                <w:p w14:paraId="338E12A5">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声压级/距声源距离（dB（A）/m）</w:t>
                  </w:r>
                </w:p>
              </w:tc>
              <w:tc>
                <w:tcPr>
                  <w:tcW w:w="279" w:type="pct"/>
                  <w:vAlign w:val="center"/>
                </w:tcPr>
                <w:p w14:paraId="6CEC747B">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排放时间</w:t>
                  </w:r>
                </w:p>
              </w:tc>
              <w:tc>
                <w:tcPr>
                  <w:tcW w:w="465" w:type="pct"/>
                  <w:vAlign w:val="center"/>
                </w:tcPr>
                <w:p w14:paraId="6ABC8B05">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噪声特性</w:t>
                  </w:r>
                </w:p>
              </w:tc>
              <w:tc>
                <w:tcPr>
                  <w:tcW w:w="2101" w:type="pct"/>
                  <w:vAlign w:val="center"/>
                </w:tcPr>
                <w:p w14:paraId="0B1415D2">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声源控制措施</w:t>
                  </w:r>
                </w:p>
              </w:tc>
              <w:tc>
                <w:tcPr>
                  <w:tcW w:w="494" w:type="pct"/>
                  <w:vAlign w:val="center"/>
                </w:tcPr>
                <w:p w14:paraId="59B6778F">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降噪后噪声源强</w:t>
                  </w:r>
                </w:p>
              </w:tc>
            </w:tr>
            <w:tr w14:paraId="088E6C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872" w:hRule="exact"/>
                <w:jc w:val="center"/>
              </w:trPr>
              <w:tc>
                <w:tcPr>
                  <w:tcW w:w="604" w:type="pct"/>
                  <w:vAlign w:val="center"/>
                </w:tcPr>
                <w:p w14:paraId="515706D8">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钻井设备</w:t>
                  </w:r>
                </w:p>
              </w:tc>
              <w:tc>
                <w:tcPr>
                  <w:tcW w:w="322" w:type="pct"/>
                  <w:vAlign w:val="center"/>
                </w:tcPr>
                <w:p w14:paraId="68FE40DF">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1台</w:t>
                  </w:r>
                </w:p>
              </w:tc>
              <w:tc>
                <w:tcPr>
                  <w:tcW w:w="731" w:type="pct"/>
                  <w:vAlign w:val="center"/>
                </w:tcPr>
                <w:p w14:paraId="0BF9101D">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90</w:t>
                  </w: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/1</w:t>
                  </w:r>
                </w:p>
              </w:tc>
              <w:tc>
                <w:tcPr>
                  <w:tcW w:w="279" w:type="pct"/>
                  <w:vAlign w:val="center"/>
                </w:tcPr>
                <w:p w14:paraId="52F8B5D5">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昼</w:t>
                  </w: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间</w:t>
                  </w:r>
                </w:p>
              </w:tc>
              <w:tc>
                <w:tcPr>
                  <w:tcW w:w="465" w:type="pct"/>
                  <w:vAlign w:val="center"/>
                </w:tcPr>
                <w:p w14:paraId="1F02E366">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固定或半固定式声源</w:t>
                  </w:r>
                </w:p>
              </w:tc>
              <w:tc>
                <w:tcPr>
                  <w:tcW w:w="2101" w:type="pct"/>
                  <w:vAlign w:val="center"/>
                </w:tcPr>
                <w:p w14:paraId="42C2B5CD">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优先选用低噪声型号设备；加强操作管理，避免空载运行</w:t>
                  </w:r>
                </w:p>
              </w:tc>
              <w:tc>
                <w:tcPr>
                  <w:tcW w:w="494" w:type="pct"/>
                  <w:vAlign w:val="center"/>
                </w:tcPr>
                <w:p w14:paraId="1200E9FA">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75</w:t>
                  </w:r>
                </w:p>
              </w:tc>
            </w:tr>
            <w:tr w14:paraId="0B729E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649" w:hRule="exact"/>
                <w:jc w:val="center"/>
              </w:trPr>
              <w:tc>
                <w:tcPr>
                  <w:tcW w:w="604" w:type="pct"/>
                  <w:vAlign w:val="center"/>
                </w:tcPr>
                <w:p w14:paraId="3E1326CB">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柴</w:t>
                  </w: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油发电机</w:t>
                  </w:r>
                </w:p>
              </w:tc>
              <w:tc>
                <w:tcPr>
                  <w:tcW w:w="322" w:type="pct"/>
                  <w:vAlign w:val="center"/>
                </w:tcPr>
                <w:p w14:paraId="41947FAD">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2台</w:t>
                  </w:r>
                </w:p>
              </w:tc>
              <w:tc>
                <w:tcPr>
                  <w:tcW w:w="731" w:type="pct"/>
                  <w:vAlign w:val="center"/>
                </w:tcPr>
                <w:p w14:paraId="46B2665A">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90/1</w:t>
                  </w:r>
                </w:p>
              </w:tc>
              <w:tc>
                <w:tcPr>
                  <w:tcW w:w="279" w:type="pct"/>
                  <w:vAlign w:val="center"/>
                </w:tcPr>
                <w:p w14:paraId="25814B6B">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昼</w:t>
                  </w: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间</w:t>
                  </w:r>
                </w:p>
              </w:tc>
              <w:tc>
                <w:tcPr>
                  <w:tcW w:w="465" w:type="pct"/>
                  <w:vAlign w:val="center"/>
                </w:tcPr>
                <w:p w14:paraId="53CC4877">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固定或半固定式声源</w:t>
                  </w:r>
                </w:p>
              </w:tc>
              <w:tc>
                <w:tcPr>
                  <w:tcW w:w="2101" w:type="pct"/>
                  <w:vAlign w:val="center"/>
                </w:tcPr>
                <w:p w14:paraId="754FED86">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选用低噪声型；基础减振</w:t>
                  </w:r>
                </w:p>
              </w:tc>
              <w:tc>
                <w:tcPr>
                  <w:tcW w:w="494" w:type="pct"/>
                  <w:vAlign w:val="center"/>
                </w:tcPr>
                <w:p w14:paraId="70EB0921">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75</w:t>
                  </w:r>
                </w:p>
              </w:tc>
            </w:tr>
            <w:tr w14:paraId="405132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971" w:hRule="exact"/>
                <w:jc w:val="center"/>
              </w:trPr>
              <w:tc>
                <w:tcPr>
                  <w:tcW w:w="604" w:type="pct"/>
                  <w:vAlign w:val="center"/>
                </w:tcPr>
                <w:p w14:paraId="0325E522">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运输车辆（皮卡车）</w:t>
                  </w:r>
                </w:p>
              </w:tc>
              <w:tc>
                <w:tcPr>
                  <w:tcW w:w="322" w:type="pct"/>
                  <w:vAlign w:val="center"/>
                </w:tcPr>
                <w:p w14:paraId="55DBE1FB">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2辆</w:t>
                  </w:r>
                </w:p>
              </w:tc>
              <w:tc>
                <w:tcPr>
                  <w:tcW w:w="731" w:type="pct"/>
                  <w:vAlign w:val="center"/>
                </w:tcPr>
                <w:p w14:paraId="42729CF8">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85/1</w:t>
                  </w:r>
                </w:p>
              </w:tc>
              <w:tc>
                <w:tcPr>
                  <w:tcW w:w="279" w:type="pct"/>
                  <w:vAlign w:val="center"/>
                </w:tcPr>
                <w:p w14:paraId="4E10A54C">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昼</w:t>
                  </w: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间</w:t>
                  </w:r>
                </w:p>
              </w:tc>
              <w:tc>
                <w:tcPr>
                  <w:tcW w:w="465" w:type="pct"/>
                  <w:vAlign w:val="center"/>
                </w:tcPr>
                <w:p w14:paraId="3E57D0F3">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移动声源</w:t>
                  </w:r>
                </w:p>
              </w:tc>
              <w:tc>
                <w:tcPr>
                  <w:tcW w:w="2101" w:type="pct"/>
                  <w:vAlign w:val="center"/>
                </w:tcPr>
                <w:p w14:paraId="69CE81E8">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合理规划运输频次（每</w:t>
                  </w:r>
                  <w:r>
                    <w:rPr>
                      <w:rFonts w:hint="default" w:ascii="Times New Roman" w:hAnsi="Times New Roman" w:eastAsia="宋体" w:cs="宋体"/>
                      <w:color w:val="000000" w:themeColor="text1"/>
                      <w:highlight w:val="none"/>
                      <w:lang w:val="en-US" w:eastAsia="zh-CN"/>
                      <w14:textFill>
                        <w14:solidFill>
                          <w14:schemeClr w14:val="tx1"/>
                        </w14:solidFill>
                      </w14:textFill>
                      <w14:ligatures w14:val="standardContextual"/>
                    </w:rPr>
                    <w:t>3</w:t>
                  </w: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w:t>
                  </w:r>
                  <w:r>
                    <w:rPr>
                      <w:rFonts w:hint="default" w:ascii="Times New Roman" w:hAnsi="Times New Roman" w:eastAsia="宋体" w:cs="宋体"/>
                      <w:color w:val="000000" w:themeColor="text1"/>
                      <w:highlight w:val="none"/>
                      <w:lang w:val="en-US" w:eastAsia="zh-CN"/>
                      <w14:textFill>
                        <w14:solidFill>
                          <w14:schemeClr w14:val="tx1"/>
                        </w14:solidFill>
                      </w14:textFill>
                      <w14:ligatures w14:val="standardContextual"/>
                    </w:rPr>
                    <w:t>4</w:t>
                  </w: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个野外工作日一次）；限制车速、禁止鸣笛；合理装载、减少急加速；严禁夜间运输</w:t>
                  </w:r>
                </w:p>
              </w:tc>
              <w:tc>
                <w:tcPr>
                  <w:tcW w:w="494" w:type="pct"/>
                  <w:vAlign w:val="center"/>
                </w:tcPr>
                <w:p w14:paraId="7E409900">
                  <w:pPr>
                    <w:pStyle w:val="7"/>
                    <w:keepNext w:val="0"/>
                    <w:keepLines w:val="0"/>
                    <w:suppressLineNumbers w:val="0"/>
                    <w:spacing w:before="0" w:beforeAutospacing="0" w:after="0" w:afterAutospacing="0" w:line="300" w:lineRule="exact"/>
                    <w:ind w:left="0" w:right="0"/>
                    <w:jc w:val="cente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70</w:t>
                  </w:r>
                </w:p>
              </w:tc>
            </w:tr>
          </w:tbl>
          <w:p w14:paraId="5E921CF1">
            <w:pPr>
              <w:pStyle w:val="20"/>
              <w:keepNext w:val="0"/>
              <w:keepLines w:val="0"/>
              <w:numPr>
                <w:ilvl w:val="0"/>
                <w:numId w:val="0"/>
              </w:numPr>
              <w:suppressLineNumbers w:val="0"/>
              <w:spacing w:before="0" w:beforeAutospacing="0" w:after="0" w:afterAutospacing="0"/>
              <w:ind w:left="0" w:leftChars="0" w:right="0" w:firstLine="0" w:firstLineChars="0"/>
              <w:rPr>
                <w:rFonts w:hint="eastAsia" w:ascii="Times New Roman" w:hAnsi="Times New Roman" w:eastAsia="宋体"/>
                <w:lang w:val="en-US" w:eastAsia="zh-CN"/>
              </w:rPr>
            </w:pPr>
            <w:r>
              <w:rPr>
                <w:rFonts w:hint="eastAsia" w:ascii="Times New Roman" w:hAnsi="Times New Roman" w:eastAsia="宋体" w:cs="Times New Roman"/>
                <w:kern w:val="0"/>
                <w:sz w:val="24"/>
                <w:szCs w:val="24"/>
                <w:lang w:val="en-US" w:eastAsia="zh-CN" w:bidi="ar-SA"/>
              </w:rPr>
              <w:t>（1）</w:t>
            </w:r>
            <w:r>
              <w:rPr>
                <w:rFonts w:hint="eastAsia" w:ascii="Times New Roman" w:hAnsi="Times New Roman" w:eastAsia="宋体"/>
                <w:lang w:val="en-US" w:eastAsia="zh-CN"/>
              </w:rPr>
              <w:t>噪声预测模式与方法</w:t>
            </w:r>
          </w:p>
          <w:p w14:paraId="5BCC1E08">
            <w:pPr>
              <w:pStyle w:val="20"/>
              <w:keepNext w:val="0"/>
              <w:keepLines w:val="0"/>
              <w:suppressLineNumbers w:val="0"/>
              <w:spacing w:before="0" w:beforeAutospacing="0" w:after="0" w:afterAutospacing="0"/>
              <w:ind w:left="0" w:right="0" w:firstLine="48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根据《环境影响评价技术导则-声环境》（HJ 2.4-2021）中关于室外声源传播衰减的计算推荐模型，采用</w:t>
            </w:r>
            <w:r>
              <w:rPr>
                <w:rFonts w:hint="eastAsia" w:ascii="Times New Roman" w:hAnsi="Times New Roman" w:cs="Times New Roman"/>
                <w:highlight w:val="none"/>
                <w:lang w:val="en-US" w:eastAsia="zh-CN"/>
              </w:rPr>
              <w:t>无指向性</w:t>
            </w:r>
            <w:r>
              <w:rPr>
                <w:rFonts w:hint="default" w:ascii="Times New Roman" w:hAnsi="Times New Roman" w:eastAsia="宋体" w:cs="Times New Roman"/>
                <w:highlight w:val="none"/>
                <w:lang w:val="en-US" w:eastAsia="zh-CN"/>
              </w:rPr>
              <w:t>点声源几何发散衰减公式进行噪声贡献值预测。对于固定或可视为点声源的设备（如钻机、发电机等），其在预测点产生的A声级按下式计算：</w:t>
            </w:r>
          </w:p>
          <w:p w14:paraId="3C6A22B0">
            <w:pPr>
              <w:pStyle w:val="20"/>
              <w:keepNext w:val="0"/>
              <w:keepLines w:val="0"/>
              <w:suppressLineNumbers w:val="0"/>
              <w:spacing w:before="0" w:beforeAutospacing="0" w:after="0" w:afterAutospacing="0"/>
              <w:ind w:left="0" w:right="0" w:firstLine="48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Lp</w:t>
            </w:r>
            <w:r>
              <w:rPr>
                <w:rFonts w:hint="eastAsia" w:ascii="Times New Roman" w:hAnsi="Times New Roman" w:cs="Times New Roman"/>
                <w:highlight w:val="none"/>
                <w:lang w:val="en-US" w:eastAsia="zh-CN"/>
              </w:rPr>
              <w:t>（</w:t>
            </w:r>
            <w:r>
              <w:rPr>
                <w:rFonts w:hint="default" w:ascii="Times New Roman" w:hAnsi="Times New Roman" w:eastAsia="宋体" w:cs="Times New Roman"/>
                <w:highlight w:val="none"/>
                <w:lang w:val="en-US" w:eastAsia="zh-CN"/>
              </w:rPr>
              <w:t>r</w:t>
            </w:r>
            <w:r>
              <w:rPr>
                <w:rFonts w:hint="eastAsia" w:ascii="Times New Roman" w:hAnsi="Times New Roman" w:cs="Times New Roman"/>
                <w:highlight w:val="none"/>
                <w:lang w:val="en-US" w:eastAsia="zh-CN"/>
              </w:rPr>
              <w:t>）</w:t>
            </w:r>
            <w:r>
              <w:rPr>
                <w:rFonts w:hint="default" w:ascii="Times New Roman" w:hAnsi="Times New Roman" w:eastAsia="宋体" w:cs="Times New Roman"/>
                <w:highlight w:val="none"/>
                <w:lang w:val="en-US" w:eastAsia="zh-CN"/>
              </w:rPr>
              <w:t>=Lp</w:t>
            </w:r>
            <w:r>
              <w:rPr>
                <w:rFonts w:hint="eastAsia" w:ascii="Times New Roman" w:hAnsi="Times New Roman" w:cs="Times New Roman"/>
                <w:highlight w:val="none"/>
                <w:lang w:val="en-US" w:eastAsia="zh-CN"/>
              </w:rPr>
              <w:t>（r</w:t>
            </w:r>
            <w:r>
              <w:rPr>
                <w:rFonts w:hint="default" w:ascii="Times New Roman" w:hAnsi="Times New Roman" w:eastAsia="宋体" w:cs="Times New Roman"/>
                <w:highlight w:val="none"/>
                <w:vertAlign w:val="subscript"/>
                <w:lang w:val="en-US" w:eastAsia="zh-CN"/>
              </w:rPr>
              <w:t>0</w:t>
            </w:r>
            <w:r>
              <w:rPr>
                <w:rFonts w:hint="eastAsia" w:ascii="Times New Roman" w:hAnsi="Times New Roman" w:cs="Times New Roman"/>
                <w:highlight w:val="none"/>
                <w:lang w:val="en-US" w:eastAsia="zh-CN"/>
              </w:rPr>
              <w:t>）</w:t>
            </w:r>
            <w:r>
              <w:rPr>
                <w:rFonts w:hint="default" w:ascii="Times New Roman" w:hAnsi="Times New Roman" w:eastAsia="宋体" w:cs="Times New Roman"/>
                <w:highlight w:val="none"/>
                <w:lang w:val="en-US" w:eastAsia="zh-CN"/>
              </w:rPr>
              <w:t>-20lg</w:t>
            </w:r>
            <w:r>
              <w:rPr>
                <w:rFonts w:hint="eastAsia" w:ascii="Times New Roman" w:hAnsi="Times New Roman" w:cs="Times New Roman"/>
                <w:highlight w:val="none"/>
                <w:lang w:val="en-US" w:eastAsia="zh-CN"/>
              </w:rPr>
              <w:t>（</w:t>
            </w:r>
            <w:r>
              <w:rPr>
                <w:rFonts w:hint="default" w:ascii="Times New Roman" w:hAnsi="Times New Roman" w:eastAsia="宋体" w:cs="Times New Roman"/>
                <w:highlight w:val="none"/>
                <w:lang w:val="en-US" w:eastAsia="zh-CN"/>
              </w:rPr>
              <w:t>r/r</w:t>
            </w:r>
            <w:r>
              <w:rPr>
                <w:rFonts w:hint="default" w:ascii="Times New Roman" w:hAnsi="Times New Roman" w:eastAsia="宋体" w:cs="Times New Roman"/>
                <w:highlight w:val="none"/>
                <w:vertAlign w:val="subscript"/>
                <w:lang w:val="en-US" w:eastAsia="zh-CN"/>
              </w:rPr>
              <w:t>0</w:t>
            </w:r>
            <w:r>
              <w:rPr>
                <w:rFonts w:hint="eastAsia" w:ascii="Times New Roman" w:hAnsi="Times New Roman" w:cs="Times New Roman"/>
                <w:highlight w:val="none"/>
                <w:lang w:val="en-US" w:eastAsia="zh-CN"/>
              </w:rPr>
              <w:t>）</w:t>
            </w:r>
          </w:p>
          <w:p w14:paraId="4789B775">
            <w:pPr>
              <w:pStyle w:val="20"/>
              <w:keepNext w:val="0"/>
              <w:keepLines w:val="0"/>
              <w:suppressLineNumbers w:val="0"/>
              <w:spacing w:before="0" w:beforeAutospacing="0" w:after="0" w:afterAutospacing="0"/>
              <w:ind w:left="0" w:right="0" w:firstLine="48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式中：Lp（r）——预测点处声压级，dB；</w:t>
            </w:r>
          </w:p>
          <w:p w14:paraId="0B9D1343">
            <w:pPr>
              <w:pStyle w:val="20"/>
              <w:keepNext w:val="0"/>
              <w:keepLines w:val="0"/>
              <w:suppressLineNumbers w:val="0"/>
              <w:spacing w:before="0" w:beforeAutospacing="0" w:after="0" w:afterAutospacing="0"/>
              <w:ind w:left="0" w:right="0" w:firstLine="48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Lp</w:t>
            </w:r>
            <w:r>
              <w:rPr>
                <w:rFonts w:hint="eastAsia" w:ascii="Times New Roman" w:hAnsi="Times New Roman" w:cs="Times New Roman"/>
                <w:highlight w:val="none"/>
                <w:lang w:val="en-US" w:eastAsia="zh-CN"/>
              </w:rPr>
              <w:t>（r</w:t>
            </w:r>
            <w:r>
              <w:rPr>
                <w:rFonts w:hint="default" w:ascii="Times New Roman" w:hAnsi="Times New Roman" w:eastAsia="宋体" w:cs="Times New Roman"/>
                <w:highlight w:val="none"/>
                <w:vertAlign w:val="subscript"/>
                <w:lang w:val="en-US" w:eastAsia="zh-CN"/>
              </w:rPr>
              <w:t>0</w:t>
            </w:r>
            <w:r>
              <w:rPr>
                <w:rFonts w:hint="eastAsia" w:ascii="Times New Roman" w:hAnsi="Times New Roman" w:cs="Times New Roman"/>
                <w:highlight w:val="none"/>
                <w:lang w:val="en-US" w:eastAsia="zh-CN"/>
              </w:rPr>
              <w:t>）</w:t>
            </w:r>
            <w:r>
              <w:rPr>
                <w:rFonts w:hint="default" w:ascii="Times New Roman" w:hAnsi="Times New Roman" w:eastAsia="宋体" w:cs="Times New Roman"/>
                <w:highlight w:val="none"/>
                <w:lang w:val="en-US" w:eastAsia="zh-CN"/>
              </w:rPr>
              <w:t>——</w:t>
            </w:r>
            <w:r>
              <w:rPr>
                <w:rFonts w:hint="eastAsia" w:ascii="Times New Roman" w:hAnsi="Times New Roman" w:cs="Times New Roman"/>
                <w:highlight w:val="none"/>
                <w:lang w:val="en-US" w:eastAsia="zh-CN"/>
              </w:rPr>
              <w:t>参考位置r</w:t>
            </w:r>
            <w:r>
              <w:rPr>
                <w:rFonts w:hint="eastAsia" w:ascii="Times New Roman" w:hAnsi="Times New Roman" w:cs="Times New Roman"/>
                <w:highlight w:val="none"/>
                <w:vertAlign w:val="subscript"/>
                <w:lang w:val="en-US" w:eastAsia="zh-CN"/>
              </w:rPr>
              <w:t>0</w:t>
            </w:r>
            <w:r>
              <w:rPr>
                <w:rFonts w:hint="default" w:ascii="Times New Roman" w:hAnsi="Times New Roman" w:eastAsia="宋体" w:cs="Times New Roman"/>
                <w:highlight w:val="none"/>
                <w:lang w:val="en-US" w:eastAsia="zh-CN"/>
              </w:rPr>
              <w:t>处</w:t>
            </w:r>
            <w:r>
              <w:rPr>
                <w:rFonts w:hint="eastAsia" w:ascii="Times New Roman" w:hAnsi="Times New Roman" w:eastAsia="宋体" w:cs="Times New Roman"/>
                <w:highlight w:val="none"/>
                <w:lang w:val="en-US" w:eastAsia="zh-CN"/>
              </w:rPr>
              <w:t>的</w:t>
            </w:r>
            <w:r>
              <w:rPr>
                <w:rFonts w:hint="default" w:ascii="Times New Roman" w:hAnsi="Times New Roman" w:eastAsia="宋体" w:cs="Times New Roman"/>
                <w:highlight w:val="none"/>
                <w:lang w:val="en-US" w:eastAsia="zh-CN"/>
              </w:rPr>
              <w:t>声压级，dB；</w:t>
            </w:r>
          </w:p>
          <w:p w14:paraId="485CD15F">
            <w:pPr>
              <w:pStyle w:val="20"/>
              <w:keepNext w:val="0"/>
              <w:keepLines w:val="0"/>
              <w:suppressLineNumbers w:val="0"/>
              <w:spacing w:before="0" w:beforeAutospacing="0" w:after="0" w:afterAutospacing="0"/>
              <w:ind w:left="0" w:right="0" w:firstLine="480"/>
              <w:rPr>
                <w:rFonts w:hint="eastAsia" w:ascii="Times New Roman" w:hAnsi="Times New Roman" w:cs="Times New Roman"/>
                <w:highlight w:val="none"/>
                <w:lang w:val="en-US" w:eastAsia="zh-CN"/>
              </w:rPr>
            </w:pPr>
            <w:r>
              <w:rPr>
                <w:rFonts w:hint="default" w:ascii="Times New Roman" w:hAnsi="Times New Roman" w:eastAsia="宋体" w:cs="Times New Roman"/>
                <w:highlight w:val="none"/>
                <w:lang w:val="en-US" w:eastAsia="zh-CN"/>
              </w:rPr>
              <w:t>r——预测点距声源的距离</w:t>
            </w:r>
            <w:r>
              <w:rPr>
                <w:rFonts w:hint="eastAsia" w:ascii="Times New Roman" w:hAnsi="Times New Roman" w:cs="Times New Roman"/>
                <w:highlight w:val="none"/>
                <w:lang w:val="en-US" w:eastAsia="zh-CN"/>
              </w:rPr>
              <w:t>；</w:t>
            </w:r>
          </w:p>
          <w:p w14:paraId="20BC58A8">
            <w:pPr>
              <w:pStyle w:val="20"/>
              <w:keepNext w:val="0"/>
              <w:keepLines w:val="0"/>
              <w:suppressLineNumbers w:val="0"/>
              <w:spacing w:before="0" w:beforeAutospacing="0" w:after="0" w:afterAutospacing="0"/>
              <w:ind w:left="0" w:right="0"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r</w:t>
            </w:r>
            <w:r>
              <w:rPr>
                <w:rFonts w:hint="default" w:ascii="Times New Roman" w:hAnsi="Times New Roman" w:cs="Times New Roman"/>
                <w:highlight w:val="none"/>
                <w:vertAlign w:val="subscript"/>
                <w:lang w:val="en-US" w:eastAsia="zh-CN"/>
              </w:rPr>
              <w:t>0</w:t>
            </w:r>
            <w:r>
              <w:rPr>
                <w:rFonts w:hint="default" w:ascii="Times New Roman" w:hAnsi="Times New Roman" w:cs="Times New Roman"/>
                <w:highlight w:val="none"/>
                <w:lang w:val="en-US" w:eastAsia="zh-CN"/>
              </w:rPr>
              <w:t>——参考位置距声源的距离</w:t>
            </w:r>
            <w:r>
              <w:rPr>
                <w:rFonts w:hint="eastAsia" w:ascii="Times New Roman" w:hAnsi="Times New Roman" w:cs="Times New Roman"/>
                <w:highlight w:val="none"/>
                <w:lang w:val="en-US" w:eastAsia="zh-CN"/>
              </w:rPr>
              <w:t>；</w:t>
            </w:r>
          </w:p>
          <w:p w14:paraId="08C03C03">
            <w:pPr>
              <w:pStyle w:val="20"/>
              <w:keepNext w:val="0"/>
              <w:keepLines w:val="0"/>
              <w:suppressLineNumbers w:val="0"/>
              <w:spacing w:before="0" w:beforeAutospacing="0" w:after="0" w:afterAutospacing="0"/>
              <w:ind w:left="0" w:right="0" w:firstLine="48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由于运输车辆属于移动声源，运行路径不确定且作用时间短，故不纳入定量预测范围，通过管理措施予以控制。</w:t>
            </w:r>
          </w:p>
          <w:p w14:paraId="4E046A7F">
            <w:pPr>
              <w:pStyle w:val="20"/>
              <w:keepNext w:val="0"/>
              <w:keepLines w:val="0"/>
              <w:numPr>
                <w:ilvl w:val="0"/>
                <w:numId w:val="0"/>
              </w:numPr>
              <w:suppressLineNumbers w:val="0"/>
              <w:spacing w:before="0" w:beforeAutospacing="0" w:after="0" w:afterAutospacing="0"/>
              <w:ind w:left="0" w:leftChars="0" w:right="0" w:firstLine="0" w:firstLineChars="0"/>
              <w:rPr>
                <w:rFonts w:hint="default" w:ascii="Times New Roman" w:hAnsi="Times New Roman" w:eastAsia="宋体"/>
                <w:lang w:val="en-US" w:eastAsia="zh-CN"/>
              </w:rPr>
            </w:pPr>
            <w:r>
              <w:rPr>
                <w:rFonts w:hint="default" w:ascii="Times New Roman" w:hAnsi="Times New Roman" w:eastAsia="宋体" w:cs="Times New Roman"/>
                <w:kern w:val="0"/>
                <w:sz w:val="24"/>
                <w:szCs w:val="24"/>
                <w:lang w:val="en-US" w:eastAsia="zh-CN" w:bidi="ar-SA"/>
              </w:rPr>
              <w:t>（</w:t>
            </w:r>
            <w:r>
              <w:rPr>
                <w:rFonts w:hint="eastAsia" w:ascii="Times New Roman" w:hAnsi="Times New Roman" w:eastAsia="宋体" w:cs="Times New Roman"/>
                <w:kern w:val="0"/>
                <w:sz w:val="24"/>
                <w:szCs w:val="24"/>
                <w:lang w:val="en-US" w:eastAsia="zh-CN" w:bidi="ar-SA"/>
              </w:rPr>
              <w:t>2</w:t>
            </w:r>
            <w:r>
              <w:rPr>
                <w:rFonts w:hint="default" w:ascii="Times New Roman" w:hAnsi="Times New Roman" w:eastAsia="宋体" w:cs="Times New Roman"/>
                <w:kern w:val="0"/>
                <w:sz w:val="24"/>
                <w:szCs w:val="24"/>
                <w:lang w:val="en-US" w:eastAsia="zh-CN" w:bidi="ar-SA"/>
              </w:rPr>
              <w:t>）</w:t>
            </w:r>
            <w:r>
              <w:rPr>
                <w:rFonts w:hint="default" w:ascii="Times New Roman" w:hAnsi="Times New Roman" w:eastAsia="宋体"/>
                <w:lang w:val="en-US" w:eastAsia="zh-CN"/>
              </w:rPr>
              <w:t>噪声贡献值预测结果</w:t>
            </w:r>
          </w:p>
          <w:p w14:paraId="32C5FDEF">
            <w:pPr>
              <w:pStyle w:val="20"/>
              <w:keepNext w:val="0"/>
              <w:keepLines w:val="0"/>
              <w:suppressLineNumbers w:val="0"/>
              <w:spacing w:before="0" w:beforeAutospacing="0" w:after="0" w:afterAutospacing="0"/>
              <w:ind w:left="0" w:right="0" w:firstLine="480"/>
              <w:rPr>
                <w:rFonts w:hint="default" w:ascii="Times New Roman" w:hAnsi="Times New Roman" w:eastAsia="宋体"/>
                <w:lang w:val="en-US" w:eastAsia="zh-CN"/>
              </w:rPr>
            </w:pPr>
            <w:r>
              <w:rPr>
                <w:rFonts w:hint="default" w:ascii="Times New Roman" w:hAnsi="Times New Roman" w:eastAsia="宋体" w:cs="Times New Roman"/>
                <w:highlight w:val="none"/>
                <w:lang w:val="en-US" w:eastAsia="zh-CN"/>
              </w:rPr>
              <w:t>基于上述预测模型，计算各主要施工机械在不同距离处的噪声贡献值，结果见下表：</w:t>
            </w:r>
          </w:p>
          <w:p w14:paraId="0173A5CC">
            <w:pPr>
              <w:pStyle w:val="7"/>
              <w:keepNext w:val="0"/>
              <w:keepLines w:val="0"/>
              <w:suppressLineNumbers w:val="0"/>
              <w:spacing w:before="0" w:beforeAutospacing="0" w:after="0" w:afterAutospacing="0" w:line="500" w:lineRule="exact"/>
              <w:ind w:left="0" w:right="0"/>
              <w:jc w:val="center"/>
              <w:rPr>
                <w:rFonts w:hint="default" w:ascii="Times New Roman" w:hAnsi="Times New Roman" w:eastAsia="宋体" w:cs="黑体"/>
                <w:b/>
                <w:bCs/>
                <w:lang w:val="en-US" w:eastAsia="zh-CN"/>
              </w:rPr>
            </w:pPr>
            <w:r>
              <w:rPr>
                <w:rFonts w:hint="default" w:ascii="Times New Roman" w:hAnsi="Times New Roman" w:eastAsia="宋体" w:cs="黑体"/>
                <w:b/>
                <w:bCs/>
                <w:lang w:val="en-US" w:eastAsia="zh-CN"/>
              </w:rPr>
              <w:t>表4-</w:t>
            </w:r>
            <w:r>
              <w:rPr>
                <w:rFonts w:hint="eastAsia" w:ascii="Times New Roman" w:hAnsi="Times New Roman" w:eastAsia="宋体" w:cs="黑体"/>
                <w:b/>
                <w:bCs/>
                <w:lang w:val="en-US" w:eastAsia="zh-CN"/>
              </w:rPr>
              <w:t>3</w:t>
            </w:r>
            <w:r>
              <w:rPr>
                <w:rFonts w:hint="default" w:ascii="Times New Roman" w:hAnsi="Times New Roman" w:eastAsia="宋体" w:cs="黑体"/>
                <w:b/>
                <w:bCs/>
                <w:lang w:val="en-US" w:eastAsia="zh-CN"/>
              </w:rPr>
              <w:t>施工机械噪声在不同距离的预测贡献值</w:t>
            </w:r>
          </w:p>
          <w:tbl>
            <w:tblPr>
              <w:tblStyle w:val="16"/>
              <w:tblW w:w="8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699"/>
              <w:gridCol w:w="1068"/>
              <w:gridCol w:w="1068"/>
              <w:gridCol w:w="1068"/>
              <w:gridCol w:w="1069"/>
              <w:gridCol w:w="1069"/>
              <w:gridCol w:w="1079"/>
            </w:tblGrid>
            <w:tr w14:paraId="4C3A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438" w:type="dxa"/>
                  <w:vMerge w:val="restart"/>
                  <w:noWrap w:val="0"/>
                  <w:vAlign w:val="center"/>
                </w:tcPr>
                <w:p w14:paraId="3801DFC2">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default" w:ascii="Times New Roman" w:hAnsi="Times New Roman" w:eastAsia="宋体" w:cs="宋体"/>
                      <w:color w:val="000000" w:themeColor="text1"/>
                      <w:highlight w:val="none"/>
                      <w:lang w:val="en-US" w:eastAsia="zh-CN"/>
                      <w14:textFill>
                        <w14:solidFill>
                          <w14:schemeClr w14:val="tx1"/>
                        </w14:solidFill>
                      </w14:textFill>
                    </w:rPr>
                    <w:t>噪声源</w:t>
                  </w:r>
                </w:p>
              </w:tc>
              <w:tc>
                <w:tcPr>
                  <w:tcW w:w="699" w:type="dxa"/>
                  <w:vMerge w:val="restart"/>
                  <w:noWrap w:val="0"/>
                  <w:vAlign w:val="center"/>
                </w:tcPr>
                <w:p w14:paraId="0CC621A5">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default" w:ascii="Times New Roman" w:hAnsi="Times New Roman" w:eastAsia="宋体" w:cs="宋体"/>
                      <w:color w:val="000000" w:themeColor="text1"/>
                      <w:highlight w:val="none"/>
                      <w:lang w:val="en-US" w:eastAsia="zh-CN"/>
                      <w14:textFill>
                        <w14:solidFill>
                          <w14:schemeClr w14:val="tx1"/>
                        </w14:solidFill>
                      </w14:textFill>
                    </w:rPr>
                    <w:t>噪声值</w:t>
                  </w:r>
                </w:p>
              </w:tc>
              <w:tc>
                <w:tcPr>
                  <w:tcW w:w="6421" w:type="dxa"/>
                  <w:gridSpan w:val="6"/>
                  <w:noWrap w:val="0"/>
                  <w:vAlign w:val="center"/>
                </w:tcPr>
                <w:p w14:paraId="6B889118">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default" w:ascii="Times New Roman" w:hAnsi="Times New Roman" w:eastAsia="宋体" w:cs="宋体"/>
                      <w:color w:val="000000" w:themeColor="text1"/>
                      <w:highlight w:val="none"/>
                      <w:lang w:val="en-US" w:eastAsia="zh-CN"/>
                      <w14:textFill>
                        <w14:solidFill>
                          <w14:schemeClr w14:val="tx1"/>
                        </w14:solidFill>
                      </w14:textFill>
                    </w:rPr>
                    <w:t>距离声源不同距离噪声值dB（A）</w:t>
                  </w:r>
                </w:p>
              </w:tc>
            </w:tr>
            <w:tr w14:paraId="60CA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438" w:type="dxa"/>
                  <w:vMerge w:val="continue"/>
                  <w:noWrap w:val="0"/>
                  <w:vAlign w:val="center"/>
                </w:tcPr>
                <w:p w14:paraId="6AD4FCFE">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p>
              </w:tc>
              <w:tc>
                <w:tcPr>
                  <w:tcW w:w="699" w:type="dxa"/>
                  <w:vMerge w:val="continue"/>
                  <w:noWrap w:val="0"/>
                  <w:vAlign w:val="center"/>
                </w:tcPr>
                <w:p w14:paraId="616F4C8F">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p>
              </w:tc>
              <w:tc>
                <w:tcPr>
                  <w:tcW w:w="1068" w:type="dxa"/>
                  <w:noWrap w:val="0"/>
                  <w:vAlign w:val="center"/>
                </w:tcPr>
                <w:p w14:paraId="2D6A9D3C">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default" w:ascii="Times New Roman" w:hAnsi="Times New Roman" w:eastAsia="宋体" w:cs="宋体"/>
                      <w:color w:val="000000" w:themeColor="text1"/>
                      <w:highlight w:val="none"/>
                      <w:lang w:val="en-US" w:eastAsia="zh-CN"/>
                      <w14:textFill>
                        <w14:solidFill>
                          <w14:schemeClr w14:val="tx1"/>
                        </w14:solidFill>
                      </w14:textFill>
                    </w:rPr>
                    <w:t>20m</w:t>
                  </w:r>
                </w:p>
              </w:tc>
              <w:tc>
                <w:tcPr>
                  <w:tcW w:w="1068" w:type="dxa"/>
                  <w:noWrap w:val="0"/>
                  <w:vAlign w:val="center"/>
                </w:tcPr>
                <w:p w14:paraId="0D08674B">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default" w:ascii="Times New Roman" w:hAnsi="Times New Roman" w:eastAsia="宋体" w:cs="宋体"/>
                      <w:color w:val="000000" w:themeColor="text1"/>
                      <w:highlight w:val="none"/>
                      <w:lang w:val="en-US" w:eastAsia="zh-CN"/>
                      <w14:textFill>
                        <w14:solidFill>
                          <w14:schemeClr w14:val="tx1"/>
                        </w14:solidFill>
                      </w14:textFill>
                    </w:rPr>
                    <w:t>30m</w:t>
                  </w:r>
                </w:p>
              </w:tc>
              <w:tc>
                <w:tcPr>
                  <w:tcW w:w="1068" w:type="dxa"/>
                  <w:noWrap w:val="0"/>
                  <w:vAlign w:val="center"/>
                </w:tcPr>
                <w:p w14:paraId="25F472BB">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default" w:ascii="Times New Roman" w:hAnsi="Times New Roman" w:eastAsia="宋体" w:cs="宋体"/>
                      <w:color w:val="000000" w:themeColor="text1"/>
                      <w:highlight w:val="none"/>
                      <w:lang w:val="en-US" w:eastAsia="zh-CN"/>
                      <w14:textFill>
                        <w14:solidFill>
                          <w14:schemeClr w14:val="tx1"/>
                        </w14:solidFill>
                      </w14:textFill>
                    </w:rPr>
                    <w:t>50m</w:t>
                  </w:r>
                </w:p>
              </w:tc>
              <w:tc>
                <w:tcPr>
                  <w:tcW w:w="1069" w:type="dxa"/>
                  <w:noWrap w:val="0"/>
                  <w:vAlign w:val="center"/>
                </w:tcPr>
                <w:p w14:paraId="5FE07BC4">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default" w:ascii="Times New Roman" w:hAnsi="Times New Roman" w:eastAsia="宋体" w:cs="宋体"/>
                      <w:color w:val="000000" w:themeColor="text1"/>
                      <w:highlight w:val="none"/>
                      <w:lang w:val="en-US" w:eastAsia="zh-CN"/>
                      <w14:textFill>
                        <w14:solidFill>
                          <w14:schemeClr w14:val="tx1"/>
                        </w14:solidFill>
                      </w14:textFill>
                    </w:rPr>
                    <w:t>100m</w:t>
                  </w:r>
                </w:p>
              </w:tc>
              <w:tc>
                <w:tcPr>
                  <w:tcW w:w="1069" w:type="dxa"/>
                  <w:noWrap w:val="0"/>
                  <w:vAlign w:val="center"/>
                </w:tcPr>
                <w:p w14:paraId="767B637C">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default" w:ascii="Times New Roman" w:hAnsi="Times New Roman" w:eastAsia="宋体" w:cs="宋体"/>
                      <w:color w:val="000000" w:themeColor="text1"/>
                      <w:highlight w:val="none"/>
                      <w:lang w:val="en-US" w:eastAsia="zh-CN"/>
                      <w14:textFill>
                        <w14:solidFill>
                          <w14:schemeClr w14:val="tx1"/>
                        </w14:solidFill>
                      </w14:textFill>
                    </w:rPr>
                    <w:t>150m</w:t>
                  </w:r>
                </w:p>
              </w:tc>
              <w:tc>
                <w:tcPr>
                  <w:tcW w:w="1079" w:type="dxa"/>
                  <w:noWrap w:val="0"/>
                  <w:vAlign w:val="center"/>
                </w:tcPr>
                <w:p w14:paraId="19313C0B">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default" w:ascii="Times New Roman" w:hAnsi="Times New Roman" w:eastAsia="宋体" w:cs="宋体"/>
                      <w:color w:val="000000" w:themeColor="text1"/>
                      <w:highlight w:val="none"/>
                      <w:lang w:val="en-US" w:eastAsia="zh-CN"/>
                      <w14:textFill>
                        <w14:solidFill>
                          <w14:schemeClr w14:val="tx1"/>
                        </w14:solidFill>
                      </w14:textFill>
                    </w:rPr>
                    <w:t>200m</w:t>
                  </w:r>
                </w:p>
              </w:tc>
            </w:tr>
            <w:tr w14:paraId="6FF6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438" w:type="dxa"/>
                  <w:noWrap w:val="0"/>
                  <w:vAlign w:val="center"/>
                </w:tcPr>
                <w:p w14:paraId="25CED020">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钻井设备</w:t>
                  </w:r>
                </w:p>
              </w:tc>
              <w:tc>
                <w:tcPr>
                  <w:tcW w:w="699" w:type="dxa"/>
                  <w:noWrap w:val="0"/>
                  <w:vAlign w:val="center"/>
                </w:tcPr>
                <w:p w14:paraId="3202CBB3">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75</w:t>
                  </w:r>
                </w:p>
              </w:tc>
              <w:tc>
                <w:tcPr>
                  <w:tcW w:w="1068" w:type="dxa"/>
                  <w:noWrap w:val="0"/>
                  <w:vAlign w:val="center"/>
                </w:tcPr>
                <w:p w14:paraId="71894F42">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48.98</w:t>
                  </w:r>
                </w:p>
              </w:tc>
              <w:tc>
                <w:tcPr>
                  <w:tcW w:w="1068" w:type="dxa"/>
                  <w:noWrap w:val="0"/>
                  <w:vAlign w:val="center"/>
                </w:tcPr>
                <w:p w14:paraId="41AEF16A">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45.46</w:t>
                  </w:r>
                </w:p>
              </w:tc>
              <w:tc>
                <w:tcPr>
                  <w:tcW w:w="1068" w:type="dxa"/>
                  <w:noWrap w:val="0"/>
                  <w:vAlign w:val="center"/>
                </w:tcPr>
                <w:p w14:paraId="23142D64">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41.02</w:t>
                  </w:r>
                </w:p>
              </w:tc>
              <w:tc>
                <w:tcPr>
                  <w:tcW w:w="1069" w:type="dxa"/>
                  <w:noWrap w:val="0"/>
                  <w:vAlign w:val="center"/>
                </w:tcPr>
                <w:p w14:paraId="614AB825">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35</w:t>
                  </w:r>
                  <w:r>
                    <w:rPr>
                      <w:rFonts w:hint="default" w:ascii="Times New Roman" w:hAnsi="Times New Roman" w:eastAsia="宋体" w:cs="宋体"/>
                      <w:color w:val="000000" w:themeColor="text1"/>
                      <w:highlight w:val="none"/>
                      <w:lang w:val="en-US" w:eastAsia="zh-CN"/>
                      <w14:textFill>
                        <w14:solidFill>
                          <w14:schemeClr w14:val="tx1"/>
                        </w14:solidFill>
                      </w14:textFill>
                    </w:rPr>
                    <w:t>.00</w:t>
                  </w:r>
                </w:p>
              </w:tc>
              <w:tc>
                <w:tcPr>
                  <w:tcW w:w="1069" w:type="dxa"/>
                  <w:noWrap w:val="0"/>
                  <w:vAlign w:val="center"/>
                </w:tcPr>
                <w:p w14:paraId="66E39057">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31.48</w:t>
                  </w:r>
                </w:p>
              </w:tc>
              <w:tc>
                <w:tcPr>
                  <w:tcW w:w="1079" w:type="dxa"/>
                  <w:noWrap w:val="0"/>
                  <w:vAlign w:val="center"/>
                </w:tcPr>
                <w:p w14:paraId="58DE33C3">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28.98</w:t>
                  </w:r>
                </w:p>
              </w:tc>
            </w:tr>
            <w:tr w14:paraId="6DD1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438" w:type="dxa"/>
                  <w:noWrap w:val="0"/>
                  <w:vAlign w:val="center"/>
                </w:tcPr>
                <w:p w14:paraId="1950A9AD">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eastAsia="zh-CN"/>
                      <w14:textFill>
                        <w14:solidFill>
                          <w14:schemeClr w14:val="tx1"/>
                        </w14:solidFill>
                      </w14:textFill>
                      <w14:ligatures w14:val="standardContextual"/>
                    </w:rPr>
                    <w:t>柴油发电机</w:t>
                  </w:r>
                </w:p>
              </w:tc>
              <w:tc>
                <w:tcPr>
                  <w:tcW w:w="699" w:type="dxa"/>
                  <w:noWrap w:val="0"/>
                  <w:vAlign w:val="center"/>
                </w:tcPr>
                <w:p w14:paraId="402F0FBC">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14:ligatures w14:val="standardContextual"/>
                    </w:rPr>
                    <w:t>75</w:t>
                  </w:r>
                </w:p>
              </w:tc>
              <w:tc>
                <w:tcPr>
                  <w:tcW w:w="1068" w:type="dxa"/>
                  <w:noWrap w:val="0"/>
                  <w:vAlign w:val="center"/>
                </w:tcPr>
                <w:p w14:paraId="772B7376">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48.98</w:t>
                  </w:r>
                </w:p>
              </w:tc>
              <w:tc>
                <w:tcPr>
                  <w:tcW w:w="1068" w:type="dxa"/>
                  <w:noWrap w:val="0"/>
                  <w:vAlign w:val="center"/>
                </w:tcPr>
                <w:p w14:paraId="4B73142F">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45.46</w:t>
                  </w:r>
                </w:p>
              </w:tc>
              <w:tc>
                <w:tcPr>
                  <w:tcW w:w="1068" w:type="dxa"/>
                  <w:noWrap w:val="0"/>
                  <w:vAlign w:val="center"/>
                </w:tcPr>
                <w:p w14:paraId="52B40A60">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41.02</w:t>
                  </w:r>
                </w:p>
              </w:tc>
              <w:tc>
                <w:tcPr>
                  <w:tcW w:w="1069" w:type="dxa"/>
                  <w:noWrap w:val="0"/>
                  <w:vAlign w:val="center"/>
                </w:tcPr>
                <w:p w14:paraId="35DE8309">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35</w:t>
                  </w:r>
                  <w:r>
                    <w:rPr>
                      <w:rFonts w:hint="default" w:ascii="Times New Roman" w:hAnsi="Times New Roman" w:eastAsia="宋体" w:cs="宋体"/>
                      <w:color w:val="000000" w:themeColor="text1"/>
                      <w:highlight w:val="none"/>
                      <w:lang w:val="en-US" w:eastAsia="zh-CN"/>
                      <w14:textFill>
                        <w14:solidFill>
                          <w14:schemeClr w14:val="tx1"/>
                        </w14:solidFill>
                      </w14:textFill>
                    </w:rPr>
                    <w:t>.00</w:t>
                  </w:r>
                </w:p>
              </w:tc>
              <w:tc>
                <w:tcPr>
                  <w:tcW w:w="1069" w:type="dxa"/>
                  <w:noWrap w:val="0"/>
                  <w:vAlign w:val="center"/>
                </w:tcPr>
                <w:p w14:paraId="3FA4DD5E">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31.48</w:t>
                  </w:r>
                </w:p>
              </w:tc>
              <w:tc>
                <w:tcPr>
                  <w:tcW w:w="1079" w:type="dxa"/>
                  <w:noWrap w:val="0"/>
                  <w:vAlign w:val="center"/>
                </w:tcPr>
                <w:p w14:paraId="7F92B8D6">
                  <w:pPr>
                    <w:pStyle w:val="7"/>
                    <w:keepNext w:val="0"/>
                    <w:keepLines w:val="0"/>
                    <w:suppressLineNumbers w:val="0"/>
                    <w:spacing w:before="0" w:beforeAutospacing="0" w:after="0" w:afterAutospacing="0" w:line="300" w:lineRule="exact"/>
                    <w:ind w:left="0" w:right="0"/>
                    <w:jc w:val="center"/>
                    <w:rPr>
                      <w:rFonts w:hint="default" w:ascii="Times New Roman" w:hAnsi="Times New Roman" w:eastAsia="宋体" w:cs="宋体"/>
                      <w:color w:val="000000" w:themeColor="text1"/>
                      <w:highlight w:val="none"/>
                      <w:lang w:val="en-US" w:eastAsia="zh-CN"/>
                      <w14:textFill>
                        <w14:solidFill>
                          <w14:schemeClr w14:val="tx1"/>
                        </w14:solidFill>
                      </w14:textFill>
                    </w:rPr>
                  </w:pPr>
                  <w:r>
                    <w:rPr>
                      <w:rFonts w:hint="eastAsia" w:ascii="Times New Roman" w:hAnsi="Times New Roman" w:eastAsia="宋体" w:cs="宋体"/>
                      <w:color w:val="000000" w:themeColor="text1"/>
                      <w:highlight w:val="none"/>
                      <w:lang w:val="en-US" w:eastAsia="zh-CN"/>
                      <w14:textFill>
                        <w14:solidFill>
                          <w14:schemeClr w14:val="tx1"/>
                        </w14:solidFill>
                      </w14:textFill>
                    </w:rPr>
                    <w:t>28.98</w:t>
                  </w:r>
                </w:p>
              </w:tc>
            </w:tr>
          </w:tbl>
          <w:p w14:paraId="13318869">
            <w:pPr>
              <w:pStyle w:val="20"/>
              <w:keepNext w:val="0"/>
              <w:keepLines w:val="0"/>
              <w:suppressLineNumbers w:val="0"/>
              <w:spacing w:before="0" w:beforeAutospacing="0" w:after="0" w:afterAutospacing="0"/>
              <w:ind w:left="0" w:right="0" w:firstLine="480"/>
              <w:rPr>
                <w:rFonts w:hint="default" w:ascii="Times New Roman" w:hAnsi="Times New Roman" w:eastAsia="宋体"/>
                <w:lang w:val="en-US" w:eastAsia="zh-CN"/>
              </w:rPr>
            </w:pPr>
            <w:r>
              <w:rPr>
                <w:rFonts w:hint="default" w:ascii="Times New Roman" w:hAnsi="Times New Roman" w:eastAsia="宋体"/>
                <w:lang w:val="en-US" w:eastAsia="zh-CN"/>
              </w:rPr>
              <w:t>从预测结果可以看出：所有施工机械在20米外的噪声贡献值已降至</w:t>
            </w:r>
            <w:r>
              <w:rPr>
                <w:rFonts w:hint="eastAsia" w:ascii="Times New Roman" w:hAnsi="Times New Roman"/>
                <w:lang w:val="en-US" w:eastAsia="zh-CN"/>
              </w:rPr>
              <w:t>49</w:t>
            </w:r>
            <w:r>
              <w:rPr>
                <w:rFonts w:hint="default" w:ascii="Times New Roman" w:hAnsi="Times New Roman" w:eastAsia="宋体"/>
                <w:lang w:val="en-US" w:eastAsia="zh-CN"/>
              </w:rPr>
              <w:t>dB（A）以下；在100米以外，最大噪声贡献值不超过</w:t>
            </w:r>
            <w:r>
              <w:rPr>
                <w:rFonts w:hint="eastAsia" w:ascii="Times New Roman" w:hAnsi="Times New Roman"/>
                <w:lang w:val="en-US" w:eastAsia="zh-CN"/>
              </w:rPr>
              <w:t>35</w:t>
            </w:r>
            <w:r>
              <w:rPr>
                <w:rFonts w:hint="default" w:ascii="Times New Roman" w:hAnsi="Times New Roman" w:eastAsia="宋体"/>
                <w:lang w:val="en-US" w:eastAsia="zh-CN"/>
              </w:rPr>
              <w:t xml:space="preserve"> dB（A）；随着距离增加，噪声迅速衰减，至200米处基本接近环境背景水平。</w:t>
            </w:r>
          </w:p>
          <w:p w14:paraId="685FDB5F">
            <w:pPr>
              <w:pStyle w:val="20"/>
              <w:keepNext w:val="0"/>
              <w:keepLines w:val="0"/>
              <w:numPr>
                <w:ilvl w:val="0"/>
                <w:numId w:val="0"/>
              </w:numPr>
              <w:suppressLineNumbers w:val="0"/>
              <w:spacing w:before="0" w:beforeAutospacing="0" w:after="0" w:afterAutospacing="0"/>
              <w:ind w:left="0" w:leftChars="0" w:right="0" w:firstLine="0" w:firstLineChars="0"/>
              <w:rPr>
                <w:rFonts w:hint="default" w:ascii="Times New Roman" w:hAnsi="Times New Roman" w:eastAsia="宋体"/>
                <w:lang w:val="en-US" w:eastAsia="zh-CN"/>
              </w:rPr>
            </w:pPr>
            <w:r>
              <w:rPr>
                <w:rFonts w:hint="default" w:ascii="Times New Roman" w:hAnsi="Times New Roman" w:eastAsia="宋体" w:cs="Times New Roman"/>
                <w:kern w:val="0"/>
                <w:sz w:val="24"/>
                <w:szCs w:val="24"/>
                <w:lang w:val="en-US" w:eastAsia="zh-CN" w:bidi="ar-SA"/>
              </w:rPr>
              <w:t>（</w:t>
            </w:r>
            <w:r>
              <w:rPr>
                <w:rFonts w:hint="eastAsia" w:ascii="Times New Roman" w:hAnsi="Times New Roman" w:eastAsia="宋体" w:cs="Times New Roman"/>
                <w:kern w:val="0"/>
                <w:sz w:val="24"/>
                <w:szCs w:val="24"/>
                <w:lang w:val="en-US" w:eastAsia="zh-CN" w:bidi="ar-SA"/>
              </w:rPr>
              <w:t>3</w:t>
            </w:r>
            <w:r>
              <w:rPr>
                <w:rFonts w:hint="default" w:ascii="Times New Roman" w:hAnsi="Times New Roman" w:eastAsia="宋体" w:cs="Times New Roman"/>
                <w:kern w:val="0"/>
                <w:sz w:val="24"/>
                <w:szCs w:val="24"/>
                <w:lang w:val="en-US" w:eastAsia="zh-CN" w:bidi="ar-SA"/>
              </w:rPr>
              <w:t>）</w:t>
            </w:r>
            <w:r>
              <w:rPr>
                <w:rFonts w:hint="default" w:ascii="Times New Roman" w:hAnsi="Times New Roman" w:eastAsia="宋体"/>
                <w:lang w:val="en-US" w:eastAsia="zh-CN"/>
              </w:rPr>
              <w:t>噪声达标分析</w:t>
            </w:r>
          </w:p>
          <w:p w14:paraId="5131963E">
            <w:pPr>
              <w:pStyle w:val="20"/>
              <w:keepNext w:val="0"/>
              <w:keepLines w:val="0"/>
              <w:suppressLineNumbers w:val="0"/>
              <w:spacing w:before="0" w:beforeAutospacing="0" w:after="0" w:afterAutospacing="0"/>
              <w:ind w:left="0" w:right="0" w:firstLine="480"/>
              <w:rPr>
                <w:rFonts w:hint="default" w:ascii="Times New Roman" w:hAnsi="Times New Roman" w:eastAsia="宋体"/>
                <w:lang w:val="en-US" w:eastAsia="zh-CN"/>
              </w:rPr>
            </w:pPr>
            <w:r>
              <w:rPr>
                <w:rFonts w:hint="default" w:ascii="Times New Roman" w:hAnsi="Times New Roman" w:eastAsia="宋体"/>
                <w:lang w:val="en-US" w:eastAsia="zh-CN"/>
              </w:rPr>
              <w:t>由表4-</w:t>
            </w:r>
            <w:r>
              <w:rPr>
                <w:rFonts w:hint="eastAsia" w:ascii="Times New Roman" w:hAnsi="Times New Roman"/>
                <w:lang w:val="en-US" w:eastAsia="zh-CN"/>
              </w:rPr>
              <w:t>3</w:t>
            </w:r>
            <w:r>
              <w:rPr>
                <w:rFonts w:hint="default" w:ascii="Times New Roman" w:hAnsi="Times New Roman" w:eastAsia="宋体"/>
                <w:lang w:val="en-US" w:eastAsia="zh-CN"/>
              </w:rPr>
              <w:t>预测结果可知，本项目主要施工机械在采取降噪措施后，其噪声贡献值随距离增加迅速衰减。昼间施工噪声在距离声源约20米处，最大噪声贡献值为</w:t>
            </w:r>
            <w:r>
              <w:rPr>
                <w:rFonts w:hint="eastAsia" w:ascii="Times New Roman" w:hAnsi="Times New Roman"/>
                <w:lang w:val="en-US" w:eastAsia="zh-CN"/>
              </w:rPr>
              <w:t>48.98</w:t>
            </w:r>
            <w:r>
              <w:rPr>
                <w:rFonts w:hint="default" w:ascii="Times New Roman" w:hAnsi="Times New Roman" w:eastAsia="宋体"/>
                <w:lang w:val="en-US" w:eastAsia="zh-CN"/>
              </w:rPr>
              <w:t>dB（A），已低于《声环境质量标准》（GB 3096-2008）中2类功能区昼间限值（≤60 dB（A））。由此可见，项目施工噪声在20米外即可满足区域声环境质量标准要求。</w:t>
            </w:r>
          </w:p>
          <w:p w14:paraId="223976F6">
            <w:pPr>
              <w:pStyle w:val="20"/>
              <w:keepNext w:val="0"/>
              <w:keepLines w:val="0"/>
              <w:suppressLineNumbers w:val="0"/>
              <w:spacing w:before="0" w:beforeAutospacing="0" w:after="0" w:afterAutospacing="0"/>
              <w:ind w:left="0" w:right="0" w:firstLine="480"/>
              <w:rPr>
                <w:rFonts w:hint="default" w:ascii="Times New Roman" w:hAnsi="Times New Roman" w:eastAsia="宋体"/>
                <w:lang w:val="en-US" w:eastAsia="zh-CN"/>
              </w:rPr>
            </w:pPr>
            <w:r>
              <w:rPr>
                <w:rFonts w:hint="default" w:ascii="Times New Roman" w:hAnsi="Times New Roman" w:eastAsia="宋体"/>
                <w:lang w:val="en-US" w:eastAsia="zh-CN"/>
              </w:rPr>
              <w:t>本项目施工活动严格限定在昼间进行，夜间不开展施工作业，杜绝夜间噪声扰民风险，且其间分布有自然山体等地形屏障，对噪声传播具有明显的阻隔和衰减作用，进一步削弱了噪声影响。</w:t>
            </w:r>
          </w:p>
          <w:p w14:paraId="172E96CD">
            <w:pPr>
              <w:pStyle w:val="20"/>
              <w:keepNext w:val="0"/>
              <w:keepLines w:val="0"/>
              <w:suppressLineNumbers w:val="0"/>
              <w:spacing w:before="0" w:beforeAutospacing="0" w:after="0" w:afterAutospacing="0"/>
              <w:ind w:left="0" w:right="0" w:firstLine="480"/>
              <w:rPr>
                <w:rFonts w:hint="default" w:ascii="Times New Roman" w:hAnsi="Times New Roman" w:eastAsia="宋体"/>
                <w:lang w:val="en-US" w:eastAsia="zh-CN"/>
              </w:rPr>
            </w:pPr>
            <w:r>
              <w:rPr>
                <w:rFonts w:hint="default" w:ascii="Times New Roman" w:hAnsi="Times New Roman" w:eastAsia="宋体"/>
                <w:lang w:val="en-US" w:eastAsia="zh-CN"/>
              </w:rPr>
              <w:t>此外，在施工场地边界（20m范围内），所有高噪声设备运行时的噪声贡献值最高不超过</w:t>
            </w:r>
            <w:r>
              <w:rPr>
                <w:rFonts w:hint="eastAsia" w:ascii="Times New Roman" w:hAnsi="Times New Roman"/>
                <w:lang w:val="en-US" w:eastAsia="zh-CN"/>
              </w:rPr>
              <w:t>49</w:t>
            </w:r>
            <w:r>
              <w:rPr>
                <w:rFonts w:hint="default" w:ascii="Times New Roman" w:hAnsi="Times New Roman" w:eastAsia="宋体"/>
                <w:lang w:val="en-US" w:eastAsia="zh-CN"/>
              </w:rPr>
              <w:t>dB（A），远低于《建筑施工噪声排放标准》（GB 12523-2025）规定的昼间70 dB（A）限值，表明施工现场边界噪声排放处于可控范围。</w:t>
            </w:r>
          </w:p>
          <w:p w14:paraId="2B1BF8C6">
            <w:pPr>
              <w:pStyle w:val="20"/>
              <w:keepNext w:val="0"/>
              <w:keepLines w:val="0"/>
              <w:suppressLineNumbers w:val="0"/>
              <w:spacing w:before="0" w:beforeAutospacing="0" w:after="0" w:afterAutospacing="0"/>
              <w:ind w:left="0" w:right="0" w:firstLine="480"/>
              <w:rPr>
                <w:rFonts w:hint="eastAsia" w:ascii="Times New Roman" w:hAnsi="Times New Roman" w:eastAsia="宋体"/>
              </w:rPr>
            </w:pPr>
            <w:r>
              <w:rPr>
                <w:rFonts w:hint="eastAsia" w:ascii="Times New Roman" w:hAnsi="Times New Roman" w:eastAsia="宋体"/>
              </w:rPr>
              <w:t>根据现场调查，声环境评价范围内没有固定居住人群等声敏感目标，不会造成扰民现象，施工期的噪声仅对施工人员产生影响。本项目</w:t>
            </w:r>
            <w:r>
              <w:rPr>
                <w:rFonts w:hint="eastAsia" w:ascii="Times New Roman" w:hAnsi="Times New Roman"/>
                <w:lang w:val="en-US" w:eastAsia="zh-CN"/>
              </w:rPr>
              <w:t>选用低噪声设备，</w:t>
            </w:r>
            <w:r>
              <w:rPr>
                <w:rFonts w:hint="eastAsia" w:ascii="Times New Roman" w:hAnsi="Times New Roman" w:eastAsia="宋体"/>
              </w:rPr>
              <w:t>对噪声</w:t>
            </w:r>
            <w:r>
              <w:rPr>
                <w:rFonts w:hint="eastAsia" w:ascii="Times New Roman" w:hAnsi="Times New Roman"/>
                <w:lang w:val="en-US" w:eastAsia="zh-CN"/>
              </w:rPr>
              <w:t>较大的</w:t>
            </w:r>
            <w:r>
              <w:rPr>
                <w:rFonts w:hint="eastAsia" w:ascii="Times New Roman" w:hAnsi="Times New Roman" w:eastAsia="宋体"/>
              </w:rPr>
              <w:t>设备采取隔声措施，并加强机械设备的保养，保证机械设备的正常运转，以降低设备运转的噪声。进一步落实以上措施后，施工期噪声对周边环境及施工人员的影响将进一步减少，施工期产生噪声对周边环境影响不大。</w:t>
            </w:r>
          </w:p>
          <w:bookmarkEnd w:id="27"/>
          <w:p w14:paraId="69A2FFD0">
            <w:pPr>
              <w:pStyle w:val="26"/>
              <w:ind w:left="0" w:leftChars="0" w:firstLine="0" w:firstLineChars="0"/>
              <w:rPr>
                <w:rFonts w:hint="eastAsia" w:ascii="Times New Roman" w:hAnsi="Times New Roman" w:eastAsia="宋体"/>
                <w:b/>
                <w:bCs/>
              </w:rPr>
            </w:pPr>
            <w:bookmarkStart w:id="28" w:name="_Hlk196296861"/>
            <w:r>
              <w:rPr>
                <w:rFonts w:hint="eastAsia" w:ascii="Times New Roman" w:hAnsi="Times New Roman"/>
                <w:b/>
                <w:bCs/>
                <w:lang w:val="en-US" w:eastAsia="zh-CN"/>
              </w:rPr>
              <w:t>5.</w:t>
            </w:r>
            <w:r>
              <w:rPr>
                <w:rFonts w:hint="eastAsia" w:ascii="Times New Roman" w:hAnsi="Times New Roman" w:eastAsia="宋体"/>
                <w:b/>
                <w:bCs/>
              </w:rPr>
              <w:t>固体废物影响分析</w:t>
            </w:r>
          </w:p>
          <w:bookmarkEnd w:id="28"/>
          <w:p w14:paraId="521676FE">
            <w:pPr>
              <w:pStyle w:val="20"/>
              <w:ind w:firstLine="480"/>
              <w:rPr>
                <w:rFonts w:hint="eastAsia" w:ascii="Times New Roman" w:hAnsi="Times New Roman" w:eastAsia="宋体"/>
              </w:rPr>
            </w:pPr>
            <w:bookmarkStart w:id="29" w:name="_Hlk136795783"/>
            <w:r>
              <w:rPr>
                <w:rFonts w:hint="eastAsia" w:ascii="Times New Roman" w:hAnsi="Times New Roman" w:eastAsia="宋体"/>
              </w:rPr>
              <w:t>固体废物主要为施工人员产生的生活垃圾</w:t>
            </w:r>
            <w:r>
              <w:rPr>
                <w:rFonts w:hint="eastAsia" w:ascii="Times New Roman" w:hAnsi="Times New Roman"/>
                <w:lang w:eastAsia="zh-CN"/>
              </w:rPr>
              <w:t>、</w:t>
            </w:r>
            <w:r>
              <w:rPr>
                <w:rFonts w:hint="eastAsia" w:ascii="Times New Roman" w:hAnsi="Times New Roman" w:eastAsia="宋体"/>
              </w:rPr>
              <w:t>钻井</w:t>
            </w:r>
            <w:r>
              <w:rPr>
                <w:rFonts w:hint="eastAsia" w:ascii="Times New Roman" w:hAnsi="Times New Roman"/>
                <w:lang w:val="en-US" w:eastAsia="zh-CN"/>
              </w:rPr>
              <w:t>泥浆</w:t>
            </w:r>
            <w:r>
              <w:rPr>
                <w:rFonts w:hint="eastAsia" w:ascii="Times New Roman" w:hAnsi="Times New Roman" w:eastAsia="宋体"/>
              </w:rPr>
              <w:t>、</w:t>
            </w:r>
            <w:r>
              <w:rPr>
                <w:rFonts w:hint="eastAsia" w:ascii="Times New Roman" w:hAnsi="Times New Roman" w:eastAsia="宋体"/>
                <w:lang w:val="en-US" w:eastAsia="zh-CN"/>
              </w:rPr>
              <w:t>沾油废防渗材料</w:t>
            </w:r>
            <w:r>
              <w:rPr>
                <w:rFonts w:hint="eastAsia" w:ascii="Times New Roman" w:hAnsi="Times New Roman"/>
                <w:lang w:val="en-US" w:eastAsia="zh-CN"/>
              </w:rPr>
              <w:t>和设备维修废机油</w:t>
            </w:r>
            <w:r>
              <w:rPr>
                <w:rFonts w:hint="eastAsia" w:ascii="Times New Roman" w:hAnsi="Times New Roman"/>
                <w:lang w:eastAsia="zh-CN"/>
              </w:rPr>
              <w:t>、</w:t>
            </w:r>
            <w:r>
              <w:rPr>
                <w:rFonts w:hint="eastAsia" w:ascii="Times New Roman" w:hAnsi="Times New Roman"/>
                <w:lang w:val="en-US" w:eastAsia="zh-CN"/>
              </w:rPr>
              <w:t>施工产生的临时土石方</w:t>
            </w:r>
            <w:r>
              <w:rPr>
                <w:rFonts w:hint="eastAsia" w:ascii="Times New Roman" w:hAnsi="Times New Roman" w:eastAsia="宋体"/>
              </w:rPr>
              <w:t>。</w:t>
            </w:r>
          </w:p>
          <w:p w14:paraId="0A5EB9A5">
            <w:pPr>
              <w:pStyle w:val="20"/>
              <w:numPr>
                <w:ilvl w:val="0"/>
                <w:numId w:val="14"/>
              </w:numPr>
              <w:ind w:firstLine="480"/>
              <w:rPr>
                <w:rFonts w:hint="eastAsia" w:ascii="Times New Roman" w:hAnsi="Times New Roman" w:eastAsia="宋体"/>
              </w:rPr>
            </w:pPr>
            <w:r>
              <w:rPr>
                <w:rFonts w:hint="eastAsia" w:ascii="Times New Roman" w:hAnsi="Times New Roman" w:eastAsia="宋体"/>
              </w:rPr>
              <w:t>生活垃圾</w:t>
            </w:r>
          </w:p>
          <w:p w14:paraId="387CE45B">
            <w:pPr>
              <w:pStyle w:val="20"/>
              <w:ind w:firstLine="480"/>
              <w:rPr>
                <w:rFonts w:hint="eastAsia" w:ascii="Times New Roman" w:hAnsi="Times New Roman" w:eastAsia="宋体"/>
                <w:highlight w:val="none"/>
              </w:rPr>
            </w:pPr>
            <w:r>
              <w:rPr>
                <w:rFonts w:hint="eastAsia" w:ascii="Times New Roman" w:hAnsi="Times New Roman" w:eastAsia="宋体"/>
                <w:highlight w:val="none"/>
                <w:lang w:eastAsia="zh-CN"/>
              </w:rPr>
              <w:t>施工期生活垃圾产生量按0.8kg/人</w:t>
            </w:r>
            <w:r>
              <w:rPr>
                <w:rFonts w:hint="default" w:ascii="Times New Roman" w:hAnsi="Times New Roman" w:eastAsia="宋体" w:cs="Times New Roman"/>
                <w:highlight w:val="none"/>
                <w:lang w:eastAsia="zh-CN"/>
              </w:rPr>
              <w:t>·</w:t>
            </w:r>
            <w:r>
              <w:rPr>
                <w:rFonts w:hint="eastAsia" w:ascii="Times New Roman" w:hAnsi="Times New Roman" w:eastAsia="宋体"/>
                <w:highlight w:val="none"/>
                <w:lang w:eastAsia="zh-CN"/>
              </w:rPr>
              <w:t>d计算，则施工期间生活垃圾产生量约</w:t>
            </w:r>
            <w:r>
              <w:rPr>
                <w:rFonts w:hint="eastAsia" w:ascii="Times New Roman" w:hAnsi="Times New Roman"/>
                <w:highlight w:val="none"/>
                <w:lang w:val="en-US" w:eastAsia="zh-CN"/>
              </w:rPr>
              <w:t>1.008</w:t>
            </w:r>
            <w:r>
              <w:rPr>
                <w:rFonts w:hint="eastAsia" w:ascii="Times New Roman" w:hAnsi="Times New Roman" w:eastAsia="宋体"/>
                <w:highlight w:val="none"/>
                <w:lang w:eastAsia="zh-CN"/>
              </w:rPr>
              <w:t>t</w:t>
            </w:r>
            <w:r>
              <w:rPr>
                <w:rFonts w:hint="eastAsia" w:ascii="Times New Roman" w:hAnsi="Times New Roman"/>
                <w:color w:val="000000"/>
                <w:highlight w:val="none"/>
                <w:vertAlign w:val="baseline"/>
                <w:lang w:val="en-US" w:eastAsia="zh-CN"/>
              </w:rPr>
              <w:t>/a</w:t>
            </w:r>
            <w:r>
              <w:rPr>
                <w:rFonts w:hint="eastAsia" w:ascii="Times New Roman" w:hAnsi="Times New Roman" w:eastAsia="宋体"/>
                <w:highlight w:val="none"/>
                <w:lang w:eastAsia="zh-CN"/>
              </w:rPr>
              <w:t>，生活垃圾由垃圾箱收集，定期</w:t>
            </w:r>
            <w:r>
              <w:rPr>
                <w:rFonts w:hint="eastAsia" w:ascii="Times New Roman" w:hAnsi="Times New Roman"/>
                <w:highlight w:val="none"/>
                <w:lang w:val="en-US" w:eastAsia="zh-CN"/>
              </w:rPr>
              <w:t>外运交由环卫部门统一处理</w:t>
            </w:r>
            <w:r>
              <w:rPr>
                <w:rFonts w:hint="eastAsia" w:ascii="Times New Roman" w:hAnsi="Times New Roman" w:eastAsia="宋体"/>
                <w:highlight w:val="none"/>
                <w:lang w:eastAsia="zh-CN"/>
              </w:rPr>
              <w:t>。</w:t>
            </w:r>
          </w:p>
          <w:p w14:paraId="2501B7DD">
            <w:pPr>
              <w:pStyle w:val="20"/>
              <w:ind w:firstLine="480"/>
              <w:rPr>
                <w:rFonts w:hint="eastAsia" w:ascii="Times New Roman" w:hAnsi="Times New Roman" w:eastAsia="宋体"/>
              </w:rPr>
            </w:pPr>
            <w:r>
              <w:rPr>
                <w:rFonts w:hint="eastAsia" w:ascii="Times New Roman" w:hAnsi="Times New Roman"/>
                <w:lang w:eastAsia="zh-CN"/>
              </w:rPr>
              <w:t>（</w:t>
            </w:r>
            <w:r>
              <w:rPr>
                <w:rFonts w:hint="eastAsia" w:ascii="Times New Roman" w:hAnsi="Times New Roman"/>
                <w:lang w:val="en-US" w:eastAsia="zh-CN"/>
              </w:rPr>
              <w:t>2）钻井泥浆</w:t>
            </w:r>
          </w:p>
          <w:bookmarkEnd w:id="29"/>
          <w:p w14:paraId="3908FEA0">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eastAsia="zh-CN"/>
              </w:rPr>
              <w:t>项目钻探采用</w:t>
            </w:r>
            <w:r>
              <w:rPr>
                <w:rFonts w:hint="eastAsia" w:ascii="Times New Roman" w:hAnsi="Times New Roman" w:eastAsia="宋体" w:cs="宋体"/>
                <w:sz w:val="24"/>
                <w:szCs w:val="32"/>
                <w:lang w:val="en-US" w:eastAsia="zh-CN"/>
              </w:rPr>
              <w:t>水基</w:t>
            </w:r>
            <w:r>
              <w:rPr>
                <w:rFonts w:hint="eastAsia" w:ascii="Times New Roman" w:hAnsi="Times New Roman" w:eastAsia="宋体" w:cs="宋体"/>
                <w:sz w:val="24"/>
                <w:szCs w:val="32"/>
                <w:lang w:eastAsia="zh-CN"/>
              </w:rPr>
              <w:t>钻井液进行钻探，根据前期阶段钻探施工情况及建设单位多年实践经验，在现有施工机具及环境条件下产生泥浆0.5t/100m。本项目钻探工程量</w:t>
            </w:r>
            <w:r>
              <w:rPr>
                <w:rFonts w:hint="eastAsia" w:ascii="Times New Roman" w:hAnsi="Times New Roman" w:eastAsia="宋体" w:cs="宋体"/>
                <w:sz w:val="24"/>
                <w:szCs w:val="32"/>
                <w:lang w:val="en-US" w:eastAsia="zh-CN"/>
              </w:rPr>
              <w:t>1000</w:t>
            </w:r>
            <w:r>
              <w:rPr>
                <w:rFonts w:hint="eastAsia" w:ascii="Times New Roman" w:hAnsi="Times New Roman" w:eastAsia="宋体" w:cs="宋体"/>
                <w:sz w:val="24"/>
                <w:szCs w:val="32"/>
                <w:lang w:eastAsia="zh-CN"/>
              </w:rPr>
              <w:t>m，整个勘探期间共产生泥浆</w:t>
            </w:r>
            <w:r>
              <w:rPr>
                <w:rFonts w:hint="eastAsia" w:ascii="Times New Roman" w:hAnsi="Times New Roman" w:eastAsia="宋体" w:cs="宋体"/>
                <w:sz w:val="24"/>
                <w:szCs w:val="32"/>
                <w:highlight w:val="none"/>
                <w:lang w:val="en-US" w:eastAsia="zh-CN"/>
              </w:rPr>
              <w:t>5</w:t>
            </w:r>
            <w:r>
              <w:rPr>
                <w:rFonts w:hint="eastAsia" w:ascii="Times New Roman" w:hAnsi="Times New Roman" w:eastAsia="宋体" w:cs="宋体"/>
                <w:sz w:val="24"/>
                <w:szCs w:val="32"/>
                <w:highlight w:val="none"/>
                <w:lang w:eastAsia="zh-CN"/>
              </w:rPr>
              <w:t>t</w:t>
            </w:r>
            <w:r>
              <w:rPr>
                <w:rFonts w:hint="eastAsia" w:ascii="Times New Roman" w:hAnsi="Times New Roman" w:eastAsia="宋体" w:cs="宋体"/>
                <w:sz w:val="24"/>
                <w:szCs w:val="32"/>
                <w:lang w:eastAsia="zh-CN"/>
              </w:rPr>
              <w:t>，泥浆密度约为1.1g/cm</w:t>
            </w:r>
            <w:r>
              <w:rPr>
                <w:rFonts w:hint="eastAsia" w:ascii="Times New Roman" w:hAnsi="Times New Roman" w:eastAsia="宋体" w:cs="宋体"/>
                <w:sz w:val="24"/>
                <w:szCs w:val="32"/>
                <w:vertAlign w:val="superscript"/>
                <w:lang w:eastAsia="zh-CN"/>
              </w:rPr>
              <w:t>3</w:t>
            </w:r>
            <w:r>
              <w:rPr>
                <w:rFonts w:hint="eastAsia" w:ascii="Times New Roman" w:hAnsi="Times New Roman" w:eastAsia="宋体" w:cs="宋体"/>
                <w:sz w:val="24"/>
                <w:szCs w:val="32"/>
                <w:lang w:eastAsia="zh-CN"/>
              </w:rPr>
              <w:t>，则泥浆容积为</w:t>
            </w:r>
            <w:r>
              <w:rPr>
                <w:rFonts w:hint="eastAsia" w:ascii="Times New Roman" w:hAnsi="Times New Roman" w:eastAsia="宋体" w:cs="宋体"/>
                <w:sz w:val="24"/>
                <w:szCs w:val="32"/>
                <w:highlight w:val="none"/>
                <w:lang w:val="en-US" w:eastAsia="zh-CN"/>
              </w:rPr>
              <w:t>4.55</w:t>
            </w:r>
            <w:r>
              <w:rPr>
                <w:rFonts w:hint="eastAsia" w:ascii="Times New Roman" w:hAnsi="Times New Roman" w:eastAsia="宋体" w:cs="宋体"/>
                <w:sz w:val="24"/>
                <w:szCs w:val="32"/>
                <w:lang w:eastAsia="zh-CN"/>
              </w:rPr>
              <w:t>m</w:t>
            </w:r>
            <w:r>
              <w:rPr>
                <w:rFonts w:hint="eastAsia" w:ascii="Times New Roman" w:hAnsi="Times New Roman" w:eastAsia="宋体" w:cs="宋体"/>
                <w:sz w:val="24"/>
                <w:szCs w:val="32"/>
                <w:vertAlign w:val="superscript"/>
                <w:lang w:eastAsia="zh-CN"/>
              </w:rPr>
              <w:t>3</w:t>
            </w:r>
            <w:r>
              <w:rPr>
                <w:rFonts w:hint="eastAsia" w:ascii="Times New Roman" w:hAnsi="Times New Roman" w:eastAsia="宋体" w:cs="宋体"/>
                <w:sz w:val="24"/>
                <w:szCs w:val="32"/>
                <w:lang w:eastAsia="zh-CN"/>
              </w:rPr>
              <w:t>。单座井场最大钻探深度为</w:t>
            </w:r>
            <w:r>
              <w:rPr>
                <w:rFonts w:hint="eastAsia" w:ascii="Times New Roman" w:hAnsi="Times New Roman" w:eastAsia="宋体" w:cs="宋体"/>
                <w:sz w:val="24"/>
                <w:szCs w:val="32"/>
                <w:highlight w:val="none"/>
                <w:lang w:val="en-US" w:eastAsia="zh-CN"/>
              </w:rPr>
              <w:t>270</w:t>
            </w:r>
            <w:r>
              <w:rPr>
                <w:rFonts w:hint="eastAsia" w:ascii="Times New Roman" w:hAnsi="Times New Roman" w:eastAsia="宋体" w:cs="宋体"/>
                <w:sz w:val="24"/>
                <w:szCs w:val="32"/>
                <w:highlight w:val="none"/>
                <w:lang w:eastAsia="zh-CN"/>
              </w:rPr>
              <w:t>m，泥浆最大产生量为</w:t>
            </w:r>
            <w:r>
              <w:rPr>
                <w:rFonts w:hint="eastAsia" w:ascii="Times New Roman" w:hAnsi="Times New Roman" w:eastAsia="宋体" w:cs="宋体"/>
                <w:sz w:val="24"/>
                <w:szCs w:val="32"/>
                <w:highlight w:val="none"/>
                <w:lang w:val="en-US" w:eastAsia="zh-CN"/>
              </w:rPr>
              <w:t>1.35</w:t>
            </w:r>
            <w:r>
              <w:rPr>
                <w:rFonts w:hint="eastAsia" w:ascii="Times New Roman" w:hAnsi="Times New Roman" w:eastAsia="宋体" w:cs="宋体"/>
                <w:sz w:val="24"/>
                <w:szCs w:val="32"/>
                <w:highlight w:val="none"/>
                <w:lang w:eastAsia="zh-CN"/>
              </w:rPr>
              <w:t>t，泥浆最大容积为</w:t>
            </w:r>
            <w:r>
              <w:rPr>
                <w:rFonts w:hint="eastAsia" w:ascii="Times New Roman" w:hAnsi="Times New Roman" w:eastAsia="宋体" w:cs="宋体"/>
                <w:sz w:val="24"/>
                <w:szCs w:val="32"/>
                <w:highlight w:val="none"/>
                <w:lang w:val="en-US" w:eastAsia="zh-CN"/>
              </w:rPr>
              <w:t>1.23</w:t>
            </w:r>
            <w:r>
              <w:rPr>
                <w:rFonts w:hint="eastAsia" w:ascii="Times New Roman" w:hAnsi="Times New Roman" w:eastAsia="宋体" w:cs="宋体"/>
                <w:sz w:val="24"/>
                <w:szCs w:val="32"/>
                <w:highlight w:val="none"/>
                <w:lang w:eastAsia="zh-CN"/>
              </w:rPr>
              <w:t>m</w:t>
            </w:r>
            <w:r>
              <w:rPr>
                <w:rFonts w:hint="eastAsia" w:ascii="Times New Roman" w:hAnsi="Times New Roman" w:eastAsia="宋体" w:cs="宋体"/>
                <w:sz w:val="24"/>
                <w:szCs w:val="32"/>
                <w:highlight w:val="none"/>
                <w:vertAlign w:val="superscript"/>
                <w:lang w:eastAsia="zh-CN"/>
              </w:rPr>
              <w:t>3</w:t>
            </w:r>
            <w:r>
              <w:rPr>
                <w:rFonts w:hint="eastAsia" w:ascii="Times New Roman" w:hAnsi="Times New Roman" w:eastAsia="宋体" w:cs="宋体"/>
                <w:sz w:val="24"/>
                <w:szCs w:val="32"/>
                <w:highlight w:val="none"/>
                <w:lang w:eastAsia="zh-CN"/>
              </w:rPr>
              <w:t>，本项目泥浆池容积为</w:t>
            </w:r>
            <w:r>
              <w:rPr>
                <w:rFonts w:hint="eastAsia" w:ascii="Times New Roman" w:hAnsi="Times New Roman" w:eastAsia="宋体" w:cs="宋体"/>
                <w:sz w:val="24"/>
                <w:szCs w:val="32"/>
                <w:highlight w:val="none"/>
                <w:lang w:val="en-US" w:eastAsia="zh-CN"/>
              </w:rPr>
              <w:t>2</w:t>
            </w:r>
            <w:r>
              <w:rPr>
                <w:rFonts w:hint="eastAsia" w:ascii="Times New Roman" w:hAnsi="Times New Roman" w:eastAsia="宋体" w:cs="宋体"/>
                <w:sz w:val="24"/>
                <w:szCs w:val="32"/>
                <w:highlight w:val="none"/>
                <w:lang w:eastAsia="zh-CN"/>
              </w:rPr>
              <w:t>m</w:t>
            </w:r>
            <w:r>
              <w:rPr>
                <w:rFonts w:hint="eastAsia" w:ascii="Times New Roman" w:hAnsi="Times New Roman" w:eastAsia="宋体" w:cs="宋体"/>
                <w:sz w:val="24"/>
                <w:szCs w:val="32"/>
                <w:highlight w:val="none"/>
                <w:vertAlign w:val="superscript"/>
                <w:lang w:eastAsia="zh-CN"/>
              </w:rPr>
              <w:t>3</w:t>
            </w:r>
            <w:r>
              <w:rPr>
                <w:rFonts w:hint="eastAsia" w:ascii="Times New Roman" w:hAnsi="Times New Roman" w:eastAsia="宋体" w:cs="宋体"/>
                <w:sz w:val="24"/>
                <w:szCs w:val="32"/>
                <w:highlight w:val="none"/>
                <w:lang w:eastAsia="zh-CN"/>
              </w:rPr>
              <w:t>（单座）</w:t>
            </w:r>
            <w:r>
              <w:rPr>
                <w:rFonts w:hint="eastAsia" w:ascii="Times New Roman" w:hAnsi="Times New Roman" w:eastAsia="宋体" w:cs="宋体"/>
                <w:sz w:val="24"/>
                <w:szCs w:val="32"/>
                <w:lang w:eastAsia="zh-CN"/>
              </w:rPr>
              <w:t>，能够满足项目需要。</w:t>
            </w:r>
          </w:p>
          <w:p w14:paraId="326CCA0C">
            <w:pPr>
              <w:pStyle w:val="20"/>
              <w:ind w:firstLine="480"/>
              <w:rPr>
                <w:rFonts w:hint="eastAsia" w:ascii="Times New Roman" w:hAnsi="Times New Roman" w:eastAsia="宋体"/>
              </w:rPr>
            </w:pPr>
            <w:r>
              <w:rPr>
                <w:rFonts w:hint="eastAsia" w:ascii="Times New Roman" w:hAnsi="Times New Roman" w:eastAsia="宋体" w:cs="宋体"/>
                <w:sz w:val="24"/>
                <w:szCs w:val="32"/>
                <w:lang w:val="en-US" w:eastAsia="zh-CN"/>
              </w:rPr>
              <w:t>钻井岩屑</w:t>
            </w:r>
            <w:r>
              <w:rPr>
                <w:rFonts w:hint="eastAsia" w:ascii="Times New Roman" w:hAnsi="Times New Roman" w:eastAsia="宋体"/>
              </w:rPr>
              <w:t>产生量与井身结构有关，可按下式计算：</w:t>
            </w:r>
          </w:p>
          <w:p w14:paraId="123DA25C">
            <w:pPr>
              <w:pStyle w:val="7"/>
              <w:spacing w:line="500" w:lineRule="exact"/>
              <w:ind w:firstLine="480"/>
              <w:jc w:val="center"/>
              <w:rPr>
                <w:rFonts w:hint="eastAsia" w:ascii="Times New Roman" w:hAnsi="Times New Roman" w:eastAsia="宋体" w:cs="宋体"/>
                <w:sz w:val="24"/>
                <w:szCs w:val="32"/>
                <w:lang w:eastAsia="zh-CN"/>
              </w:rPr>
            </w:pPr>
            <w:r>
              <w:rPr>
                <w:rFonts w:hint="eastAsia" w:ascii="Times New Roman" w:hAnsi="Times New Roman" w:eastAsia="宋体" w:cs="宋体"/>
                <w:sz w:val="24"/>
                <w:szCs w:val="32"/>
              </w:rPr>
              <w:t>W=1/4×π×D</w:t>
            </w:r>
            <w:r>
              <w:rPr>
                <w:rFonts w:hint="eastAsia" w:ascii="Times New Roman" w:hAnsi="Times New Roman" w:eastAsia="宋体" w:cs="宋体"/>
                <w:sz w:val="24"/>
                <w:szCs w:val="32"/>
                <w:vertAlign w:val="superscript"/>
              </w:rPr>
              <w:t>2</w:t>
            </w:r>
            <w:r>
              <w:rPr>
                <w:rFonts w:hint="eastAsia" w:ascii="Times New Roman" w:hAnsi="Times New Roman" w:eastAsia="宋体" w:cs="宋体"/>
                <w:sz w:val="24"/>
                <w:szCs w:val="32"/>
              </w:rPr>
              <w:t>×h×</w:t>
            </w:r>
            <w:r>
              <w:rPr>
                <w:rFonts w:hint="eastAsia" w:ascii="Times New Roman" w:hAnsi="Times New Roman" w:eastAsia="宋体" w:cs="宋体"/>
                <w:sz w:val="24"/>
                <w:szCs w:val="32"/>
                <w:lang w:val="en-US" w:eastAsia="zh-CN"/>
              </w:rPr>
              <w:t>K</w:t>
            </w:r>
          </w:p>
          <w:p w14:paraId="08D19207">
            <w:pPr>
              <w:pStyle w:val="7"/>
              <w:spacing w:line="500" w:lineRule="exact"/>
              <w:ind w:firstLine="480" w:firstLineChars="200"/>
              <w:rPr>
                <w:rFonts w:hint="eastAsia" w:ascii="Times New Roman" w:hAnsi="Times New Roman" w:eastAsia="宋体" w:cs="宋体"/>
                <w:sz w:val="24"/>
                <w:szCs w:val="32"/>
              </w:rPr>
            </w:pPr>
            <w:r>
              <w:rPr>
                <w:rFonts w:hint="eastAsia" w:ascii="Times New Roman" w:hAnsi="Times New Roman" w:eastAsia="宋体" w:cs="宋体"/>
                <w:sz w:val="24"/>
                <w:szCs w:val="32"/>
              </w:rPr>
              <w:t>式中：W——产生的岩屑量，m</w:t>
            </w:r>
            <w:r>
              <w:rPr>
                <w:rFonts w:hint="eastAsia" w:ascii="Times New Roman" w:hAnsi="Times New Roman" w:eastAsia="宋体" w:cs="宋体"/>
                <w:sz w:val="24"/>
                <w:szCs w:val="32"/>
                <w:vertAlign w:val="superscript"/>
              </w:rPr>
              <w:t>3</w:t>
            </w:r>
            <w:r>
              <w:rPr>
                <w:rFonts w:hint="eastAsia" w:ascii="Times New Roman" w:hAnsi="Times New Roman" w:eastAsia="宋体" w:cs="宋体"/>
                <w:sz w:val="24"/>
                <w:szCs w:val="32"/>
              </w:rPr>
              <w:t>；</w:t>
            </w:r>
          </w:p>
          <w:p w14:paraId="126E2802">
            <w:pPr>
              <w:pStyle w:val="7"/>
              <w:spacing w:line="500" w:lineRule="exact"/>
              <w:ind w:firstLine="480" w:firstLineChars="200"/>
              <w:rPr>
                <w:rFonts w:hint="eastAsia" w:ascii="Times New Roman" w:hAnsi="Times New Roman" w:eastAsia="宋体" w:cs="宋体"/>
                <w:sz w:val="24"/>
                <w:szCs w:val="32"/>
              </w:rPr>
            </w:pPr>
            <w:r>
              <w:rPr>
                <w:rFonts w:hint="eastAsia" w:ascii="Times New Roman" w:hAnsi="Times New Roman" w:eastAsia="宋体" w:cs="宋体"/>
                <w:sz w:val="24"/>
                <w:szCs w:val="32"/>
              </w:rPr>
              <w:t>D——井眼平均井径，m；</w:t>
            </w:r>
          </w:p>
          <w:p w14:paraId="6FAA925E">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eastAsia="zh-CN"/>
              </w:rPr>
              <w:t>h——裸眼长度，m；</w:t>
            </w:r>
          </w:p>
          <w:p w14:paraId="34FBBC83">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val="en-US" w:eastAsia="zh-CN"/>
              </w:rPr>
              <w:t>K</w:t>
            </w:r>
            <w:r>
              <w:rPr>
                <w:rFonts w:hint="eastAsia" w:ascii="Times New Roman" w:hAnsi="Times New Roman" w:eastAsia="宋体" w:cs="宋体"/>
                <w:sz w:val="24"/>
                <w:szCs w:val="32"/>
                <w:lang w:eastAsia="zh-CN"/>
              </w:rPr>
              <w:t>——</w:t>
            </w:r>
            <w:r>
              <w:rPr>
                <w:rFonts w:hint="eastAsia" w:ascii="Times New Roman" w:hAnsi="Times New Roman" w:eastAsia="宋体" w:cs="宋体"/>
                <w:sz w:val="24"/>
                <w:szCs w:val="32"/>
                <w:lang w:val="en-US" w:eastAsia="zh-CN"/>
              </w:rPr>
              <w:t>井眼扩大率</w:t>
            </w:r>
            <w:r>
              <w:rPr>
                <w:rFonts w:hint="eastAsia" w:ascii="Times New Roman" w:hAnsi="Times New Roman" w:eastAsia="宋体" w:cs="宋体"/>
                <w:sz w:val="24"/>
                <w:szCs w:val="32"/>
                <w:lang w:eastAsia="zh-CN"/>
              </w:rPr>
              <w:t>，</w:t>
            </w:r>
            <w:r>
              <w:rPr>
                <w:rFonts w:hint="eastAsia" w:ascii="Times New Roman" w:hAnsi="Times New Roman" w:eastAsia="宋体" w:cs="宋体"/>
                <w:sz w:val="24"/>
                <w:szCs w:val="32"/>
                <w:lang w:val="en-US" w:eastAsia="zh-CN"/>
              </w:rPr>
              <w:t>水基钻井液</w:t>
            </w:r>
            <w:r>
              <w:rPr>
                <w:rFonts w:hint="eastAsia" w:ascii="Times New Roman" w:hAnsi="Times New Roman" w:eastAsia="宋体" w:cs="宋体"/>
                <w:sz w:val="24"/>
                <w:szCs w:val="32"/>
                <w:lang w:eastAsia="zh-CN"/>
              </w:rPr>
              <w:t>取P=</w:t>
            </w:r>
            <w:r>
              <w:rPr>
                <w:rFonts w:hint="eastAsia" w:ascii="Times New Roman" w:hAnsi="Times New Roman" w:eastAsia="宋体" w:cs="宋体"/>
                <w:sz w:val="24"/>
                <w:szCs w:val="32"/>
                <w:lang w:val="en-US" w:eastAsia="zh-CN"/>
              </w:rPr>
              <w:t>20%</w:t>
            </w:r>
            <w:r>
              <w:rPr>
                <w:rFonts w:hint="eastAsia" w:ascii="Times New Roman" w:hAnsi="Times New Roman" w:eastAsia="宋体" w:cs="宋体"/>
                <w:sz w:val="24"/>
                <w:szCs w:val="32"/>
                <w:lang w:eastAsia="zh-CN"/>
              </w:rPr>
              <w:t>。</w:t>
            </w:r>
          </w:p>
          <w:p w14:paraId="4EA8D4A4">
            <w:pPr>
              <w:pStyle w:val="7"/>
              <w:spacing w:line="500" w:lineRule="exact"/>
              <w:ind w:firstLine="480" w:firstLineChars="200"/>
              <w:rPr>
                <w:rFonts w:hint="eastAsia" w:ascii="Times New Roman" w:hAnsi="Times New Roman" w:eastAsia="宋体" w:cs="黑体"/>
                <w:sz w:val="24"/>
                <w:szCs w:val="24"/>
                <w:lang w:eastAsia="zh-CN"/>
              </w:rPr>
            </w:pPr>
            <w:r>
              <w:rPr>
                <w:rFonts w:hint="eastAsia" w:ascii="Times New Roman" w:hAnsi="Times New Roman" w:eastAsia="宋体" w:cs="宋体"/>
                <w:sz w:val="24"/>
                <w:szCs w:val="32"/>
                <w:lang w:eastAsia="zh-CN"/>
              </w:rPr>
              <w:t>根据井身结构计算钻井期岩屑产生量见表4-2。</w:t>
            </w:r>
            <w:bookmarkStart w:id="30" w:name="_Ref19642107"/>
          </w:p>
          <w:p w14:paraId="65A89610">
            <w:pPr>
              <w:pStyle w:val="7"/>
              <w:spacing w:line="500" w:lineRule="exact"/>
              <w:jc w:val="center"/>
              <w:rPr>
                <w:rFonts w:hint="eastAsia" w:ascii="Times New Roman" w:hAnsi="Times New Roman" w:eastAsia="宋体" w:cs="黑体"/>
                <w:b/>
                <w:bCs/>
                <w:color w:val="000000"/>
                <w:lang w:eastAsia="zh-CN"/>
              </w:rPr>
            </w:pPr>
            <w:r>
              <w:rPr>
                <w:rFonts w:hint="eastAsia" w:ascii="Times New Roman" w:hAnsi="Times New Roman" w:eastAsia="宋体" w:cs="黑体"/>
                <w:b/>
                <w:bCs/>
                <w:color w:val="000000"/>
                <w:lang w:eastAsia="zh-CN"/>
              </w:rPr>
              <w:t>表</w:t>
            </w:r>
            <w:bookmarkEnd w:id="30"/>
            <w:r>
              <w:rPr>
                <w:rFonts w:hint="eastAsia" w:ascii="Times New Roman" w:hAnsi="Times New Roman" w:eastAsia="宋体" w:cs="黑体"/>
                <w:b/>
                <w:bCs/>
                <w:color w:val="000000"/>
                <w:lang w:eastAsia="zh-CN"/>
              </w:rPr>
              <w:t>4-2钻井岩屑产生情况表</w:t>
            </w:r>
          </w:p>
          <w:tbl>
            <w:tblPr>
              <w:tblStyle w:val="15"/>
              <w:tblW w:w="8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3059"/>
              <w:gridCol w:w="2451"/>
              <w:gridCol w:w="2608"/>
            </w:tblGrid>
            <w:tr w14:paraId="4DAC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5" w:hRule="atLeast"/>
                <w:jc w:val="center"/>
              </w:trPr>
              <w:tc>
                <w:tcPr>
                  <w:tcW w:w="1884" w:type="pct"/>
                  <w:vAlign w:val="center"/>
                </w:tcPr>
                <w:p w14:paraId="6E78520E">
                  <w:pPr>
                    <w:pStyle w:val="7"/>
                    <w:spacing w:line="300" w:lineRule="exact"/>
                    <w:jc w:val="center"/>
                    <w:rPr>
                      <w:rFonts w:hint="eastAsia" w:ascii="Times New Roman" w:hAnsi="Times New Roman" w:eastAsia="宋体" w:cs="宋体"/>
                      <w:color w:val="000000"/>
                      <w:highlight w:val="none"/>
                      <w:lang w:eastAsia="zh-CN"/>
                    </w:rPr>
                  </w:pPr>
                  <w:r>
                    <w:rPr>
                      <w:rFonts w:hint="eastAsia" w:ascii="Times New Roman" w:hAnsi="Times New Roman" w:eastAsia="宋体" w:cs="宋体"/>
                      <w:color w:val="000000"/>
                      <w:highlight w:val="none"/>
                      <w:lang w:eastAsia="zh-CN"/>
                    </w:rPr>
                    <w:t>钻头尺寸（mm）</w:t>
                  </w:r>
                </w:p>
              </w:tc>
              <w:tc>
                <w:tcPr>
                  <w:tcW w:w="1509" w:type="pct"/>
                  <w:vAlign w:val="center"/>
                </w:tcPr>
                <w:p w14:paraId="6E942218">
                  <w:pPr>
                    <w:pStyle w:val="7"/>
                    <w:spacing w:line="300" w:lineRule="exact"/>
                    <w:jc w:val="center"/>
                    <w:rPr>
                      <w:rFonts w:hint="eastAsia" w:ascii="Times New Roman" w:hAnsi="Times New Roman" w:eastAsia="宋体" w:cs="宋体"/>
                      <w:color w:val="000000"/>
                      <w:highlight w:val="none"/>
                      <w:lang w:eastAsia="zh-CN"/>
                    </w:rPr>
                  </w:pPr>
                  <w:r>
                    <w:rPr>
                      <w:rFonts w:hint="eastAsia" w:ascii="Times New Roman" w:hAnsi="Times New Roman" w:eastAsia="宋体" w:cs="宋体"/>
                      <w:color w:val="000000"/>
                      <w:highlight w:val="none"/>
                      <w:lang w:eastAsia="zh-CN"/>
                    </w:rPr>
                    <w:t>总井深（m）</w:t>
                  </w:r>
                </w:p>
              </w:tc>
              <w:tc>
                <w:tcPr>
                  <w:tcW w:w="1606" w:type="pct"/>
                  <w:vAlign w:val="center"/>
                </w:tcPr>
                <w:p w14:paraId="64475BB4">
                  <w:pPr>
                    <w:pStyle w:val="7"/>
                    <w:spacing w:line="300" w:lineRule="exact"/>
                    <w:jc w:val="center"/>
                    <w:rPr>
                      <w:rFonts w:hint="eastAsia" w:ascii="Times New Roman" w:hAnsi="Times New Roman" w:eastAsia="宋体" w:cs="宋体"/>
                      <w:color w:val="000000"/>
                      <w:highlight w:val="none"/>
                      <w:lang w:eastAsia="zh-CN"/>
                    </w:rPr>
                  </w:pPr>
                  <w:r>
                    <w:rPr>
                      <w:rFonts w:hint="eastAsia" w:ascii="Times New Roman" w:hAnsi="Times New Roman" w:eastAsia="宋体" w:cs="宋体"/>
                      <w:color w:val="000000"/>
                      <w:highlight w:val="none"/>
                      <w:lang w:eastAsia="zh-CN"/>
                    </w:rPr>
                    <w:t>岩屑量合计</w:t>
                  </w:r>
                </w:p>
              </w:tc>
            </w:tr>
            <w:tr w14:paraId="7A72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8" w:hRule="atLeast"/>
                <w:jc w:val="center"/>
              </w:trPr>
              <w:tc>
                <w:tcPr>
                  <w:tcW w:w="1884" w:type="pct"/>
                  <w:vAlign w:val="center"/>
                </w:tcPr>
                <w:p w14:paraId="4EC5F84D">
                  <w:pPr>
                    <w:widowControl/>
                    <w:jc w:val="center"/>
                    <w:rPr>
                      <w:rFonts w:hint="default" w:ascii="Times New Roman" w:hAnsi="Times New Roman" w:eastAsia="宋体" w:cs="宋体"/>
                      <w:color w:val="000000"/>
                      <w:kern w:val="0"/>
                      <w:sz w:val="21"/>
                      <w:szCs w:val="21"/>
                      <w:highlight w:val="none"/>
                      <w:lang w:val="en-US" w:eastAsia="zh-CN"/>
                    </w:rPr>
                  </w:pPr>
                  <w:r>
                    <w:rPr>
                      <w:rFonts w:hint="eastAsia" w:cs="Arial"/>
                      <w:color w:val="000000"/>
                      <w:sz w:val="21"/>
                      <w:szCs w:val="21"/>
                      <w:highlight w:val="none"/>
                      <w:lang w:val="en-US" w:eastAsia="zh-CN"/>
                    </w:rPr>
                    <w:t>110</w:t>
                  </w:r>
                </w:p>
              </w:tc>
              <w:tc>
                <w:tcPr>
                  <w:tcW w:w="1509" w:type="pct"/>
                  <w:vAlign w:val="center"/>
                </w:tcPr>
                <w:p w14:paraId="0E0921E0">
                  <w:pPr>
                    <w:jc w:val="center"/>
                    <w:rPr>
                      <w:rFonts w:hint="default" w:ascii="Times New Roman" w:hAnsi="Times New Roman" w:eastAsia="宋体" w:cs="宋体"/>
                      <w:color w:val="000000"/>
                      <w:kern w:val="0"/>
                      <w:sz w:val="21"/>
                      <w:szCs w:val="21"/>
                      <w:highlight w:val="none"/>
                      <w:lang w:val="en-US" w:eastAsia="zh-CN"/>
                    </w:rPr>
                  </w:pPr>
                  <w:r>
                    <w:rPr>
                      <w:rFonts w:hint="eastAsia" w:cs="Arial"/>
                      <w:color w:val="000000"/>
                      <w:sz w:val="21"/>
                      <w:szCs w:val="21"/>
                      <w:highlight w:val="none"/>
                      <w:lang w:val="en-US" w:eastAsia="zh-CN"/>
                    </w:rPr>
                    <w:t>1000</w:t>
                  </w:r>
                </w:p>
              </w:tc>
              <w:tc>
                <w:tcPr>
                  <w:tcW w:w="1606" w:type="pct"/>
                  <w:vAlign w:val="center"/>
                </w:tcPr>
                <w:p w14:paraId="4E79E91F">
                  <w:pPr>
                    <w:pStyle w:val="7"/>
                    <w:spacing w:line="300" w:lineRule="exact"/>
                    <w:jc w:val="center"/>
                    <w:rPr>
                      <w:rFonts w:hint="eastAsia" w:ascii="Times New Roman" w:hAnsi="Times New Roman" w:eastAsia="宋体" w:cs="宋体"/>
                      <w:color w:val="000000"/>
                      <w:highlight w:val="none"/>
                      <w:lang w:eastAsia="zh-CN"/>
                    </w:rPr>
                  </w:pPr>
                  <w:r>
                    <w:rPr>
                      <w:rFonts w:hint="eastAsia" w:ascii="Times New Roman" w:hAnsi="Times New Roman" w:eastAsia="宋体" w:cs="宋体"/>
                      <w:color w:val="000000"/>
                      <w:highlight w:val="none"/>
                      <w:lang w:val="en-US" w:eastAsia="zh-CN"/>
                    </w:rPr>
                    <w:t>1.9</w:t>
                  </w:r>
                  <w:r>
                    <w:rPr>
                      <w:rFonts w:hint="eastAsia" w:ascii="Times New Roman" w:hAnsi="Times New Roman" w:eastAsia="宋体" w:cs="宋体"/>
                      <w:color w:val="000000"/>
                      <w:highlight w:val="none"/>
                      <w:lang w:eastAsia="zh-CN"/>
                    </w:rPr>
                    <w:t>m</w:t>
                  </w:r>
                  <w:r>
                    <w:rPr>
                      <w:rFonts w:hint="eastAsia" w:ascii="Times New Roman" w:hAnsi="Times New Roman" w:eastAsia="宋体" w:cs="宋体"/>
                      <w:color w:val="000000"/>
                      <w:highlight w:val="none"/>
                      <w:vertAlign w:val="superscript"/>
                      <w:lang w:eastAsia="zh-CN"/>
                    </w:rPr>
                    <w:t>3</w:t>
                  </w:r>
                </w:p>
              </w:tc>
            </w:tr>
          </w:tbl>
          <w:p w14:paraId="35327B4E">
            <w:pPr>
              <w:pStyle w:val="7"/>
              <w:spacing w:line="500" w:lineRule="exact"/>
              <w:ind w:firstLine="480" w:firstLineChars="200"/>
              <w:rPr>
                <w:rFonts w:hint="default" w:ascii="Times New Roman" w:hAnsi="Times New Roman" w:eastAsia="宋体" w:cs="宋体"/>
                <w:sz w:val="24"/>
                <w:szCs w:val="32"/>
                <w:lang w:val="en-US" w:eastAsia="zh-CN"/>
              </w:rPr>
            </w:pPr>
            <w:r>
              <w:rPr>
                <w:rFonts w:hint="eastAsia" w:ascii="Times New Roman" w:hAnsi="Times New Roman" w:eastAsia="宋体" w:cs="宋体"/>
                <w:sz w:val="24"/>
                <w:szCs w:val="32"/>
                <w:lang w:val="en-US" w:eastAsia="zh-CN"/>
              </w:rPr>
              <w:t>钻探采用水基钻井液（主要成分为水、泥浆（膨润土）、腐殖酸钾、工业盐），根据《危险废物排除管理清单（2021版）》，项目产生的钻井泥浆和钻井岩屑属于一般固体废物，泥浆经沉淀池澄清后循环回用，不外排。施工结束后沉淀池内干化残渣与钻井岩屑全部回填至原钻孔坑/探槽坑内，分层压实，并恢复表层覆土与原地貌，不新建任何永久填埋体；临时沉淀池位置施工结束后拆除防渗层、整平恢复。</w:t>
            </w:r>
          </w:p>
          <w:p w14:paraId="3B958FEE">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eastAsia="zh-CN"/>
              </w:rPr>
              <w:t>（</w:t>
            </w:r>
            <w:r>
              <w:rPr>
                <w:rFonts w:hint="eastAsia" w:ascii="Times New Roman" w:hAnsi="Times New Roman" w:eastAsia="宋体" w:cs="宋体"/>
                <w:sz w:val="24"/>
                <w:szCs w:val="32"/>
                <w:lang w:val="en-US" w:eastAsia="zh-CN"/>
              </w:rPr>
              <w:t>3</w:t>
            </w:r>
            <w:r>
              <w:rPr>
                <w:rFonts w:hint="eastAsia" w:ascii="Times New Roman" w:hAnsi="Times New Roman" w:eastAsia="宋体" w:cs="宋体"/>
                <w:sz w:val="24"/>
                <w:szCs w:val="32"/>
                <w:lang w:eastAsia="zh-CN"/>
              </w:rPr>
              <w:t>）沾油废防渗材料</w:t>
            </w:r>
            <w:r>
              <w:rPr>
                <w:rFonts w:hint="eastAsia" w:ascii="Times New Roman" w:hAnsi="Times New Roman" w:eastAsia="宋体" w:cs="宋体"/>
                <w:sz w:val="24"/>
                <w:szCs w:val="32"/>
                <w:lang w:val="en-US" w:eastAsia="zh-CN"/>
              </w:rPr>
              <w:t>和设备维修废机油</w:t>
            </w:r>
          </w:p>
          <w:p w14:paraId="2D448D64">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eastAsia="zh-CN"/>
              </w:rPr>
              <w:t>根据建设单位反馈信息可知，一般勘探过程中产生的</w:t>
            </w:r>
            <w:r>
              <w:rPr>
                <w:rFonts w:hint="eastAsia" w:ascii="Times New Roman" w:hAnsi="Times New Roman" w:eastAsia="宋体" w:cs="宋体"/>
                <w:sz w:val="24"/>
                <w:szCs w:val="32"/>
                <w:lang w:val="en-US" w:eastAsia="zh-CN"/>
              </w:rPr>
              <w:t>沾</w:t>
            </w:r>
            <w:r>
              <w:rPr>
                <w:rFonts w:hint="eastAsia" w:ascii="Times New Roman" w:hAnsi="Times New Roman" w:eastAsia="宋体" w:cs="宋体"/>
                <w:sz w:val="24"/>
                <w:szCs w:val="32"/>
                <w:lang w:eastAsia="zh-CN"/>
              </w:rPr>
              <w:t>油废防渗材料</w:t>
            </w:r>
            <w:r>
              <w:rPr>
                <w:rFonts w:hint="eastAsia" w:ascii="Times New Roman" w:hAnsi="Times New Roman" w:eastAsia="宋体" w:cs="宋体"/>
                <w:sz w:val="24"/>
                <w:szCs w:val="32"/>
                <w:lang w:val="en-US" w:eastAsia="zh-CN"/>
              </w:rPr>
              <w:t>1</w:t>
            </w:r>
            <w:r>
              <w:rPr>
                <w:rFonts w:hint="eastAsia" w:ascii="Times New Roman" w:hAnsi="Times New Roman" w:eastAsia="宋体" w:cs="宋体"/>
                <w:sz w:val="24"/>
                <w:szCs w:val="32"/>
                <w:lang w:eastAsia="zh-CN"/>
              </w:rPr>
              <w:t>t，未沾油防渗材料由施工单位集中回收利用，沾油废防渗材料</w:t>
            </w:r>
            <w:r>
              <w:rPr>
                <w:rFonts w:hint="eastAsia" w:ascii="Times New Roman" w:hAnsi="Times New Roman" w:eastAsia="宋体" w:cs="宋体"/>
                <w:sz w:val="24"/>
                <w:szCs w:val="32"/>
                <w:lang w:val="en-US" w:eastAsia="zh-CN"/>
              </w:rPr>
              <w:t>和设备维修产生的废机油</w:t>
            </w:r>
            <w:r>
              <w:rPr>
                <w:rFonts w:hint="eastAsia" w:ascii="Times New Roman" w:hAnsi="Times New Roman" w:eastAsia="宋体" w:cs="宋体"/>
                <w:sz w:val="24"/>
                <w:szCs w:val="32"/>
                <w:lang w:eastAsia="zh-CN"/>
              </w:rPr>
              <w:t>属于《国家危险废物名录》（2025年版）中的HW08废矿物油与含矿物油类危险废物（废物代码为900-249-08、</w:t>
            </w:r>
            <w:r>
              <w:rPr>
                <w:rFonts w:hint="eastAsia" w:ascii="Times New Roman" w:hAnsi="Times New Roman" w:eastAsia="宋体" w:cs="宋体"/>
                <w:sz w:val="24"/>
                <w:szCs w:val="32"/>
                <w:lang w:val="en-US" w:eastAsia="zh-CN"/>
              </w:rPr>
              <w:t>900-214-08</w:t>
            </w:r>
            <w:r>
              <w:rPr>
                <w:rFonts w:hint="eastAsia" w:ascii="Times New Roman" w:hAnsi="Times New Roman" w:eastAsia="宋体" w:cs="宋体"/>
                <w:sz w:val="24"/>
                <w:szCs w:val="32"/>
                <w:lang w:eastAsia="zh-CN"/>
              </w:rPr>
              <w:t>，危险特性为毒性和易燃性），</w:t>
            </w:r>
            <w:r>
              <w:rPr>
                <w:rFonts w:hint="eastAsia" w:ascii="Times New Roman" w:hAnsi="Times New Roman" w:eastAsia="宋体" w:cs="宋体"/>
                <w:sz w:val="24"/>
                <w:szCs w:val="32"/>
                <w:lang w:val="en-US" w:eastAsia="zh-CN"/>
              </w:rPr>
              <w:t>设置一个可移动式危废暂存仓收集后，交</w:t>
            </w:r>
            <w:r>
              <w:rPr>
                <w:rFonts w:hint="eastAsia" w:ascii="Times New Roman" w:hAnsi="Times New Roman" w:eastAsia="宋体" w:cs="宋体"/>
                <w:sz w:val="24"/>
                <w:szCs w:val="32"/>
                <w:lang w:eastAsia="zh-CN"/>
              </w:rPr>
              <w:t>由具有相应危险废物处置资质的单位进行接收、转运和处置。</w:t>
            </w:r>
          </w:p>
          <w:p w14:paraId="78C72FB1">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eastAsia="zh-CN"/>
              </w:rPr>
              <w:t>（</w:t>
            </w:r>
            <w:r>
              <w:rPr>
                <w:rFonts w:hint="eastAsia" w:ascii="Times New Roman" w:hAnsi="Times New Roman" w:eastAsia="宋体" w:cs="宋体"/>
                <w:sz w:val="24"/>
                <w:szCs w:val="32"/>
                <w:lang w:val="en-US" w:eastAsia="zh-CN"/>
              </w:rPr>
              <w:t>4</w:t>
            </w:r>
            <w:r>
              <w:rPr>
                <w:rFonts w:hint="eastAsia" w:ascii="Times New Roman" w:hAnsi="Times New Roman" w:eastAsia="宋体" w:cs="宋体"/>
                <w:sz w:val="24"/>
                <w:szCs w:val="32"/>
                <w:lang w:eastAsia="zh-CN"/>
              </w:rPr>
              <w:t>）</w:t>
            </w:r>
            <w:r>
              <w:rPr>
                <w:rFonts w:hint="eastAsia" w:ascii="Times New Roman" w:hAnsi="Times New Roman" w:eastAsia="宋体" w:cs="宋体"/>
                <w:sz w:val="24"/>
                <w:szCs w:val="32"/>
                <w:lang w:val="en-US" w:eastAsia="zh-CN"/>
              </w:rPr>
              <w:t>临时</w:t>
            </w:r>
            <w:r>
              <w:rPr>
                <w:rFonts w:hint="eastAsia" w:ascii="Times New Roman" w:hAnsi="Times New Roman" w:eastAsia="宋体" w:cs="宋体"/>
                <w:sz w:val="24"/>
                <w:szCs w:val="32"/>
                <w:lang w:eastAsia="zh-CN"/>
              </w:rPr>
              <w:t>土石方</w:t>
            </w:r>
          </w:p>
          <w:p w14:paraId="454ADCD8">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eastAsia="zh-CN"/>
              </w:rPr>
              <w:t>本项目产生的土石方约为</w:t>
            </w:r>
            <w:r>
              <w:rPr>
                <w:rFonts w:hint="eastAsia" w:ascii="Times New Roman" w:hAnsi="Times New Roman" w:eastAsia="宋体" w:cs="宋体"/>
                <w:sz w:val="24"/>
                <w:szCs w:val="32"/>
                <w:highlight w:val="none"/>
                <w:lang w:eastAsia="zh-CN"/>
              </w:rPr>
              <w:t>2039.5</w:t>
            </w:r>
            <w:r>
              <w:rPr>
                <w:rFonts w:hint="eastAsia" w:ascii="Times New Roman" w:hAnsi="Times New Roman" w:eastAsia="宋体" w:cs="宋体"/>
                <w:sz w:val="24"/>
                <w:szCs w:val="32"/>
                <w:lang w:eastAsia="zh-CN"/>
              </w:rPr>
              <w:t>m</w:t>
            </w:r>
            <w:r>
              <w:rPr>
                <w:rFonts w:hint="eastAsia" w:ascii="Times New Roman" w:hAnsi="Times New Roman" w:eastAsia="宋体" w:cs="宋体"/>
                <w:sz w:val="24"/>
                <w:szCs w:val="32"/>
                <w:vertAlign w:val="superscript"/>
                <w:lang w:eastAsia="zh-CN"/>
              </w:rPr>
              <w:t>3</w:t>
            </w:r>
            <w:r>
              <w:rPr>
                <w:rFonts w:hint="eastAsia" w:ascii="Times New Roman" w:hAnsi="Times New Roman" w:eastAsia="宋体" w:cs="宋体"/>
                <w:sz w:val="24"/>
                <w:szCs w:val="32"/>
                <w:lang w:eastAsia="zh-CN"/>
              </w:rPr>
              <w:t>。在</w:t>
            </w:r>
            <w:r>
              <w:rPr>
                <w:rFonts w:hint="eastAsia" w:ascii="Times New Roman" w:hAnsi="Times New Roman" w:eastAsia="宋体" w:cs="宋体"/>
                <w:sz w:val="24"/>
                <w:szCs w:val="32"/>
                <w:highlight w:val="none"/>
                <w:lang w:eastAsia="zh-CN"/>
              </w:rPr>
              <w:t>TC0-1、TC15-1、TC7-1、TC8-1</w:t>
            </w:r>
            <w:r>
              <w:rPr>
                <w:rFonts w:hint="eastAsia" w:ascii="Times New Roman" w:hAnsi="Times New Roman" w:eastAsia="宋体" w:cs="宋体"/>
                <w:sz w:val="24"/>
                <w:szCs w:val="32"/>
                <w:lang w:eastAsia="zh-CN"/>
              </w:rPr>
              <w:t>探槽旁各设置一个200m</w:t>
            </w:r>
            <w:r>
              <w:rPr>
                <w:rFonts w:hint="eastAsia" w:ascii="Times New Roman" w:hAnsi="Times New Roman" w:eastAsia="宋体" w:cs="宋体"/>
                <w:sz w:val="24"/>
                <w:szCs w:val="32"/>
                <w:vertAlign w:val="superscript"/>
                <w:lang w:eastAsia="zh-CN"/>
              </w:rPr>
              <w:t>2</w:t>
            </w:r>
            <w:r>
              <w:rPr>
                <w:rFonts w:hint="eastAsia" w:ascii="Times New Roman" w:hAnsi="Times New Roman" w:eastAsia="宋体" w:cs="宋体"/>
                <w:sz w:val="24"/>
                <w:szCs w:val="32"/>
                <w:lang w:eastAsia="zh-CN"/>
              </w:rPr>
              <w:t>的临时堆放场，存放槽探过程挖出的废石，并用篷布覆盖，每个探槽取样结束后及时进行回填，无弃方；钻探土石方用于钻孔回填及场地平整。</w:t>
            </w:r>
          </w:p>
          <w:p w14:paraId="0260117A">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eastAsia="zh-CN"/>
              </w:rPr>
              <w:t>综上所述，施工期产生的固体废物可得到妥善处置，对周围环境造成影响</w:t>
            </w:r>
            <w:r>
              <w:rPr>
                <w:rFonts w:hint="eastAsia" w:ascii="Times New Roman" w:hAnsi="Times New Roman" w:eastAsia="宋体" w:cs="宋体"/>
                <w:sz w:val="24"/>
                <w:szCs w:val="32"/>
                <w:lang w:val="en-US" w:eastAsia="zh-CN"/>
              </w:rPr>
              <w:t>较小</w:t>
            </w:r>
            <w:r>
              <w:rPr>
                <w:rFonts w:hint="eastAsia" w:ascii="Times New Roman" w:hAnsi="Times New Roman" w:eastAsia="宋体" w:cs="宋体"/>
                <w:sz w:val="24"/>
                <w:szCs w:val="32"/>
                <w:lang w:eastAsia="zh-CN"/>
              </w:rPr>
              <w:t>。</w:t>
            </w:r>
          </w:p>
          <w:p w14:paraId="3FEA953D">
            <w:pPr>
              <w:pStyle w:val="7"/>
              <w:spacing w:line="500" w:lineRule="exact"/>
              <w:rPr>
                <w:rFonts w:hint="eastAsia" w:ascii="Times New Roman" w:hAnsi="Times New Roman" w:eastAsia="宋体" w:cs="宋体"/>
                <w:b/>
                <w:bCs/>
                <w:sz w:val="24"/>
                <w:szCs w:val="32"/>
                <w:lang w:eastAsia="zh-CN"/>
              </w:rPr>
            </w:pPr>
            <w:r>
              <w:rPr>
                <w:rFonts w:hint="eastAsia" w:ascii="Times New Roman" w:hAnsi="Times New Roman" w:eastAsia="宋体" w:cs="宋体"/>
                <w:b/>
                <w:bCs/>
                <w:sz w:val="24"/>
                <w:szCs w:val="32"/>
                <w:lang w:val="en-US" w:eastAsia="zh-CN"/>
              </w:rPr>
              <w:t>6.</w:t>
            </w:r>
            <w:r>
              <w:rPr>
                <w:rFonts w:hint="eastAsia" w:ascii="Times New Roman" w:hAnsi="Times New Roman" w:eastAsia="宋体" w:cs="宋体"/>
                <w:b/>
                <w:bCs/>
                <w:sz w:val="24"/>
                <w:szCs w:val="32"/>
                <w:lang w:eastAsia="zh-CN"/>
              </w:rPr>
              <w:t>环境风险影响分析</w:t>
            </w:r>
          </w:p>
          <w:p w14:paraId="7AF01402">
            <w:pPr>
              <w:pStyle w:val="7"/>
              <w:spacing w:line="500" w:lineRule="exact"/>
              <w:ind w:firstLine="480" w:firstLineChars="200"/>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eastAsia="zh-CN"/>
              </w:rPr>
              <w:t>本项目主要存在的环境风险包括</w:t>
            </w:r>
            <w:r>
              <w:rPr>
                <w:rFonts w:hint="eastAsia" w:ascii="Times New Roman" w:hAnsi="Times New Roman" w:eastAsia="宋体" w:cs="宋体"/>
                <w:sz w:val="24"/>
                <w:szCs w:val="24"/>
                <w:lang w:val="en-US" w:eastAsia="zh-CN"/>
              </w:rPr>
              <w:t>柴油</w:t>
            </w:r>
            <w:r>
              <w:rPr>
                <w:rFonts w:hint="eastAsia" w:ascii="Times New Roman" w:hAnsi="Times New Roman" w:eastAsia="宋体" w:cs="宋体"/>
                <w:sz w:val="24"/>
                <w:szCs w:val="24"/>
                <w:lang w:eastAsia="zh-CN"/>
              </w:rPr>
              <w:t>泄漏</w:t>
            </w:r>
            <w:r>
              <w:rPr>
                <w:rFonts w:hint="eastAsia" w:ascii="Times New Roman" w:hAnsi="Times New Roman" w:eastAsia="宋体" w:cs="宋体"/>
                <w:sz w:val="24"/>
                <w:szCs w:val="24"/>
                <w:lang w:val="en-US" w:eastAsia="zh-CN"/>
              </w:rPr>
              <w:t>和一体化污水处理设施泄漏。</w:t>
            </w:r>
          </w:p>
          <w:p w14:paraId="27B197DE">
            <w:pPr>
              <w:pStyle w:val="7"/>
              <w:numPr>
                <w:ilvl w:val="0"/>
                <w:numId w:val="15"/>
              </w:numPr>
              <w:spacing w:line="500" w:lineRule="exact"/>
              <w:ind w:firstLine="480" w:firstLineChars="200"/>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柴油</w:t>
            </w:r>
            <w:r>
              <w:rPr>
                <w:rFonts w:hint="eastAsia" w:ascii="Times New Roman" w:hAnsi="Times New Roman" w:eastAsia="宋体" w:cs="宋体"/>
                <w:sz w:val="24"/>
                <w:szCs w:val="24"/>
                <w:lang w:eastAsia="zh-CN"/>
              </w:rPr>
              <w:t>泄漏</w:t>
            </w:r>
          </w:p>
          <w:p w14:paraId="4DE89654">
            <w:pPr>
              <w:pStyle w:val="7"/>
              <w:spacing w:line="500" w:lineRule="exact"/>
              <w:ind w:firstLine="480" w:firstLineChars="200"/>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1）</w:t>
            </w:r>
            <w:r>
              <w:rPr>
                <w:rFonts w:hint="eastAsia" w:ascii="Times New Roman" w:hAnsi="Times New Roman" w:eastAsia="宋体" w:cs="宋体"/>
                <w:sz w:val="24"/>
                <w:szCs w:val="24"/>
                <w:lang w:eastAsia="zh-CN"/>
              </w:rPr>
              <w:t>评价依据</w:t>
            </w:r>
          </w:p>
          <w:p w14:paraId="6276379D">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24"/>
                <w:lang w:eastAsia="zh-CN"/>
              </w:rPr>
              <w:t>施工期涉及的危险物质主要</w:t>
            </w:r>
            <w:r>
              <w:rPr>
                <w:rFonts w:hint="eastAsia" w:ascii="Times New Roman" w:hAnsi="Times New Roman" w:eastAsia="宋体"/>
                <w:sz w:val="24"/>
                <w:szCs w:val="24"/>
                <w:lang w:eastAsia="zh-CN"/>
              </w:rPr>
              <w:t>为柴油</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32"/>
                <w:lang w:eastAsia="zh-CN"/>
              </w:rPr>
              <w:t>根据《建设项目环境风险评价技术导则》（HJ169-2018）附录B可知，柴油属于“油类物质”，临界量均为2500t。</w:t>
            </w:r>
            <w:r>
              <w:rPr>
                <w:rFonts w:hint="eastAsia" w:ascii="Times New Roman" w:hAnsi="Times New Roman" w:eastAsia="宋体" w:cs="宋体"/>
                <w:sz w:val="24"/>
                <w:szCs w:val="32"/>
                <w:highlight w:val="none"/>
                <w:lang w:val="en-US" w:eastAsia="zh-CN"/>
              </w:rPr>
              <w:t>矿区现场自备油罐车从民丰县拉运油品（运距180km）</w:t>
            </w:r>
            <w:r>
              <w:rPr>
                <w:rFonts w:hint="eastAsia" w:ascii="Times New Roman" w:hAnsi="Times New Roman" w:eastAsia="宋体" w:cs="宋体"/>
                <w:sz w:val="24"/>
                <w:szCs w:val="32"/>
                <w:highlight w:val="none"/>
                <w:lang w:eastAsia="zh-CN"/>
              </w:rPr>
              <w:t>，</w:t>
            </w:r>
            <w:r>
              <w:rPr>
                <w:rFonts w:hint="eastAsia" w:ascii="Times New Roman" w:hAnsi="Times New Roman" w:eastAsia="宋体" w:cs="宋体"/>
                <w:sz w:val="24"/>
                <w:szCs w:val="32"/>
                <w:highlight w:val="none"/>
                <w:lang w:val="en-US" w:eastAsia="zh-CN"/>
              </w:rPr>
              <w:t>油罐车容积为2t</w:t>
            </w:r>
            <w:r>
              <w:rPr>
                <w:rFonts w:hint="eastAsia" w:ascii="Times New Roman" w:hAnsi="Times New Roman" w:eastAsia="宋体" w:cs="宋体"/>
                <w:sz w:val="24"/>
                <w:szCs w:val="32"/>
                <w:highlight w:val="none"/>
                <w:lang w:eastAsia="zh-CN"/>
              </w:rPr>
              <w:t>。</w:t>
            </w:r>
            <w:r>
              <w:rPr>
                <w:rFonts w:hint="eastAsia" w:ascii="Times New Roman" w:hAnsi="Times New Roman" w:eastAsia="宋体" w:cs="宋体"/>
                <w:sz w:val="24"/>
                <w:szCs w:val="32"/>
                <w:lang w:eastAsia="zh-CN"/>
              </w:rPr>
              <w:t>各危险物质与临界量的比值计算情况具体如下：</w:t>
            </w:r>
          </w:p>
          <w:p w14:paraId="16A92626">
            <w:pPr>
              <w:pStyle w:val="7"/>
              <w:spacing w:line="500" w:lineRule="exact"/>
              <w:jc w:val="center"/>
              <w:rPr>
                <w:rFonts w:hint="eastAsia" w:ascii="Times New Roman" w:hAnsi="Times New Roman" w:eastAsia="宋体" w:cs="黑体"/>
                <w:b/>
                <w:bCs/>
                <w:lang w:eastAsia="zh-CN"/>
              </w:rPr>
            </w:pPr>
            <w:r>
              <w:rPr>
                <w:rFonts w:hint="eastAsia" w:ascii="Times New Roman" w:hAnsi="Times New Roman" w:eastAsia="宋体" w:cs="黑体"/>
                <w:b/>
                <w:bCs/>
                <w:lang w:eastAsia="zh-CN"/>
              </w:rPr>
              <w:t>表4-3本项目各风险单元Q值一览表</w:t>
            </w:r>
          </w:p>
          <w:tbl>
            <w:tblPr>
              <w:tblStyle w:val="25"/>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185"/>
              <w:gridCol w:w="2033"/>
              <w:gridCol w:w="1654"/>
              <w:gridCol w:w="1120"/>
              <w:gridCol w:w="1506"/>
            </w:tblGrid>
            <w:tr w14:paraId="46C4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7" w:hRule="exact"/>
                <w:jc w:val="center"/>
              </w:trPr>
              <w:tc>
                <w:tcPr>
                  <w:tcW w:w="1285" w:type="pct"/>
                  <w:vAlign w:val="center"/>
                </w:tcPr>
                <w:p w14:paraId="606ADACA">
                  <w:pPr>
                    <w:pStyle w:val="24"/>
                    <w:contextualSpacing/>
                    <w:rPr>
                      <w:rFonts w:hint="eastAsia" w:ascii="Times New Roman" w:hAnsi="Times New Roman" w:eastAsia="宋体" w:cs="宋体"/>
                    </w:rPr>
                  </w:pPr>
                  <w:r>
                    <w:rPr>
                      <w:rFonts w:hint="eastAsia" w:ascii="Times New Roman" w:hAnsi="Times New Roman" w:eastAsia="宋体" w:cs="宋体"/>
                    </w:rPr>
                    <w:t>危险物质名称</w:t>
                  </w:r>
                </w:p>
              </w:tc>
              <w:tc>
                <w:tcPr>
                  <w:tcW w:w="1196" w:type="pct"/>
                  <w:vAlign w:val="center"/>
                </w:tcPr>
                <w:p w14:paraId="61BA68D4">
                  <w:pPr>
                    <w:pStyle w:val="24"/>
                    <w:contextualSpacing/>
                    <w:rPr>
                      <w:rFonts w:hint="eastAsia" w:ascii="Times New Roman" w:hAnsi="Times New Roman" w:eastAsia="宋体" w:cs="宋体"/>
                      <w:lang w:eastAsia="zh-CN"/>
                    </w:rPr>
                  </w:pPr>
                  <w:r>
                    <w:rPr>
                      <w:rFonts w:hint="eastAsia" w:ascii="Times New Roman" w:hAnsi="Times New Roman" w:eastAsia="宋体" w:cs="宋体"/>
                    </w:rPr>
                    <w:t>危险物质最大在线量（t</w:t>
                  </w:r>
                  <w:r>
                    <w:rPr>
                      <w:rFonts w:hint="eastAsia" w:ascii="Times New Roman" w:hAnsi="Times New Roman" w:cs="宋体"/>
                      <w:lang w:eastAsia="zh-CN"/>
                    </w:rPr>
                    <w:t>）</w:t>
                  </w:r>
                </w:p>
              </w:tc>
              <w:tc>
                <w:tcPr>
                  <w:tcW w:w="973" w:type="pct"/>
                  <w:vAlign w:val="center"/>
                </w:tcPr>
                <w:p w14:paraId="466E43CB">
                  <w:pPr>
                    <w:pStyle w:val="24"/>
                    <w:contextualSpacing/>
                    <w:rPr>
                      <w:rFonts w:hint="eastAsia" w:ascii="Times New Roman" w:hAnsi="Times New Roman" w:eastAsia="宋体" w:cs="宋体"/>
                    </w:rPr>
                  </w:pPr>
                  <w:r>
                    <w:rPr>
                      <w:rFonts w:hint="eastAsia" w:ascii="Times New Roman" w:hAnsi="Times New Roman" w:eastAsia="宋体" w:cs="宋体"/>
                    </w:rPr>
                    <w:t>危险物质临界量（t）</w:t>
                  </w:r>
                </w:p>
              </w:tc>
              <w:tc>
                <w:tcPr>
                  <w:tcW w:w="658" w:type="pct"/>
                  <w:vAlign w:val="center"/>
                </w:tcPr>
                <w:p w14:paraId="568E1BBE">
                  <w:pPr>
                    <w:pStyle w:val="24"/>
                    <w:contextualSpacing/>
                    <w:rPr>
                      <w:rFonts w:hint="eastAsia" w:ascii="Times New Roman" w:hAnsi="Times New Roman" w:eastAsia="宋体" w:cs="宋体"/>
                    </w:rPr>
                  </w:pPr>
                  <w:r>
                    <w:rPr>
                      <w:rFonts w:hint="eastAsia" w:ascii="Times New Roman" w:hAnsi="Times New Roman" w:eastAsia="宋体" w:cs="宋体"/>
                    </w:rPr>
                    <w:t>Q值</w:t>
                  </w:r>
                </w:p>
              </w:tc>
              <w:tc>
                <w:tcPr>
                  <w:tcW w:w="886" w:type="pct"/>
                  <w:vAlign w:val="center"/>
                </w:tcPr>
                <w:p w14:paraId="5B8D49B1">
                  <w:pPr>
                    <w:pStyle w:val="24"/>
                    <w:contextualSpacing/>
                    <w:rPr>
                      <w:rFonts w:hint="eastAsia" w:ascii="Times New Roman" w:hAnsi="Times New Roman" w:eastAsia="宋体" w:cs="宋体"/>
                    </w:rPr>
                  </w:pPr>
                  <w:r>
                    <w:rPr>
                      <w:rFonts w:hint="eastAsia" w:ascii="Times New Roman" w:hAnsi="Times New Roman" w:eastAsia="宋体" w:cs="宋体"/>
                    </w:rPr>
                    <w:t>风险潜势等级</w:t>
                  </w:r>
                </w:p>
              </w:tc>
            </w:tr>
            <w:tr w14:paraId="0C1C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3" w:hRule="exact"/>
                <w:jc w:val="center"/>
              </w:trPr>
              <w:tc>
                <w:tcPr>
                  <w:tcW w:w="1285" w:type="pct"/>
                  <w:vAlign w:val="center"/>
                </w:tcPr>
                <w:p w14:paraId="60C13E6D">
                  <w:pPr>
                    <w:pStyle w:val="24"/>
                    <w:contextualSpacing/>
                    <w:rPr>
                      <w:rFonts w:hint="eastAsia" w:ascii="Times New Roman" w:hAnsi="Times New Roman" w:eastAsia="宋体" w:cs="宋体"/>
                    </w:rPr>
                  </w:pPr>
                  <w:r>
                    <w:rPr>
                      <w:rFonts w:hint="eastAsia" w:ascii="Times New Roman" w:hAnsi="Times New Roman" w:eastAsia="宋体" w:cs="宋体"/>
                    </w:rPr>
                    <w:t>柴油</w:t>
                  </w:r>
                </w:p>
              </w:tc>
              <w:tc>
                <w:tcPr>
                  <w:tcW w:w="1196" w:type="pct"/>
                  <w:vAlign w:val="center"/>
                </w:tcPr>
                <w:p w14:paraId="60A58D15">
                  <w:pPr>
                    <w:pStyle w:val="24"/>
                    <w:contextualSpacing/>
                    <w:rPr>
                      <w:rFonts w:hint="eastAsia" w:ascii="Times New Roman" w:hAnsi="Times New Roman" w:eastAsia="宋体" w:cs="宋体"/>
                      <w:lang w:eastAsia="zh-CN"/>
                    </w:rPr>
                  </w:pPr>
                  <w:r>
                    <w:rPr>
                      <w:rFonts w:hint="eastAsia" w:ascii="Times New Roman" w:hAnsi="Times New Roman" w:cs="宋体"/>
                      <w:lang w:val="en-US" w:eastAsia="zh-CN"/>
                    </w:rPr>
                    <w:t>2</w:t>
                  </w:r>
                </w:p>
              </w:tc>
              <w:tc>
                <w:tcPr>
                  <w:tcW w:w="973" w:type="pct"/>
                  <w:vAlign w:val="center"/>
                </w:tcPr>
                <w:p w14:paraId="5F28BF6F">
                  <w:pPr>
                    <w:pStyle w:val="24"/>
                    <w:contextualSpacing/>
                    <w:rPr>
                      <w:rFonts w:hint="eastAsia" w:ascii="Times New Roman" w:hAnsi="Times New Roman" w:eastAsia="宋体" w:cs="宋体"/>
                    </w:rPr>
                  </w:pPr>
                  <w:r>
                    <w:rPr>
                      <w:rFonts w:hint="eastAsia" w:ascii="Times New Roman" w:hAnsi="Times New Roman" w:eastAsia="宋体" w:cs="宋体"/>
                    </w:rPr>
                    <w:t>2500</w:t>
                  </w:r>
                </w:p>
              </w:tc>
              <w:tc>
                <w:tcPr>
                  <w:tcW w:w="658" w:type="pct"/>
                  <w:vAlign w:val="center"/>
                </w:tcPr>
                <w:p w14:paraId="4043E2F5">
                  <w:pPr>
                    <w:pStyle w:val="24"/>
                    <w:contextualSpacing/>
                    <w:rPr>
                      <w:rFonts w:hint="default" w:ascii="Times New Roman" w:hAnsi="Times New Roman" w:eastAsia="宋体" w:cs="宋体"/>
                      <w:lang w:val="en-US" w:eastAsia="zh-CN"/>
                    </w:rPr>
                  </w:pPr>
                  <w:r>
                    <w:rPr>
                      <w:rFonts w:hint="eastAsia" w:ascii="Times New Roman" w:hAnsi="Times New Roman" w:eastAsia="宋体" w:cs="宋体"/>
                    </w:rPr>
                    <w:t>0.0</w:t>
                  </w:r>
                  <w:r>
                    <w:rPr>
                      <w:rFonts w:hint="eastAsia" w:ascii="Times New Roman" w:hAnsi="Times New Roman" w:eastAsia="宋体" w:cs="宋体"/>
                      <w:lang w:val="en-US" w:eastAsia="zh-CN"/>
                    </w:rPr>
                    <w:t>0</w:t>
                  </w:r>
                  <w:r>
                    <w:rPr>
                      <w:rFonts w:hint="eastAsia" w:ascii="Times New Roman" w:hAnsi="Times New Roman" w:cs="宋体"/>
                      <w:lang w:val="en-US" w:eastAsia="zh-CN"/>
                    </w:rPr>
                    <w:t>08</w:t>
                  </w:r>
                </w:p>
              </w:tc>
              <w:tc>
                <w:tcPr>
                  <w:tcW w:w="886" w:type="pct"/>
                  <w:vMerge w:val="restart"/>
                  <w:vAlign w:val="center"/>
                </w:tcPr>
                <w:p w14:paraId="091ADBF8">
                  <w:pPr>
                    <w:pStyle w:val="24"/>
                    <w:contextualSpacing/>
                    <w:rPr>
                      <w:rFonts w:hint="eastAsia" w:ascii="Times New Roman" w:hAnsi="Times New Roman" w:eastAsia="宋体" w:cs="宋体"/>
                    </w:rPr>
                  </w:pPr>
                  <w:r>
                    <w:rPr>
                      <w:rFonts w:hint="eastAsia" w:ascii="Times New Roman" w:hAnsi="Times New Roman" w:eastAsia="宋体" w:cs="宋体"/>
                    </w:rPr>
                    <w:t>Ⅰ</w:t>
                  </w:r>
                </w:p>
              </w:tc>
            </w:tr>
            <w:tr w14:paraId="1AAF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3" w:hRule="exact"/>
                <w:jc w:val="center"/>
              </w:trPr>
              <w:tc>
                <w:tcPr>
                  <w:tcW w:w="1285" w:type="pct"/>
                  <w:vAlign w:val="center"/>
                </w:tcPr>
                <w:p w14:paraId="2BA98E81">
                  <w:pPr>
                    <w:pStyle w:val="24"/>
                    <w:contextualSpacing/>
                    <w:rPr>
                      <w:rFonts w:hint="eastAsia" w:ascii="Times New Roman" w:hAnsi="Times New Roman" w:eastAsia="宋体" w:cs="宋体"/>
                    </w:rPr>
                  </w:pPr>
                  <w:r>
                    <w:rPr>
                      <w:rFonts w:hint="eastAsia" w:ascii="Times New Roman" w:hAnsi="Times New Roman" w:eastAsia="宋体" w:cs="宋体"/>
                    </w:rPr>
                    <w:t>沾油废防渗材料</w:t>
                  </w:r>
                </w:p>
              </w:tc>
              <w:tc>
                <w:tcPr>
                  <w:tcW w:w="1196" w:type="pct"/>
                  <w:vAlign w:val="center"/>
                </w:tcPr>
                <w:p w14:paraId="61EE1748">
                  <w:pPr>
                    <w:pStyle w:val="24"/>
                    <w:contextualSpacing/>
                    <w:rPr>
                      <w:rFonts w:hint="eastAsia" w:ascii="Times New Roman" w:hAnsi="Times New Roman" w:eastAsia="宋体" w:cs="宋体"/>
                    </w:rPr>
                  </w:pPr>
                  <w:r>
                    <w:rPr>
                      <w:rFonts w:hint="eastAsia" w:ascii="Times New Roman" w:hAnsi="Times New Roman" w:eastAsia="宋体" w:cs="宋体"/>
                    </w:rPr>
                    <w:t>0.5</w:t>
                  </w:r>
                </w:p>
              </w:tc>
              <w:tc>
                <w:tcPr>
                  <w:tcW w:w="973" w:type="pct"/>
                  <w:vAlign w:val="center"/>
                </w:tcPr>
                <w:p w14:paraId="589E13F0">
                  <w:pPr>
                    <w:pStyle w:val="24"/>
                    <w:contextualSpacing/>
                    <w:rPr>
                      <w:rFonts w:hint="eastAsia" w:ascii="Times New Roman" w:hAnsi="Times New Roman" w:eastAsia="宋体" w:cs="宋体"/>
                    </w:rPr>
                  </w:pPr>
                  <w:r>
                    <w:rPr>
                      <w:rFonts w:hint="eastAsia" w:ascii="Times New Roman" w:hAnsi="Times New Roman" w:eastAsia="宋体" w:cs="宋体"/>
                    </w:rPr>
                    <w:t>2500</w:t>
                  </w:r>
                </w:p>
              </w:tc>
              <w:tc>
                <w:tcPr>
                  <w:tcW w:w="658" w:type="pct"/>
                  <w:vAlign w:val="center"/>
                </w:tcPr>
                <w:p w14:paraId="7D7045BC">
                  <w:pPr>
                    <w:pStyle w:val="24"/>
                    <w:contextualSpacing/>
                    <w:rPr>
                      <w:rFonts w:hint="eastAsia" w:ascii="Times New Roman" w:hAnsi="Times New Roman" w:eastAsia="宋体" w:cs="宋体"/>
                    </w:rPr>
                  </w:pPr>
                  <w:r>
                    <w:rPr>
                      <w:rFonts w:hint="eastAsia" w:ascii="Times New Roman" w:hAnsi="Times New Roman" w:eastAsia="宋体" w:cs="宋体"/>
                    </w:rPr>
                    <w:t>0.0002</w:t>
                  </w:r>
                </w:p>
              </w:tc>
              <w:tc>
                <w:tcPr>
                  <w:tcW w:w="886" w:type="pct"/>
                  <w:vMerge w:val="continue"/>
                  <w:vAlign w:val="center"/>
                </w:tcPr>
                <w:p w14:paraId="76512BAC">
                  <w:pPr>
                    <w:pStyle w:val="24"/>
                    <w:contextualSpacing/>
                    <w:rPr>
                      <w:rFonts w:hint="eastAsia" w:ascii="Times New Roman" w:hAnsi="Times New Roman" w:eastAsia="宋体" w:cs="宋体"/>
                    </w:rPr>
                  </w:pPr>
                </w:p>
              </w:tc>
            </w:tr>
            <w:tr w14:paraId="6454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exact"/>
                <w:jc w:val="center"/>
              </w:trPr>
              <w:tc>
                <w:tcPr>
                  <w:tcW w:w="1285" w:type="pct"/>
                  <w:vAlign w:val="center"/>
                </w:tcPr>
                <w:p w14:paraId="664A536A">
                  <w:pPr>
                    <w:pStyle w:val="24"/>
                    <w:contextualSpacing/>
                    <w:rPr>
                      <w:rFonts w:hint="eastAsia" w:ascii="Times New Roman" w:hAnsi="Times New Roman" w:eastAsia="宋体" w:cs="宋体"/>
                    </w:rPr>
                  </w:pPr>
                  <w:r>
                    <w:rPr>
                      <w:rFonts w:hint="eastAsia" w:ascii="Times New Roman" w:hAnsi="Times New Roman" w:eastAsia="宋体" w:cs="宋体"/>
                    </w:rPr>
                    <w:t>小计</w:t>
                  </w:r>
                </w:p>
              </w:tc>
              <w:tc>
                <w:tcPr>
                  <w:tcW w:w="1196" w:type="pct"/>
                  <w:vAlign w:val="center"/>
                </w:tcPr>
                <w:p w14:paraId="5B8A1041">
                  <w:pPr>
                    <w:pStyle w:val="24"/>
                    <w:contextualSpacing/>
                    <w:rPr>
                      <w:rFonts w:hint="eastAsia" w:ascii="Times New Roman" w:hAnsi="Times New Roman" w:eastAsia="宋体" w:cs="宋体"/>
                    </w:rPr>
                  </w:pPr>
                  <w:r>
                    <w:rPr>
                      <w:rFonts w:hint="eastAsia" w:ascii="Times New Roman" w:hAnsi="Times New Roman" w:eastAsia="宋体" w:cs="宋体"/>
                    </w:rPr>
                    <w:t>/</w:t>
                  </w:r>
                </w:p>
              </w:tc>
              <w:tc>
                <w:tcPr>
                  <w:tcW w:w="973" w:type="pct"/>
                  <w:vAlign w:val="center"/>
                </w:tcPr>
                <w:p w14:paraId="4C63929C">
                  <w:pPr>
                    <w:pStyle w:val="24"/>
                    <w:contextualSpacing/>
                    <w:rPr>
                      <w:rFonts w:hint="eastAsia" w:ascii="Times New Roman" w:hAnsi="Times New Roman" w:eastAsia="宋体" w:cs="宋体"/>
                    </w:rPr>
                  </w:pPr>
                  <w:r>
                    <w:rPr>
                      <w:rFonts w:hint="eastAsia" w:ascii="Times New Roman" w:hAnsi="Times New Roman" w:eastAsia="宋体" w:cs="宋体"/>
                    </w:rPr>
                    <w:t>/</w:t>
                  </w:r>
                </w:p>
              </w:tc>
              <w:tc>
                <w:tcPr>
                  <w:tcW w:w="658" w:type="pct"/>
                  <w:vAlign w:val="center"/>
                </w:tcPr>
                <w:p w14:paraId="7B78F786">
                  <w:pPr>
                    <w:pStyle w:val="24"/>
                    <w:contextualSpacing/>
                    <w:rPr>
                      <w:rFonts w:hint="default" w:ascii="Times New Roman" w:hAnsi="Times New Roman" w:eastAsia="宋体" w:cs="宋体"/>
                      <w:lang w:val="en-US" w:eastAsia="zh-CN"/>
                    </w:rPr>
                  </w:pPr>
                  <w:r>
                    <w:rPr>
                      <w:rFonts w:hint="eastAsia" w:ascii="Times New Roman" w:hAnsi="Times New Roman" w:eastAsia="宋体" w:cs="宋体"/>
                    </w:rPr>
                    <w:t>0.00</w:t>
                  </w:r>
                  <w:r>
                    <w:rPr>
                      <w:rFonts w:hint="eastAsia" w:ascii="Times New Roman" w:hAnsi="Times New Roman" w:cs="宋体"/>
                      <w:lang w:val="en-US" w:eastAsia="zh-CN"/>
                    </w:rPr>
                    <w:t>10</w:t>
                  </w:r>
                </w:p>
              </w:tc>
              <w:tc>
                <w:tcPr>
                  <w:tcW w:w="886" w:type="pct"/>
                  <w:vMerge w:val="continue"/>
                  <w:vAlign w:val="center"/>
                </w:tcPr>
                <w:p w14:paraId="7319ED17">
                  <w:pPr>
                    <w:pStyle w:val="24"/>
                    <w:contextualSpacing/>
                    <w:rPr>
                      <w:rFonts w:hint="eastAsia" w:ascii="Times New Roman" w:hAnsi="Times New Roman" w:eastAsia="宋体" w:cs="宋体"/>
                    </w:rPr>
                  </w:pPr>
                </w:p>
              </w:tc>
            </w:tr>
          </w:tbl>
          <w:p w14:paraId="6C210D46">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eastAsia="zh-CN"/>
              </w:rPr>
              <w:t>综上所述，本项目Q值均小于1，评价工作等级为简单分析。</w:t>
            </w:r>
          </w:p>
          <w:p w14:paraId="6207C4D7">
            <w:pPr>
              <w:pStyle w:val="7"/>
              <w:spacing w:line="500" w:lineRule="exact"/>
              <w:ind w:firstLine="480" w:firstLineChars="200"/>
              <w:rPr>
                <w:rFonts w:hint="eastAsia" w:ascii="Times New Roman" w:hAnsi="Times New Roman" w:eastAsia="宋体" w:cs="宋体"/>
                <w:sz w:val="24"/>
                <w:szCs w:val="32"/>
                <w:lang w:eastAsia="zh-CN"/>
              </w:rPr>
            </w:pPr>
            <w:r>
              <w:rPr>
                <w:rFonts w:ascii="Times New Roman" w:hAnsi="Times New Roman" w:eastAsia="宋体" w:cs="宋体"/>
                <w:sz w:val="24"/>
                <w:szCs w:val="32"/>
                <w:lang w:eastAsia="zh-CN"/>
              </w:rPr>
              <w:t>2</w:t>
            </w:r>
            <w:r>
              <w:rPr>
                <w:rFonts w:hint="eastAsia" w:ascii="Times New Roman" w:hAnsi="Times New Roman" w:eastAsia="宋体" w:cs="宋体"/>
                <w:sz w:val="24"/>
                <w:szCs w:val="32"/>
                <w:lang w:eastAsia="zh-CN"/>
              </w:rPr>
              <w:t>）环境敏感目标概况</w:t>
            </w:r>
          </w:p>
          <w:p w14:paraId="524431A3">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eastAsia="zh-CN"/>
              </w:rPr>
              <w:t>本次不设风险评价范围，占地范围内无环境风险敏感目标。</w:t>
            </w:r>
          </w:p>
          <w:p w14:paraId="11B2749F">
            <w:pPr>
              <w:pStyle w:val="7"/>
              <w:spacing w:line="500" w:lineRule="exact"/>
              <w:ind w:firstLine="480" w:firstLineChars="200"/>
              <w:rPr>
                <w:rFonts w:hint="eastAsia" w:ascii="Times New Roman" w:hAnsi="Times New Roman" w:eastAsia="宋体" w:cs="宋体"/>
                <w:sz w:val="24"/>
                <w:szCs w:val="32"/>
                <w:lang w:eastAsia="zh-CN"/>
              </w:rPr>
            </w:pPr>
            <w:r>
              <w:rPr>
                <w:rFonts w:ascii="Times New Roman" w:hAnsi="Times New Roman" w:eastAsia="宋体" w:cs="宋体"/>
                <w:sz w:val="24"/>
                <w:szCs w:val="32"/>
                <w:lang w:eastAsia="zh-CN"/>
              </w:rPr>
              <w:t>3</w:t>
            </w:r>
            <w:r>
              <w:rPr>
                <w:rFonts w:hint="eastAsia" w:ascii="Times New Roman" w:hAnsi="Times New Roman" w:eastAsia="宋体" w:cs="宋体"/>
                <w:sz w:val="24"/>
                <w:szCs w:val="32"/>
                <w:lang w:eastAsia="zh-CN"/>
              </w:rPr>
              <w:t>）环境风险识别</w:t>
            </w:r>
          </w:p>
          <w:p w14:paraId="6027D3B6">
            <w:pPr>
              <w:pStyle w:val="7"/>
              <w:spacing w:line="500" w:lineRule="exact"/>
              <w:ind w:firstLine="480" w:firstLineChars="200"/>
              <w:rPr>
                <w:rFonts w:hint="eastAsia" w:ascii="Times New Roman" w:hAnsi="Times New Roman" w:eastAsia="宋体" w:cs="宋体"/>
                <w:sz w:val="24"/>
                <w:szCs w:val="32"/>
                <w:lang w:eastAsia="zh-CN"/>
              </w:rPr>
            </w:pPr>
            <w:r>
              <w:rPr>
                <w:rFonts w:hint="eastAsia" w:ascii="Times New Roman" w:hAnsi="Times New Roman" w:eastAsia="宋体" w:cs="宋体"/>
                <w:sz w:val="24"/>
                <w:szCs w:val="32"/>
                <w:lang w:eastAsia="zh-CN"/>
              </w:rPr>
              <w:t>①危险物质识别</w:t>
            </w:r>
          </w:p>
          <w:p w14:paraId="62E5DA8E">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施工期间涉及的环境危险物质主要为柴油，其主要物化、毒理性质、危险等级划分及影响途径见表4-4。</w:t>
            </w:r>
          </w:p>
          <w:p w14:paraId="7CA0D333">
            <w:pPr>
              <w:pStyle w:val="7"/>
              <w:spacing w:line="500" w:lineRule="exact"/>
              <w:jc w:val="center"/>
              <w:rPr>
                <w:rFonts w:hint="eastAsia" w:ascii="Times New Roman" w:hAnsi="Times New Roman" w:eastAsia="宋体" w:cs="黑体"/>
                <w:lang w:eastAsia="zh-CN"/>
              </w:rPr>
            </w:pPr>
            <w:r>
              <w:rPr>
                <w:rFonts w:hint="eastAsia" w:ascii="Times New Roman" w:hAnsi="Times New Roman" w:eastAsia="宋体" w:cs="黑体"/>
                <w:b/>
                <w:bCs/>
                <w:lang w:eastAsia="zh-CN"/>
              </w:rPr>
              <w:t>表4-4柴油理化性质及危险级别分类表</w:t>
            </w:r>
          </w:p>
          <w:tbl>
            <w:tblPr>
              <w:tblStyle w:val="16"/>
              <w:tblW w:w="50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516"/>
              <w:gridCol w:w="990"/>
              <w:gridCol w:w="3157"/>
              <w:gridCol w:w="1872"/>
              <w:gridCol w:w="790"/>
              <w:gridCol w:w="854"/>
            </w:tblGrid>
            <w:tr w14:paraId="4C54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96" w:type="pct"/>
                  <w:vAlign w:val="center"/>
                </w:tcPr>
                <w:p w14:paraId="2DFCC4C9">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序号</w:t>
                  </w:r>
                </w:p>
              </w:tc>
              <w:tc>
                <w:tcPr>
                  <w:tcW w:w="296" w:type="pct"/>
                  <w:vAlign w:val="center"/>
                </w:tcPr>
                <w:p w14:paraId="47A64683">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名称</w:t>
                  </w:r>
                </w:p>
              </w:tc>
              <w:tc>
                <w:tcPr>
                  <w:tcW w:w="569" w:type="pct"/>
                  <w:vAlign w:val="center"/>
                </w:tcPr>
                <w:p w14:paraId="7EACDDE8">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组分</w:t>
                  </w:r>
                </w:p>
              </w:tc>
              <w:tc>
                <w:tcPr>
                  <w:tcW w:w="1815" w:type="pct"/>
                  <w:vAlign w:val="center"/>
                </w:tcPr>
                <w:p w14:paraId="310266DE">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危险性</w:t>
                  </w:r>
                </w:p>
              </w:tc>
              <w:tc>
                <w:tcPr>
                  <w:tcW w:w="1076" w:type="pct"/>
                  <w:vAlign w:val="center"/>
                </w:tcPr>
                <w:p w14:paraId="3F3D2919">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燃烧爆炸特性参数</w:t>
                  </w:r>
                </w:p>
              </w:tc>
              <w:tc>
                <w:tcPr>
                  <w:tcW w:w="454" w:type="pct"/>
                  <w:vAlign w:val="center"/>
                </w:tcPr>
                <w:p w14:paraId="09728A4E">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危险级别</w:t>
                  </w:r>
                </w:p>
              </w:tc>
              <w:tc>
                <w:tcPr>
                  <w:tcW w:w="491" w:type="pct"/>
                  <w:vAlign w:val="center"/>
                </w:tcPr>
                <w:p w14:paraId="7EA5E2CB">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影响途径</w:t>
                  </w:r>
                </w:p>
              </w:tc>
            </w:tr>
            <w:tr w14:paraId="15FA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vAlign w:val="center"/>
                </w:tcPr>
                <w:p w14:paraId="38C65A18">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1</w:t>
                  </w:r>
                </w:p>
              </w:tc>
              <w:tc>
                <w:tcPr>
                  <w:tcW w:w="296" w:type="pct"/>
                  <w:vAlign w:val="center"/>
                </w:tcPr>
                <w:p w14:paraId="60FA93B2">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柴油</w:t>
                  </w:r>
                </w:p>
              </w:tc>
              <w:tc>
                <w:tcPr>
                  <w:tcW w:w="569" w:type="pct"/>
                  <w:vAlign w:val="center"/>
                </w:tcPr>
                <w:p w14:paraId="2364C899">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复杂烃类（碳原子数约10～22）混合物</w:t>
                  </w:r>
                </w:p>
              </w:tc>
              <w:tc>
                <w:tcPr>
                  <w:tcW w:w="1815" w:type="pct"/>
                  <w:vAlign w:val="center"/>
                </w:tcPr>
                <w:p w14:paraId="005D0E18">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柴油的毒性类似于煤油，但由于添加剂（如硫化酯类）的影响，毒性比煤油略大，主要有麻醉和刺激作用。柴油的雾滴吸入后可致吸入性肺炎，皮肤接触柴油可致接触性皮炎。</w:t>
                  </w:r>
                </w:p>
              </w:tc>
              <w:tc>
                <w:tcPr>
                  <w:tcW w:w="1076" w:type="pct"/>
                  <w:vAlign w:val="center"/>
                </w:tcPr>
                <w:p w14:paraId="33B6B80A">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热值：3.3×104KJ/L；沸点范围：180～370℃和350～410℃；两类闪点：38℃</w:t>
                  </w:r>
                </w:p>
              </w:tc>
              <w:tc>
                <w:tcPr>
                  <w:tcW w:w="454" w:type="pct"/>
                  <w:vAlign w:val="center"/>
                </w:tcPr>
                <w:p w14:paraId="61139754">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高闪点液体</w:t>
                  </w:r>
                </w:p>
              </w:tc>
              <w:tc>
                <w:tcPr>
                  <w:tcW w:w="491" w:type="pct"/>
                  <w:vAlign w:val="center"/>
                </w:tcPr>
                <w:p w14:paraId="110E7A7F">
                  <w:pPr>
                    <w:snapToGrid w:val="0"/>
                    <w:spacing w:line="280" w:lineRule="exact"/>
                    <w:jc w:val="center"/>
                    <w:rPr>
                      <w:rFonts w:hint="eastAsia" w:ascii="Times New Roman" w:hAnsi="Times New Roman" w:eastAsia="宋体" w:cs="宋体"/>
                      <w:kern w:val="0"/>
                      <w:sz w:val="21"/>
                      <w:szCs w:val="21"/>
                      <w:lang w:val="en-US" w:eastAsia="zh-CN" w:bidi="ar-SA"/>
                    </w:rPr>
                  </w:pPr>
                  <w:r>
                    <w:rPr>
                      <w:rFonts w:hint="eastAsia" w:ascii="Times New Roman" w:hAnsi="Times New Roman" w:eastAsia="宋体" w:cs="宋体"/>
                      <w:kern w:val="0"/>
                      <w:sz w:val="21"/>
                      <w:szCs w:val="21"/>
                      <w:lang w:val="en-US" w:eastAsia="zh-CN" w:bidi="ar-SA"/>
                    </w:rPr>
                    <w:t>大气、地下水、土壤</w:t>
                  </w:r>
                </w:p>
              </w:tc>
            </w:tr>
          </w:tbl>
          <w:p w14:paraId="7849DCFB">
            <w:pPr>
              <w:snapToGrid w:val="0"/>
              <w:spacing w:line="490" w:lineRule="exact"/>
              <w:ind w:firstLine="480" w:firstLineChars="200"/>
              <w:rPr>
                <w:rFonts w:hint="eastAsia" w:ascii="Times New Roman" w:hAnsi="Times New Roman" w:eastAsia="宋体" w:cs="宋体"/>
              </w:rPr>
            </w:pPr>
            <w:r>
              <w:rPr>
                <w:rFonts w:hint="eastAsia" w:ascii="Times New Roman" w:hAnsi="Times New Roman" w:eastAsia="宋体" w:cs="宋体"/>
              </w:rPr>
              <w:t>②生产设施风险识别</w:t>
            </w:r>
          </w:p>
          <w:p w14:paraId="006BFF2E">
            <w:pPr>
              <w:snapToGrid w:val="0"/>
              <w:spacing w:line="480" w:lineRule="exact"/>
              <w:ind w:firstLine="480" w:firstLineChars="200"/>
              <w:rPr>
                <w:rFonts w:hint="eastAsia" w:ascii="Times New Roman" w:hAnsi="Times New Roman" w:eastAsia="宋体" w:cs="宋体"/>
              </w:rPr>
            </w:pPr>
            <w:r>
              <w:rPr>
                <w:rFonts w:hint="eastAsia" w:cs="宋体"/>
                <w:lang w:val="en-US" w:eastAsia="zh-CN"/>
              </w:rPr>
              <w:t>项目柴油由建设单位自备的油罐车拉运及储存</w:t>
            </w:r>
            <w:r>
              <w:rPr>
                <w:rFonts w:hint="eastAsia" w:ascii="Times New Roman" w:hAnsi="Times New Roman" w:eastAsia="宋体" w:cs="宋体"/>
              </w:rPr>
              <w:t>，若</w:t>
            </w:r>
            <w:r>
              <w:rPr>
                <w:rFonts w:hint="eastAsia" w:cs="宋体"/>
                <w:lang w:val="en-US" w:eastAsia="zh-CN"/>
              </w:rPr>
              <w:t>油罐车</w:t>
            </w:r>
            <w:r>
              <w:rPr>
                <w:rFonts w:hint="eastAsia" w:ascii="Times New Roman" w:hAnsi="Times New Roman" w:eastAsia="宋体" w:cs="宋体"/>
              </w:rPr>
              <w:t>因质量、操作运行和管理等方面存在缺陷和失误，可能会发生泄漏，对周围地下水、土壤、大气等环境造成污染。</w:t>
            </w:r>
          </w:p>
          <w:p w14:paraId="4FFC0DAE">
            <w:pPr>
              <w:pStyle w:val="26"/>
              <w:adjustRightInd w:val="0"/>
              <w:snapToGrid w:val="0"/>
              <w:ind w:firstLine="480"/>
              <w:rPr>
                <w:rFonts w:hint="eastAsia" w:ascii="Times New Roman" w:hAnsi="Times New Roman" w:eastAsia="宋体"/>
              </w:rPr>
            </w:pPr>
            <w:r>
              <w:rPr>
                <w:rFonts w:hint="eastAsia" w:ascii="Times New Roman" w:hAnsi="Times New Roman" w:eastAsia="宋体"/>
              </w:rPr>
              <w:t>③环境风险类型</w:t>
            </w:r>
          </w:p>
          <w:p w14:paraId="23C26509">
            <w:pPr>
              <w:pStyle w:val="26"/>
              <w:adjustRightInd w:val="0"/>
              <w:snapToGrid w:val="0"/>
              <w:ind w:firstLine="480"/>
              <w:rPr>
                <w:rFonts w:hint="eastAsia" w:ascii="Times New Roman" w:hAnsi="Times New Roman" w:eastAsia="宋体"/>
                <w:bCs/>
              </w:rPr>
            </w:pPr>
            <w:r>
              <w:rPr>
                <w:rFonts w:hint="eastAsia" w:ascii="Times New Roman" w:hAnsi="Times New Roman" w:eastAsia="宋体"/>
                <w:bCs/>
              </w:rPr>
              <w:t>环境风险类型主要为泄漏、</w:t>
            </w:r>
            <w:r>
              <w:rPr>
                <w:rFonts w:ascii="Times New Roman" w:hAnsi="Times New Roman" w:eastAsia="宋体"/>
                <w:bCs/>
              </w:rPr>
              <w:t>火灾</w:t>
            </w:r>
            <w:r>
              <w:rPr>
                <w:rFonts w:hint="eastAsia" w:ascii="Times New Roman" w:hAnsi="Times New Roman" w:eastAsia="宋体"/>
                <w:bCs/>
              </w:rPr>
              <w:t>、</w:t>
            </w:r>
            <w:r>
              <w:rPr>
                <w:rFonts w:ascii="Times New Roman" w:hAnsi="Times New Roman" w:eastAsia="宋体"/>
                <w:bCs/>
              </w:rPr>
              <w:t>爆炸</w:t>
            </w:r>
            <w:r>
              <w:rPr>
                <w:rFonts w:hint="eastAsia" w:ascii="Times New Roman" w:hAnsi="Times New Roman" w:eastAsia="宋体"/>
                <w:bCs/>
              </w:rPr>
              <w:t>等引发的伴生/次生污染物排放。</w:t>
            </w:r>
          </w:p>
          <w:p w14:paraId="7DBF56D2">
            <w:pPr>
              <w:pStyle w:val="26"/>
              <w:adjustRightInd w:val="0"/>
              <w:snapToGrid w:val="0"/>
              <w:ind w:firstLine="480"/>
              <w:rPr>
                <w:rFonts w:hint="eastAsia" w:ascii="Times New Roman" w:hAnsi="Times New Roman" w:eastAsia="宋体"/>
                <w:bCs/>
              </w:rPr>
            </w:pPr>
            <w:r>
              <w:rPr>
                <w:rFonts w:hint="eastAsia" w:ascii="Times New Roman" w:hAnsi="Times New Roman" w:eastAsia="宋体"/>
                <w:bCs/>
              </w:rPr>
              <w:t>④危险物质向环境转移的可能途径和影响方式</w:t>
            </w:r>
          </w:p>
          <w:p w14:paraId="0D0DFA46">
            <w:pPr>
              <w:pStyle w:val="26"/>
              <w:adjustRightInd w:val="0"/>
              <w:snapToGrid w:val="0"/>
              <w:spacing w:line="480" w:lineRule="exact"/>
              <w:ind w:firstLine="480"/>
              <w:rPr>
                <w:rFonts w:hint="eastAsia" w:ascii="Times New Roman" w:hAnsi="Times New Roman" w:eastAsia="宋体"/>
              </w:rPr>
            </w:pPr>
            <w:r>
              <w:rPr>
                <w:rFonts w:hint="eastAsia" w:cs="宋体"/>
                <w:lang w:val="en-US" w:eastAsia="zh-CN"/>
              </w:rPr>
              <w:t>油罐车</w:t>
            </w:r>
            <w:r>
              <w:rPr>
                <w:rFonts w:hint="eastAsia" w:ascii="Times New Roman" w:hAnsi="Times New Roman" w:eastAsia="宋体"/>
              </w:rPr>
              <w:t>发生破损造成柴油泄漏，柴油泄漏后污染土壤，污染物有可能通过包气带渗漏进入地下含水层，污染地下水；泄漏的柴油若遇明火，发生火灾、爆炸，污染大气环境。</w:t>
            </w:r>
          </w:p>
          <w:p w14:paraId="180D5B7B">
            <w:pPr>
              <w:snapToGrid w:val="0"/>
              <w:spacing w:line="480" w:lineRule="exact"/>
              <w:ind w:firstLine="480" w:firstLineChars="200"/>
              <w:rPr>
                <w:rFonts w:hint="eastAsia" w:ascii="Times New Roman" w:hAnsi="Times New Roman" w:eastAsia="宋体" w:cs="宋体"/>
              </w:rPr>
            </w:pPr>
            <w:r>
              <w:rPr>
                <w:rFonts w:hint="eastAsia" w:cs="宋体"/>
                <w:lang w:val="en-US" w:eastAsia="zh-CN"/>
              </w:rPr>
              <w:t>4</w:t>
            </w:r>
            <w:r>
              <w:rPr>
                <w:rFonts w:hint="eastAsia" w:ascii="Times New Roman" w:hAnsi="Times New Roman" w:eastAsia="宋体" w:cs="宋体"/>
              </w:rPr>
              <w:t>）环境风险分析</w:t>
            </w:r>
          </w:p>
          <w:p w14:paraId="6BE0F7EB">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cs="宋体"/>
              </w:rPr>
              <w:t>①事故对外环境影响分析</w:t>
            </w:r>
          </w:p>
          <w:p w14:paraId="062FBB2C">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bCs/>
              </w:rPr>
              <w:t>a.对大气环境影响分析</w:t>
            </w:r>
          </w:p>
          <w:p w14:paraId="6CB4D6C4">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项目轻质柴油泄漏后，会挥发油气，污染空气；遇到明火可能引起火灾，燃烧产物主要为</w:t>
            </w:r>
            <w:r>
              <w:rPr>
                <w:rFonts w:ascii="Times New Roman" w:hAnsi="Times New Roman" w:eastAsia="宋体" w:cs="宋体"/>
              </w:rPr>
              <w:t>CO</w:t>
            </w:r>
            <w:r>
              <w:rPr>
                <w:rFonts w:ascii="Times New Roman" w:hAnsi="Times New Roman" w:eastAsia="宋体" w:cs="宋体"/>
                <w:vertAlign w:val="subscript"/>
              </w:rPr>
              <w:t>2</w:t>
            </w:r>
            <w:r>
              <w:rPr>
                <w:rFonts w:hint="eastAsia" w:ascii="Times New Roman" w:hAnsi="Times New Roman" w:eastAsia="宋体" w:cs="宋体"/>
              </w:rPr>
              <w:t>和</w:t>
            </w:r>
            <w:r>
              <w:rPr>
                <w:rFonts w:hint="eastAsia" w:cs="宋体"/>
                <w:lang w:eastAsia="zh-CN"/>
              </w:rPr>
              <w:t>水蒸气</w:t>
            </w:r>
            <w:r>
              <w:rPr>
                <w:rFonts w:hint="eastAsia" w:ascii="Times New Roman" w:hAnsi="Times New Roman" w:eastAsia="宋体" w:cs="宋体"/>
              </w:rPr>
              <w:t>，但不完全燃烧的产物中会含有一氧化碳等气体，同时伴随浓烟，挥发至空气中，会造成大气污染，会对人的健康造成危害；局部的燃烧还会进一步引发爆炸，进而扩大事故的危害。由于</w:t>
            </w:r>
            <w:r>
              <w:rPr>
                <w:rFonts w:ascii="Times New Roman" w:hAnsi="Times New Roman" w:eastAsia="宋体" w:cs="宋体"/>
              </w:rPr>
              <w:t>CO</w:t>
            </w:r>
            <w:r>
              <w:rPr>
                <w:rFonts w:hint="eastAsia" w:ascii="Times New Roman" w:hAnsi="Times New Roman" w:eastAsia="宋体" w:cs="宋体"/>
              </w:rPr>
              <w:t>有毒性，当达到一定的浓度时，会影响人的造血功能及神经系统功能。所以发生火灾时，要注意防范对人群的危害。</w:t>
            </w:r>
          </w:p>
          <w:p w14:paraId="1FA1AA14">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cs="宋体"/>
              </w:rPr>
              <w:t>项目为防止油品泄漏或溢出事故的发生</w:t>
            </w:r>
            <w:r>
              <w:rPr>
                <w:rFonts w:hint="eastAsia" w:cs="宋体"/>
                <w:lang w:eastAsia="zh-CN"/>
              </w:rPr>
              <w:t>，在</w:t>
            </w:r>
            <w:r>
              <w:rPr>
                <w:rFonts w:hint="eastAsia" w:ascii="Times New Roman" w:hAnsi="Times New Roman" w:eastAsia="宋体" w:cs="宋体"/>
              </w:rPr>
              <w:t>车辆拉运过程中做好处理。一般情况下，本项目柴油不会发生泄漏风险事故。位于矿山，周边5km范围内没有居民点，发生泄漏对周边环境产生影响较小。</w:t>
            </w:r>
          </w:p>
          <w:p w14:paraId="36805EC8">
            <w:pPr>
              <w:pStyle w:val="26"/>
              <w:adjustRightInd w:val="0"/>
              <w:snapToGrid w:val="0"/>
              <w:ind w:firstLine="480"/>
              <w:rPr>
                <w:rFonts w:hint="eastAsia" w:ascii="Times New Roman" w:hAnsi="Times New Roman" w:eastAsia="宋体"/>
                <w:bCs/>
              </w:rPr>
            </w:pPr>
            <w:r>
              <w:rPr>
                <w:rFonts w:ascii="Times New Roman" w:hAnsi="Times New Roman" w:eastAsia="宋体"/>
                <w:bCs/>
              </w:rPr>
              <w:t>b</w:t>
            </w:r>
            <w:r>
              <w:rPr>
                <w:rFonts w:hint="eastAsia" w:ascii="Times New Roman" w:hAnsi="Times New Roman" w:eastAsia="宋体"/>
                <w:bCs/>
              </w:rPr>
              <w:t>.对地下水和土壤环境影响分析</w:t>
            </w:r>
          </w:p>
          <w:p w14:paraId="040AB39C">
            <w:pPr>
              <w:pStyle w:val="26"/>
              <w:adjustRightInd w:val="0"/>
              <w:snapToGrid w:val="0"/>
              <w:ind w:firstLine="480"/>
              <w:rPr>
                <w:rFonts w:hint="eastAsia" w:ascii="Times New Roman" w:hAnsi="Times New Roman" w:eastAsia="宋体"/>
                <w:bCs/>
                <w:lang w:eastAsia="zh-CN"/>
              </w:rPr>
            </w:pPr>
            <w:r>
              <w:rPr>
                <w:rFonts w:hint="eastAsia" w:ascii="Times New Roman" w:hAnsi="Times New Roman" w:eastAsia="宋体"/>
                <w:bCs/>
              </w:rPr>
              <w:t>泄漏油品流入土壤孔隙，可降低土壤的通透性，抑制土壤中酶活性，使土壤生物减少。油品洒落地区形成土壤的局部污染，一般而言，油品集中于土壤表层</w:t>
            </w:r>
            <w:r>
              <w:rPr>
                <w:rFonts w:ascii="Times New Roman" w:hAnsi="Times New Roman" w:eastAsia="宋体"/>
                <w:bCs/>
              </w:rPr>
              <w:t>0</w:t>
            </w:r>
            <w:r>
              <w:rPr>
                <w:rFonts w:hint="eastAsia" w:ascii="Times New Roman" w:hAnsi="Times New Roman" w:eastAsia="宋体"/>
              </w:rPr>
              <w:t>～</w:t>
            </w:r>
            <w:r>
              <w:rPr>
                <w:rFonts w:ascii="Times New Roman" w:hAnsi="Times New Roman" w:eastAsia="宋体"/>
                <w:bCs/>
              </w:rPr>
              <w:t>20cm</w:t>
            </w:r>
            <w:r>
              <w:rPr>
                <w:rFonts w:hint="eastAsia" w:ascii="Times New Roman" w:hAnsi="Times New Roman" w:eastAsia="宋体"/>
                <w:bCs/>
              </w:rPr>
              <w:t>范围内，这便使得根系分布于此深度的植物不能生长。由于储油泄漏，油品将通过包气带下渗进入潜水含水层，可能会使地下水受到污染。在大量油品泄漏、短时间内</w:t>
            </w:r>
            <w:r>
              <w:rPr>
                <w:rFonts w:hint="eastAsia" w:ascii="Times New Roman" w:hAnsi="Times New Roman" w:eastAsia="宋体"/>
                <w:bCs/>
                <w:lang w:eastAsia="zh-CN"/>
              </w:rPr>
              <w:t>未</w:t>
            </w:r>
            <w:r>
              <w:rPr>
                <w:rFonts w:hint="eastAsia" w:ascii="Times New Roman" w:hAnsi="Times New Roman" w:eastAsia="宋体"/>
                <w:bCs/>
              </w:rPr>
              <w:t>回收的情况下，含油污水方可通过在土壤中的渗透，污染地下水。因此需要加强生产管理和监督，采取有效的防范措施，</w:t>
            </w:r>
            <w:r>
              <w:rPr>
                <w:rFonts w:hint="eastAsia" w:ascii="Times New Roman" w:hAnsi="Times New Roman" w:eastAsia="宋体"/>
                <w:bCs/>
                <w:lang w:val="en-US" w:eastAsia="zh-CN"/>
              </w:rPr>
              <w:t>可</w:t>
            </w:r>
            <w:r>
              <w:rPr>
                <w:rFonts w:hint="eastAsia" w:ascii="Times New Roman" w:hAnsi="Times New Roman" w:eastAsia="宋体"/>
                <w:bCs/>
              </w:rPr>
              <w:t>防止和减轻轻质柴油泄漏造成的污染。</w:t>
            </w:r>
          </w:p>
          <w:p w14:paraId="797D4E99">
            <w:pPr>
              <w:pStyle w:val="26"/>
              <w:adjustRightInd w:val="0"/>
              <w:snapToGrid w:val="0"/>
              <w:ind w:firstLine="480"/>
              <w:rPr>
                <w:rFonts w:hint="eastAsia" w:ascii="Times New Roman" w:hAnsi="Times New Roman" w:eastAsia="宋体"/>
                <w:bCs/>
              </w:rPr>
            </w:pPr>
            <w:r>
              <w:rPr>
                <w:rFonts w:hint="eastAsia" w:ascii="Times New Roman" w:hAnsi="Times New Roman" w:eastAsia="宋体"/>
                <w:bCs/>
              </w:rPr>
              <w:t>综上所述，项目轻质柴油对大气、地表水、地下水环境影响较小</w:t>
            </w:r>
            <w:bookmarkStart w:id="31" w:name="_Hlk175608479"/>
            <w:r>
              <w:rPr>
                <w:rFonts w:hint="eastAsia" w:ascii="Times New Roman" w:hAnsi="Times New Roman" w:eastAsia="宋体"/>
                <w:bCs/>
              </w:rPr>
              <w:t>。</w:t>
            </w:r>
          </w:p>
          <w:p w14:paraId="43B9D0E8">
            <w:pPr>
              <w:pStyle w:val="26"/>
              <w:numPr>
                <w:ilvl w:val="0"/>
                <w:numId w:val="15"/>
              </w:numPr>
              <w:adjustRightInd w:val="0"/>
              <w:snapToGrid w:val="0"/>
              <w:ind w:left="0" w:leftChars="0" w:firstLine="480" w:firstLineChars="200"/>
              <w:rPr>
                <w:rFonts w:hint="eastAsia" w:ascii="Times New Roman" w:hAnsi="Times New Roman" w:eastAsia="宋体"/>
                <w:bCs/>
                <w:lang w:val="en-US" w:eastAsia="zh-CN"/>
              </w:rPr>
            </w:pPr>
            <w:r>
              <w:rPr>
                <w:rFonts w:hint="eastAsia" w:ascii="Times New Roman" w:hAnsi="Times New Roman" w:eastAsia="宋体" w:cs="宋体"/>
                <w:sz w:val="24"/>
                <w:szCs w:val="24"/>
                <w:lang w:val="en-US" w:eastAsia="zh-CN"/>
              </w:rPr>
              <w:t>一体化污水处理设施</w:t>
            </w:r>
            <w:r>
              <w:rPr>
                <w:rFonts w:hint="eastAsia" w:ascii="Times New Roman" w:hAnsi="Times New Roman" w:eastAsia="宋体"/>
                <w:bCs/>
                <w:lang w:val="en-US" w:eastAsia="zh-CN"/>
              </w:rPr>
              <w:t>泄漏</w:t>
            </w:r>
          </w:p>
          <w:p w14:paraId="4D8EDA9C">
            <w:pPr>
              <w:pStyle w:val="26"/>
              <w:adjustRightInd w:val="0"/>
              <w:snapToGrid w:val="0"/>
              <w:ind w:firstLine="480"/>
              <w:rPr>
                <w:rFonts w:hint="eastAsia" w:ascii="Times New Roman" w:hAnsi="Times New Roman" w:eastAsia="宋体" w:cs="宋体"/>
                <w:bCs/>
                <w:lang w:val="en-US" w:eastAsia="zh-CN"/>
              </w:rPr>
            </w:pPr>
            <w:r>
              <w:rPr>
                <w:rFonts w:hint="eastAsia" w:ascii="Times New Roman" w:hAnsi="Times New Roman" w:eastAsia="宋体" w:cs="宋体"/>
                <w:bCs/>
                <w:lang w:val="en-US" w:eastAsia="zh-CN"/>
              </w:rPr>
              <w:t>勘探项目</w:t>
            </w:r>
            <w:r>
              <w:rPr>
                <w:rFonts w:hint="eastAsia" w:ascii="Times New Roman" w:hAnsi="Times New Roman" w:eastAsia="宋体" w:cs="宋体"/>
                <w:sz w:val="24"/>
                <w:szCs w:val="24"/>
                <w:lang w:val="en-US" w:eastAsia="zh-CN"/>
              </w:rPr>
              <w:t>一体化污水处理设施</w:t>
            </w:r>
            <w:r>
              <w:rPr>
                <w:rFonts w:hint="eastAsia" w:ascii="Times New Roman" w:hAnsi="Times New Roman" w:eastAsia="宋体" w:cs="宋体"/>
                <w:bCs/>
                <w:lang w:val="en-US" w:eastAsia="zh-CN"/>
              </w:rPr>
              <w:t>若发生泄漏，在干旱区（如沙漠、戈壁）或生态敏感区可能引发连锁环境风险。</w:t>
            </w:r>
          </w:p>
          <w:p w14:paraId="0A9BEB44">
            <w:pPr>
              <w:pStyle w:val="26"/>
              <w:numPr>
                <w:ilvl w:val="0"/>
                <w:numId w:val="16"/>
              </w:numPr>
              <w:adjustRightInd w:val="0"/>
              <w:snapToGrid w:val="0"/>
              <w:ind w:leftChars="200"/>
              <w:rPr>
                <w:rFonts w:hint="eastAsia" w:ascii="Times New Roman" w:hAnsi="Times New Roman" w:eastAsia="宋体" w:cs="宋体"/>
                <w:bCs/>
                <w:lang w:val="en-US" w:eastAsia="zh-CN"/>
              </w:rPr>
            </w:pPr>
            <w:r>
              <w:rPr>
                <w:rFonts w:hint="eastAsia" w:ascii="Times New Roman" w:hAnsi="Times New Roman" w:eastAsia="宋体" w:cs="宋体"/>
                <w:bCs/>
                <w:lang w:val="en-US" w:eastAsia="zh-CN"/>
              </w:rPr>
              <w:t>对大气环境影响分析</w:t>
            </w:r>
          </w:p>
          <w:p w14:paraId="4946DBC4">
            <w:pPr>
              <w:pStyle w:val="26"/>
              <w:adjustRightInd w:val="0"/>
              <w:snapToGrid w:val="0"/>
              <w:ind w:firstLine="480"/>
              <w:rPr>
                <w:rFonts w:hint="default" w:ascii="Times New Roman" w:hAnsi="Times New Roman" w:eastAsia="宋体" w:cs="宋体"/>
                <w:bCs/>
                <w:lang w:val="en-US" w:eastAsia="zh-CN"/>
              </w:rPr>
            </w:pPr>
            <w:r>
              <w:rPr>
                <w:rFonts w:hint="eastAsia" w:ascii="Times New Roman" w:hAnsi="Times New Roman" w:eastAsia="宋体" w:cs="宋体"/>
                <w:bCs/>
                <w:lang w:val="en-US" w:eastAsia="zh-CN"/>
              </w:rPr>
              <w:t>生活污水在厌氧环境下会分解产生恶臭气体，如硫化氢、氨气等，</w:t>
            </w:r>
            <w:r>
              <w:rPr>
                <w:rFonts w:hint="eastAsia" w:ascii="Times New Roman" w:hAnsi="Times New Roman" w:cs="宋体"/>
                <w:bCs/>
                <w:lang w:val="en-US" w:eastAsia="zh-CN"/>
              </w:rPr>
              <w:t>泄漏</w:t>
            </w:r>
            <w:r>
              <w:rPr>
                <w:rFonts w:hint="eastAsia" w:ascii="Times New Roman" w:hAnsi="Times New Roman" w:eastAsia="宋体" w:cs="宋体"/>
                <w:bCs/>
                <w:lang w:val="en-US" w:eastAsia="zh-CN"/>
              </w:rPr>
              <w:t>时会严重影响周边空气，引起居民不适和投诉；</w:t>
            </w:r>
            <w:r>
              <w:rPr>
                <w:rFonts w:hint="eastAsia" w:ascii="Times New Roman" w:hAnsi="Times New Roman" w:cs="宋体"/>
                <w:bCs/>
                <w:lang w:val="en-US" w:eastAsia="zh-CN"/>
              </w:rPr>
              <w:t>泄漏</w:t>
            </w:r>
            <w:r>
              <w:rPr>
                <w:rFonts w:hint="eastAsia" w:ascii="Times New Roman" w:hAnsi="Times New Roman" w:eastAsia="宋体" w:cs="宋体"/>
                <w:bCs/>
                <w:lang w:val="en-US" w:eastAsia="zh-CN"/>
              </w:rPr>
              <w:t>区域成为蚊蝇孳生地，传播疾病。</w:t>
            </w:r>
          </w:p>
          <w:p w14:paraId="2BE98582">
            <w:pPr>
              <w:pStyle w:val="26"/>
              <w:numPr>
                <w:ilvl w:val="0"/>
                <w:numId w:val="16"/>
              </w:numPr>
              <w:adjustRightInd w:val="0"/>
              <w:snapToGrid w:val="0"/>
              <w:ind w:leftChars="200"/>
              <w:rPr>
                <w:rFonts w:hint="default" w:ascii="Times New Roman" w:hAnsi="Times New Roman" w:eastAsia="宋体"/>
                <w:bCs/>
                <w:lang w:val="en-US" w:eastAsia="zh-CN"/>
              </w:rPr>
            </w:pPr>
            <w:r>
              <w:rPr>
                <w:rFonts w:hint="eastAsia" w:ascii="Times New Roman" w:hAnsi="Times New Roman" w:eastAsia="宋体"/>
                <w:bCs/>
                <w:lang w:val="en-US" w:eastAsia="zh-CN"/>
              </w:rPr>
              <w:t>对土壤环境影响分析</w:t>
            </w:r>
          </w:p>
          <w:p w14:paraId="5DF7EADE">
            <w:pPr>
              <w:pStyle w:val="26"/>
              <w:adjustRightInd w:val="0"/>
              <w:snapToGrid w:val="0"/>
              <w:ind w:firstLine="480"/>
              <w:rPr>
                <w:rFonts w:hint="default" w:ascii="Times New Roman" w:hAnsi="Times New Roman" w:eastAsia="宋体" w:cs="宋体"/>
                <w:bCs/>
                <w:lang w:val="en-US" w:eastAsia="zh-CN"/>
              </w:rPr>
            </w:pPr>
            <w:r>
              <w:rPr>
                <w:rFonts w:hint="eastAsia" w:ascii="Times New Roman" w:hAnsi="Times New Roman" w:eastAsia="宋体" w:cs="宋体"/>
                <w:bCs/>
                <w:lang w:val="en-US" w:eastAsia="zh-CN"/>
              </w:rPr>
              <w:t>生活污水内的油脂类物质，会覆盖土壤颗粒，使土壤透气性降低，孔隙度减少15%～30%，地表植被死亡率升高。</w:t>
            </w:r>
          </w:p>
          <w:p w14:paraId="14C728BC">
            <w:pPr>
              <w:pStyle w:val="26"/>
              <w:numPr>
                <w:ilvl w:val="0"/>
                <w:numId w:val="16"/>
              </w:numPr>
              <w:adjustRightInd w:val="0"/>
              <w:snapToGrid w:val="0"/>
              <w:ind w:leftChars="200"/>
              <w:rPr>
                <w:rFonts w:hint="default" w:ascii="Times New Roman" w:hAnsi="Times New Roman" w:eastAsia="宋体"/>
                <w:bCs/>
                <w:lang w:val="en-US" w:eastAsia="zh-CN"/>
              </w:rPr>
            </w:pPr>
            <w:r>
              <w:rPr>
                <w:rFonts w:hint="eastAsia" w:ascii="Times New Roman" w:hAnsi="Times New Roman" w:eastAsia="宋体"/>
                <w:bCs/>
                <w:lang w:val="en-US" w:eastAsia="zh-CN"/>
              </w:rPr>
              <w:t>对地下水环境影响分析</w:t>
            </w:r>
          </w:p>
          <w:bookmarkEnd w:id="31"/>
          <w:p w14:paraId="0F892230">
            <w:pPr>
              <w:snapToGrid w:val="0"/>
              <w:spacing w:line="480" w:lineRule="exact"/>
              <w:ind w:firstLine="480" w:firstLineChars="200"/>
              <w:rPr>
                <w:rFonts w:hint="eastAsia" w:ascii="Times New Roman" w:hAnsi="Times New Roman" w:eastAsia="宋体"/>
                <w:bCs/>
                <w:lang w:val="en-US" w:eastAsia="zh-CN"/>
              </w:rPr>
            </w:pPr>
            <w:r>
              <w:rPr>
                <w:rFonts w:hint="eastAsia" w:ascii="Times New Roman" w:hAnsi="Times New Roman" w:eastAsia="宋体"/>
                <w:bCs/>
                <w:lang w:val="en-US" w:eastAsia="zh-CN"/>
              </w:rPr>
              <w:t>在沙质土壤区，污染物的下渗速率可达0.5</w:t>
            </w:r>
            <w:r>
              <w:rPr>
                <w:rFonts w:hint="eastAsia"/>
                <w:bCs/>
                <w:lang w:val="en-US" w:eastAsia="zh-CN"/>
              </w:rPr>
              <w:t>～</w:t>
            </w:r>
            <w:r>
              <w:rPr>
                <w:rFonts w:hint="eastAsia" w:ascii="Times New Roman" w:hAnsi="Times New Roman" w:eastAsia="宋体"/>
                <w:bCs/>
                <w:lang w:val="en-US" w:eastAsia="zh-CN"/>
              </w:rPr>
              <w:t>2m/天，3个月可污染潜水层（埋深&lt;10m时）。</w:t>
            </w:r>
          </w:p>
          <w:p w14:paraId="051AD1DD">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cs="宋体"/>
                <w:bCs/>
                <w:highlight w:val="none"/>
                <w:lang w:val="en-US" w:eastAsia="zh-CN"/>
              </w:rPr>
              <w:t>本项目一体化污水处理设施</w:t>
            </w:r>
            <w:r>
              <w:rPr>
                <w:rFonts w:hint="eastAsia" w:ascii="Times New Roman" w:hAnsi="Times New Roman" w:eastAsia="宋体" w:cs="宋体"/>
                <w:highlight w:val="none"/>
              </w:rPr>
              <w:t>采用HDPE防渗膜防渗</w:t>
            </w:r>
            <w:r>
              <w:rPr>
                <w:rFonts w:hint="eastAsia" w:ascii="Times New Roman" w:hAnsi="Times New Roman" w:eastAsia="宋体" w:cs="宋体"/>
                <w:highlight w:val="none"/>
                <w:lang w:eastAsia="zh-CN"/>
              </w:rPr>
              <w:t>，</w:t>
            </w:r>
            <w:r>
              <w:rPr>
                <w:rFonts w:hint="eastAsia" w:ascii="Times New Roman" w:hAnsi="Times New Roman" w:eastAsia="宋体" w:cs="宋体"/>
                <w:highlight w:val="none"/>
                <w:lang w:val="en-US" w:eastAsia="zh-CN"/>
              </w:rPr>
              <w:t>生活污水及时进行处理，</w:t>
            </w:r>
            <w:r>
              <w:rPr>
                <w:rFonts w:hint="eastAsia" w:cs="宋体"/>
                <w:highlight w:val="none"/>
                <w:lang w:val="en-US" w:eastAsia="zh-CN"/>
              </w:rPr>
              <w:t>泄漏</w:t>
            </w:r>
            <w:r>
              <w:rPr>
                <w:rFonts w:hint="eastAsia" w:ascii="Times New Roman" w:hAnsi="Times New Roman" w:eastAsia="宋体" w:cs="宋体"/>
                <w:highlight w:val="none"/>
                <w:lang w:val="en-US" w:eastAsia="zh-CN"/>
              </w:rPr>
              <w:t>风险较小。</w:t>
            </w:r>
          </w:p>
        </w:tc>
      </w:tr>
      <w:tr w14:paraId="4D8C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815" w:type="dxa"/>
            <w:vAlign w:val="center"/>
          </w:tcPr>
          <w:p w14:paraId="28DC8686">
            <w:pPr>
              <w:snapToGrid w:val="0"/>
              <w:spacing w:line="500" w:lineRule="exact"/>
              <w:jc w:val="center"/>
              <w:rPr>
                <w:rFonts w:ascii="Times New Roman" w:hAnsi="Times New Roman" w:eastAsia="宋体"/>
              </w:rPr>
            </w:pPr>
            <w:r>
              <w:rPr>
                <w:rFonts w:hint="eastAsia" w:ascii="Times New Roman" w:hAnsi="Times New Roman" w:eastAsia="宋体"/>
              </w:rPr>
              <w:t>运营期生态环境影响分析</w:t>
            </w:r>
          </w:p>
        </w:tc>
        <w:tc>
          <w:tcPr>
            <w:tcW w:w="8862" w:type="dxa"/>
            <w:vAlign w:val="center"/>
          </w:tcPr>
          <w:p w14:paraId="66931CAA">
            <w:pPr>
              <w:snapToGrid w:val="0"/>
              <w:spacing w:line="500" w:lineRule="exact"/>
              <w:rPr>
                <w:rFonts w:hint="eastAsia" w:ascii="Times New Roman" w:hAnsi="Times New Roman" w:eastAsia="宋体"/>
              </w:rPr>
            </w:pPr>
          </w:p>
          <w:p w14:paraId="48A10770">
            <w:pPr>
              <w:snapToGrid w:val="0"/>
              <w:spacing w:line="500" w:lineRule="exact"/>
              <w:ind w:firstLine="480" w:firstLineChars="200"/>
              <w:rPr>
                <w:rFonts w:ascii="Times New Roman" w:hAnsi="Times New Roman" w:eastAsia="宋体"/>
              </w:rPr>
            </w:pPr>
            <w:r>
              <w:rPr>
                <w:rFonts w:hint="eastAsia" w:ascii="Times New Roman" w:hAnsi="Times New Roman" w:eastAsia="宋体"/>
              </w:rPr>
              <w:t>本项目无运营期，施工期结束后环境影响随之消失。</w:t>
            </w:r>
          </w:p>
        </w:tc>
      </w:tr>
      <w:tr w14:paraId="27C4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815" w:type="dxa"/>
            <w:vAlign w:val="center"/>
          </w:tcPr>
          <w:p w14:paraId="046B2D64">
            <w:pPr>
              <w:snapToGrid w:val="0"/>
              <w:spacing w:line="500" w:lineRule="exact"/>
              <w:jc w:val="center"/>
              <w:rPr>
                <w:rFonts w:hint="eastAsia" w:ascii="Times New Roman" w:hAnsi="Times New Roman" w:eastAsia="宋体"/>
              </w:rPr>
            </w:pPr>
          </w:p>
          <w:p w14:paraId="48B9C1DE">
            <w:pPr>
              <w:snapToGrid w:val="0"/>
              <w:spacing w:line="500" w:lineRule="exact"/>
              <w:jc w:val="center"/>
              <w:rPr>
                <w:rFonts w:hint="eastAsia" w:ascii="Times New Roman" w:hAnsi="Times New Roman" w:eastAsia="宋体"/>
              </w:rPr>
            </w:pPr>
          </w:p>
          <w:p w14:paraId="28928C0E">
            <w:pPr>
              <w:snapToGrid w:val="0"/>
              <w:spacing w:line="500" w:lineRule="exact"/>
              <w:jc w:val="center"/>
              <w:rPr>
                <w:rFonts w:hint="eastAsia" w:ascii="Times New Roman" w:hAnsi="Times New Roman" w:eastAsia="宋体"/>
              </w:rPr>
            </w:pPr>
          </w:p>
          <w:p w14:paraId="7733ECAE">
            <w:pPr>
              <w:snapToGrid w:val="0"/>
              <w:spacing w:line="500" w:lineRule="exact"/>
              <w:jc w:val="center"/>
              <w:rPr>
                <w:rFonts w:hint="eastAsia" w:ascii="Times New Roman" w:hAnsi="Times New Roman" w:eastAsia="宋体"/>
              </w:rPr>
            </w:pPr>
          </w:p>
          <w:p w14:paraId="6535CDE1">
            <w:pPr>
              <w:snapToGrid w:val="0"/>
              <w:spacing w:line="500" w:lineRule="exact"/>
              <w:jc w:val="center"/>
              <w:rPr>
                <w:rFonts w:hint="eastAsia" w:ascii="Times New Roman" w:hAnsi="Times New Roman" w:eastAsia="宋体"/>
              </w:rPr>
            </w:pPr>
          </w:p>
          <w:p w14:paraId="10625749">
            <w:pPr>
              <w:snapToGrid w:val="0"/>
              <w:spacing w:line="500" w:lineRule="exact"/>
              <w:jc w:val="center"/>
              <w:rPr>
                <w:rFonts w:hint="eastAsia" w:ascii="Times New Roman" w:hAnsi="Times New Roman" w:eastAsia="宋体"/>
              </w:rPr>
            </w:pPr>
          </w:p>
          <w:p w14:paraId="253E1EE8">
            <w:pPr>
              <w:snapToGrid w:val="0"/>
              <w:spacing w:line="500" w:lineRule="exact"/>
              <w:jc w:val="center"/>
              <w:rPr>
                <w:rFonts w:hint="eastAsia" w:ascii="Times New Roman" w:hAnsi="Times New Roman" w:eastAsia="宋体"/>
              </w:rPr>
            </w:pPr>
          </w:p>
          <w:p w14:paraId="16038B53">
            <w:pPr>
              <w:snapToGrid w:val="0"/>
              <w:spacing w:line="500" w:lineRule="exact"/>
              <w:jc w:val="center"/>
              <w:rPr>
                <w:rFonts w:hint="eastAsia" w:ascii="Times New Roman" w:hAnsi="Times New Roman" w:eastAsia="宋体"/>
              </w:rPr>
            </w:pPr>
            <w:r>
              <w:rPr>
                <w:rFonts w:hint="eastAsia" w:ascii="Times New Roman" w:hAnsi="Times New Roman" w:eastAsia="宋体"/>
              </w:rPr>
              <w:t>选址选线环境合理性分析</w:t>
            </w:r>
          </w:p>
        </w:tc>
        <w:tc>
          <w:tcPr>
            <w:tcW w:w="8862" w:type="dxa"/>
            <w:vAlign w:val="center"/>
          </w:tcPr>
          <w:p w14:paraId="443B49D2">
            <w:pPr>
              <w:numPr>
                <w:ilvl w:val="0"/>
                <w:numId w:val="17"/>
              </w:numPr>
              <w:snapToGrid w:val="0"/>
              <w:spacing w:line="500" w:lineRule="exact"/>
              <w:rPr>
                <w:rFonts w:hint="eastAsia" w:ascii="Times New Roman" w:hAnsi="Times New Roman" w:eastAsia="宋体" w:cs="宋体"/>
              </w:rPr>
            </w:pPr>
            <w:r>
              <w:rPr>
                <w:rFonts w:hint="eastAsia"/>
                <w:lang w:val="en-US" w:eastAsia="zh-CN"/>
              </w:rPr>
              <w:t>与主体功能区划的选址合理性分析</w:t>
            </w:r>
          </w:p>
          <w:p w14:paraId="1E3A98E9">
            <w:pPr>
              <w:pStyle w:val="7"/>
              <w:widowControl/>
              <w:snapToGrid w:val="0"/>
              <w:spacing w:line="500" w:lineRule="exact"/>
              <w:ind w:firstLine="480" w:firstLineChars="200"/>
              <w:rPr>
                <w:rFonts w:hint="eastAsia" w:ascii="Times New Roman" w:hAnsi="Times New Roman" w:eastAsia="宋体" w:cs="宋体"/>
                <w:kern w:val="0"/>
                <w:sz w:val="24"/>
                <w:szCs w:val="18"/>
                <w:lang w:eastAsia="zh-CN"/>
              </w:rPr>
            </w:pPr>
            <w:r>
              <w:rPr>
                <w:rFonts w:hint="eastAsia" w:ascii="Times New Roman" w:hAnsi="Times New Roman" w:eastAsia="宋体" w:cs="宋体"/>
                <w:kern w:val="0"/>
                <w:sz w:val="24"/>
                <w:szCs w:val="18"/>
                <w:lang w:eastAsia="zh-CN"/>
              </w:rPr>
              <w:t>本项目位于新疆</w:t>
            </w:r>
            <w:r>
              <w:rPr>
                <w:rFonts w:hint="eastAsia" w:ascii="Times New Roman" w:hAnsi="Times New Roman" w:eastAsia="宋体" w:cs="宋体"/>
                <w:kern w:val="0"/>
                <w:sz w:val="24"/>
                <w:szCs w:val="18"/>
                <w:lang w:val="en-US" w:eastAsia="zh-CN"/>
              </w:rPr>
              <w:t>和田地区民丰县和巴音郭楞蒙古自治州且末县</w:t>
            </w:r>
            <w:r>
              <w:rPr>
                <w:rFonts w:hint="eastAsia" w:ascii="Times New Roman" w:hAnsi="Times New Roman" w:eastAsia="宋体" w:cs="宋体"/>
                <w:kern w:val="0"/>
                <w:sz w:val="24"/>
                <w:szCs w:val="18"/>
                <w:lang w:eastAsia="zh-CN"/>
              </w:rPr>
              <w:t>，属于</w:t>
            </w:r>
            <w:r>
              <w:rPr>
                <w:rFonts w:hint="eastAsia" w:ascii="Times New Roman" w:hAnsi="Times New Roman" w:eastAsia="宋体" w:cs="宋体"/>
                <w:kern w:val="0"/>
                <w:sz w:val="24"/>
                <w:szCs w:val="18"/>
                <w:highlight w:val="none"/>
                <w:lang w:val="en-US" w:eastAsia="zh-CN"/>
              </w:rPr>
              <w:t>中</w:t>
            </w:r>
            <w:r>
              <w:rPr>
                <w:rFonts w:hint="eastAsia" w:ascii="Times New Roman" w:hAnsi="Times New Roman" w:eastAsia="宋体" w:cs="宋体"/>
                <w:kern w:val="0"/>
                <w:sz w:val="24"/>
                <w:szCs w:val="18"/>
                <w:highlight w:val="none"/>
                <w:lang w:eastAsia="zh-CN"/>
              </w:rPr>
              <w:t>昆仑山高寒荒漠草原生态</w:t>
            </w:r>
            <w:r>
              <w:rPr>
                <w:rFonts w:hint="eastAsia" w:ascii="Times New Roman" w:hAnsi="Times New Roman" w:eastAsia="宋体" w:cs="宋体"/>
                <w:kern w:val="0"/>
                <w:sz w:val="24"/>
                <w:szCs w:val="18"/>
                <w:highlight w:val="none"/>
                <w:lang w:val="en-US" w:eastAsia="zh-CN"/>
              </w:rPr>
              <w:t>功能</w:t>
            </w:r>
            <w:r>
              <w:rPr>
                <w:rFonts w:hint="eastAsia" w:ascii="Times New Roman" w:hAnsi="Times New Roman" w:eastAsia="宋体" w:cs="宋体"/>
                <w:kern w:val="0"/>
                <w:sz w:val="24"/>
                <w:szCs w:val="18"/>
                <w:highlight w:val="none"/>
                <w:lang w:eastAsia="zh-CN"/>
              </w:rPr>
              <w:t>区</w:t>
            </w:r>
            <w:r>
              <w:rPr>
                <w:rFonts w:hint="eastAsia" w:ascii="Times New Roman" w:hAnsi="Times New Roman" w:eastAsia="宋体" w:cs="宋体"/>
                <w:kern w:val="0"/>
                <w:sz w:val="24"/>
                <w:szCs w:val="18"/>
                <w:highlight w:val="none"/>
                <w:lang w:val="en-US" w:eastAsia="zh-CN"/>
              </w:rPr>
              <w:t>，</w:t>
            </w:r>
            <w:r>
              <w:rPr>
                <w:rFonts w:hint="eastAsia" w:ascii="Times New Roman" w:hAnsi="Times New Roman" w:eastAsia="宋体" w:cs="宋体"/>
                <w:kern w:val="0"/>
                <w:sz w:val="24"/>
                <w:szCs w:val="18"/>
                <w:highlight w:val="none"/>
                <w:lang w:eastAsia="zh-CN"/>
              </w:rPr>
              <w:t>是</w:t>
            </w:r>
            <w:r>
              <w:rPr>
                <w:rFonts w:hint="eastAsia" w:ascii="Times New Roman" w:hAnsi="Times New Roman" w:eastAsia="宋体" w:cs="宋体"/>
                <w:kern w:val="0"/>
                <w:sz w:val="24"/>
                <w:szCs w:val="18"/>
                <w:highlight w:val="none"/>
                <w:lang w:val="en-US" w:eastAsia="zh-CN"/>
              </w:rPr>
              <w:t>自治区级重点</w:t>
            </w:r>
            <w:r>
              <w:rPr>
                <w:rFonts w:hint="eastAsia" w:ascii="Times New Roman" w:hAnsi="Times New Roman" w:eastAsia="宋体" w:cs="宋体"/>
                <w:kern w:val="0"/>
                <w:sz w:val="24"/>
                <w:szCs w:val="18"/>
                <w:highlight w:val="none"/>
                <w:lang w:eastAsia="zh-CN"/>
              </w:rPr>
              <w:t>生态功能区。不在新疆维吾尔自治区主体功能区规划划定的禁止开发区。</w:t>
            </w:r>
            <w:r>
              <w:rPr>
                <w:rFonts w:hint="eastAsia" w:ascii="Times New Roman" w:hAnsi="Times New Roman" w:eastAsia="宋体" w:cs="宋体"/>
                <w:kern w:val="0"/>
                <w:sz w:val="24"/>
                <w:szCs w:val="18"/>
                <w:highlight w:val="none"/>
                <w:lang w:val="en-US" w:eastAsia="zh-CN"/>
              </w:rPr>
              <w:t>功能区草场过度退化，生物灾害严重，水源减少，植被退化，主要发展方向</w:t>
            </w:r>
            <w:r>
              <w:rPr>
                <w:rFonts w:hint="eastAsia" w:ascii="Times New Roman" w:hAnsi="Times New Roman" w:eastAsia="宋体" w:cs="宋体"/>
                <w:kern w:val="0"/>
                <w:sz w:val="24"/>
                <w:szCs w:val="18"/>
                <w:highlight w:val="none"/>
                <w:lang w:eastAsia="zh-CN"/>
              </w:rPr>
              <w:t>为：“</w:t>
            </w:r>
            <w:r>
              <w:rPr>
                <w:rFonts w:hint="eastAsia" w:ascii="Times New Roman" w:hAnsi="Times New Roman" w:eastAsia="宋体" w:cs="宋体"/>
                <w:kern w:val="0"/>
                <w:sz w:val="24"/>
                <w:szCs w:val="18"/>
                <w:highlight w:val="none"/>
                <w:lang w:val="en-US" w:eastAsia="zh-CN"/>
              </w:rPr>
              <w:t>保护草地植被，保护野生动物，保护河流水质</w:t>
            </w:r>
            <w:r>
              <w:rPr>
                <w:rFonts w:hint="eastAsia" w:ascii="Times New Roman" w:hAnsi="Times New Roman" w:eastAsia="宋体" w:cs="宋体"/>
                <w:kern w:val="0"/>
                <w:sz w:val="24"/>
                <w:szCs w:val="18"/>
                <w:highlight w:val="none"/>
                <w:lang w:eastAsia="zh-CN"/>
              </w:rPr>
              <w:t>。”</w:t>
            </w:r>
          </w:p>
          <w:p w14:paraId="37973F1B">
            <w:pPr>
              <w:pStyle w:val="7"/>
              <w:widowControl/>
              <w:snapToGrid w:val="0"/>
              <w:spacing w:line="500" w:lineRule="exact"/>
              <w:ind w:firstLine="480" w:firstLineChars="200"/>
              <w:rPr>
                <w:rFonts w:hint="eastAsia" w:ascii="Times New Roman" w:hAnsi="Times New Roman" w:eastAsia="宋体" w:cs="宋体"/>
                <w:kern w:val="0"/>
                <w:sz w:val="24"/>
                <w:szCs w:val="18"/>
                <w:lang w:val="en-US" w:eastAsia="zh-CN"/>
              </w:rPr>
            </w:pPr>
            <w:r>
              <w:rPr>
                <w:rFonts w:hint="eastAsia" w:ascii="Times New Roman" w:hAnsi="Times New Roman" w:eastAsia="宋体" w:cs="宋体"/>
                <w:kern w:val="0"/>
                <w:sz w:val="24"/>
                <w:szCs w:val="18"/>
                <w:lang w:val="en-US" w:eastAsia="zh-CN"/>
              </w:rPr>
              <w:t>本项目属于锰矿勘探，只对矿区进行勘探，勘探过后会对槽探、钻探平台、临时堆放场等进行恢复，因此符合新疆维吾尔自治区主体功能区规划的要求，选址合理。</w:t>
            </w:r>
          </w:p>
          <w:p w14:paraId="28A1C719">
            <w:pPr>
              <w:numPr>
                <w:ilvl w:val="0"/>
                <w:numId w:val="17"/>
              </w:numPr>
              <w:snapToGrid w:val="0"/>
              <w:spacing w:line="500" w:lineRule="exact"/>
              <w:rPr>
                <w:rFonts w:hint="default" w:ascii="Times New Roman" w:hAnsi="Times New Roman" w:eastAsia="宋体" w:cs="宋体"/>
                <w:kern w:val="0"/>
                <w:sz w:val="24"/>
                <w:szCs w:val="18"/>
                <w:lang w:val="en-US" w:eastAsia="zh-CN"/>
              </w:rPr>
            </w:pPr>
            <w:r>
              <w:rPr>
                <w:rFonts w:hint="eastAsia"/>
                <w:lang w:val="en-US" w:eastAsia="zh-CN"/>
              </w:rPr>
              <w:t>工业场地选址合理性分析</w:t>
            </w:r>
          </w:p>
          <w:p w14:paraId="3CDE1C50">
            <w:pPr>
              <w:snapToGrid w:val="0"/>
              <w:spacing w:line="500" w:lineRule="exact"/>
              <w:ind w:firstLine="480" w:firstLineChars="200"/>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 1 \* GB3 \* MERGEFORMAT </w:instrText>
            </w:r>
            <w:r>
              <w:rPr>
                <w:rFonts w:hint="eastAsia"/>
                <w:highlight w:val="none"/>
                <w:lang w:val="en-US" w:eastAsia="zh-CN"/>
              </w:rPr>
              <w:fldChar w:fldCharType="separate"/>
            </w:r>
            <w:r>
              <w:rPr>
                <w:highlight w:val="none"/>
              </w:rPr>
              <w:t>①</w:t>
            </w:r>
            <w:r>
              <w:rPr>
                <w:rFonts w:hint="eastAsia"/>
                <w:highlight w:val="none"/>
                <w:lang w:val="en-US" w:eastAsia="zh-CN"/>
              </w:rPr>
              <w:fldChar w:fldCharType="end"/>
            </w:r>
            <w:r>
              <w:rPr>
                <w:rFonts w:hint="eastAsia"/>
                <w:highlight w:val="none"/>
                <w:lang w:val="en-US" w:eastAsia="zh-CN"/>
              </w:rPr>
              <w:t>勘探区选址</w:t>
            </w:r>
          </w:p>
          <w:p w14:paraId="3166C405">
            <w:pPr>
              <w:snapToGrid w:val="0"/>
              <w:spacing w:line="500" w:lineRule="exact"/>
              <w:ind w:firstLine="480" w:firstLineChars="200"/>
              <w:rPr>
                <w:rFonts w:hint="eastAsia" w:ascii="Times New Roman" w:hAnsi="Times New Roman" w:eastAsia="宋体"/>
                <w:highlight w:val="none"/>
              </w:rPr>
            </w:pPr>
            <w:r>
              <w:rPr>
                <w:rFonts w:hint="eastAsia"/>
                <w:highlight w:val="none"/>
                <w:lang w:val="en-US" w:eastAsia="zh-CN"/>
              </w:rPr>
              <w:t>根据现场勘探可知，</w:t>
            </w:r>
            <w:r>
              <w:rPr>
                <w:rFonts w:hint="eastAsia" w:ascii="Times New Roman" w:hAnsi="Times New Roman" w:eastAsia="宋体"/>
                <w:highlight w:val="none"/>
              </w:rPr>
              <w:t>项目</w:t>
            </w:r>
            <w:r>
              <w:rPr>
                <w:rFonts w:hint="eastAsia"/>
                <w:highlight w:val="none"/>
                <w:lang w:val="en-US" w:eastAsia="zh-CN"/>
              </w:rPr>
              <w:t>区</w:t>
            </w:r>
            <w:r>
              <w:rPr>
                <w:rFonts w:hint="eastAsia" w:ascii="Times New Roman" w:hAnsi="Times New Roman" w:eastAsia="宋体"/>
                <w:highlight w:val="none"/>
              </w:rPr>
              <w:t>不涉及生态敏感脆弱区，自然保护区，风景名胜区，国家级、省级禁止开发区域及其他应划入生态保护红线范围内的区域，且无以居住、医疗卫生、文化教育、科研、行政办公等为主要功能的区域，无重大环境制约因素。</w:t>
            </w:r>
          </w:p>
          <w:p w14:paraId="014EC6D9">
            <w:pPr>
              <w:snapToGrid w:val="0"/>
              <w:spacing w:line="500" w:lineRule="exact"/>
              <w:ind w:firstLine="480" w:firstLineChars="200"/>
              <w:rPr>
                <w:rFonts w:hint="eastAsia"/>
                <w:highlight w:val="none"/>
                <w:lang w:val="en-US" w:eastAsia="zh-CN"/>
              </w:rPr>
            </w:pPr>
            <w:r>
              <w:rPr>
                <w:rFonts w:hint="eastAsia" w:ascii="Times New Roman" w:hAnsi="Times New Roman" w:eastAsia="宋体"/>
                <w:highlight w:val="none"/>
              </w:rPr>
              <w:fldChar w:fldCharType="begin"/>
            </w:r>
            <w:r>
              <w:rPr>
                <w:rFonts w:hint="eastAsia" w:ascii="Times New Roman" w:hAnsi="Times New Roman" w:eastAsia="宋体"/>
                <w:highlight w:val="none"/>
              </w:rPr>
              <w:instrText xml:space="preserve"> = 2 \* GB3 \* MERGEFORMAT </w:instrText>
            </w:r>
            <w:r>
              <w:rPr>
                <w:rFonts w:hint="eastAsia" w:ascii="Times New Roman" w:hAnsi="Times New Roman" w:eastAsia="宋体"/>
                <w:highlight w:val="none"/>
              </w:rPr>
              <w:fldChar w:fldCharType="separate"/>
            </w:r>
            <w:r>
              <w:rPr>
                <w:highlight w:val="none"/>
              </w:rPr>
              <w:t>②</w:t>
            </w:r>
            <w:r>
              <w:rPr>
                <w:rFonts w:hint="eastAsia" w:ascii="Times New Roman" w:hAnsi="Times New Roman" w:eastAsia="宋体"/>
                <w:highlight w:val="none"/>
              </w:rPr>
              <w:fldChar w:fldCharType="end"/>
            </w:r>
            <w:r>
              <w:rPr>
                <w:rFonts w:hint="eastAsia"/>
                <w:highlight w:val="none"/>
                <w:lang w:val="en-US" w:eastAsia="zh-CN"/>
              </w:rPr>
              <w:t>井场选址</w:t>
            </w:r>
          </w:p>
          <w:p w14:paraId="70AADF8B">
            <w:pPr>
              <w:snapToGrid w:val="0"/>
              <w:spacing w:line="500" w:lineRule="exact"/>
              <w:ind w:firstLine="480" w:firstLineChars="200"/>
              <w:rPr>
                <w:rFonts w:hint="default"/>
                <w:highlight w:val="none"/>
                <w:lang w:val="en-US" w:eastAsia="zh-CN"/>
              </w:rPr>
            </w:pPr>
            <w:r>
              <w:rPr>
                <w:rFonts w:hint="eastAsia"/>
                <w:highlight w:val="none"/>
                <w:lang w:val="en-US" w:eastAsia="zh-CN"/>
              </w:rPr>
              <w:t>钻机井场需根据探孔的布设进行平整，平整出的井场平坦坚实，满足钻井设备的布设和钻井作业的要求，且能承受施工车辆的行驶，本项目属于高海拔地区，占地为裸地，植被分布稀疏，生物量低，探孔及井场的布设对周围环境影响小。</w:t>
            </w:r>
          </w:p>
          <w:p w14:paraId="14070912">
            <w:pPr>
              <w:snapToGrid w:val="0"/>
              <w:spacing w:line="500" w:lineRule="exact"/>
              <w:ind w:firstLine="480" w:firstLineChars="200"/>
              <w:rPr>
                <w:rFonts w:hint="eastAsia"/>
                <w:highlight w:val="none"/>
                <w:lang w:val="en-US" w:eastAsia="zh-CN"/>
              </w:rPr>
            </w:pPr>
            <w:r>
              <w:rPr>
                <w:rFonts w:hint="eastAsia" w:ascii="Times New Roman" w:hAnsi="Times New Roman" w:eastAsia="宋体"/>
                <w:highlight w:val="none"/>
              </w:rPr>
              <w:fldChar w:fldCharType="begin"/>
            </w:r>
            <w:r>
              <w:rPr>
                <w:rFonts w:hint="eastAsia" w:ascii="Times New Roman" w:hAnsi="Times New Roman" w:eastAsia="宋体"/>
                <w:highlight w:val="none"/>
              </w:rPr>
              <w:instrText xml:space="preserve"> = 3 \* GB3 \* MERGEFORMAT </w:instrText>
            </w:r>
            <w:r>
              <w:rPr>
                <w:rFonts w:hint="eastAsia" w:ascii="Times New Roman" w:hAnsi="Times New Roman" w:eastAsia="宋体"/>
                <w:highlight w:val="none"/>
              </w:rPr>
              <w:fldChar w:fldCharType="separate"/>
            </w:r>
            <w:r>
              <w:rPr>
                <w:highlight w:val="none"/>
              </w:rPr>
              <w:t>③</w:t>
            </w:r>
            <w:r>
              <w:rPr>
                <w:rFonts w:hint="eastAsia" w:ascii="Times New Roman" w:hAnsi="Times New Roman" w:eastAsia="宋体"/>
                <w:highlight w:val="none"/>
              </w:rPr>
              <w:fldChar w:fldCharType="end"/>
            </w:r>
            <w:r>
              <w:rPr>
                <w:rFonts w:hint="eastAsia"/>
                <w:highlight w:val="none"/>
                <w:lang w:val="en-US" w:eastAsia="zh-CN"/>
              </w:rPr>
              <w:t>探矿道路选址</w:t>
            </w:r>
          </w:p>
          <w:p w14:paraId="2A4F9A25">
            <w:pPr>
              <w:snapToGrid w:val="0"/>
              <w:spacing w:line="500" w:lineRule="exact"/>
              <w:ind w:firstLine="480" w:firstLineChars="200"/>
              <w:rPr>
                <w:rFonts w:hint="default"/>
                <w:highlight w:val="none"/>
                <w:lang w:val="en-US" w:eastAsia="zh-CN"/>
              </w:rPr>
            </w:pPr>
            <w:r>
              <w:rPr>
                <w:rFonts w:hint="eastAsia"/>
                <w:highlight w:val="none"/>
                <w:lang w:val="en-US" w:eastAsia="zh-CN"/>
              </w:rPr>
              <w:t>项目不新建探矿道路，现有简易道路能满足本项目要求，对周围生态环境影响小。</w:t>
            </w:r>
          </w:p>
          <w:p w14:paraId="3D99B19D">
            <w:pPr>
              <w:snapToGrid w:val="0"/>
              <w:spacing w:line="500" w:lineRule="exact"/>
              <w:ind w:firstLine="480" w:firstLineChars="200"/>
              <w:rPr>
                <w:rFonts w:hint="eastAsia" w:ascii="Times New Roman" w:hAnsi="Times New Roman" w:eastAsia="宋体"/>
                <w:highlight w:val="none"/>
              </w:rPr>
            </w:pPr>
            <w:r>
              <w:rPr>
                <w:rFonts w:hint="eastAsia" w:ascii="Times New Roman" w:hAnsi="Times New Roman" w:eastAsia="宋体"/>
                <w:highlight w:val="none"/>
              </w:rPr>
              <w:t>综上所述，本项目的建设对外环境无特殊要求，本次评价针对施工期间产生的“三废”、噪声及生态影响均提出了相应的治理或减缓措施</w:t>
            </w:r>
            <w:r>
              <w:rPr>
                <w:rFonts w:hint="eastAsia"/>
                <w:highlight w:val="none"/>
                <w:lang w:eastAsia="zh-CN"/>
              </w:rPr>
              <w:t>，</w:t>
            </w:r>
            <w:r>
              <w:rPr>
                <w:rFonts w:hint="eastAsia" w:ascii="Times New Roman" w:hAnsi="Times New Roman" w:eastAsia="宋体"/>
                <w:highlight w:val="none"/>
              </w:rPr>
              <w:t>项目选址选线合理。</w:t>
            </w:r>
          </w:p>
          <w:p w14:paraId="38DD3DD5">
            <w:pPr>
              <w:snapToGrid w:val="0"/>
              <w:spacing w:line="500" w:lineRule="exact"/>
              <w:ind w:firstLine="480" w:firstLineChars="200"/>
              <w:rPr>
                <w:rFonts w:hint="eastAsia" w:ascii="Times New Roman" w:hAnsi="Times New Roman" w:eastAsia="宋体"/>
                <w:highlight w:val="none"/>
              </w:rPr>
            </w:pPr>
          </w:p>
          <w:p w14:paraId="4C619CF6">
            <w:pPr>
              <w:snapToGrid w:val="0"/>
              <w:spacing w:line="500" w:lineRule="exact"/>
              <w:ind w:firstLine="480" w:firstLineChars="200"/>
              <w:rPr>
                <w:rFonts w:hint="eastAsia" w:ascii="Times New Roman" w:hAnsi="Times New Roman" w:eastAsia="宋体"/>
                <w:highlight w:val="none"/>
              </w:rPr>
            </w:pPr>
          </w:p>
          <w:p w14:paraId="7DDB5867">
            <w:pPr>
              <w:snapToGrid w:val="0"/>
              <w:spacing w:line="500" w:lineRule="exact"/>
              <w:ind w:firstLine="480" w:firstLineChars="200"/>
              <w:rPr>
                <w:rFonts w:hint="eastAsia" w:ascii="Times New Roman" w:hAnsi="Times New Roman" w:eastAsia="宋体"/>
                <w:highlight w:val="none"/>
              </w:rPr>
            </w:pPr>
          </w:p>
          <w:p w14:paraId="31FD38B4">
            <w:pPr>
              <w:snapToGrid w:val="0"/>
              <w:spacing w:line="500" w:lineRule="exact"/>
              <w:ind w:firstLine="480" w:firstLineChars="200"/>
              <w:rPr>
                <w:rFonts w:hint="eastAsia" w:ascii="Times New Roman" w:hAnsi="Times New Roman" w:eastAsia="宋体"/>
                <w:highlight w:val="none"/>
              </w:rPr>
            </w:pPr>
          </w:p>
          <w:p w14:paraId="6E9E9D09">
            <w:pPr>
              <w:snapToGrid w:val="0"/>
              <w:spacing w:line="500" w:lineRule="exact"/>
              <w:rPr>
                <w:rFonts w:hint="eastAsia" w:ascii="Times New Roman" w:hAnsi="Times New Roman" w:eastAsia="宋体"/>
                <w:highlight w:val="none"/>
              </w:rPr>
            </w:pPr>
          </w:p>
        </w:tc>
      </w:tr>
    </w:tbl>
    <w:p w14:paraId="4C11F33F">
      <w:pPr>
        <w:rPr>
          <w:rFonts w:hint="eastAsia" w:ascii="Times New Roman" w:hAnsi="Times New Roman" w:eastAsia="宋体" w:cs="黑体"/>
          <w:b w:val="0"/>
          <w:sz w:val="30"/>
          <w:szCs w:val="30"/>
        </w:rPr>
      </w:pPr>
      <w:r>
        <w:rPr>
          <w:rFonts w:hint="eastAsia" w:ascii="Times New Roman" w:hAnsi="Times New Roman" w:eastAsia="宋体" w:cs="黑体"/>
          <w:b w:val="0"/>
          <w:sz w:val="30"/>
          <w:szCs w:val="30"/>
        </w:rPr>
        <w:br w:type="page"/>
      </w:r>
    </w:p>
    <w:p w14:paraId="717CD62B">
      <w:pPr>
        <w:pStyle w:val="2"/>
        <w:snapToGrid w:val="0"/>
        <w:spacing w:before="0" w:after="0" w:line="360" w:lineRule="auto"/>
        <w:jc w:val="center"/>
        <w:rPr>
          <w:rFonts w:hint="eastAsia" w:ascii="Times New Roman" w:hAnsi="Times New Roman" w:eastAsia="宋体" w:cs="黑体"/>
          <w:b w:val="0"/>
          <w:sz w:val="30"/>
          <w:szCs w:val="30"/>
        </w:rPr>
      </w:pPr>
      <w:r>
        <w:rPr>
          <w:rFonts w:hint="eastAsia" w:ascii="Times New Roman" w:hAnsi="Times New Roman" w:eastAsia="宋体" w:cs="黑体"/>
          <w:b w:val="0"/>
          <w:sz w:val="30"/>
          <w:szCs w:val="30"/>
        </w:rPr>
        <w:t>五、主要生态环境保护措施</w:t>
      </w:r>
    </w:p>
    <w:tbl>
      <w:tblPr>
        <w:tblStyle w:val="16"/>
        <w:tblW w:w="49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8938"/>
      </w:tblGrid>
      <w:tr w14:paraId="11C1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Align w:val="center"/>
          </w:tcPr>
          <w:p w14:paraId="5C964740">
            <w:pPr>
              <w:adjustRightInd w:val="0"/>
              <w:snapToGrid w:val="0"/>
              <w:spacing w:line="500" w:lineRule="exact"/>
              <w:rPr>
                <w:rFonts w:hint="eastAsia" w:ascii="Times New Roman" w:hAnsi="Times New Roman" w:eastAsia="宋体" w:cs="宋体"/>
              </w:rPr>
            </w:pPr>
            <w:r>
              <w:rPr>
                <w:rFonts w:hint="eastAsia" w:ascii="Times New Roman" w:hAnsi="Times New Roman" w:eastAsia="宋体" w:cs="宋体"/>
                <w:bCs/>
              </w:rPr>
              <w:t>施工期生态环境保护措施</w:t>
            </w:r>
          </w:p>
        </w:tc>
        <w:tc>
          <w:tcPr>
            <w:tcW w:w="4604" w:type="pct"/>
          </w:tcPr>
          <w:p w14:paraId="5A84DF3B">
            <w:pPr>
              <w:snapToGrid w:val="0"/>
              <w:spacing w:line="500" w:lineRule="exact"/>
              <w:rPr>
                <w:rFonts w:hint="eastAsia" w:ascii="Times New Roman" w:hAnsi="Times New Roman" w:eastAsia="宋体" w:cs="宋体"/>
                <w:b/>
                <w:bCs/>
              </w:rPr>
            </w:pPr>
            <w:r>
              <w:rPr>
                <w:rFonts w:hint="eastAsia" w:cs="宋体"/>
                <w:b/>
                <w:bCs/>
                <w:lang w:eastAsia="zh-CN"/>
              </w:rPr>
              <w:t>1.</w:t>
            </w:r>
            <w:r>
              <w:rPr>
                <w:rFonts w:hint="eastAsia" w:ascii="Times New Roman" w:hAnsi="Times New Roman" w:eastAsia="宋体" w:cs="宋体"/>
                <w:b/>
                <w:bCs/>
              </w:rPr>
              <w:t>生态环境保护措施</w:t>
            </w:r>
          </w:p>
          <w:p w14:paraId="0DDE5F42">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建设单位及施工单位应严格执行本次评价提出的生态环境保护措施，并确保各项保护措施与勘探工程同时设计、同时施工、同时使用。</w:t>
            </w:r>
          </w:p>
          <w:p w14:paraId="10DF7F06">
            <w:pPr>
              <w:snapToGrid w:val="0"/>
              <w:spacing w:line="500" w:lineRule="exact"/>
              <w:ind w:firstLine="480" w:firstLineChars="200"/>
              <w:rPr>
                <w:rFonts w:hint="eastAsia" w:ascii="Times New Roman" w:hAnsi="Times New Roman" w:eastAsia="宋体" w:cs="宋体"/>
              </w:rPr>
            </w:pPr>
            <w:bookmarkStart w:id="32" w:name="_Hlk140837423"/>
            <w:r>
              <w:rPr>
                <w:rFonts w:hint="eastAsia" w:ascii="Times New Roman" w:hAnsi="Times New Roman" w:eastAsia="宋体" w:cs="宋体"/>
              </w:rPr>
              <w:t>（1）植被保护措施</w:t>
            </w:r>
          </w:p>
          <w:p w14:paraId="1DFCEA2F">
            <w:pPr>
              <w:snapToGrid w:val="0"/>
              <w:spacing w:line="500" w:lineRule="exact"/>
              <w:ind w:firstLine="480" w:firstLineChars="200"/>
              <w:rPr>
                <w:rFonts w:hint="eastAsia" w:ascii="Times New Roman" w:hAnsi="Times New Roman" w:eastAsia="宋体" w:cs="宋体"/>
              </w:rPr>
            </w:pPr>
            <w:bookmarkStart w:id="33" w:name="_Hlk140834056"/>
            <w:r>
              <w:rPr>
                <w:rFonts w:hint="eastAsia" w:ascii="Times New Roman" w:hAnsi="Times New Roman" w:eastAsia="宋体" w:cs="宋体"/>
              </w:rPr>
              <w:t>①工程避让措施：在满足勘探设计和施工要求的前提下，对临时堆场等临时占地进行适当调整，避开野生植物生长密集地带，减少占地。</w:t>
            </w:r>
            <w:bookmarkStart w:id="34" w:name="_Hlk136795909"/>
          </w:p>
          <w:p w14:paraId="38A7F452">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②减缓措施：严格控制槽探、钻探等各类工程建设活动在临时占地范围内，</w:t>
            </w:r>
            <w:r>
              <w:rPr>
                <w:rFonts w:hint="default" w:ascii="Segoe UI" w:hAnsi="Segoe UI" w:eastAsia="Segoe UI" w:cs="Segoe UI"/>
                <w:i w:val="0"/>
                <w:iCs w:val="0"/>
                <w:caps w:val="0"/>
                <w:color w:val="0F1115"/>
                <w:spacing w:val="0"/>
                <w:sz w:val="24"/>
                <w:szCs w:val="24"/>
                <w:shd w:val="clear" w:fill="FFFFFF"/>
              </w:rPr>
              <w:t>采用彩旗结合安全警戒</w:t>
            </w:r>
            <w:r>
              <w:rPr>
                <w:rFonts w:hint="eastAsia" w:ascii="Segoe UI" w:hAnsi="Segoe UI" w:eastAsia="宋体" w:cs="Segoe UI"/>
                <w:i w:val="0"/>
                <w:iCs w:val="0"/>
                <w:caps w:val="0"/>
                <w:color w:val="0F1115"/>
                <w:spacing w:val="0"/>
                <w:sz w:val="24"/>
                <w:szCs w:val="24"/>
                <w:shd w:val="clear" w:fill="FFFFFF"/>
                <w:lang w:val="en-US" w:eastAsia="zh-CN"/>
              </w:rPr>
              <w:t>线</w:t>
            </w:r>
            <w:r>
              <w:rPr>
                <w:rFonts w:hint="default" w:ascii="Segoe UI" w:hAnsi="Segoe UI" w:eastAsia="Segoe UI" w:cs="Segoe UI"/>
                <w:i w:val="0"/>
                <w:iCs w:val="0"/>
                <w:caps w:val="0"/>
                <w:color w:val="0F1115"/>
                <w:spacing w:val="0"/>
                <w:sz w:val="24"/>
                <w:szCs w:val="24"/>
                <w:shd w:val="clear" w:fill="FFFFFF"/>
              </w:rPr>
              <w:t>（或围栏）的方式封闭施工作业区域</w:t>
            </w:r>
            <w:r>
              <w:rPr>
                <w:rFonts w:hint="eastAsia" w:ascii="Segoe UI" w:hAnsi="Segoe UI" w:eastAsia="宋体" w:cs="Segoe UI"/>
                <w:i w:val="0"/>
                <w:iCs w:val="0"/>
                <w:caps w:val="0"/>
                <w:color w:val="0F1115"/>
                <w:spacing w:val="0"/>
                <w:sz w:val="24"/>
                <w:szCs w:val="24"/>
                <w:shd w:val="clear" w:fill="FFFFFF"/>
                <w:lang w:eastAsia="zh-CN"/>
              </w:rPr>
              <w:t>，</w:t>
            </w:r>
            <w:r>
              <w:rPr>
                <w:rFonts w:hint="eastAsia" w:ascii="Times New Roman" w:hAnsi="Times New Roman" w:eastAsia="宋体" w:cs="宋体"/>
              </w:rPr>
              <w:t>不得随意扩大、碾压周边野生植被</w:t>
            </w:r>
            <w:r>
              <w:rPr>
                <w:rFonts w:hint="eastAsia" w:ascii="Times New Roman" w:hAnsi="Times New Roman" w:eastAsia="宋体"/>
              </w:rPr>
              <w:t>，最大限度</w:t>
            </w:r>
            <w:r>
              <w:rPr>
                <w:rFonts w:hint="eastAsia"/>
                <w:lang w:eastAsia="zh-CN"/>
              </w:rPr>
              <w:t>减少</w:t>
            </w:r>
            <w:r>
              <w:rPr>
                <w:rFonts w:hint="eastAsia" w:ascii="Times New Roman" w:hAnsi="Times New Roman" w:eastAsia="宋体"/>
              </w:rPr>
              <w:t>对野生植物生存环境的破坏。</w:t>
            </w:r>
            <w:r>
              <w:rPr>
                <w:rFonts w:hint="eastAsia" w:ascii="Times New Roman" w:hAnsi="Times New Roman" w:eastAsia="宋体" w:cs="宋体"/>
              </w:rPr>
              <w:t>尽量缩小施工占地，不得随意开辟道路，减少影响范围；确保各环保设施正常运行，避免各类污染物对土壤环境的影响，防止进一步影响其上部生长的野生植被</w:t>
            </w:r>
            <w:r>
              <w:rPr>
                <w:rFonts w:hint="eastAsia" w:ascii="Times New Roman" w:hAnsi="Times New Roman" w:eastAsia="宋体"/>
              </w:rPr>
              <w:t>。项目在建设过程中，应避免在大风天气作业，避免风蚀从而造成水土流失；提高施工效率，缩短施工时间。严格按施工方案要求在指定地点堆放临时土石方，并压紧、夯实，减少扬尘对野生植被的影响。</w:t>
            </w:r>
          </w:p>
          <w:p w14:paraId="503D9235">
            <w:pPr>
              <w:snapToGrid w:val="0"/>
              <w:spacing w:line="500" w:lineRule="exact"/>
              <w:ind w:firstLine="480" w:firstLineChars="200"/>
              <w:rPr>
                <w:rFonts w:hint="eastAsia" w:ascii="Times New Roman" w:hAnsi="Times New Roman" w:eastAsia="宋体" w:cs="宋体"/>
              </w:rPr>
            </w:pPr>
            <w:bookmarkStart w:id="35" w:name="_Hlk143198760"/>
            <w:r>
              <w:rPr>
                <w:rFonts w:hint="eastAsia" w:ascii="Times New Roman" w:hAnsi="Times New Roman" w:eastAsia="宋体" w:cs="宋体"/>
              </w:rPr>
              <w:t>③</w:t>
            </w:r>
            <w:r>
              <w:rPr>
                <w:rFonts w:hint="eastAsia" w:ascii="Times New Roman" w:hAnsi="Times New Roman" w:eastAsia="宋体" w:cs="宋体"/>
                <w:lang w:val="en-US" w:eastAsia="zh-CN"/>
              </w:rPr>
              <w:t>恢复</w:t>
            </w:r>
            <w:r>
              <w:rPr>
                <w:rFonts w:hint="eastAsia" w:ascii="Times New Roman" w:hAnsi="Times New Roman" w:eastAsia="宋体" w:cs="宋体"/>
              </w:rPr>
              <w:t>措施：施工结束后施工机械、设备及时撤离，</w:t>
            </w:r>
            <w:r>
              <w:rPr>
                <w:rFonts w:hint="eastAsia" w:ascii="Times New Roman" w:hAnsi="Times New Roman" w:eastAsia="宋体" w:cs="宋体"/>
                <w:lang w:val="en-US" w:eastAsia="zh-CN"/>
              </w:rPr>
              <w:t>探矿完成后将</w:t>
            </w:r>
            <w:r>
              <w:rPr>
                <w:rFonts w:hint="eastAsia" w:cs="宋体"/>
                <w:lang w:val="en-US" w:eastAsia="zh-CN"/>
              </w:rPr>
              <w:t>一体化污水处理设施</w:t>
            </w:r>
            <w:r>
              <w:rPr>
                <w:rFonts w:hint="eastAsia" w:ascii="Times New Roman" w:hAnsi="Times New Roman" w:eastAsia="宋体" w:cs="宋体"/>
                <w:lang w:val="en-US" w:eastAsia="zh-CN"/>
              </w:rPr>
              <w:t>、泥浆池等临时工程拆除</w:t>
            </w:r>
            <w:r>
              <w:rPr>
                <w:rFonts w:hint="eastAsia" w:ascii="Times New Roman" w:hAnsi="Times New Roman" w:eastAsia="宋体" w:cs="宋体"/>
              </w:rPr>
              <w:t>，废水和固体废物全部妥善处置，禁止现场遗留；尽量利用施工时产生的表层土对临时占地进行覆盖，植被主要靠自然恢复。</w:t>
            </w:r>
          </w:p>
          <w:p w14:paraId="2D619865">
            <w:pPr>
              <w:snapToGrid w:val="0"/>
              <w:spacing w:line="500" w:lineRule="exact"/>
              <w:ind w:firstLine="480" w:firstLineChars="200"/>
              <w:rPr>
                <w:rFonts w:hint="default" w:ascii="Times New Roman" w:hAnsi="Times New Roman" w:eastAsia="宋体" w:cs="宋体"/>
                <w:lang w:val="en-US" w:eastAsia="zh-CN"/>
              </w:rPr>
            </w:pPr>
            <w:r>
              <w:rPr>
                <w:rFonts w:hint="eastAsia" w:ascii="Times New Roman" w:hAnsi="Times New Roman" w:eastAsia="宋体" w:cs="宋体"/>
              </w:rPr>
              <w:t>④</w:t>
            </w:r>
            <w:r>
              <w:rPr>
                <w:rFonts w:hint="eastAsia" w:cs="宋体"/>
                <w:lang w:val="en-US" w:eastAsia="zh-CN"/>
              </w:rPr>
              <w:t>补偿措施：</w:t>
            </w:r>
            <w:r>
              <w:rPr>
                <w:rFonts w:hint="eastAsia" w:cs="宋体"/>
                <w:highlight w:val="none"/>
                <w:lang w:val="en-US" w:eastAsia="zh-CN"/>
              </w:rPr>
              <w:t>本项目占地类型为裸地，几乎无植被覆盖，根据生态治理“宜林则林，宜草则草，宜荒则荒”的原则，本项目施工结束后对</w:t>
            </w:r>
            <w:r>
              <w:rPr>
                <w:rFonts w:hint="eastAsia" w:ascii="Times New Roman" w:hAnsi="Times New Roman" w:eastAsia="宋体" w:cs="宋体"/>
                <w:highlight w:val="none"/>
              </w:rPr>
              <w:t>施工机械、设备及时撤离，</w:t>
            </w:r>
            <w:r>
              <w:rPr>
                <w:rFonts w:hint="eastAsia" w:cs="宋体"/>
                <w:lang w:val="en-US" w:eastAsia="zh-CN"/>
              </w:rPr>
              <w:t>一体化污水处理设施</w:t>
            </w:r>
            <w:r>
              <w:rPr>
                <w:rFonts w:hint="eastAsia" w:ascii="Times New Roman" w:hAnsi="Times New Roman" w:eastAsia="宋体" w:cs="宋体"/>
                <w:highlight w:val="none"/>
                <w:lang w:val="en-US" w:eastAsia="zh-CN"/>
              </w:rPr>
              <w:t>、泥浆池等临时工程拆除</w:t>
            </w:r>
            <w:r>
              <w:rPr>
                <w:rFonts w:hint="eastAsia" w:cs="宋体"/>
                <w:highlight w:val="none"/>
                <w:lang w:val="en-US" w:eastAsia="zh-CN"/>
              </w:rPr>
              <w:t>，临时占地进行清理平整，尽量恢复原有裸岩地貌。</w:t>
            </w:r>
          </w:p>
          <w:bookmarkEnd w:id="32"/>
          <w:bookmarkEnd w:id="33"/>
          <w:bookmarkEnd w:id="34"/>
          <w:bookmarkEnd w:id="35"/>
          <w:p w14:paraId="25C06C79">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fldChar w:fldCharType="begin"/>
            </w:r>
            <w:r>
              <w:rPr>
                <w:rFonts w:hint="eastAsia" w:ascii="Times New Roman" w:hAnsi="Times New Roman" w:eastAsia="宋体" w:cs="宋体"/>
              </w:rPr>
              <w:instrText xml:space="preserve"> = 5 \* GB3 \* MERGEFORMAT </w:instrText>
            </w:r>
            <w:r>
              <w:rPr>
                <w:rFonts w:hint="eastAsia" w:ascii="Times New Roman" w:hAnsi="Times New Roman" w:eastAsia="宋体" w:cs="宋体"/>
              </w:rPr>
              <w:fldChar w:fldCharType="separate"/>
            </w:r>
            <w:r>
              <w:t>⑤</w:t>
            </w:r>
            <w:r>
              <w:rPr>
                <w:rFonts w:hint="eastAsia" w:ascii="Times New Roman" w:hAnsi="Times New Roman" w:eastAsia="宋体" w:cs="宋体"/>
              </w:rPr>
              <w:fldChar w:fldCharType="end"/>
            </w:r>
            <w:r>
              <w:rPr>
                <w:rFonts w:hint="eastAsia" w:ascii="Times New Roman" w:hAnsi="Times New Roman" w:eastAsia="宋体" w:cs="宋体"/>
              </w:rPr>
              <w:t>管理措施：严格控制</w:t>
            </w:r>
            <w:r>
              <w:rPr>
                <w:rFonts w:hint="eastAsia" w:cs="宋体"/>
                <w:lang w:val="en-US" w:eastAsia="zh-CN"/>
              </w:rPr>
              <w:t>临时</w:t>
            </w:r>
            <w:r>
              <w:rPr>
                <w:rFonts w:hint="eastAsia" w:ascii="Times New Roman" w:hAnsi="Times New Roman" w:eastAsia="宋体" w:cs="宋体"/>
              </w:rPr>
              <w:t>占地</w:t>
            </w:r>
            <w:r>
              <w:rPr>
                <w:rFonts w:hint="eastAsia" w:cs="宋体"/>
                <w:lang w:val="en-US" w:eastAsia="zh-CN"/>
              </w:rPr>
              <w:t>面积</w:t>
            </w:r>
            <w:r>
              <w:rPr>
                <w:rFonts w:hint="eastAsia" w:ascii="Times New Roman" w:hAnsi="Times New Roman" w:eastAsia="宋体" w:cs="宋体"/>
              </w:rPr>
              <w:t>，严格划定车辆</w:t>
            </w:r>
            <w:r>
              <w:rPr>
                <w:rFonts w:hint="eastAsia" w:cs="宋体"/>
                <w:lang w:val="en-US" w:eastAsia="zh-CN"/>
              </w:rPr>
              <w:t>及施工机械的</w:t>
            </w:r>
            <w:r>
              <w:rPr>
                <w:rFonts w:hint="eastAsia" w:ascii="Times New Roman" w:hAnsi="Times New Roman" w:eastAsia="宋体" w:cs="宋体"/>
              </w:rPr>
              <w:t>路线，禁止运输车辆</w:t>
            </w:r>
            <w:r>
              <w:rPr>
                <w:rFonts w:hint="eastAsia" w:cs="宋体"/>
                <w:lang w:val="en-US" w:eastAsia="zh-CN"/>
              </w:rPr>
              <w:t>及施工机械</w:t>
            </w:r>
            <w:r>
              <w:rPr>
                <w:rFonts w:hint="eastAsia" w:ascii="Times New Roman" w:hAnsi="Times New Roman" w:eastAsia="宋体" w:cs="宋体"/>
              </w:rPr>
              <w:t>乱碾乱轧</w:t>
            </w:r>
            <w:r>
              <w:rPr>
                <w:rFonts w:hint="eastAsia" w:cs="宋体"/>
                <w:lang w:eastAsia="zh-CN"/>
              </w:rPr>
              <w:t>，严禁随意穿越生态保护红线区</w:t>
            </w:r>
            <w:r>
              <w:rPr>
                <w:rFonts w:hint="eastAsia" w:ascii="Times New Roman" w:hAnsi="Times New Roman" w:eastAsia="宋体" w:cs="宋体"/>
              </w:rPr>
              <w:t>；严格规定各类工作人员的活动范围，</w:t>
            </w:r>
            <w:r>
              <w:rPr>
                <w:rFonts w:hint="eastAsia" w:cs="宋体"/>
                <w:lang w:val="en-US" w:eastAsia="zh-CN"/>
              </w:rPr>
              <w:t>禁止工作人员随意进入生态保护红线区</w:t>
            </w:r>
            <w:r>
              <w:rPr>
                <w:rFonts w:hint="eastAsia" w:cs="宋体"/>
                <w:lang w:eastAsia="zh-CN"/>
              </w:rPr>
              <w:t>；在生态保护红线区内，禁止设置各类取弃土场、渣场、填埋场等；</w:t>
            </w:r>
            <w:r>
              <w:rPr>
                <w:rFonts w:hint="eastAsia" w:ascii="Times New Roman" w:hAnsi="Times New Roman" w:eastAsia="宋体" w:cs="宋体"/>
              </w:rPr>
              <w:t>加强环境保护宣传工作，</w:t>
            </w:r>
            <w:r>
              <w:rPr>
                <w:rFonts w:hint="eastAsia" w:cs="宋体"/>
                <w:lang w:eastAsia="zh-CN"/>
              </w:rPr>
              <w:t>增强</w:t>
            </w:r>
            <w:r>
              <w:rPr>
                <w:rFonts w:hint="eastAsia" w:ascii="Times New Roman" w:hAnsi="Times New Roman" w:eastAsia="宋体" w:cs="宋体"/>
              </w:rPr>
              <w:t>施工人员环保意识，特别是注意对野生动物和自然植被的保护。</w:t>
            </w:r>
            <w:bookmarkStart w:id="36" w:name="_Hlk164164670"/>
            <w:bookmarkStart w:id="37" w:name="_Hlk75954520"/>
          </w:p>
          <w:bookmarkEnd w:id="36"/>
          <w:bookmarkEnd w:id="37"/>
          <w:p w14:paraId="063BA187">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w:t>
            </w:r>
            <w:r>
              <w:rPr>
                <w:rFonts w:ascii="Times New Roman" w:hAnsi="Times New Roman" w:eastAsia="宋体" w:cs="宋体"/>
              </w:rPr>
              <w:t>3</w:t>
            </w:r>
            <w:r>
              <w:rPr>
                <w:rFonts w:hint="eastAsia" w:ascii="Times New Roman" w:hAnsi="Times New Roman" w:eastAsia="宋体" w:cs="宋体"/>
              </w:rPr>
              <w:t>）对野生动物的生态环保措施要求</w:t>
            </w:r>
          </w:p>
          <w:p w14:paraId="0369581E">
            <w:pPr>
              <w:snapToGrid w:val="0"/>
              <w:spacing w:line="500" w:lineRule="exact"/>
              <w:ind w:firstLine="480" w:firstLineChars="200"/>
              <w:rPr>
                <w:rFonts w:hint="eastAsia" w:cs="宋体"/>
                <w:lang w:val="en-US" w:eastAsia="zh-CN"/>
              </w:rPr>
            </w:pPr>
            <w:r>
              <w:rPr>
                <w:rFonts w:hint="eastAsia" w:ascii="Times New Roman" w:hAnsi="Times New Roman" w:eastAsia="宋体" w:cs="宋体"/>
              </w:rPr>
              <w:t>①</w:t>
            </w:r>
            <w:r>
              <w:rPr>
                <w:rFonts w:hint="eastAsia" w:cs="宋体"/>
                <w:lang w:val="en-US" w:eastAsia="zh-CN"/>
              </w:rPr>
              <w:t>迁徙通道保护及恢复</w:t>
            </w:r>
          </w:p>
          <w:p w14:paraId="0B859312">
            <w:pPr>
              <w:snapToGrid w:val="0"/>
              <w:spacing w:line="500" w:lineRule="exact"/>
              <w:ind w:firstLine="480" w:firstLineChars="200"/>
              <w:rPr>
                <w:rFonts w:hint="default" w:cs="宋体"/>
                <w:lang w:val="en-US" w:eastAsia="zh-CN"/>
              </w:rPr>
            </w:pPr>
            <w:r>
              <w:rPr>
                <w:rFonts w:hint="eastAsia" w:ascii="Times New Roman" w:hAnsi="Times New Roman" w:eastAsia="宋体" w:cs="宋体"/>
              </w:rPr>
              <w:t>建设单位在施工过程中要</w:t>
            </w:r>
            <w:r>
              <w:rPr>
                <w:rFonts w:hint="eastAsia" w:cs="宋体"/>
                <w:lang w:val="en-US" w:eastAsia="zh-CN"/>
              </w:rPr>
              <w:t>明确界定作业边界（如使用围栏、标志等），</w:t>
            </w:r>
            <w:r>
              <w:rPr>
                <w:rFonts w:hint="eastAsia" w:ascii="Times New Roman" w:hAnsi="Times New Roman" w:eastAsia="宋体" w:cs="宋体"/>
              </w:rPr>
              <w:t>严格规定工作人员</w:t>
            </w:r>
            <w:r>
              <w:rPr>
                <w:rFonts w:hint="eastAsia" w:cs="宋体"/>
                <w:lang w:eastAsia="zh-CN"/>
              </w:rPr>
              <w:t>、</w:t>
            </w:r>
            <w:r>
              <w:rPr>
                <w:rFonts w:hint="eastAsia" w:cs="宋体"/>
                <w:lang w:val="en-US" w:eastAsia="zh-CN"/>
              </w:rPr>
              <w:t>车辆和施工机械</w:t>
            </w:r>
            <w:r>
              <w:rPr>
                <w:rFonts w:hint="eastAsia" w:ascii="Times New Roman" w:hAnsi="Times New Roman" w:eastAsia="宋体" w:cs="宋体"/>
              </w:rPr>
              <w:t>的活动范围，</w:t>
            </w:r>
            <w:r>
              <w:rPr>
                <w:rFonts w:hint="eastAsia" w:cs="宋体"/>
                <w:lang w:val="en-US" w:eastAsia="zh-CN"/>
              </w:rPr>
              <w:t>禁止进入非必要区域，尤其是</w:t>
            </w:r>
            <w:r>
              <w:rPr>
                <w:rFonts w:hint="eastAsia" w:ascii="Times New Roman" w:hAnsi="Times New Roman" w:eastAsia="宋体" w:cs="宋体"/>
              </w:rPr>
              <w:t>野生动物的栖息地</w:t>
            </w:r>
            <w:r>
              <w:rPr>
                <w:rFonts w:hint="eastAsia" w:cs="宋体"/>
                <w:lang w:eastAsia="zh-CN"/>
              </w:rPr>
              <w:t>、</w:t>
            </w:r>
            <w:r>
              <w:rPr>
                <w:rFonts w:hint="eastAsia" w:cs="宋体"/>
                <w:lang w:val="en-US" w:eastAsia="zh-CN"/>
              </w:rPr>
              <w:t>迁徙通道</w:t>
            </w:r>
            <w:r>
              <w:rPr>
                <w:rFonts w:hint="eastAsia" w:ascii="Times New Roman" w:hAnsi="Times New Roman" w:eastAsia="宋体" w:cs="宋体"/>
              </w:rPr>
              <w:t>；</w:t>
            </w:r>
            <w:r>
              <w:rPr>
                <w:rFonts w:hint="eastAsia" w:cs="宋体"/>
                <w:lang w:val="en-US" w:eastAsia="zh-CN"/>
              </w:rPr>
              <w:t>需要清理植被的区域，剥离并妥善保存表土层，用于后期生态恢复。</w:t>
            </w:r>
          </w:p>
          <w:p w14:paraId="2B096D60">
            <w:pPr>
              <w:snapToGrid w:val="0"/>
              <w:spacing w:line="500" w:lineRule="exact"/>
              <w:ind w:firstLine="480" w:firstLineChars="200"/>
              <w:rPr>
                <w:rFonts w:hint="eastAsia" w:cs="宋体"/>
                <w:lang w:val="en-US" w:eastAsia="zh-CN"/>
              </w:rPr>
            </w:pPr>
            <w:r>
              <w:rPr>
                <w:rFonts w:hint="eastAsia" w:ascii="Times New Roman" w:hAnsi="Times New Roman" w:eastAsia="宋体" w:cs="宋体"/>
              </w:rPr>
              <w:t>②</w:t>
            </w:r>
            <w:r>
              <w:rPr>
                <w:rFonts w:hint="eastAsia" w:cs="宋体"/>
                <w:lang w:val="en-US" w:eastAsia="zh-CN"/>
              </w:rPr>
              <w:t>野生动物干扰最小化</w:t>
            </w:r>
          </w:p>
          <w:p w14:paraId="2ADDDCCF">
            <w:pPr>
              <w:snapToGrid w:val="0"/>
              <w:spacing w:line="500" w:lineRule="exact"/>
              <w:ind w:firstLine="480" w:firstLineChars="200"/>
              <w:rPr>
                <w:rFonts w:hint="default" w:cs="宋体"/>
                <w:lang w:val="en-US" w:eastAsia="zh-CN"/>
              </w:rPr>
            </w:pPr>
            <w:r>
              <w:rPr>
                <w:rFonts w:hint="eastAsia" w:ascii="Times New Roman" w:hAnsi="Times New Roman" w:cs="宋体"/>
                <w:lang w:val="en-US" w:eastAsia="zh-CN"/>
              </w:rPr>
              <w:t>选</w:t>
            </w:r>
            <w:r>
              <w:rPr>
                <w:rFonts w:hint="eastAsia" w:ascii="Times New Roman" w:hAnsi="Times New Roman" w:eastAsia="宋体" w:cs="宋体"/>
              </w:rPr>
              <w:t>用低噪声设备</w:t>
            </w:r>
            <w:r>
              <w:rPr>
                <w:rFonts w:hint="eastAsia" w:ascii="Times New Roman" w:hAnsi="Times New Roman" w:cs="宋体"/>
                <w:lang w:eastAsia="zh-CN"/>
              </w:rPr>
              <w:t>，</w:t>
            </w:r>
            <w:r>
              <w:rPr>
                <w:rFonts w:hint="eastAsia" w:ascii="Times New Roman" w:hAnsi="Times New Roman" w:eastAsia="宋体" w:cs="宋体"/>
              </w:rPr>
              <w:t>对噪声较大的设备采取基础</w:t>
            </w:r>
            <w:r>
              <w:rPr>
                <w:rFonts w:hint="eastAsia" w:ascii="Times New Roman" w:hAnsi="Times New Roman" w:cs="宋体"/>
                <w:lang w:eastAsia="zh-CN"/>
              </w:rPr>
              <w:t>减振</w:t>
            </w:r>
            <w:r>
              <w:rPr>
                <w:rFonts w:hint="eastAsia" w:ascii="Times New Roman" w:hAnsi="Times New Roman" w:eastAsia="宋体" w:cs="宋体"/>
              </w:rPr>
              <w:t>措施</w:t>
            </w:r>
            <w:r>
              <w:rPr>
                <w:rFonts w:hint="eastAsia" w:cs="宋体"/>
                <w:lang w:val="en-US" w:eastAsia="zh-CN"/>
              </w:rPr>
              <w:t>，合理安排施工时间禁止在夜间施工，避免影响夜行动物和迁徙鸟类。</w:t>
            </w:r>
          </w:p>
          <w:p w14:paraId="692274C6">
            <w:pPr>
              <w:snapToGrid w:val="0"/>
              <w:spacing w:line="500" w:lineRule="exact"/>
              <w:ind w:firstLine="480" w:firstLineChars="200"/>
              <w:rPr>
                <w:rFonts w:hint="default" w:eastAsia="宋体" w:cs="宋体"/>
                <w:lang w:val="en-US" w:eastAsia="zh-CN"/>
              </w:rPr>
            </w:pPr>
            <w:r>
              <w:rPr>
                <w:rFonts w:hint="eastAsia" w:ascii="Times New Roman" w:hAnsi="Times New Roman" w:eastAsia="宋体" w:cs="宋体"/>
              </w:rPr>
              <w:t>③</w:t>
            </w:r>
            <w:r>
              <w:rPr>
                <w:rFonts w:hint="eastAsia" w:cs="宋体"/>
                <w:lang w:val="en-US" w:eastAsia="zh-CN"/>
              </w:rPr>
              <w:t>管理措施</w:t>
            </w:r>
          </w:p>
          <w:p w14:paraId="431E0632">
            <w:pPr>
              <w:snapToGrid w:val="0"/>
              <w:spacing w:line="500" w:lineRule="exact"/>
              <w:ind w:firstLine="480" w:firstLineChars="200"/>
              <w:rPr>
                <w:rFonts w:hint="default" w:cs="宋体"/>
                <w:lang w:val="en-US" w:eastAsia="zh-CN"/>
              </w:rPr>
            </w:pPr>
            <w:r>
              <w:rPr>
                <w:rFonts w:hint="eastAsia" w:cs="宋体"/>
                <w:lang w:val="en-US" w:eastAsia="zh-CN"/>
              </w:rPr>
              <w:t>安全储存和使用燃料、润滑油及钻井液等，防止泄漏污染土壤及水源，配备应急处理设施（如防渗材料）；</w:t>
            </w:r>
            <w:r>
              <w:rPr>
                <w:rFonts w:hint="eastAsia" w:ascii="Times New Roman" w:hAnsi="Times New Roman" w:eastAsia="宋体" w:cs="宋体"/>
              </w:rPr>
              <w:t>对施工人员开展保护野生动物宣传教育工作，强化保护野生动物的观念；加强管理，确保各生产设施的正常运行，避免强噪声情况发生而对野生动物造成惊扰。</w:t>
            </w:r>
          </w:p>
          <w:p w14:paraId="4CB9D64B">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上述生态环境保护措施均为技术可行、经济合理、稳定可靠、便于实施的成熟措施，在油气田勘探过程中得到广泛应用。采取上述措施后，可有效减轻对野生动植物及水土流失的不利影响，施工过程中对周围生态环境的破坏可降低至可接受水平。</w:t>
            </w:r>
          </w:p>
          <w:p w14:paraId="1D15CBC3">
            <w:pPr>
              <w:widowControl/>
              <w:snapToGrid w:val="0"/>
              <w:spacing w:line="500" w:lineRule="exact"/>
              <w:rPr>
                <w:rFonts w:hint="eastAsia" w:ascii="Times New Roman" w:hAnsi="Times New Roman" w:eastAsia="宋体" w:cs="宋体"/>
                <w:b/>
                <w:bCs/>
              </w:rPr>
            </w:pPr>
            <w:r>
              <w:rPr>
                <w:rFonts w:hint="eastAsia" w:cs="宋体"/>
                <w:b/>
                <w:bCs/>
                <w:lang w:eastAsia="zh-CN"/>
              </w:rPr>
              <w:t>2.</w:t>
            </w:r>
            <w:r>
              <w:rPr>
                <w:rFonts w:hint="eastAsia" w:ascii="Times New Roman" w:hAnsi="Times New Roman" w:eastAsia="宋体" w:cs="宋体"/>
                <w:b/>
                <w:bCs/>
              </w:rPr>
              <w:t>水土保持措施</w:t>
            </w:r>
          </w:p>
          <w:p w14:paraId="517FEDF1">
            <w:pPr>
              <w:pStyle w:val="26"/>
              <w:ind w:firstLine="480"/>
              <w:rPr>
                <w:rFonts w:hint="eastAsia" w:ascii="Times New Roman" w:hAnsi="Times New Roman" w:eastAsia="宋体" w:cs="宋体"/>
              </w:rPr>
            </w:pPr>
            <w:r>
              <w:rPr>
                <w:rFonts w:hint="eastAsia" w:ascii="Times New Roman" w:hAnsi="Times New Roman" w:eastAsia="宋体" w:cs="宋体"/>
              </w:rPr>
              <w:t>（1）</w:t>
            </w:r>
            <w:r>
              <w:rPr>
                <w:rFonts w:hint="eastAsia" w:ascii="Times New Roman" w:hAnsi="Times New Roman" w:eastAsia="宋体"/>
              </w:rPr>
              <w:t>优化勘探工程布局与设计：</w:t>
            </w:r>
            <w:r>
              <w:rPr>
                <w:rFonts w:ascii="Times New Roman" w:hAnsi="Times New Roman" w:eastAsia="宋体" w:cs="宋体"/>
              </w:rPr>
              <w:t>施工期间严格划定施工活动范围，严格控制和管理运输车辆及重型机械的运行范围，不另辟施工便道，不得离开运输道路及随意驾驶，避免增加对地表的扰动和破坏。</w:t>
            </w:r>
            <w:r>
              <w:rPr>
                <w:rFonts w:hint="eastAsia" w:ascii="Times New Roman" w:hAnsi="Times New Roman" w:eastAsia="宋体"/>
              </w:rPr>
              <w:t>合理规划物化探测线、探槽、钻孔位置，避开陡坡、汇水线、植被良好区、水体附近等敏感区域。</w:t>
            </w:r>
          </w:p>
          <w:p w14:paraId="024D8AE3">
            <w:pPr>
              <w:pStyle w:val="26"/>
              <w:ind w:firstLine="480"/>
              <w:rPr>
                <w:rFonts w:hint="eastAsia" w:ascii="Times New Roman" w:hAnsi="Times New Roman" w:eastAsia="宋体" w:cs="宋体"/>
              </w:rPr>
            </w:pPr>
            <w:r>
              <w:rPr>
                <w:rFonts w:hint="eastAsia" w:ascii="Times New Roman" w:hAnsi="Times New Roman" w:eastAsia="宋体" w:cs="宋体"/>
              </w:rPr>
              <w:t>（2）</w:t>
            </w:r>
            <w:r>
              <w:rPr>
                <w:rFonts w:hint="eastAsia" w:ascii="Times New Roman" w:hAnsi="Times New Roman" w:eastAsia="宋体"/>
              </w:rPr>
              <w:t>减少扰动面积与时间：</w:t>
            </w:r>
            <w:r>
              <w:rPr>
                <w:rFonts w:hint="eastAsia" w:ascii="Times New Roman" w:hAnsi="Times New Roman" w:eastAsia="宋体" w:cs="宋体"/>
              </w:rPr>
              <w:t>合理安排施工时间，避免大风大雨天气施工，</w:t>
            </w:r>
            <w:r>
              <w:rPr>
                <w:rFonts w:ascii="Times New Roman" w:hAnsi="Times New Roman" w:eastAsia="宋体" w:cs="宋体"/>
              </w:rPr>
              <w:t>以免造成土壤风蚀影响</w:t>
            </w:r>
            <w:r>
              <w:rPr>
                <w:rFonts w:hint="eastAsia" w:ascii="Times New Roman" w:hAnsi="Times New Roman" w:eastAsia="宋体" w:cs="宋体"/>
                <w:lang w:eastAsia="zh-CN"/>
              </w:rPr>
              <w:t>；</w:t>
            </w:r>
            <w:r>
              <w:rPr>
                <w:rFonts w:hint="eastAsia" w:ascii="Times New Roman" w:hAnsi="Times New Roman" w:eastAsia="宋体"/>
              </w:rPr>
              <w:t>缩短工作面暴露时间，完成一段，防护一段，恢复一段。</w:t>
            </w:r>
          </w:p>
          <w:p w14:paraId="19D54E5F">
            <w:pPr>
              <w:pStyle w:val="26"/>
              <w:ind w:firstLine="480"/>
              <w:rPr>
                <w:rFonts w:hint="eastAsia" w:ascii="Times New Roman" w:hAnsi="Times New Roman" w:eastAsia="宋体" w:cs="宋体"/>
              </w:rPr>
            </w:pPr>
            <w:r>
              <w:rPr>
                <w:rFonts w:hint="eastAsia" w:ascii="Times New Roman" w:hAnsi="Times New Roman" w:eastAsia="宋体" w:cs="宋体"/>
              </w:rPr>
              <w:t>（3）</w:t>
            </w:r>
            <w:r>
              <w:rPr>
                <w:rFonts w:hint="eastAsia" w:ascii="Times New Roman" w:hAnsi="Times New Roman" w:eastAsia="宋体" w:cs="宋体"/>
                <w:lang w:val="en-US" w:eastAsia="zh-CN"/>
              </w:rPr>
              <w:t>临时占地管理：</w:t>
            </w:r>
            <w:r>
              <w:rPr>
                <w:rFonts w:hint="eastAsia" w:ascii="Times New Roman" w:hAnsi="Times New Roman" w:eastAsia="宋体" w:cs="宋体"/>
              </w:rPr>
              <w:t>施工结束后应及时对临时占地进行清理、平整，平整过程中要保证土体再塑，防止水土流失。</w:t>
            </w:r>
          </w:p>
          <w:p w14:paraId="74A7C917">
            <w:pPr>
              <w:pStyle w:val="26"/>
              <w:ind w:firstLine="480"/>
              <w:rPr>
                <w:rFonts w:hint="eastAsia" w:ascii="Times New Roman" w:hAnsi="Times New Roman" w:eastAsia="宋体"/>
              </w:rPr>
            </w:pPr>
            <w:r>
              <w:rPr>
                <w:rFonts w:hint="eastAsia" w:ascii="Times New Roman" w:hAnsi="Times New Roman" w:eastAsia="宋体" w:cs="宋体"/>
              </w:rPr>
              <w:t>（4）</w:t>
            </w:r>
            <w:r>
              <w:rPr>
                <w:rFonts w:hint="eastAsia" w:ascii="Times New Roman" w:hAnsi="Times New Roman" w:eastAsia="宋体"/>
              </w:rPr>
              <w:t>临时堆</w:t>
            </w:r>
            <w:r>
              <w:rPr>
                <w:rFonts w:hint="eastAsia" w:ascii="Times New Roman" w:hAnsi="Times New Roman" w:eastAsia="宋体"/>
                <w:lang w:val="en-US" w:eastAsia="zh-CN"/>
              </w:rPr>
              <w:t>场</w:t>
            </w:r>
            <w:r>
              <w:rPr>
                <w:rFonts w:hint="eastAsia" w:ascii="Times New Roman" w:hAnsi="Times New Roman" w:eastAsia="宋体"/>
              </w:rPr>
              <w:t>管理</w:t>
            </w:r>
            <w:r>
              <w:rPr>
                <w:rFonts w:hint="eastAsia" w:ascii="Times New Roman" w:hAnsi="Times New Roman" w:eastAsia="宋体"/>
                <w:lang w:eastAsia="zh-CN"/>
              </w:rPr>
              <w:t>：</w:t>
            </w:r>
            <w:r>
              <w:rPr>
                <w:rFonts w:hint="eastAsia" w:ascii="Times New Roman" w:hAnsi="Times New Roman" w:eastAsia="宋体"/>
              </w:rPr>
              <w:t>选择低洼、平坦、稳定、远离河道、沟谷边缘（安全距离&gt;10m）的区域</w:t>
            </w:r>
            <w:r>
              <w:rPr>
                <w:rFonts w:hint="eastAsia" w:ascii="Times New Roman" w:hAnsi="Times New Roman" w:eastAsia="宋体"/>
                <w:lang w:eastAsia="zh-CN"/>
              </w:rPr>
              <w:t>；</w:t>
            </w:r>
            <w:r>
              <w:rPr>
                <w:rFonts w:hint="eastAsia" w:ascii="Times New Roman" w:hAnsi="Times New Roman" w:eastAsia="宋体"/>
              </w:rPr>
              <w:t>在堆土场上游及周边开挖临时排水沟（土质沟），将外来汇水引离堆土场</w:t>
            </w:r>
            <w:r>
              <w:rPr>
                <w:rFonts w:hint="eastAsia" w:ascii="Times New Roman" w:hAnsi="Times New Roman" w:eastAsia="宋体"/>
                <w:lang w:eastAsia="zh-CN"/>
              </w:rPr>
              <w:t>；</w:t>
            </w:r>
            <w:r>
              <w:rPr>
                <w:rFonts w:hint="eastAsia" w:ascii="Times New Roman" w:hAnsi="Times New Roman" w:eastAsia="宋体"/>
              </w:rPr>
              <w:t>在堆土体下游坡脚设置有效的临时拦挡措施</w:t>
            </w:r>
            <w:r>
              <w:rPr>
                <w:rFonts w:hint="eastAsia" w:ascii="Times New Roman" w:hAnsi="Times New Roman" w:eastAsia="宋体"/>
                <w:lang w:eastAsia="zh-CN"/>
              </w:rPr>
              <w:t>；</w:t>
            </w:r>
            <w:r>
              <w:rPr>
                <w:rFonts w:hint="eastAsia" w:ascii="Times New Roman" w:hAnsi="Times New Roman" w:eastAsia="宋体"/>
              </w:rPr>
              <w:t>对长期（超过1个月）堆放或雨季堆放的土体，表面覆盖防雨布，并用石块或土袋压边。</w:t>
            </w:r>
          </w:p>
          <w:p w14:paraId="53CCEFB6">
            <w:pPr>
              <w:pStyle w:val="26"/>
              <w:ind w:firstLine="480"/>
              <w:rPr>
                <w:rFonts w:hint="eastAsia" w:ascii="Times New Roman" w:hAnsi="Times New Roman" w:eastAsia="宋体"/>
              </w:rPr>
            </w:pPr>
            <w:r>
              <w:rPr>
                <w:rFonts w:hint="eastAsia" w:ascii="Times New Roman" w:hAnsi="Times New Roman" w:eastAsia="宋体"/>
                <w:lang w:eastAsia="zh-CN"/>
              </w:rPr>
              <w:t>（</w:t>
            </w:r>
            <w:r>
              <w:rPr>
                <w:rFonts w:hint="eastAsia" w:ascii="Times New Roman" w:hAnsi="Times New Roman" w:eastAsia="宋体"/>
                <w:lang w:val="en-US" w:eastAsia="zh-CN"/>
              </w:rPr>
              <w:t>5）固废管理：</w:t>
            </w:r>
            <w:r>
              <w:rPr>
                <w:rFonts w:hint="eastAsia" w:ascii="Times New Roman" w:hAnsi="Times New Roman" w:eastAsia="宋体"/>
              </w:rPr>
              <w:t>铺设防渗布，设置接油盘，防止机油、柴油泄漏污染土壤和水体。</w:t>
            </w:r>
          </w:p>
          <w:p w14:paraId="469075C9">
            <w:pPr>
              <w:snapToGrid w:val="0"/>
              <w:spacing w:line="500" w:lineRule="exact"/>
              <w:ind w:firstLine="480" w:firstLineChars="200"/>
              <w:rPr>
                <w:rFonts w:hint="eastAsia" w:ascii="Times New Roman" w:hAnsi="Times New Roman" w:eastAsia="宋体"/>
              </w:rPr>
            </w:pPr>
            <w:r>
              <w:rPr>
                <w:rFonts w:hint="eastAsia"/>
                <w:lang w:eastAsia="zh-CN"/>
              </w:rPr>
              <w:t>（</w:t>
            </w:r>
            <w:r>
              <w:rPr>
                <w:rFonts w:hint="eastAsia"/>
                <w:lang w:val="en-US" w:eastAsia="zh-CN"/>
              </w:rPr>
              <w:t>6）</w:t>
            </w:r>
            <w:r>
              <w:rPr>
                <w:rFonts w:hint="eastAsia" w:ascii="Times New Roman" w:hAnsi="Times New Roman" w:eastAsia="宋体"/>
              </w:rPr>
              <w:t>制定详细水土保持方案：</w:t>
            </w:r>
            <w:r>
              <w:rPr>
                <w:rFonts w:hint="eastAsia" w:ascii="Times New Roman" w:hAnsi="Times New Roman" w:eastAsia="宋体" w:cs="宋体"/>
              </w:rPr>
              <w:t>建设单位自行或委托有资质的单位编制水土保持方案，并报相关部门审批；并根据相关技术规范进行水土保持监测，并将监测情况定期上报当地水行政主管部门。</w:t>
            </w:r>
          </w:p>
          <w:p w14:paraId="164136A0">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采取以上措施后可减少对水土流失的影响。</w:t>
            </w:r>
          </w:p>
          <w:p w14:paraId="530E126D">
            <w:pPr>
              <w:widowControl/>
              <w:snapToGrid w:val="0"/>
              <w:spacing w:line="500" w:lineRule="exact"/>
              <w:rPr>
                <w:rFonts w:hint="default" w:ascii="Times New Roman" w:hAnsi="Times New Roman" w:eastAsia="宋体" w:cs="宋体"/>
                <w:b/>
                <w:bCs/>
                <w:lang w:val="en-US" w:eastAsia="zh-CN"/>
              </w:rPr>
            </w:pPr>
            <w:r>
              <w:rPr>
                <w:rFonts w:hint="eastAsia" w:cs="宋体"/>
                <w:b/>
                <w:bCs/>
                <w:lang w:val="en-US" w:eastAsia="zh-CN"/>
              </w:rPr>
              <w:t>3.</w:t>
            </w:r>
            <w:r>
              <w:rPr>
                <w:rFonts w:hint="eastAsia" w:ascii="Times New Roman" w:hAnsi="Times New Roman" w:eastAsia="宋体" w:cs="宋体"/>
                <w:b/>
                <w:bCs/>
                <w:lang w:val="en-US" w:eastAsia="zh-CN"/>
              </w:rPr>
              <w:t>防沙治沙措施</w:t>
            </w:r>
          </w:p>
          <w:p w14:paraId="4EA903EB">
            <w:pPr>
              <w:widowControl/>
              <w:snapToGrid w:val="0"/>
              <w:spacing w:line="500" w:lineRule="exact"/>
              <w:ind w:firstLine="480" w:firstLineChars="200"/>
              <w:rPr>
                <w:rFonts w:hint="eastAsia" w:ascii="Times New Roman" w:hAnsi="Times New Roman" w:eastAsia="宋体" w:cs="宋体"/>
                <w:lang w:val="en-US" w:eastAsia="zh-CN"/>
              </w:rPr>
            </w:pPr>
            <w:r>
              <w:rPr>
                <w:rFonts w:hint="eastAsia" w:ascii="Times New Roman" w:hAnsi="Times New Roman" w:eastAsia="宋体" w:cs="宋体"/>
              </w:rPr>
              <w:t>（1）</w:t>
            </w:r>
            <w:r>
              <w:rPr>
                <w:rFonts w:hint="eastAsia" w:ascii="Times New Roman" w:hAnsi="Times New Roman" w:eastAsia="宋体" w:cs="宋体"/>
                <w:lang w:val="en-US" w:eastAsia="zh-CN"/>
              </w:rPr>
              <w:t>设置钻探平台、生活营地时避开沙丘活动区，优先选择固定沙地和砾石滩。</w:t>
            </w:r>
          </w:p>
          <w:p w14:paraId="37DD075D">
            <w:pPr>
              <w:widowControl/>
              <w:snapToGrid w:val="0"/>
              <w:spacing w:line="500" w:lineRule="exact"/>
              <w:ind w:firstLine="480" w:firstLineChars="200"/>
              <w:rPr>
                <w:rFonts w:hint="default" w:ascii="Times New Roman" w:hAnsi="Times New Roman" w:eastAsia="宋体" w:cs="宋体"/>
                <w:lang w:val="en-US" w:eastAsia="zh-CN"/>
              </w:rPr>
            </w:pPr>
            <w:r>
              <w:rPr>
                <w:rFonts w:hint="eastAsia" w:ascii="Times New Roman" w:hAnsi="Times New Roman" w:eastAsia="宋体" w:cs="宋体"/>
              </w:rPr>
              <w:t>（</w:t>
            </w:r>
            <w:r>
              <w:rPr>
                <w:rFonts w:hint="eastAsia" w:ascii="Times New Roman" w:hAnsi="Times New Roman" w:eastAsia="宋体" w:cs="宋体"/>
                <w:lang w:val="en-US" w:eastAsia="zh-CN"/>
              </w:rPr>
              <w:t>2</w:t>
            </w:r>
            <w:r>
              <w:rPr>
                <w:rFonts w:hint="eastAsia" w:ascii="Times New Roman" w:hAnsi="Times New Roman" w:eastAsia="宋体" w:cs="宋体"/>
              </w:rPr>
              <w:t>）</w:t>
            </w:r>
            <w:r>
              <w:rPr>
                <w:rFonts w:hint="eastAsia" w:ascii="Times New Roman" w:hAnsi="Times New Roman" w:eastAsia="宋体" w:cs="宋体"/>
                <w:lang w:val="en-US" w:eastAsia="zh-CN"/>
              </w:rPr>
              <w:t>钻探岩屑、槽探挖方等及时用防尘网进行遮盖。</w:t>
            </w:r>
          </w:p>
          <w:p w14:paraId="7179C9B5">
            <w:pPr>
              <w:widowControl/>
              <w:snapToGrid w:val="0"/>
              <w:spacing w:line="500" w:lineRule="exact"/>
              <w:ind w:firstLine="480" w:firstLineChars="200"/>
              <w:rPr>
                <w:rFonts w:hint="eastAsia" w:ascii="Times New Roman" w:hAnsi="Times New Roman" w:eastAsia="宋体" w:cs="宋体"/>
                <w:lang w:val="en-US" w:eastAsia="zh-CN"/>
              </w:rPr>
            </w:pPr>
            <w:r>
              <w:rPr>
                <w:rFonts w:hint="eastAsia" w:ascii="Times New Roman" w:hAnsi="Times New Roman" w:eastAsia="宋体" w:cs="宋体"/>
              </w:rPr>
              <w:t>（</w:t>
            </w:r>
            <w:r>
              <w:rPr>
                <w:rFonts w:hint="eastAsia" w:ascii="Times New Roman" w:hAnsi="Times New Roman" w:eastAsia="宋体" w:cs="宋体"/>
                <w:lang w:val="en-US" w:eastAsia="zh-CN"/>
              </w:rPr>
              <w:t>3</w:t>
            </w:r>
            <w:r>
              <w:rPr>
                <w:rFonts w:hint="eastAsia" w:ascii="Times New Roman" w:hAnsi="Times New Roman" w:eastAsia="宋体" w:cs="宋体"/>
              </w:rPr>
              <w:t>）</w:t>
            </w:r>
            <w:r>
              <w:rPr>
                <w:rFonts w:hint="eastAsia" w:ascii="Times New Roman" w:hAnsi="Times New Roman" w:eastAsia="宋体" w:cs="宋体"/>
                <w:lang w:val="en-US" w:eastAsia="zh-CN"/>
              </w:rPr>
              <w:t>在项目区主风向侧、生活营地外围，采用设置沙障的方式阻止流沙移动减少风蚀，如草方格沙障、秸秆沙障、黏土沙障等。</w:t>
            </w:r>
          </w:p>
          <w:p w14:paraId="64DB2756">
            <w:pPr>
              <w:widowControl/>
              <w:snapToGrid w:val="0"/>
              <w:spacing w:line="500" w:lineRule="exact"/>
              <w:ind w:firstLine="480" w:firstLineChars="200"/>
              <w:rPr>
                <w:rFonts w:hint="default" w:ascii="Times New Roman" w:hAnsi="Times New Roman" w:eastAsia="宋体" w:cs="宋体"/>
                <w:lang w:val="en-US" w:eastAsia="zh-CN"/>
              </w:rPr>
            </w:pPr>
            <w:r>
              <w:rPr>
                <w:rFonts w:hint="eastAsia" w:ascii="Times New Roman" w:hAnsi="Times New Roman" w:eastAsia="宋体" w:cs="宋体"/>
              </w:rPr>
              <w:t>（</w:t>
            </w:r>
            <w:r>
              <w:rPr>
                <w:rFonts w:hint="eastAsia" w:ascii="Times New Roman" w:hAnsi="Times New Roman" w:eastAsia="宋体" w:cs="宋体"/>
                <w:lang w:val="en-US" w:eastAsia="zh-CN"/>
              </w:rPr>
              <w:t>4</w:t>
            </w:r>
            <w:r>
              <w:rPr>
                <w:rFonts w:hint="eastAsia" w:ascii="Times New Roman" w:hAnsi="Times New Roman" w:eastAsia="宋体" w:cs="宋体"/>
              </w:rPr>
              <w:t>）</w:t>
            </w:r>
            <w:r>
              <w:rPr>
                <w:rFonts w:hint="eastAsia" w:ascii="Times New Roman" w:hAnsi="Times New Roman" w:eastAsia="宋体" w:cs="宋体"/>
                <w:lang w:val="en-US" w:eastAsia="zh-CN"/>
              </w:rPr>
              <w:t>项目钻探废水经泥浆池沉淀后，回用于钻探施工，不外排。</w:t>
            </w:r>
          </w:p>
          <w:p w14:paraId="7BF096CA">
            <w:pPr>
              <w:widowControl/>
              <w:snapToGrid w:val="0"/>
              <w:spacing w:line="500" w:lineRule="exact"/>
              <w:ind w:firstLine="480" w:firstLineChars="200"/>
              <w:rPr>
                <w:rFonts w:hint="eastAsia" w:ascii="Times New Roman" w:hAnsi="Times New Roman" w:eastAsia="宋体" w:cs="宋体"/>
                <w:lang w:val="en-US" w:eastAsia="zh-CN"/>
              </w:rPr>
            </w:pPr>
            <w:r>
              <w:rPr>
                <w:rFonts w:hint="eastAsia" w:ascii="Times New Roman" w:hAnsi="Times New Roman" w:eastAsia="宋体" w:cs="宋体"/>
              </w:rPr>
              <w:t>（</w:t>
            </w:r>
            <w:r>
              <w:rPr>
                <w:rFonts w:hint="eastAsia" w:ascii="Times New Roman" w:hAnsi="Times New Roman" w:eastAsia="宋体" w:cs="宋体"/>
                <w:lang w:val="en-US" w:eastAsia="zh-CN"/>
              </w:rPr>
              <w:t>5</w:t>
            </w:r>
            <w:r>
              <w:rPr>
                <w:rFonts w:hint="eastAsia" w:ascii="Times New Roman" w:hAnsi="Times New Roman" w:eastAsia="宋体" w:cs="宋体"/>
              </w:rPr>
              <w:t>）</w:t>
            </w:r>
            <w:r>
              <w:rPr>
                <w:rFonts w:hint="eastAsia" w:ascii="Times New Roman" w:hAnsi="Times New Roman" w:eastAsia="宋体" w:cs="宋体"/>
                <w:lang w:val="en-US" w:eastAsia="zh-CN"/>
              </w:rPr>
              <w:t>项目结束后，</w:t>
            </w:r>
            <w:r>
              <w:rPr>
                <w:rFonts w:hint="eastAsia" w:cs="宋体"/>
                <w:lang w:val="en-US" w:eastAsia="zh-CN"/>
              </w:rPr>
              <w:t>及时拆除临时工程，对临时占地进行平整恢复，清理现场固废</w:t>
            </w:r>
            <w:r>
              <w:rPr>
                <w:rFonts w:hint="eastAsia" w:ascii="Times New Roman" w:hAnsi="Times New Roman" w:eastAsia="宋体" w:cs="宋体"/>
                <w:lang w:val="en-US" w:eastAsia="zh-CN"/>
              </w:rPr>
              <w:t>。</w:t>
            </w:r>
          </w:p>
          <w:p w14:paraId="31152251">
            <w:pPr>
              <w:snapToGrid w:val="0"/>
              <w:spacing w:line="500" w:lineRule="exact"/>
              <w:ind w:firstLine="480" w:firstLineChars="200"/>
              <w:rPr>
                <w:rFonts w:hint="default"/>
                <w:lang w:val="en-US" w:eastAsia="zh-CN"/>
              </w:rPr>
            </w:pPr>
            <w:r>
              <w:rPr>
                <w:rFonts w:hint="eastAsia" w:ascii="Times New Roman" w:hAnsi="Times New Roman" w:eastAsia="宋体" w:cs="宋体"/>
              </w:rPr>
              <w:t>采取以上措施后可减少对</w:t>
            </w:r>
            <w:r>
              <w:rPr>
                <w:rFonts w:hint="eastAsia" w:cs="宋体"/>
                <w:lang w:val="en-US" w:eastAsia="zh-CN"/>
              </w:rPr>
              <w:t>沙化土地</w:t>
            </w:r>
            <w:r>
              <w:rPr>
                <w:rFonts w:hint="eastAsia" w:ascii="Times New Roman" w:hAnsi="Times New Roman" w:eastAsia="宋体" w:cs="宋体"/>
              </w:rPr>
              <w:t>的影响。</w:t>
            </w:r>
          </w:p>
          <w:p w14:paraId="2904B8D2">
            <w:pPr>
              <w:widowControl/>
              <w:snapToGrid w:val="0"/>
              <w:spacing w:line="500" w:lineRule="exact"/>
              <w:rPr>
                <w:rFonts w:hint="eastAsia" w:ascii="Times New Roman" w:hAnsi="Times New Roman" w:eastAsia="宋体" w:cs="宋体"/>
                <w:b/>
                <w:bCs/>
                <w:lang w:val="en-US" w:eastAsia="zh-CN"/>
              </w:rPr>
            </w:pPr>
            <w:r>
              <w:rPr>
                <w:rFonts w:hint="eastAsia" w:cs="宋体"/>
                <w:b/>
                <w:bCs/>
                <w:lang w:val="en-US" w:eastAsia="zh-CN"/>
              </w:rPr>
              <w:t>4.</w:t>
            </w:r>
            <w:r>
              <w:rPr>
                <w:rFonts w:hint="eastAsia" w:ascii="Times New Roman" w:hAnsi="Times New Roman" w:eastAsia="宋体" w:cs="宋体"/>
                <w:b/>
                <w:bCs/>
                <w:lang w:val="en-US" w:eastAsia="zh-CN"/>
              </w:rPr>
              <w:t>大气污染防治措施</w:t>
            </w:r>
          </w:p>
          <w:p w14:paraId="0CB9B6BE">
            <w:pPr>
              <w:widowControl/>
              <w:snapToGrid w:val="0"/>
              <w:spacing w:line="500" w:lineRule="exact"/>
              <w:ind w:firstLine="480" w:firstLineChars="200"/>
              <w:rPr>
                <w:rFonts w:hint="eastAsia" w:ascii="Times New Roman" w:hAnsi="Times New Roman" w:eastAsia="宋体" w:cs="宋体"/>
              </w:rPr>
            </w:pPr>
            <w:bookmarkStart w:id="38" w:name="_Hlk176185340"/>
            <w:r>
              <w:rPr>
                <w:rFonts w:hint="eastAsia" w:ascii="Times New Roman" w:hAnsi="Times New Roman" w:eastAsia="宋体" w:cs="宋体"/>
              </w:rPr>
              <w:t>（1）使用符合国家标准的油品，加强机械、车辆的维护。</w:t>
            </w:r>
          </w:p>
          <w:p w14:paraId="28FD6D52">
            <w:pPr>
              <w:widowControl/>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（2）施工现场运输车辆应低速慢行、不得超载，并采取密闭或遮盖措施；车辆沿道路行驶，不得随意开设便道。</w:t>
            </w:r>
          </w:p>
          <w:p w14:paraId="6BC24D1A">
            <w:pPr>
              <w:widowControl/>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（3）易起尘物料在运输、存放时加盖遮盖物，最大限度防止扬尘扩散。</w:t>
            </w:r>
          </w:p>
          <w:p w14:paraId="6ECC3348">
            <w:pPr>
              <w:widowControl/>
              <w:snapToGrid w:val="0"/>
              <w:spacing w:line="500" w:lineRule="exact"/>
              <w:ind w:firstLine="464" w:firstLineChars="200"/>
              <w:rPr>
                <w:rFonts w:hint="eastAsia" w:ascii="Times New Roman" w:hAnsi="Times New Roman" w:eastAsia="宋体"/>
                <w:spacing w:val="-4"/>
              </w:rPr>
            </w:pPr>
            <w:r>
              <w:rPr>
                <w:rFonts w:ascii="Times New Roman" w:hAnsi="Times New Roman" w:eastAsia="宋体"/>
                <w:spacing w:val="-4"/>
              </w:rPr>
              <w:t>以上防治措施，简单可行，具有可操作性，</w:t>
            </w:r>
            <w:r>
              <w:rPr>
                <w:rFonts w:hint="eastAsia"/>
                <w:spacing w:val="-4"/>
                <w:lang w:val="en-US" w:eastAsia="zh-CN"/>
              </w:rPr>
              <w:t>对大气环境</w:t>
            </w:r>
            <w:r>
              <w:rPr>
                <w:rFonts w:ascii="Times New Roman" w:hAnsi="Times New Roman" w:eastAsia="宋体"/>
                <w:spacing w:val="-4"/>
              </w:rPr>
              <w:t>影响能够减缓到可以接受的程度</w:t>
            </w:r>
            <w:r>
              <w:rPr>
                <w:rFonts w:hint="eastAsia" w:ascii="Times New Roman" w:hAnsi="Times New Roman" w:eastAsia="宋体"/>
                <w:spacing w:val="-4"/>
              </w:rPr>
              <w:t>。</w:t>
            </w:r>
          </w:p>
          <w:bookmarkEnd w:id="38"/>
          <w:p w14:paraId="1E798C69">
            <w:pPr>
              <w:widowControl/>
              <w:snapToGrid w:val="0"/>
              <w:spacing w:line="500" w:lineRule="exact"/>
              <w:rPr>
                <w:rFonts w:hint="eastAsia" w:ascii="Times New Roman" w:hAnsi="Times New Roman" w:eastAsia="宋体" w:cs="宋体"/>
                <w:b/>
                <w:bCs/>
              </w:rPr>
            </w:pPr>
            <w:bookmarkStart w:id="39" w:name="_Hlk136795800"/>
            <w:r>
              <w:rPr>
                <w:rFonts w:hint="eastAsia" w:cs="宋体"/>
                <w:b/>
                <w:bCs/>
                <w:lang w:val="en-US" w:eastAsia="zh-CN"/>
              </w:rPr>
              <w:t>5.</w:t>
            </w:r>
            <w:r>
              <w:rPr>
                <w:rFonts w:hint="eastAsia" w:ascii="Times New Roman" w:hAnsi="Times New Roman" w:eastAsia="宋体" w:cs="宋体"/>
                <w:b/>
                <w:bCs/>
              </w:rPr>
              <w:t>水污染防治措施</w:t>
            </w:r>
          </w:p>
          <w:p w14:paraId="441879F3">
            <w:pPr>
              <w:pStyle w:val="20"/>
              <w:ind w:firstLine="480"/>
              <w:rPr>
                <w:rFonts w:hint="default" w:ascii="Times New Roman" w:hAnsi="Times New Roman" w:eastAsia="宋体" w:cs="宋体"/>
                <w:lang w:val="en-US" w:eastAsia="zh-CN"/>
              </w:rPr>
            </w:pPr>
            <w:r>
              <w:rPr>
                <w:rFonts w:hint="eastAsia" w:ascii="Times New Roman" w:hAnsi="Times New Roman" w:eastAsia="宋体" w:cs="宋体"/>
                <w:lang w:eastAsia="zh-CN"/>
              </w:rPr>
              <w:t>（</w:t>
            </w:r>
            <w:r>
              <w:rPr>
                <w:rFonts w:hint="eastAsia" w:ascii="Times New Roman" w:hAnsi="Times New Roman" w:eastAsia="宋体" w:cs="宋体"/>
                <w:lang w:val="en-US" w:eastAsia="zh-CN"/>
              </w:rPr>
              <w:t>1</w:t>
            </w:r>
            <w:r>
              <w:rPr>
                <w:rFonts w:hint="eastAsia" w:ascii="Times New Roman" w:hAnsi="Times New Roman" w:eastAsia="宋体" w:cs="宋体"/>
                <w:lang w:eastAsia="zh-CN"/>
              </w:rPr>
              <w:t>）</w:t>
            </w:r>
            <w:r>
              <w:rPr>
                <w:rFonts w:hint="eastAsia" w:ascii="Times New Roman" w:hAnsi="Times New Roman" w:eastAsia="宋体" w:cs="宋体"/>
                <w:lang w:val="en-US" w:eastAsia="zh-CN"/>
              </w:rPr>
              <w:t>钻井废水</w:t>
            </w:r>
          </w:p>
          <w:p w14:paraId="643A82E5">
            <w:pPr>
              <w:pStyle w:val="20"/>
              <w:ind w:firstLine="480"/>
              <w:rPr>
                <w:rFonts w:hint="eastAsia" w:ascii="Times New Roman" w:hAnsi="Times New Roman" w:eastAsia="宋体"/>
                <w:highlight w:val="none"/>
                <w:lang w:eastAsia="zh-CN"/>
              </w:rPr>
            </w:pPr>
            <w:r>
              <w:rPr>
                <w:rFonts w:hint="eastAsia" w:ascii="Times New Roman" w:hAnsi="Times New Roman" w:eastAsia="宋体" w:cs="宋体"/>
                <w:highlight w:val="none"/>
              </w:rPr>
              <w:t>钻井期产生的废水</w:t>
            </w:r>
            <w:r>
              <w:rPr>
                <w:rFonts w:hint="eastAsia" w:ascii="Times New Roman" w:hAnsi="Times New Roman" w:cs="宋体"/>
                <w:highlight w:val="none"/>
                <w:lang w:val="en-US" w:eastAsia="zh-CN"/>
              </w:rPr>
              <w:t>收集到泥浆池，经沉淀</w:t>
            </w:r>
            <w:r>
              <w:rPr>
                <w:rFonts w:ascii="Times New Roman" w:hAnsi="Times New Roman" w:eastAsia="宋体" w:cs="宋体"/>
                <w:highlight w:val="none"/>
              </w:rPr>
              <w:t>处理后将固体和水分离，回用于清洗设备及泥浆的调配</w:t>
            </w:r>
            <w:r>
              <w:rPr>
                <w:rFonts w:hint="eastAsia" w:ascii="Times New Roman" w:hAnsi="Times New Roman" w:eastAsia="宋体" w:cs="宋体"/>
                <w:highlight w:val="none"/>
              </w:rPr>
              <w:t>，不外排</w:t>
            </w:r>
            <w:r>
              <w:rPr>
                <w:rFonts w:hint="eastAsia" w:ascii="Times New Roman" w:hAnsi="Times New Roman" w:cs="宋体"/>
                <w:highlight w:val="none"/>
                <w:lang w:eastAsia="zh-CN"/>
              </w:rPr>
              <w:t>。</w:t>
            </w:r>
          </w:p>
          <w:p w14:paraId="4EE76990">
            <w:pPr>
              <w:pStyle w:val="20"/>
              <w:rPr>
                <w:rFonts w:hint="default" w:ascii="Times New Roman" w:hAnsi="Times New Roman" w:eastAsia="宋体"/>
                <w:lang w:val="en-US" w:eastAsia="zh-CN"/>
              </w:rPr>
            </w:pPr>
            <w:r>
              <w:rPr>
                <w:rFonts w:hint="eastAsia" w:ascii="Times New Roman" w:hAnsi="Times New Roman" w:eastAsia="宋体"/>
                <w:lang w:eastAsia="zh-CN"/>
              </w:rPr>
              <w:t>（</w:t>
            </w:r>
            <w:r>
              <w:rPr>
                <w:rFonts w:hint="eastAsia" w:ascii="Times New Roman" w:hAnsi="Times New Roman" w:eastAsia="宋体"/>
                <w:lang w:val="en-US" w:eastAsia="zh-CN"/>
              </w:rPr>
              <w:t>2</w:t>
            </w:r>
            <w:r>
              <w:rPr>
                <w:rFonts w:hint="eastAsia" w:ascii="Times New Roman" w:hAnsi="Times New Roman" w:eastAsia="宋体"/>
                <w:lang w:eastAsia="zh-CN"/>
              </w:rPr>
              <w:t>）</w:t>
            </w:r>
            <w:r>
              <w:rPr>
                <w:rFonts w:hint="eastAsia" w:ascii="Times New Roman" w:hAnsi="Times New Roman" w:eastAsia="宋体"/>
                <w:lang w:val="en-US" w:eastAsia="zh-CN"/>
              </w:rPr>
              <w:t>生活污水</w:t>
            </w:r>
          </w:p>
          <w:p w14:paraId="4D9C626E">
            <w:pPr>
              <w:pStyle w:val="20"/>
              <w:ind w:firstLine="480"/>
              <w:rPr>
                <w:rFonts w:hint="eastAsia" w:ascii="Times New Roman" w:hAnsi="Times New Roman" w:eastAsia="宋体"/>
                <w:highlight w:val="yellow"/>
              </w:rPr>
            </w:pPr>
            <w:r>
              <w:rPr>
                <w:rFonts w:hint="eastAsia" w:ascii="Times New Roman" w:hAnsi="Times New Roman" w:eastAsia="宋体"/>
                <w:highlight w:val="none"/>
              </w:rPr>
              <w:t>本项目</w:t>
            </w:r>
            <w:r>
              <w:rPr>
                <w:rFonts w:hint="eastAsia" w:ascii="Times New Roman" w:hAnsi="Times New Roman"/>
                <w:highlight w:val="none"/>
                <w:lang w:eastAsia="zh-CN"/>
              </w:rPr>
              <w:t>在勘探区西北角搭建帐篷</w:t>
            </w:r>
            <w:r>
              <w:rPr>
                <w:rFonts w:hint="eastAsia" w:ascii="Times New Roman" w:hAnsi="Times New Roman" w:eastAsia="宋体"/>
                <w:highlight w:val="none"/>
              </w:rPr>
              <w:t>，设置办公生活营地，</w:t>
            </w:r>
            <w:r>
              <w:rPr>
                <w:rFonts w:hint="eastAsia" w:ascii="Times New Roman" w:hAnsi="Times New Roman" w:eastAsia="宋体"/>
                <w:highlight w:val="none"/>
                <w:lang w:val="en-US" w:eastAsia="zh-CN"/>
              </w:rPr>
              <w:t>生活污水排入一体化污水处理设施处理达标后，其出水标准可达到《农村生活污水处理排放标准》（</w:t>
            </w:r>
            <w:r>
              <w:rPr>
                <w:rFonts w:hint="eastAsia" w:ascii="Times New Roman" w:hAnsi="Times New Roman"/>
                <w:highlight w:val="none"/>
                <w:lang w:val="en-US" w:eastAsia="zh-CN"/>
              </w:rPr>
              <w:t>DB65 4275-2025</w:t>
            </w:r>
            <w:r>
              <w:rPr>
                <w:rFonts w:hint="eastAsia" w:ascii="Times New Roman" w:hAnsi="Times New Roman" w:eastAsia="宋体"/>
                <w:highlight w:val="none"/>
                <w:lang w:val="en-US" w:eastAsia="zh-CN"/>
              </w:rPr>
              <w:t>）表2中C级标准，用于洒水绿化，不外排</w:t>
            </w:r>
            <w:r>
              <w:rPr>
                <w:rFonts w:hint="eastAsia" w:ascii="Times New Roman" w:hAnsi="Times New Roman" w:eastAsia="宋体"/>
                <w:highlight w:val="none"/>
              </w:rPr>
              <w:t>。</w:t>
            </w:r>
            <w:r>
              <w:rPr>
                <w:rFonts w:hint="eastAsia" w:ascii="Times New Roman" w:hAnsi="Times New Roman" w:eastAsia="宋体"/>
                <w:highlight w:val="none"/>
                <w:lang w:val="en-US" w:eastAsia="zh-CN"/>
              </w:rPr>
              <w:t>一体化污水处理设施</w:t>
            </w:r>
            <w:r>
              <w:rPr>
                <w:rFonts w:hint="eastAsia" w:ascii="Times New Roman" w:hAnsi="Times New Roman" w:eastAsia="宋体"/>
                <w:highlight w:val="none"/>
              </w:rPr>
              <w:t>采用HDPE防</w:t>
            </w:r>
            <w:r>
              <w:rPr>
                <w:rFonts w:hint="eastAsia" w:ascii="Times New Roman" w:hAnsi="Times New Roman" w:eastAsia="宋体" w:cs="宋体"/>
                <w:highlight w:val="none"/>
              </w:rPr>
              <w:t>渗膜防渗，施工结束后防渗膜回收</w:t>
            </w:r>
            <w:r>
              <w:rPr>
                <w:rFonts w:hint="eastAsia" w:ascii="Times New Roman" w:hAnsi="Times New Roman" w:cs="宋体"/>
                <w:highlight w:val="none"/>
                <w:lang w:eastAsia="zh-CN"/>
              </w:rPr>
              <w:t>、</w:t>
            </w:r>
            <w:r>
              <w:rPr>
                <w:rFonts w:hint="eastAsia" w:ascii="Times New Roman" w:hAnsi="Times New Roman" w:eastAsia="宋体" w:cs="宋体"/>
                <w:highlight w:val="none"/>
              </w:rPr>
              <w:t>占地及时恢复原貌。</w:t>
            </w:r>
          </w:p>
          <w:p w14:paraId="52433F35">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rPr>
              <w:t>（</w:t>
            </w:r>
            <w:r>
              <w:rPr>
                <w:rFonts w:hint="eastAsia" w:ascii="Times New Roman" w:hAnsi="Times New Roman" w:eastAsia="宋体" w:cs="宋体"/>
                <w:lang w:val="en-US" w:eastAsia="zh-CN"/>
              </w:rPr>
              <w:t>3</w:t>
            </w:r>
            <w:r>
              <w:rPr>
                <w:rFonts w:hint="eastAsia" w:ascii="Times New Roman" w:hAnsi="Times New Roman" w:eastAsia="宋体" w:cs="宋体"/>
              </w:rPr>
              <w:t>）管理措施</w:t>
            </w:r>
          </w:p>
          <w:p w14:paraId="26226B11">
            <w:pPr>
              <w:snapToGrid w:val="0"/>
              <w:spacing w:line="500" w:lineRule="exact"/>
              <w:ind w:firstLine="480" w:firstLineChars="200"/>
              <w:rPr>
                <w:rFonts w:hint="eastAsia" w:ascii="Times New Roman" w:hAnsi="Times New Roman" w:eastAsia="宋体" w:cs="宋体"/>
              </w:rPr>
            </w:pPr>
            <w:r>
              <w:rPr>
                <w:rFonts w:hint="eastAsia" w:ascii="Times New Roman" w:hAnsi="Times New Roman" w:eastAsia="宋体" w:cs="宋体"/>
                <w:lang w:val="en-US" w:eastAsia="zh-CN"/>
              </w:rPr>
              <w:t>加强</w:t>
            </w:r>
            <w:r>
              <w:rPr>
                <w:rFonts w:hint="eastAsia" w:ascii="Times New Roman" w:hAnsi="Times New Roman" w:eastAsia="宋体" w:cs="宋体"/>
              </w:rPr>
              <w:t>施工单位和运输车辆的管理，严禁废水随意排放或倾倒。</w:t>
            </w:r>
          </w:p>
          <w:p w14:paraId="7285AF24">
            <w:pPr>
              <w:pStyle w:val="20"/>
              <w:ind w:firstLine="480"/>
              <w:rPr>
                <w:rFonts w:ascii="Times New Roman" w:hAnsi="Times New Roman" w:eastAsia="宋体" w:cs="Tahoma"/>
                <w:sz w:val="28"/>
                <w:szCs w:val="28"/>
              </w:rPr>
            </w:pPr>
            <w:r>
              <w:rPr>
                <w:rFonts w:hint="eastAsia" w:ascii="Times New Roman" w:hAnsi="Times New Roman" w:eastAsia="宋体" w:cs="宋体"/>
              </w:rPr>
              <w:t>采取上述措施后，施工期产生的废水得到妥善处置，不会对地表水环境产生不利影响。</w:t>
            </w:r>
          </w:p>
          <w:bookmarkEnd w:id="39"/>
          <w:p w14:paraId="799FFC9E">
            <w:pPr>
              <w:widowControl/>
              <w:tabs>
                <w:tab w:val="left" w:pos="4584"/>
              </w:tabs>
              <w:adjustRightInd w:val="0"/>
              <w:snapToGrid w:val="0"/>
              <w:spacing w:line="500" w:lineRule="exact"/>
              <w:rPr>
                <w:rFonts w:hint="eastAsia" w:ascii="Times New Roman" w:hAnsi="Times New Roman" w:eastAsia="宋体" w:cs="宋体"/>
                <w:b/>
                <w:bCs/>
                <w:spacing w:val="-2"/>
              </w:rPr>
            </w:pPr>
            <w:r>
              <w:rPr>
                <w:rFonts w:hint="eastAsia" w:cs="宋体"/>
                <w:b/>
                <w:bCs/>
                <w:spacing w:val="-2"/>
                <w:lang w:val="en-US" w:eastAsia="zh-CN"/>
              </w:rPr>
              <w:t>6.</w:t>
            </w:r>
            <w:r>
              <w:rPr>
                <w:rFonts w:hint="eastAsia" w:ascii="Times New Roman" w:hAnsi="Times New Roman" w:eastAsia="宋体" w:cs="宋体"/>
                <w:b/>
                <w:bCs/>
                <w:spacing w:val="-2"/>
              </w:rPr>
              <w:t>土壤环境保护措施</w:t>
            </w:r>
          </w:p>
          <w:p w14:paraId="505A0791">
            <w:pPr>
              <w:pStyle w:val="20"/>
              <w:wordWrap w:val="0"/>
              <w:ind w:firstLine="472"/>
              <w:rPr>
                <w:rFonts w:hint="eastAsia" w:ascii="Times New Roman" w:hAnsi="Times New Roman" w:eastAsia="宋体" w:cs="宋体"/>
                <w:spacing w:val="-2"/>
                <w:lang w:eastAsia="zh-CN"/>
              </w:rPr>
            </w:pPr>
            <w:r>
              <w:rPr>
                <w:rFonts w:hint="eastAsia" w:ascii="Times New Roman" w:hAnsi="Times New Roman" w:eastAsia="宋体" w:cs="宋体"/>
                <w:spacing w:val="-2"/>
              </w:rPr>
              <w:t>（</w:t>
            </w:r>
            <w:r>
              <w:rPr>
                <w:rFonts w:ascii="Times New Roman" w:hAnsi="Times New Roman" w:eastAsia="宋体" w:cs="宋体"/>
                <w:spacing w:val="-2"/>
              </w:rPr>
              <w:t>1</w:t>
            </w:r>
            <w:r>
              <w:rPr>
                <w:rFonts w:hint="eastAsia" w:ascii="Times New Roman" w:hAnsi="Times New Roman" w:eastAsia="宋体" w:cs="宋体"/>
                <w:spacing w:val="-2"/>
              </w:rPr>
              <w:t>）表层土壤的保护和利用。保护利用好表层的土壤，在施工前，首先要把剥离土集中堆放，施工结束后再进行回填，以利后期植被恢复，严格执行分层开挖、分层堆放、分层回填的土方施工作业制度。</w:t>
            </w:r>
          </w:p>
          <w:p w14:paraId="1FB882B4">
            <w:pPr>
              <w:pStyle w:val="20"/>
              <w:wordWrap w:val="0"/>
              <w:ind w:firstLine="472"/>
              <w:rPr>
                <w:rFonts w:hint="eastAsia" w:ascii="Times New Roman" w:hAnsi="Times New Roman" w:eastAsia="宋体" w:cs="宋体"/>
                <w:spacing w:val="-2"/>
                <w:lang w:eastAsia="zh-CN"/>
              </w:rPr>
            </w:pPr>
            <w:r>
              <w:rPr>
                <w:rFonts w:hint="eastAsia" w:ascii="Times New Roman" w:hAnsi="Times New Roman" w:eastAsia="宋体" w:cs="宋体"/>
                <w:spacing w:val="-2"/>
              </w:rPr>
              <w:t>（</w:t>
            </w:r>
            <w:r>
              <w:rPr>
                <w:rFonts w:ascii="Times New Roman" w:hAnsi="Times New Roman" w:eastAsia="宋体" w:cs="宋体"/>
                <w:spacing w:val="-2"/>
              </w:rPr>
              <w:t>2</w:t>
            </w:r>
            <w:r>
              <w:rPr>
                <w:rFonts w:hint="eastAsia" w:ascii="Times New Roman" w:hAnsi="Times New Roman" w:eastAsia="宋体" w:cs="宋体"/>
                <w:spacing w:val="-2"/>
              </w:rPr>
              <w:t>）合理组织土方调配、及时填平压实。工程施工期应首先计划安排好挖方量和填方量，及时进行回填，铺平压实，以免发生风蚀、水蚀。</w:t>
            </w:r>
          </w:p>
          <w:p w14:paraId="2523BDE6">
            <w:pPr>
              <w:pStyle w:val="20"/>
              <w:wordWrap w:val="0"/>
              <w:ind w:firstLine="472"/>
              <w:rPr>
                <w:rFonts w:hint="eastAsia" w:ascii="Times New Roman" w:hAnsi="Times New Roman" w:eastAsia="宋体" w:cs="宋体"/>
                <w:spacing w:val="-2"/>
                <w:lang w:eastAsia="zh-CN"/>
              </w:rPr>
            </w:pPr>
            <w:r>
              <w:rPr>
                <w:rFonts w:hint="eastAsia" w:ascii="Times New Roman" w:hAnsi="Times New Roman" w:eastAsia="宋体" w:cs="宋体"/>
                <w:spacing w:val="-2"/>
              </w:rPr>
              <w:t>（</w:t>
            </w:r>
            <w:r>
              <w:rPr>
                <w:rFonts w:ascii="Times New Roman" w:hAnsi="Times New Roman" w:eastAsia="宋体" w:cs="宋体"/>
                <w:spacing w:val="-2"/>
              </w:rPr>
              <w:t>3</w:t>
            </w:r>
            <w:r>
              <w:rPr>
                <w:rFonts w:hint="eastAsia" w:ascii="Times New Roman" w:hAnsi="Times New Roman" w:eastAsia="宋体" w:cs="宋体"/>
                <w:spacing w:val="-2"/>
              </w:rPr>
              <w:t>）临时占地施工结束后，应按相关规定恢复植被。</w:t>
            </w:r>
          </w:p>
          <w:p w14:paraId="1B4DA82F">
            <w:pPr>
              <w:pStyle w:val="20"/>
              <w:wordWrap w:val="0"/>
              <w:ind w:firstLine="472"/>
              <w:rPr>
                <w:rFonts w:hint="eastAsia" w:ascii="Times New Roman" w:hAnsi="Times New Roman" w:eastAsia="宋体" w:cs="宋体"/>
                <w:spacing w:val="-2"/>
              </w:rPr>
            </w:pPr>
            <w:r>
              <w:rPr>
                <w:rFonts w:hint="eastAsia" w:ascii="Times New Roman" w:hAnsi="Times New Roman" w:eastAsia="宋体" w:cs="宋体"/>
                <w:spacing w:val="-2"/>
              </w:rPr>
              <w:t>（</w:t>
            </w:r>
            <w:r>
              <w:rPr>
                <w:rFonts w:ascii="Times New Roman" w:hAnsi="Times New Roman" w:eastAsia="宋体" w:cs="宋体"/>
                <w:spacing w:val="-2"/>
              </w:rPr>
              <w:t>4</w:t>
            </w:r>
            <w:r>
              <w:rPr>
                <w:rFonts w:hint="eastAsia" w:ascii="Times New Roman" w:hAnsi="Times New Roman" w:eastAsia="宋体" w:cs="宋体"/>
                <w:spacing w:val="-2"/>
              </w:rPr>
              <w:t>）充分利用原有道路，同时减少土石方工程量并缩小生态影响范围，减少了对周边土壤和植被的破坏。</w:t>
            </w:r>
          </w:p>
          <w:p w14:paraId="05DF23AC">
            <w:pPr>
              <w:pStyle w:val="20"/>
              <w:wordWrap w:val="0"/>
              <w:ind w:firstLine="472"/>
              <w:rPr>
                <w:rFonts w:hint="eastAsia" w:ascii="Times New Roman" w:hAnsi="Times New Roman" w:eastAsia="宋体" w:cs="宋体"/>
                <w:spacing w:val="-2"/>
                <w:lang w:eastAsia="zh-CN"/>
              </w:rPr>
            </w:pPr>
            <w:r>
              <w:rPr>
                <w:rFonts w:hint="eastAsia" w:ascii="Times New Roman" w:hAnsi="Times New Roman" w:eastAsia="宋体" w:cs="宋体"/>
                <w:spacing w:val="-2"/>
              </w:rPr>
              <w:t>（</w:t>
            </w:r>
            <w:r>
              <w:rPr>
                <w:rFonts w:ascii="Times New Roman" w:hAnsi="Times New Roman" w:eastAsia="宋体" w:cs="宋体"/>
                <w:spacing w:val="-2"/>
              </w:rPr>
              <w:t>5</w:t>
            </w:r>
            <w:r>
              <w:rPr>
                <w:rFonts w:hint="eastAsia" w:ascii="Times New Roman" w:hAnsi="Times New Roman" w:eastAsia="宋体" w:cs="宋体"/>
                <w:spacing w:val="-2"/>
              </w:rPr>
              <w:t>）规范施工人员的行为，爱护草木，严禁砍伐、破坏施工区以外的作物和植被；施工结束后，应进行生态重建，同时收集、处理施工场地及周围因施工而产生的垃圾与各种废弃物。</w:t>
            </w:r>
          </w:p>
          <w:p w14:paraId="58D9BCC9">
            <w:pPr>
              <w:pStyle w:val="20"/>
              <w:wordWrap w:val="0"/>
              <w:ind w:firstLine="472"/>
              <w:rPr>
                <w:rFonts w:hint="eastAsia" w:ascii="Times New Roman" w:hAnsi="Times New Roman" w:eastAsia="宋体" w:cs="宋体"/>
                <w:spacing w:val="-2"/>
              </w:rPr>
            </w:pPr>
            <w:r>
              <w:rPr>
                <w:rFonts w:hint="eastAsia" w:ascii="Times New Roman" w:hAnsi="Times New Roman" w:eastAsia="宋体" w:cs="宋体"/>
                <w:spacing w:val="-2"/>
              </w:rPr>
              <w:t>（</w:t>
            </w:r>
            <w:r>
              <w:rPr>
                <w:rFonts w:ascii="Times New Roman" w:hAnsi="Times New Roman" w:eastAsia="宋体" w:cs="宋体"/>
                <w:spacing w:val="-2"/>
              </w:rPr>
              <w:t>6</w:t>
            </w:r>
            <w:r>
              <w:rPr>
                <w:rFonts w:hint="eastAsia" w:ascii="Times New Roman" w:hAnsi="Times New Roman" w:eastAsia="宋体" w:cs="宋体"/>
                <w:spacing w:val="-2"/>
              </w:rPr>
              <w:t>）避开雨季施工，采取分段施工，提高工程施工效率，缩短施工工期。</w:t>
            </w:r>
          </w:p>
          <w:p w14:paraId="5ACF7F59">
            <w:pPr>
              <w:pStyle w:val="20"/>
              <w:ind w:firstLine="480"/>
              <w:rPr>
                <w:rFonts w:hint="eastAsia" w:ascii="Times New Roman" w:hAnsi="Times New Roman" w:eastAsia="宋体" w:cs="宋体"/>
                <w:spacing w:val="-2"/>
              </w:rPr>
            </w:pPr>
            <w:r>
              <w:rPr>
                <w:rFonts w:hint="eastAsia" w:ascii="Times New Roman" w:hAnsi="Times New Roman" w:eastAsia="宋体" w:cs="宋体"/>
              </w:rPr>
              <w:t>采取上述措施，</w:t>
            </w:r>
            <w:r>
              <w:rPr>
                <w:rFonts w:hint="eastAsia" w:ascii="Times New Roman" w:hAnsi="Times New Roman" w:cs="宋体"/>
                <w:lang w:val="en-US" w:eastAsia="zh-CN"/>
              </w:rPr>
              <w:t>可降低</w:t>
            </w:r>
            <w:r>
              <w:rPr>
                <w:rFonts w:hint="eastAsia" w:ascii="Times New Roman" w:hAnsi="Times New Roman" w:eastAsia="宋体" w:cs="宋体"/>
              </w:rPr>
              <w:t>对</w:t>
            </w:r>
            <w:r>
              <w:rPr>
                <w:rFonts w:hint="eastAsia" w:ascii="Times New Roman" w:hAnsi="Times New Roman" w:cs="宋体"/>
                <w:lang w:val="en-US" w:eastAsia="zh-CN"/>
              </w:rPr>
              <w:t>土壤</w:t>
            </w:r>
            <w:r>
              <w:rPr>
                <w:rFonts w:hint="eastAsia" w:ascii="Times New Roman" w:hAnsi="Times New Roman" w:eastAsia="宋体" w:cs="宋体"/>
              </w:rPr>
              <w:t>环境产生</w:t>
            </w:r>
            <w:r>
              <w:rPr>
                <w:rFonts w:hint="eastAsia" w:ascii="Times New Roman" w:hAnsi="Times New Roman" w:cs="宋体"/>
                <w:lang w:val="en-US" w:eastAsia="zh-CN"/>
              </w:rPr>
              <w:t>的</w:t>
            </w:r>
            <w:r>
              <w:rPr>
                <w:rFonts w:hint="eastAsia" w:ascii="Times New Roman" w:hAnsi="Times New Roman" w:eastAsia="宋体" w:cs="宋体"/>
              </w:rPr>
              <w:t>不利影响。</w:t>
            </w:r>
          </w:p>
          <w:p w14:paraId="2FDDB075">
            <w:pPr>
              <w:pStyle w:val="20"/>
              <w:snapToGrid w:val="0"/>
              <w:ind w:left="0" w:leftChars="0" w:firstLine="0" w:firstLineChars="0"/>
              <w:rPr>
                <w:rFonts w:hint="eastAsia" w:ascii="Times New Roman" w:hAnsi="Times New Roman" w:eastAsia="宋体"/>
                <w:b/>
                <w:bCs/>
              </w:rPr>
            </w:pPr>
            <w:r>
              <w:rPr>
                <w:rFonts w:hint="eastAsia" w:ascii="Times New Roman" w:hAnsi="Times New Roman"/>
                <w:b/>
                <w:bCs/>
                <w:lang w:val="en-US" w:eastAsia="zh-CN"/>
              </w:rPr>
              <w:t>7.</w:t>
            </w:r>
            <w:r>
              <w:rPr>
                <w:rFonts w:hint="eastAsia" w:ascii="Times New Roman" w:hAnsi="Times New Roman" w:eastAsia="宋体"/>
                <w:b/>
                <w:bCs/>
              </w:rPr>
              <w:t>噪声污染防治措施</w:t>
            </w:r>
          </w:p>
          <w:p w14:paraId="44B21AE2">
            <w:pPr>
              <w:pStyle w:val="20"/>
              <w:ind w:firstLine="480"/>
              <w:rPr>
                <w:rFonts w:hint="eastAsia" w:ascii="Times New Roman" w:hAnsi="Times New Roman" w:eastAsia="宋体" w:cs="宋体"/>
              </w:rPr>
            </w:pPr>
            <w:r>
              <w:rPr>
                <w:rFonts w:hint="eastAsia" w:ascii="Times New Roman" w:hAnsi="Times New Roman" w:eastAsia="宋体" w:cs="宋体"/>
              </w:rPr>
              <w:t>施工机械</w:t>
            </w:r>
            <w:r>
              <w:rPr>
                <w:rFonts w:hint="eastAsia" w:ascii="Times New Roman" w:hAnsi="Times New Roman" w:cs="宋体"/>
                <w:lang w:val="en-US" w:eastAsia="zh-CN"/>
              </w:rPr>
              <w:t>选</w:t>
            </w:r>
            <w:r>
              <w:rPr>
                <w:rFonts w:hint="eastAsia" w:ascii="Times New Roman" w:hAnsi="Times New Roman" w:eastAsia="宋体" w:cs="宋体"/>
              </w:rPr>
              <w:t>用低噪声设备</w:t>
            </w:r>
            <w:r>
              <w:rPr>
                <w:rFonts w:hint="eastAsia" w:ascii="Times New Roman" w:hAnsi="Times New Roman" w:cs="宋体"/>
                <w:lang w:eastAsia="zh-CN"/>
              </w:rPr>
              <w:t>，</w:t>
            </w:r>
            <w:r>
              <w:rPr>
                <w:rFonts w:hint="eastAsia" w:ascii="Times New Roman" w:hAnsi="Times New Roman" w:eastAsia="宋体" w:cs="宋体"/>
              </w:rPr>
              <w:t>对噪声较大的设备采取基础</w:t>
            </w:r>
            <w:r>
              <w:rPr>
                <w:rFonts w:hint="eastAsia" w:ascii="Times New Roman" w:hAnsi="Times New Roman" w:cs="宋体"/>
                <w:lang w:eastAsia="zh-CN"/>
              </w:rPr>
              <w:t>减振</w:t>
            </w:r>
            <w:r>
              <w:rPr>
                <w:rFonts w:hint="eastAsia" w:ascii="Times New Roman" w:hAnsi="Times New Roman" w:eastAsia="宋体" w:cs="宋体"/>
              </w:rPr>
              <w:t>措施</w:t>
            </w:r>
            <w:r>
              <w:rPr>
                <w:rFonts w:hint="eastAsia" w:ascii="Times New Roman" w:hAnsi="Times New Roman" w:cs="宋体"/>
                <w:lang w:eastAsia="zh-CN"/>
              </w:rPr>
              <w:t>，</w:t>
            </w:r>
            <w:r>
              <w:rPr>
                <w:rFonts w:hint="eastAsia" w:ascii="Times New Roman" w:hAnsi="Times New Roman" w:eastAsia="宋体" w:cs="宋体"/>
              </w:rPr>
              <w:t>加强</w:t>
            </w:r>
            <w:r>
              <w:rPr>
                <w:rFonts w:hint="eastAsia" w:ascii="Times New Roman" w:hAnsi="Times New Roman" w:cs="宋体"/>
                <w:lang w:val="en-US" w:eastAsia="zh-CN"/>
              </w:rPr>
              <w:t>机械</w:t>
            </w:r>
            <w:r>
              <w:rPr>
                <w:rFonts w:hint="eastAsia" w:ascii="Times New Roman" w:hAnsi="Times New Roman" w:eastAsia="宋体" w:cs="宋体"/>
              </w:rPr>
              <w:t>设备</w:t>
            </w:r>
            <w:r>
              <w:rPr>
                <w:rFonts w:hint="eastAsia" w:ascii="Times New Roman" w:hAnsi="Times New Roman" w:cs="宋体"/>
                <w:lang w:val="en-US" w:eastAsia="zh-CN"/>
              </w:rPr>
              <w:t>的</w:t>
            </w:r>
            <w:r>
              <w:rPr>
                <w:rFonts w:hint="eastAsia" w:ascii="Times New Roman" w:hAnsi="Times New Roman" w:eastAsia="宋体" w:cs="宋体"/>
              </w:rPr>
              <w:t>维护</w:t>
            </w:r>
            <w:r>
              <w:rPr>
                <w:rFonts w:hint="eastAsia" w:ascii="Times New Roman" w:hAnsi="Times New Roman" w:cs="宋体"/>
                <w:lang w:eastAsia="zh-CN"/>
              </w:rPr>
              <w:t>、</w:t>
            </w:r>
            <w:r>
              <w:rPr>
                <w:rFonts w:hint="eastAsia" w:ascii="Times New Roman" w:hAnsi="Times New Roman" w:eastAsia="宋体" w:cs="宋体"/>
              </w:rPr>
              <w:t>保养</w:t>
            </w:r>
            <w:r>
              <w:rPr>
                <w:rFonts w:hint="eastAsia" w:ascii="Times New Roman" w:hAnsi="Times New Roman" w:cs="宋体"/>
                <w:lang w:eastAsia="zh-CN"/>
              </w:rPr>
              <w:t>，</w:t>
            </w:r>
            <w:r>
              <w:rPr>
                <w:rFonts w:hint="eastAsia" w:ascii="Times New Roman" w:hAnsi="Times New Roman" w:eastAsia="宋体"/>
              </w:rPr>
              <w:t>保证机械设备的正常运转</w:t>
            </w:r>
            <w:r>
              <w:rPr>
                <w:rFonts w:hint="eastAsia" w:ascii="Times New Roman" w:hAnsi="Times New Roman"/>
                <w:lang w:eastAsia="zh-CN"/>
              </w:rPr>
              <w:t>，</w:t>
            </w:r>
            <w:r>
              <w:rPr>
                <w:rFonts w:hint="eastAsia" w:ascii="Times New Roman" w:hAnsi="Times New Roman" w:eastAsia="宋体" w:cs="宋体"/>
              </w:rPr>
              <w:t>加强施工场地管理，合理疏导进入施工区的车辆，禁止运输车辆随意高声鸣笛。采取上述措施后，施工噪声不会对区域声环境产生明显影响。</w:t>
            </w:r>
          </w:p>
          <w:p w14:paraId="1C6BD45E">
            <w:pPr>
              <w:snapToGrid w:val="0"/>
              <w:spacing w:line="500" w:lineRule="exact"/>
              <w:rPr>
                <w:rFonts w:hint="eastAsia" w:ascii="Times New Roman" w:hAnsi="Times New Roman" w:eastAsia="宋体" w:cs="宋体"/>
                <w:b/>
                <w:bCs/>
              </w:rPr>
            </w:pPr>
            <w:bookmarkStart w:id="40" w:name="_Hlk136795812"/>
            <w:r>
              <w:rPr>
                <w:rFonts w:hint="eastAsia" w:cs="宋体"/>
                <w:b/>
                <w:bCs/>
                <w:lang w:val="en-US" w:eastAsia="zh-CN"/>
              </w:rPr>
              <w:t>8.</w:t>
            </w:r>
            <w:r>
              <w:rPr>
                <w:rFonts w:hint="eastAsia" w:ascii="Times New Roman" w:hAnsi="Times New Roman" w:eastAsia="宋体" w:cs="宋体"/>
                <w:b/>
                <w:bCs/>
              </w:rPr>
              <w:t>固体废物处置措施</w:t>
            </w:r>
          </w:p>
          <w:p w14:paraId="1F0EA3C3">
            <w:pPr>
              <w:pStyle w:val="20"/>
              <w:ind w:firstLine="480"/>
              <w:rPr>
                <w:rFonts w:hint="eastAsia" w:ascii="Times New Roman" w:hAnsi="Times New Roman" w:eastAsia="宋体"/>
              </w:rPr>
            </w:pPr>
            <w:r>
              <w:rPr>
                <w:rFonts w:hint="eastAsia" w:ascii="Times New Roman" w:hAnsi="Times New Roman" w:eastAsia="宋体"/>
              </w:rPr>
              <w:t>固体废物主要为施工人员产生的生活垃圾</w:t>
            </w:r>
            <w:r>
              <w:rPr>
                <w:rFonts w:hint="eastAsia" w:ascii="Times New Roman" w:hAnsi="Times New Roman"/>
                <w:lang w:eastAsia="zh-CN"/>
              </w:rPr>
              <w:t>、</w:t>
            </w:r>
            <w:r>
              <w:rPr>
                <w:rFonts w:hint="eastAsia" w:ascii="Times New Roman" w:hAnsi="Times New Roman" w:eastAsia="宋体"/>
              </w:rPr>
              <w:t>钻井</w:t>
            </w:r>
            <w:r>
              <w:rPr>
                <w:rFonts w:hint="eastAsia" w:ascii="Times New Roman" w:hAnsi="Times New Roman"/>
                <w:lang w:val="en-US" w:eastAsia="zh-CN"/>
              </w:rPr>
              <w:t>泥浆</w:t>
            </w:r>
            <w:r>
              <w:rPr>
                <w:rFonts w:hint="eastAsia" w:ascii="Times New Roman" w:hAnsi="Times New Roman" w:eastAsia="宋体"/>
              </w:rPr>
              <w:t>、</w:t>
            </w:r>
            <w:r>
              <w:rPr>
                <w:rFonts w:hint="eastAsia" w:ascii="Times New Roman" w:hAnsi="Times New Roman" w:eastAsia="宋体"/>
                <w:lang w:val="en-US" w:eastAsia="zh-CN"/>
              </w:rPr>
              <w:t>沾油废防渗材料</w:t>
            </w:r>
            <w:r>
              <w:rPr>
                <w:rFonts w:hint="eastAsia" w:ascii="Times New Roman" w:hAnsi="Times New Roman"/>
                <w:lang w:val="en-US" w:eastAsia="zh-CN"/>
              </w:rPr>
              <w:t>和设备维修废机油</w:t>
            </w:r>
            <w:r>
              <w:rPr>
                <w:rFonts w:hint="eastAsia" w:ascii="Times New Roman" w:hAnsi="Times New Roman"/>
                <w:lang w:eastAsia="zh-CN"/>
              </w:rPr>
              <w:t>、</w:t>
            </w:r>
            <w:r>
              <w:rPr>
                <w:rFonts w:hint="eastAsia" w:ascii="Times New Roman" w:hAnsi="Times New Roman"/>
                <w:lang w:val="en-US" w:eastAsia="zh-CN"/>
              </w:rPr>
              <w:t>施工产生的临时土石方</w:t>
            </w:r>
            <w:r>
              <w:rPr>
                <w:rFonts w:hint="eastAsia" w:ascii="Times New Roman" w:hAnsi="Times New Roman" w:eastAsia="宋体"/>
              </w:rPr>
              <w:t>。</w:t>
            </w:r>
          </w:p>
          <w:p w14:paraId="36078A80">
            <w:pPr>
              <w:pStyle w:val="20"/>
              <w:ind w:firstLine="480"/>
              <w:rPr>
                <w:rFonts w:hint="eastAsia" w:ascii="Times New Roman" w:hAnsi="Times New Roman" w:eastAsia="宋体" w:cs="宋体"/>
              </w:rPr>
            </w:pPr>
            <w:r>
              <w:rPr>
                <w:rFonts w:hint="eastAsia" w:ascii="Times New Roman" w:hAnsi="Times New Roman" w:eastAsia="宋体" w:cs="宋体"/>
                <w:lang w:eastAsia="zh-CN"/>
              </w:rPr>
              <w:t>（</w:t>
            </w:r>
            <w:r>
              <w:rPr>
                <w:rFonts w:hint="eastAsia" w:ascii="Times New Roman" w:hAnsi="Times New Roman" w:cs="宋体"/>
                <w:lang w:val="en-US" w:eastAsia="zh-CN"/>
              </w:rPr>
              <w:t>1</w:t>
            </w:r>
            <w:r>
              <w:rPr>
                <w:rFonts w:hint="eastAsia" w:ascii="Times New Roman" w:hAnsi="Times New Roman" w:eastAsia="宋体" w:cs="宋体"/>
                <w:lang w:val="en-US" w:eastAsia="zh-CN"/>
              </w:rPr>
              <w:t>）</w:t>
            </w:r>
            <w:r>
              <w:rPr>
                <w:rFonts w:hint="eastAsia" w:ascii="Times New Roman" w:hAnsi="Times New Roman" w:eastAsia="宋体" w:cs="宋体"/>
              </w:rPr>
              <w:t>生活垃圾</w:t>
            </w:r>
          </w:p>
          <w:p w14:paraId="45EC00F3">
            <w:pPr>
              <w:pStyle w:val="20"/>
              <w:ind w:firstLine="480"/>
              <w:rPr>
                <w:rFonts w:hint="eastAsia" w:ascii="Times New Roman" w:hAnsi="Times New Roman" w:eastAsia="宋体" w:cs="宋体"/>
                <w:highlight w:val="none"/>
              </w:rPr>
            </w:pPr>
            <w:r>
              <w:rPr>
                <w:rFonts w:hint="eastAsia" w:ascii="Times New Roman" w:hAnsi="Times New Roman" w:eastAsia="宋体" w:cs="宋体"/>
                <w:highlight w:val="none"/>
                <w:lang w:eastAsia="zh-CN"/>
              </w:rPr>
              <w:t>施工期间生活垃圾产生量约</w:t>
            </w:r>
            <w:r>
              <w:rPr>
                <w:rFonts w:hint="eastAsia" w:ascii="Times New Roman" w:hAnsi="Times New Roman" w:cs="宋体"/>
                <w:highlight w:val="none"/>
                <w:lang w:val="en-US" w:eastAsia="zh-CN"/>
              </w:rPr>
              <w:t>1.008</w:t>
            </w:r>
            <w:r>
              <w:rPr>
                <w:rFonts w:hint="eastAsia" w:ascii="Times New Roman" w:hAnsi="Times New Roman" w:eastAsia="宋体" w:cs="宋体"/>
                <w:highlight w:val="none"/>
                <w:lang w:eastAsia="zh-CN"/>
              </w:rPr>
              <w:t>t</w:t>
            </w:r>
            <w:r>
              <w:rPr>
                <w:rFonts w:hint="eastAsia" w:ascii="Times New Roman" w:hAnsi="Times New Roman" w:cs="宋体"/>
                <w:highlight w:val="none"/>
                <w:lang w:val="en-US" w:eastAsia="zh-CN"/>
              </w:rPr>
              <w:t>/a</w:t>
            </w:r>
            <w:r>
              <w:rPr>
                <w:rFonts w:hint="eastAsia" w:ascii="Times New Roman" w:hAnsi="Times New Roman" w:eastAsia="宋体" w:cs="宋体"/>
                <w:highlight w:val="none"/>
                <w:lang w:eastAsia="zh-CN"/>
              </w:rPr>
              <w:t>，生活垃圾由垃圾箱收集，定期清运</w:t>
            </w:r>
            <w:r>
              <w:rPr>
                <w:rFonts w:hint="eastAsia" w:ascii="Times New Roman" w:hAnsi="Times New Roman" w:cs="宋体"/>
                <w:highlight w:val="none"/>
                <w:lang w:val="en-US" w:eastAsia="zh-CN"/>
              </w:rPr>
              <w:t>交由环卫部门统一</w:t>
            </w:r>
            <w:r>
              <w:rPr>
                <w:rFonts w:hint="eastAsia" w:ascii="Times New Roman" w:hAnsi="Times New Roman" w:eastAsia="宋体" w:cs="宋体"/>
                <w:highlight w:val="none"/>
                <w:lang w:eastAsia="zh-CN"/>
              </w:rPr>
              <w:t>处理。</w:t>
            </w:r>
          </w:p>
          <w:p w14:paraId="2A9CD51E">
            <w:pPr>
              <w:pStyle w:val="20"/>
              <w:ind w:firstLine="480"/>
              <w:rPr>
                <w:rFonts w:hint="eastAsia" w:ascii="Times New Roman" w:hAnsi="Times New Roman" w:eastAsia="宋体" w:cs="宋体"/>
                <w:lang w:eastAsia="zh-CN"/>
              </w:rPr>
            </w:pPr>
            <w:r>
              <w:rPr>
                <w:rFonts w:hint="eastAsia" w:ascii="Times New Roman" w:hAnsi="Times New Roman" w:eastAsia="宋体" w:cs="宋体"/>
                <w:lang w:eastAsia="zh-CN"/>
              </w:rPr>
              <w:t>（</w:t>
            </w:r>
            <w:r>
              <w:rPr>
                <w:rFonts w:hint="eastAsia" w:ascii="Times New Roman" w:hAnsi="Times New Roman" w:eastAsia="宋体" w:cs="宋体"/>
                <w:lang w:val="en-US" w:eastAsia="zh-CN"/>
              </w:rPr>
              <w:t>2）</w:t>
            </w:r>
            <w:r>
              <w:rPr>
                <w:rFonts w:hint="eastAsia" w:ascii="Times New Roman" w:hAnsi="Times New Roman" w:eastAsia="宋体" w:cs="宋体"/>
              </w:rPr>
              <w:t>钻井</w:t>
            </w:r>
            <w:r>
              <w:rPr>
                <w:rFonts w:hint="eastAsia" w:ascii="Times New Roman" w:hAnsi="Times New Roman" w:cs="宋体"/>
                <w:lang w:val="en-US" w:eastAsia="zh-CN"/>
              </w:rPr>
              <w:t>泥浆</w:t>
            </w:r>
          </w:p>
          <w:p w14:paraId="2DEA4922">
            <w:pPr>
              <w:pStyle w:val="20"/>
              <w:ind w:firstLine="480"/>
              <w:rPr>
                <w:rFonts w:hint="eastAsia" w:ascii="Times New Roman" w:hAnsi="Times New Roman" w:eastAsia="宋体" w:cs="宋体"/>
                <w:lang w:eastAsia="zh-CN"/>
              </w:rPr>
            </w:pPr>
            <w:r>
              <w:rPr>
                <w:rFonts w:hint="eastAsia" w:ascii="Times New Roman" w:hAnsi="Times New Roman" w:eastAsia="宋体" w:cs="宋体"/>
                <w:lang w:eastAsia="zh-CN"/>
              </w:rPr>
              <w:t>根据钻孔所处地层特性，本项目进行的钻探产生泥浆主要为水基泥浆。根据《危险废物排除管理清单（2021年版）》，项目钻探产生的泥浆</w:t>
            </w:r>
            <w:r>
              <w:rPr>
                <w:rFonts w:hint="eastAsia" w:ascii="Times New Roman" w:hAnsi="Times New Roman" w:cs="宋体"/>
                <w:lang w:val="en-US" w:eastAsia="zh-CN"/>
              </w:rPr>
              <w:t>和岩屑</w:t>
            </w:r>
            <w:r>
              <w:rPr>
                <w:rFonts w:hint="eastAsia" w:ascii="Times New Roman" w:hAnsi="Times New Roman" w:eastAsia="宋体" w:cs="宋体"/>
                <w:lang w:eastAsia="zh-CN"/>
              </w:rPr>
              <w:t>为一般固体废物。在钻探前，依据地形条件，预先在钻孔附近</w:t>
            </w:r>
            <w:r>
              <w:rPr>
                <w:rFonts w:hint="eastAsia" w:ascii="Times New Roman" w:hAnsi="Times New Roman" w:cs="宋体"/>
                <w:lang w:val="en-US" w:eastAsia="zh-CN"/>
              </w:rPr>
              <w:t>设置</w:t>
            </w:r>
            <w:r>
              <w:rPr>
                <w:rFonts w:hint="eastAsia" w:ascii="Times New Roman" w:hAnsi="Times New Roman" w:eastAsia="宋体" w:cs="宋体"/>
                <w:lang w:eastAsia="zh-CN"/>
              </w:rPr>
              <w:t>泥浆沉淀池；钻探期间，各孔涌出泥浆分别导</w:t>
            </w:r>
            <w:r>
              <w:rPr>
                <w:rFonts w:hint="eastAsia" w:ascii="Times New Roman" w:hAnsi="Times New Roman" w:cs="宋体"/>
                <w:lang w:val="en-US" w:eastAsia="zh-CN"/>
              </w:rPr>
              <w:t>至</w:t>
            </w:r>
            <w:r>
              <w:rPr>
                <w:rFonts w:hint="eastAsia" w:ascii="Times New Roman" w:hAnsi="Times New Roman" w:eastAsia="宋体" w:cs="宋体"/>
                <w:lang w:eastAsia="zh-CN"/>
              </w:rPr>
              <w:t>池内收集回用。在严格按照设计环保措施情况下，泥浆得到集中收集，合理处置，不外排，</w:t>
            </w:r>
            <w:r>
              <w:rPr>
                <w:rFonts w:hint="eastAsia" w:ascii="Times New Roman" w:hAnsi="Times New Roman" w:eastAsia="宋体" w:cs="宋体"/>
                <w:lang w:val="en-US" w:eastAsia="zh-CN"/>
              </w:rPr>
              <w:t>施工结束后沉淀池内干化残渣与钻井岩屑全部回填至原钻孔坑/探槽坑内，分层压实，并恢复表层覆土与原地貌</w:t>
            </w:r>
            <w:r>
              <w:rPr>
                <w:rFonts w:hint="eastAsia" w:ascii="Times New Roman" w:hAnsi="Times New Roman" w:eastAsia="宋体" w:cs="宋体"/>
                <w:lang w:eastAsia="zh-CN"/>
              </w:rPr>
              <w:t>，对外环境影响小。</w:t>
            </w:r>
          </w:p>
          <w:p w14:paraId="6A4B9AB9">
            <w:pPr>
              <w:pStyle w:val="20"/>
              <w:ind w:firstLine="480"/>
              <w:rPr>
                <w:rFonts w:hint="eastAsia" w:ascii="Times New Roman" w:hAnsi="Times New Roman" w:eastAsia="宋体" w:cs="宋体"/>
                <w:lang w:eastAsia="zh-CN"/>
              </w:rPr>
            </w:pPr>
            <w:r>
              <w:rPr>
                <w:rFonts w:hint="eastAsia" w:ascii="Times New Roman" w:hAnsi="Times New Roman" w:eastAsia="宋体" w:cs="宋体"/>
                <w:lang w:eastAsia="zh-CN"/>
              </w:rPr>
              <w:t>（</w:t>
            </w:r>
            <w:r>
              <w:rPr>
                <w:rFonts w:hint="eastAsia" w:ascii="Times New Roman" w:hAnsi="Times New Roman" w:eastAsia="宋体" w:cs="宋体"/>
                <w:lang w:val="en-US" w:eastAsia="zh-CN"/>
              </w:rPr>
              <w:t>3</w:t>
            </w:r>
            <w:r>
              <w:rPr>
                <w:rFonts w:hint="eastAsia" w:ascii="Times New Roman" w:hAnsi="Times New Roman" w:eastAsia="宋体" w:cs="宋体"/>
                <w:lang w:eastAsia="zh-CN"/>
              </w:rPr>
              <w:t>）沾油废防渗材料</w:t>
            </w:r>
            <w:r>
              <w:rPr>
                <w:rFonts w:hint="eastAsia" w:ascii="Times New Roman" w:hAnsi="Times New Roman" w:cs="宋体"/>
                <w:lang w:val="en-US" w:eastAsia="zh-CN"/>
              </w:rPr>
              <w:t>和</w:t>
            </w:r>
            <w:r>
              <w:rPr>
                <w:rFonts w:hint="eastAsia" w:ascii="Times New Roman" w:hAnsi="Times New Roman" w:eastAsia="宋体" w:cs="宋体"/>
                <w:sz w:val="24"/>
                <w:szCs w:val="32"/>
                <w:lang w:val="en-US" w:eastAsia="zh-CN"/>
              </w:rPr>
              <w:t>设备维修废机油</w:t>
            </w:r>
            <w:r>
              <w:rPr>
                <w:rFonts w:hint="eastAsia" w:ascii="Times New Roman" w:hAnsi="Times New Roman" w:cs="宋体"/>
                <w:sz w:val="24"/>
                <w:szCs w:val="32"/>
                <w:lang w:val="en-US" w:eastAsia="zh-CN"/>
              </w:rPr>
              <w:t>：</w:t>
            </w:r>
            <w:r>
              <w:rPr>
                <w:rFonts w:hint="eastAsia" w:ascii="Times New Roman" w:hAnsi="Times New Roman" w:eastAsia="宋体" w:cs="宋体"/>
                <w:lang w:eastAsia="zh-CN"/>
              </w:rPr>
              <w:t>施工结束对场地进行清理时，产生的未沾油防渗材料由施工单位集中回收利用，沾油废防渗材料</w:t>
            </w:r>
            <w:r>
              <w:rPr>
                <w:rFonts w:hint="eastAsia" w:ascii="Times New Roman" w:hAnsi="Times New Roman" w:eastAsia="宋体" w:cs="宋体"/>
                <w:sz w:val="24"/>
                <w:szCs w:val="32"/>
                <w:lang w:val="en-US" w:eastAsia="zh-CN"/>
              </w:rPr>
              <w:t>和设备维修产生的废机油</w:t>
            </w:r>
            <w:r>
              <w:rPr>
                <w:rFonts w:hint="eastAsia" w:ascii="Times New Roman" w:hAnsi="Times New Roman" w:eastAsia="宋体" w:cs="宋体"/>
                <w:lang w:eastAsia="zh-CN"/>
              </w:rPr>
              <w:t>属于《国家危险废物名录》（2025年版）中的HW08废矿物油与含矿物油类危险废物（废物代码为900-249-08</w:t>
            </w:r>
            <w:r>
              <w:rPr>
                <w:rFonts w:hint="eastAsia" w:ascii="Times New Roman" w:hAnsi="Times New Roman" w:eastAsia="宋体" w:cs="宋体"/>
                <w:sz w:val="24"/>
                <w:szCs w:val="32"/>
                <w:lang w:eastAsia="zh-CN"/>
              </w:rPr>
              <w:t>、</w:t>
            </w:r>
            <w:r>
              <w:rPr>
                <w:rFonts w:hint="eastAsia" w:ascii="Times New Roman" w:hAnsi="Times New Roman" w:eastAsia="宋体" w:cs="宋体"/>
                <w:sz w:val="24"/>
                <w:szCs w:val="32"/>
                <w:lang w:val="en-US" w:eastAsia="zh-CN"/>
              </w:rPr>
              <w:t>900-214-08</w:t>
            </w:r>
            <w:r>
              <w:rPr>
                <w:rFonts w:hint="eastAsia" w:ascii="Times New Roman" w:hAnsi="Times New Roman" w:eastAsia="宋体" w:cs="宋体"/>
                <w:lang w:eastAsia="zh-CN"/>
              </w:rPr>
              <w:t>，危险特性为毒性和易燃性），</w:t>
            </w:r>
            <w:r>
              <w:rPr>
                <w:rFonts w:hint="eastAsia" w:ascii="Times New Roman" w:hAnsi="Times New Roman" w:eastAsia="宋体" w:cs="宋体"/>
                <w:highlight w:val="none"/>
                <w:lang w:val="en-US" w:eastAsia="zh-CN"/>
              </w:rPr>
              <w:t>设置一个可移动式危废暂存仓收集后，</w:t>
            </w:r>
            <w:r>
              <w:rPr>
                <w:rFonts w:hint="eastAsia" w:ascii="Times New Roman" w:hAnsi="Times New Roman" w:eastAsia="宋体" w:cs="宋体"/>
                <w:lang w:val="en-US" w:eastAsia="zh-CN"/>
              </w:rPr>
              <w:t>交</w:t>
            </w:r>
            <w:r>
              <w:rPr>
                <w:rFonts w:hint="eastAsia" w:ascii="Times New Roman" w:hAnsi="Times New Roman" w:eastAsia="宋体" w:cs="宋体"/>
                <w:lang w:eastAsia="zh-CN"/>
              </w:rPr>
              <w:t>由具有相应危险废物处置资质的单位进行接收、转运和处置。</w:t>
            </w:r>
          </w:p>
          <w:p w14:paraId="3D62C42C">
            <w:pPr>
              <w:pStyle w:val="20"/>
              <w:ind w:firstLine="480"/>
              <w:rPr>
                <w:rFonts w:hint="eastAsia" w:ascii="Times New Roman" w:hAnsi="Times New Roman" w:eastAsia="宋体" w:cs="宋体"/>
                <w:lang w:eastAsia="zh-CN"/>
              </w:rPr>
            </w:pPr>
            <w:r>
              <w:rPr>
                <w:rFonts w:hint="eastAsia" w:ascii="Times New Roman" w:hAnsi="Times New Roman" w:eastAsia="宋体" w:cs="宋体"/>
                <w:lang w:eastAsia="zh-CN"/>
              </w:rPr>
              <w:t>（</w:t>
            </w:r>
            <w:r>
              <w:rPr>
                <w:rFonts w:hint="eastAsia" w:ascii="Times New Roman" w:hAnsi="Times New Roman" w:eastAsia="宋体" w:cs="宋体"/>
                <w:lang w:val="en-US" w:eastAsia="zh-CN"/>
              </w:rPr>
              <w:t>4</w:t>
            </w:r>
            <w:r>
              <w:rPr>
                <w:rFonts w:hint="eastAsia" w:ascii="Times New Roman" w:hAnsi="Times New Roman" w:eastAsia="宋体" w:cs="宋体"/>
                <w:lang w:eastAsia="zh-CN"/>
              </w:rPr>
              <w:t>）</w:t>
            </w:r>
            <w:r>
              <w:rPr>
                <w:rFonts w:hint="eastAsia" w:ascii="Times New Roman" w:hAnsi="Times New Roman" w:eastAsia="宋体" w:cs="宋体"/>
                <w:lang w:val="en-US" w:eastAsia="zh-CN"/>
              </w:rPr>
              <w:t>临时</w:t>
            </w:r>
            <w:r>
              <w:rPr>
                <w:rFonts w:hint="eastAsia" w:ascii="Times New Roman" w:hAnsi="Times New Roman" w:eastAsia="宋体" w:cs="宋体"/>
                <w:lang w:eastAsia="zh-CN"/>
              </w:rPr>
              <w:t>土石方</w:t>
            </w:r>
          </w:p>
          <w:p w14:paraId="24A08401">
            <w:pPr>
              <w:pStyle w:val="20"/>
              <w:ind w:firstLine="480"/>
              <w:rPr>
                <w:rFonts w:hint="eastAsia" w:ascii="Times New Roman" w:hAnsi="Times New Roman" w:cs="宋体"/>
                <w:highlight w:val="none"/>
                <w:lang w:val="en-US" w:eastAsia="zh-CN"/>
              </w:rPr>
            </w:pPr>
            <w:r>
              <w:rPr>
                <w:rFonts w:hint="eastAsia" w:ascii="Times New Roman" w:hAnsi="Times New Roman" w:eastAsia="宋体" w:cs="宋体"/>
                <w:lang w:eastAsia="zh-CN"/>
              </w:rPr>
              <w:t>本项目产生</w:t>
            </w:r>
            <w:r>
              <w:rPr>
                <w:rFonts w:hint="eastAsia" w:ascii="Times New Roman" w:hAnsi="Times New Roman" w:eastAsia="宋体" w:cs="宋体"/>
                <w:highlight w:val="none"/>
                <w:lang w:eastAsia="zh-CN"/>
              </w:rPr>
              <w:t>的土石方</w:t>
            </w:r>
            <w:r>
              <w:rPr>
                <w:rFonts w:hint="eastAsia" w:ascii="Times New Roman" w:hAnsi="Times New Roman" w:cs="宋体"/>
                <w:highlight w:val="none"/>
                <w:lang w:val="en-US" w:eastAsia="zh-CN"/>
              </w:rPr>
              <w:t>约</w:t>
            </w:r>
            <w:r>
              <w:rPr>
                <w:rFonts w:hint="eastAsia" w:ascii="Times New Roman" w:hAnsi="Times New Roman" w:eastAsia="宋体" w:cs="宋体"/>
                <w:highlight w:val="none"/>
                <w:lang w:eastAsia="zh-CN"/>
              </w:rPr>
              <w:t>为</w:t>
            </w:r>
            <w:r>
              <w:rPr>
                <w:rFonts w:hint="eastAsia" w:ascii="Times New Roman" w:hAnsi="Times New Roman" w:cs="宋体"/>
                <w:highlight w:val="none"/>
                <w:lang w:val="en-US" w:eastAsia="zh-CN"/>
              </w:rPr>
              <w:t>2039.5</w:t>
            </w:r>
            <w:r>
              <w:rPr>
                <w:rFonts w:hint="eastAsia" w:ascii="Times New Roman" w:hAnsi="Times New Roman" w:eastAsia="宋体" w:cs="宋体"/>
                <w:highlight w:val="none"/>
                <w:lang w:eastAsia="zh-CN"/>
              </w:rPr>
              <w:t>m</w:t>
            </w:r>
            <w:r>
              <w:rPr>
                <w:rFonts w:hint="eastAsia" w:ascii="Times New Roman" w:hAnsi="Times New Roman" w:eastAsia="宋体" w:cs="宋体"/>
                <w:highlight w:val="none"/>
                <w:vertAlign w:val="superscript"/>
                <w:lang w:eastAsia="zh-CN"/>
              </w:rPr>
              <w:t>3</w:t>
            </w:r>
            <w:r>
              <w:rPr>
                <w:rFonts w:hint="eastAsia" w:ascii="Times New Roman" w:hAnsi="Times New Roman" w:cs="宋体"/>
                <w:lang w:eastAsia="zh-CN"/>
              </w:rPr>
              <w:t>。</w:t>
            </w:r>
            <w:r>
              <w:rPr>
                <w:rFonts w:hint="eastAsia" w:ascii="Times New Roman" w:hAnsi="Times New Roman"/>
                <w:highlight w:val="none"/>
                <w:lang w:val="en-US" w:eastAsia="zh-CN"/>
              </w:rPr>
              <w:t>在TC0-1、TC15-1、TC7-1、TC8-1探槽旁各</w:t>
            </w:r>
            <w:r>
              <w:rPr>
                <w:rFonts w:ascii="Times New Roman" w:hAnsi="Times New Roman" w:eastAsia="宋体"/>
                <w:highlight w:val="none"/>
              </w:rPr>
              <w:t>设置一个</w:t>
            </w:r>
            <w:r>
              <w:rPr>
                <w:rFonts w:hint="eastAsia" w:ascii="Times New Roman" w:hAnsi="Times New Roman" w:cs="宋体"/>
                <w:spacing w:val="6"/>
                <w:sz w:val="24"/>
                <w:szCs w:val="24"/>
                <w:highlight w:val="none"/>
                <w:lang w:val="en-US" w:eastAsia="zh-CN"/>
              </w:rPr>
              <w:t>200m</w:t>
            </w:r>
            <w:r>
              <w:rPr>
                <w:rFonts w:hint="eastAsia" w:ascii="Times New Roman" w:hAnsi="Times New Roman" w:cs="宋体"/>
                <w:spacing w:val="6"/>
                <w:sz w:val="24"/>
                <w:szCs w:val="24"/>
                <w:highlight w:val="none"/>
                <w:vertAlign w:val="superscript"/>
                <w:lang w:val="en-US" w:eastAsia="zh-CN"/>
              </w:rPr>
              <w:t>2</w:t>
            </w:r>
            <w:r>
              <w:rPr>
                <w:rFonts w:hint="eastAsia" w:ascii="Times New Roman" w:hAnsi="Times New Roman" w:cs="宋体"/>
                <w:spacing w:val="6"/>
                <w:sz w:val="24"/>
                <w:szCs w:val="24"/>
                <w:highlight w:val="none"/>
                <w:vertAlign w:val="baseline"/>
                <w:lang w:val="en-US" w:eastAsia="zh-CN"/>
              </w:rPr>
              <w:t>的</w:t>
            </w:r>
            <w:r>
              <w:rPr>
                <w:rFonts w:ascii="Times New Roman" w:hAnsi="Times New Roman" w:eastAsia="宋体"/>
                <w:highlight w:val="none"/>
              </w:rPr>
              <w:t>临时堆</w:t>
            </w:r>
            <w:r>
              <w:rPr>
                <w:rFonts w:hint="eastAsia" w:ascii="Times New Roman" w:hAnsi="Times New Roman"/>
                <w:highlight w:val="none"/>
                <w:lang w:val="en-US" w:eastAsia="zh-CN"/>
              </w:rPr>
              <w:t>放</w:t>
            </w:r>
            <w:r>
              <w:rPr>
                <w:rFonts w:ascii="Times New Roman" w:hAnsi="Times New Roman" w:eastAsia="宋体"/>
                <w:highlight w:val="none"/>
              </w:rPr>
              <w:t>场，</w:t>
            </w:r>
            <w:r>
              <w:rPr>
                <w:rFonts w:hint="eastAsia" w:ascii="Times New Roman" w:hAnsi="Times New Roman" w:cs="宋体"/>
                <w:highlight w:val="none"/>
                <w:lang w:val="en-US" w:eastAsia="zh-CN"/>
              </w:rPr>
              <w:t>存放槽探过程挖出的废石，并用篷布覆盖，每个探槽取样结束后及时进行回填，无弃方；钻探土石方用于钻孔回填及场地平整。</w:t>
            </w:r>
            <w:bookmarkEnd w:id="40"/>
            <w:bookmarkStart w:id="41" w:name="_Hlk183361156"/>
            <w:bookmarkStart w:id="42" w:name="_Hlk136792721"/>
          </w:p>
          <w:p w14:paraId="5EC333EE">
            <w:pPr>
              <w:pStyle w:val="20"/>
              <w:ind w:firstLine="480"/>
              <w:rPr>
                <w:rFonts w:hint="eastAsia" w:ascii="Times New Roman" w:hAnsi="Times New Roman" w:eastAsia="宋体"/>
              </w:rPr>
            </w:pPr>
            <w:r>
              <w:rPr>
                <w:rFonts w:hint="eastAsia" w:ascii="Times New Roman" w:hAnsi="Times New Roman" w:eastAsia="宋体"/>
              </w:rPr>
              <w:t>（5）一般工业固体废物环境管理要求</w:t>
            </w:r>
          </w:p>
          <w:p w14:paraId="1683C602">
            <w:pPr>
              <w:pStyle w:val="20"/>
              <w:ind w:firstLine="480"/>
              <w:rPr>
                <w:rFonts w:hint="eastAsia" w:ascii="Times New Roman" w:hAnsi="Times New Roman" w:eastAsia="宋体"/>
              </w:rPr>
            </w:pPr>
            <w:r>
              <w:rPr>
                <w:rFonts w:hint="eastAsia" w:ascii="Times New Roman" w:hAnsi="Times New Roman" w:eastAsia="宋体"/>
              </w:rPr>
              <w:t>①建设单位应落实污染环境防治责任制度，建立健全工业固体废物产生、收集、贮存、运输、利用、处置全过程的污染环境防治责任制度。建立工业固体废物管理台账，如实记录产生工业固体废物的种类、数量、流向、贮存、利用、处置等信息，实现工业固体废物可追溯、可查询。</w:t>
            </w:r>
          </w:p>
          <w:p w14:paraId="3249BE6D">
            <w:pPr>
              <w:pStyle w:val="20"/>
              <w:ind w:firstLine="480"/>
              <w:rPr>
                <w:rFonts w:hint="eastAsia" w:ascii="Times New Roman" w:hAnsi="Times New Roman" w:eastAsia="宋体"/>
              </w:rPr>
            </w:pPr>
            <w:r>
              <w:rPr>
                <w:rFonts w:hint="eastAsia" w:ascii="Times New Roman" w:hAnsi="Times New Roman" w:eastAsia="宋体"/>
              </w:rPr>
              <w:t>②建设单位应与具有相应具有固体废物处置资质的单位签订书面合同，在合同中约定污染防治要求，由受托方负责处置钻井岩屑。</w:t>
            </w:r>
          </w:p>
          <w:p w14:paraId="524D62E3">
            <w:pPr>
              <w:pStyle w:val="20"/>
              <w:ind w:firstLine="480"/>
              <w:rPr>
                <w:rFonts w:hint="eastAsia" w:ascii="Times New Roman" w:hAnsi="Times New Roman" w:eastAsia="宋体"/>
              </w:rPr>
            </w:pPr>
            <w:r>
              <w:rPr>
                <w:rFonts w:hint="eastAsia" w:ascii="Times New Roman" w:hAnsi="Times New Roman" w:eastAsia="宋体"/>
              </w:rPr>
              <w:t>（6）</w:t>
            </w:r>
            <w:bookmarkStart w:id="43" w:name="_Hlk183363774"/>
            <w:r>
              <w:rPr>
                <w:rFonts w:hint="eastAsia" w:ascii="Times New Roman" w:hAnsi="Times New Roman" w:eastAsia="宋体"/>
              </w:rPr>
              <w:t>危险废物环境管理要求</w:t>
            </w:r>
            <w:bookmarkEnd w:id="43"/>
          </w:p>
          <w:bookmarkEnd w:id="41"/>
          <w:p w14:paraId="2BA61344">
            <w:pPr>
              <w:pStyle w:val="20"/>
              <w:ind w:firstLine="480"/>
              <w:rPr>
                <w:rFonts w:hint="eastAsia" w:ascii="Times New Roman" w:hAnsi="Times New Roman" w:eastAsia="宋体"/>
              </w:rPr>
            </w:pPr>
            <w:r>
              <w:rPr>
                <w:rFonts w:hint="eastAsia" w:ascii="Times New Roman" w:hAnsi="Times New Roman" w:eastAsia="宋体"/>
              </w:rPr>
              <w:t>危险废物收集、储存、转移须满足《危险废物贮存污染控制标准》（GB18597-2023）和《危险废物收集贮存运输技术规范》（HJ2025-2012）的相关要求，应交由有相应资质的危险废物处理单位进行处置，并将相关资料存档备查。</w:t>
            </w:r>
          </w:p>
          <w:bookmarkEnd w:id="42"/>
          <w:p w14:paraId="0C16058B">
            <w:pPr>
              <w:pStyle w:val="20"/>
              <w:ind w:firstLine="480"/>
              <w:rPr>
                <w:rFonts w:hint="eastAsia" w:ascii="Times New Roman" w:hAnsi="Times New Roman" w:eastAsia="宋体"/>
              </w:rPr>
            </w:pPr>
            <w:r>
              <w:rPr>
                <w:rFonts w:hint="eastAsia" w:ascii="Times New Roman" w:hAnsi="Times New Roman" w:eastAsia="宋体"/>
              </w:rPr>
              <w:t>上述固体废物处置措施均为技术可行和稳定可靠的成熟措施，钻井工程产生的固体废物均得到妥善处置，不会对环境造成不利影响。</w:t>
            </w:r>
          </w:p>
          <w:p w14:paraId="0892BF4D">
            <w:pPr>
              <w:snapToGrid w:val="0"/>
              <w:spacing w:line="480" w:lineRule="exact"/>
              <w:rPr>
                <w:rFonts w:hint="eastAsia" w:ascii="Times New Roman" w:hAnsi="Times New Roman" w:eastAsia="宋体" w:cs="宋体"/>
                <w:b/>
                <w:bCs/>
              </w:rPr>
            </w:pPr>
            <w:r>
              <w:rPr>
                <w:rFonts w:hint="eastAsia" w:cs="宋体"/>
                <w:b/>
                <w:bCs/>
                <w:lang w:val="en-US" w:eastAsia="zh-CN"/>
              </w:rPr>
              <w:t>9.</w:t>
            </w:r>
            <w:r>
              <w:rPr>
                <w:rFonts w:hint="eastAsia" w:ascii="Times New Roman" w:hAnsi="Times New Roman" w:eastAsia="宋体" w:cs="宋体"/>
                <w:b/>
                <w:bCs/>
              </w:rPr>
              <w:t>环境风险应急措施及应急要求</w:t>
            </w:r>
          </w:p>
          <w:p w14:paraId="16D07DBF">
            <w:pPr>
              <w:snapToGrid w:val="0"/>
              <w:spacing w:line="480" w:lineRule="exact"/>
              <w:ind w:firstLine="480" w:firstLineChars="200"/>
              <w:rPr>
                <w:rFonts w:hint="eastAsia" w:cs="宋体"/>
                <w:lang w:eastAsia="zh-CN"/>
              </w:rPr>
            </w:pPr>
            <w:r>
              <w:rPr>
                <w:rFonts w:hint="eastAsia" w:ascii="Times New Roman" w:hAnsi="Times New Roman" w:eastAsia="宋体" w:cs="宋体"/>
              </w:rPr>
              <w:t>（1）</w:t>
            </w:r>
            <w:r>
              <w:rPr>
                <w:rFonts w:hint="eastAsia" w:cs="宋体"/>
                <w:lang w:val="en-US" w:eastAsia="zh-CN"/>
              </w:rPr>
              <w:t>油罐车停放</w:t>
            </w:r>
            <w:r>
              <w:rPr>
                <w:rFonts w:hint="eastAsia" w:ascii="Times New Roman" w:hAnsi="Times New Roman" w:eastAsia="宋体" w:cs="宋体"/>
              </w:rPr>
              <w:t>区域</w:t>
            </w:r>
            <w:r>
              <w:rPr>
                <w:rFonts w:hint="eastAsia" w:cs="宋体"/>
                <w:lang w:val="en-US" w:eastAsia="zh-CN"/>
              </w:rPr>
              <w:t>严禁</w:t>
            </w:r>
            <w:r>
              <w:rPr>
                <w:rFonts w:hint="eastAsia" w:ascii="Times New Roman" w:hAnsi="Times New Roman" w:eastAsia="宋体" w:cs="宋体"/>
              </w:rPr>
              <w:t>用火管理</w:t>
            </w:r>
            <w:r>
              <w:rPr>
                <w:rFonts w:hint="eastAsia" w:cs="宋体"/>
                <w:lang w:eastAsia="zh-CN"/>
              </w:rPr>
              <w:t>。</w:t>
            </w:r>
          </w:p>
          <w:p w14:paraId="4EE1359F">
            <w:pPr>
              <w:snapToGrid w:val="0"/>
              <w:spacing w:line="480" w:lineRule="exact"/>
              <w:ind w:firstLine="480" w:firstLineChars="200"/>
              <w:rPr>
                <w:rFonts w:hint="eastAsia" w:ascii="Times New Roman" w:hAnsi="Times New Roman" w:eastAsia="宋体" w:cs="宋体"/>
                <w:lang w:val="en-US" w:eastAsia="zh-CN"/>
              </w:rPr>
            </w:pPr>
            <w:r>
              <w:rPr>
                <w:rFonts w:hint="eastAsia" w:ascii="Times New Roman" w:hAnsi="Times New Roman" w:eastAsia="宋体" w:cs="宋体"/>
              </w:rPr>
              <w:t>（2）</w:t>
            </w:r>
            <w:r>
              <w:rPr>
                <w:rFonts w:hint="eastAsia" w:cs="宋体"/>
                <w:lang w:val="en-US" w:eastAsia="zh-CN"/>
              </w:rPr>
              <w:t>油罐车停放区</w:t>
            </w:r>
            <w:r>
              <w:rPr>
                <w:rFonts w:hint="eastAsia" w:ascii="Times New Roman" w:hAnsi="Times New Roman" w:eastAsia="宋体" w:cs="宋体"/>
                <w:highlight w:val="none"/>
              </w:rPr>
              <w:t>、</w:t>
            </w:r>
            <w:r>
              <w:rPr>
                <w:rFonts w:hint="eastAsia" w:cs="宋体"/>
                <w:lang w:val="en-US" w:eastAsia="zh-CN"/>
              </w:rPr>
              <w:t>一体化污水处理设施</w:t>
            </w:r>
            <w:r>
              <w:rPr>
                <w:rFonts w:hint="eastAsia" w:cs="宋体"/>
                <w:highlight w:val="none"/>
                <w:lang w:val="en-US" w:eastAsia="zh-CN"/>
              </w:rPr>
              <w:t>、泥浆池，</w:t>
            </w:r>
            <w:r>
              <w:rPr>
                <w:rFonts w:hint="eastAsia" w:ascii="Times New Roman" w:hAnsi="Times New Roman" w:eastAsia="宋体" w:cs="宋体"/>
              </w:rPr>
              <w:t>均应铺设符合要求的防渗材料，一旦发生泄漏须及时发现并采取有效的堵漏措施；加强</w:t>
            </w:r>
            <w:r>
              <w:rPr>
                <w:rFonts w:hint="eastAsia" w:cs="宋体"/>
                <w:lang w:val="en-US" w:eastAsia="zh-CN"/>
              </w:rPr>
              <w:t>油品</w:t>
            </w:r>
            <w:r>
              <w:rPr>
                <w:rFonts w:hint="eastAsia" w:ascii="Times New Roman" w:hAnsi="Times New Roman" w:eastAsia="宋体" w:cs="宋体"/>
              </w:rPr>
              <w:t>运输环节的管理，避免出现</w:t>
            </w:r>
            <w:r>
              <w:rPr>
                <w:rFonts w:hint="eastAsia" w:cs="宋体"/>
                <w:lang w:val="en-US" w:eastAsia="zh-CN"/>
              </w:rPr>
              <w:t>油品</w:t>
            </w:r>
            <w:r>
              <w:rPr>
                <w:rFonts w:hint="eastAsia" w:ascii="Times New Roman" w:hAnsi="Times New Roman" w:eastAsia="宋体" w:cs="宋体"/>
              </w:rPr>
              <w:t>泄漏风险事故发生</w:t>
            </w:r>
            <w:r>
              <w:rPr>
                <w:rFonts w:hint="eastAsia" w:cs="宋体"/>
                <w:lang w:eastAsia="zh-CN"/>
              </w:rPr>
              <w:t>。</w:t>
            </w:r>
          </w:p>
          <w:p w14:paraId="1512D32B">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cs="宋体"/>
              </w:rPr>
              <w:t>（3）加强消防安全管理</w:t>
            </w:r>
          </w:p>
          <w:p w14:paraId="6FB2A1B7">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cs="宋体"/>
              </w:rPr>
              <w:t>定期进行消防培训与实战演练，要求岗位工作人员具有较强的消防安全意识，加强巡检，确保无异常情况出现。</w:t>
            </w:r>
          </w:p>
          <w:p w14:paraId="7BCBE614">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cs="宋体"/>
              </w:rPr>
              <w:t>施工期发生风险事故的概率较小，且制定了较为周全的风险事故防范措施和事故应急预案，当发生风险事故时立即启动事故应急预案，确保事故不扩大，避免对周边环境造成较大危害。在采取严格的安全防护和风险防范措施后，环境风险可控。</w:t>
            </w:r>
          </w:p>
        </w:tc>
      </w:tr>
      <w:tr w14:paraId="76E6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95" w:type="pct"/>
            <w:vAlign w:val="center"/>
          </w:tcPr>
          <w:p w14:paraId="6054301F">
            <w:pPr>
              <w:adjustRightInd w:val="0"/>
              <w:snapToGrid w:val="0"/>
              <w:spacing w:line="500" w:lineRule="exact"/>
              <w:rPr>
                <w:rFonts w:hint="eastAsia" w:ascii="Times New Roman" w:hAnsi="Times New Roman" w:eastAsia="宋体" w:cs="宋体"/>
                <w:bCs/>
              </w:rPr>
            </w:pPr>
            <w:r>
              <w:rPr>
                <w:rFonts w:hint="eastAsia" w:ascii="Times New Roman" w:hAnsi="Times New Roman" w:eastAsia="宋体" w:cs="宋体"/>
                <w:bCs/>
              </w:rPr>
              <w:t>运营期生态环境保护措施</w:t>
            </w:r>
          </w:p>
        </w:tc>
        <w:tc>
          <w:tcPr>
            <w:tcW w:w="4604" w:type="pct"/>
            <w:vAlign w:val="center"/>
          </w:tcPr>
          <w:p w14:paraId="126EC8CA">
            <w:pPr>
              <w:snapToGrid w:val="0"/>
              <w:spacing w:line="480" w:lineRule="exact"/>
              <w:ind w:firstLine="480" w:firstLineChars="200"/>
              <w:rPr>
                <w:rFonts w:hint="eastAsia" w:ascii="Times New Roman" w:hAnsi="Times New Roman" w:eastAsia="宋体" w:cs="宋体"/>
              </w:rPr>
            </w:pPr>
          </w:p>
          <w:p w14:paraId="6E0AD888">
            <w:pPr>
              <w:snapToGrid w:val="0"/>
              <w:spacing w:line="480" w:lineRule="exact"/>
              <w:ind w:firstLine="480" w:firstLineChars="200"/>
              <w:rPr>
                <w:rFonts w:ascii="Times New Roman" w:hAnsi="Times New Roman" w:eastAsia="宋体" w:cs="宋体"/>
                <w:b/>
                <w:bCs/>
              </w:rPr>
            </w:pPr>
            <w:r>
              <w:rPr>
                <w:rFonts w:hint="eastAsia" w:ascii="Times New Roman" w:hAnsi="Times New Roman" w:eastAsia="宋体" w:cs="宋体"/>
              </w:rPr>
              <w:t>本项目仅涉及矿山勘探，不涉及采矿，无运营期。</w:t>
            </w:r>
          </w:p>
        </w:tc>
      </w:tr>
      <w:tr w14:paraId="0E3D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Align w:val="center"/>
          </w:tcPr>
          <w:p w14:paraId="168D248C">
            <w:pPr>
              <w:adjustRightInd w:val="0"/>
              <w:snapToGrid w:val="0"/>
              <w:spacing w:line="500" w:lineRule="exact"/>
              <w:rPr>
                <w:rFonts w:hint="eastAsia" w:ascii="Times New Roman" w:hAnsi="Times New Roman" w:eastAsia="宋体" w:cs="宋体"/>
                <w:bCs/>
              </w:rPr>
            </w:pPr>
          </w:p>
          <w:p w14:paraId="12A66741">
            <w:pPr>
              <w:adjustRightInd w:val="0"/>
              <w:snapToGrid w:val="0"/>
              <w:spacing w:line="500" w:lineRule="exact"/>
              <w:rPr>
                <w:rFonts w:hint="eastAsia" w:ascii="Times New Roman" w:hAnsi="Times New Roman" w:eastAsia="宋体" w:cs="宋体"/>
                <w:bCs/>
              </w:rPr>
            </w:pPr>
          </w:p>
          <w:p w14:paraId="76F63910">
            <w:pPr>
              <w:adjustRightInd w:val="0"/>
              <w:snapToGrid w:val="0"/>
              <w:spacing w:line="500" w:lineRule="exact"/>
              <w:rPr>
                <w:rFonts w:hint="eastAsia" w:ascii="Times New Roman" w:hAnsi="Times New Roman" w:eastAsia="宋体" w:cs="宋体"/>
                <w:bCs/>
              </w:rPr>
            </w:pPr>
          </w:p>
          <w:p w14:paraId="6CACE52D">
            <w:pPr>
              <w:adjustRightInd w:val="0"/>
              <w:snapToGrid w:val="0"/>
              <w:spacing w:line="500" w:lineRule="exact"/>
              <w:rPr>
                <w:rFonts w:hint="eastAsia" w:ascii="Times New Roman" w:hAnsi="Times New Roman" w:eastAsia="宋体" w:cs="宋体"/>
                <w:bCs/>
              </w:rPr>
            </w:pPr>
          </w:p>
          <w:p w14:paraId="24FAC8FE">
            <w:pPr>
              <w:adjustRightInd w:val="0"/>
              <w:snapToGrid w:val="0"/>
              <w:spacing w:line="500" w:lineRule="exact"/>
              <w:rPr>
                <w:rFonts w:hint="eastAsia" w:ascii="Times New Roman" w:hAnsi="Times New Roman" w:eastAsia="宋体" w:cs="宋体"/>
                <w:bCs/>
              </w:rPr>
            </w:pPr>
            <w:r>
              <w:rPr>
                <w:rFonts w:hint="eastAsia" w:ascii="Times New Roman" w:hAnsi="Times New Roman" w:eastAsia="宋体" w:cs="宋体"/>
                <w:bCs/>
              </w:rPr>
              <w:t>其他</w:t>
            </w:r>
          </w:p>
        </w:tc>
        <w:tc>
          <w:tcPr>
            <w:tcW w:w="4604" w:type="pct"/>
          </w:tcPr>
          <w:p w14:paraId="32994EBA">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w:t>
            </w:r>
            <w:r>
              <w:rPr>
                <w:rFonts w:ascii="Times New Roman" w:hAnsi="Times New Roman" w:eastAsia="宋体" w:cs="宋体"/>
              </w:rPr>
              <w:t>1</w:t>
            </w:r>
            <w:r>
              <w:rPr>
                <w:rFonts w:hint="eastAsia" w:ascii="Times New Roman" w:hAnsi="Times New Roman" w:eastAsia="宋体" w:cs="宋体"/>
              </w:rPr>
              <w:t>）施工期环境保护管理计划</w:t>
            </w:r>
          </w:p>
          <w:p w14:paraId="6FC7B0C0">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施工期环保管理的中心工作是：在抓好工程施工建设的同时，防止和控制施工活动对环境可能造成的污染或破坏，具体内容是：</w:t>
            </w:r>
          </w:p>
          <w:p w14:paraId="64B282EB">
            <w:pPr>
              <w:snapToGrid w:val="0"/>
              <w:spacing w:line="480" w:lineRule="exact"/>
              <w:ind w:firstLine="480" w:firstLineChars="200"/>
              <w:rPr>
                <w:rFonts w:hint="eastAsia" w:ascii="Times New Roman" w:hAnsi="Times New Roman" w:eastAsia="宋体" w:cs="宋体"/>
                <w:lang w:eastAsia="zh-CN"/>
              </w:rPr>
            </w:pPr>
            <w:r>
              <w:rPr>
                <w:rFonts w:ascii="Times New Roman" w:hAnsi="Times New Roman" w:eastAsia="宋体" w:cs="宋体"/>
              </w:rPr>
              <w:t>1</w:t>
            </w:r>
            <w:r>
              <w:rPr>
                <w:rFonts w:hint="eastAsia" w:ascii="Times New Roman" w:hAnsi="Times New Roman" w:eastAsia="宋体" w:cs="宋体"/>
              </w:rPr>
              <w:t>）制定工程建设过程中的污染防治措施、环保管理措施和实施办法，负责施工过程中的环保工作，督促和检查施工过程中环保措施的执行情况，发现问题，及时解决。</w:t>
            </w:r>
          </w:p>
          <w:p w14:paraId="67B766D5">
            <w:pPr>
              <w:snapToGrid w:val="0"/>
              <w:spacing w:line="480" w:lineRule="exact"/>
              <w:ind w:firstLine="480" w:firstLineChars="200"/>
              <w:rPr>
                <w:rFonts w:hint="eastAsia" w:ascii="Times New Roman" w:hAnsi="Times New Roman" w:eastAsia="宋体" w:cs="宋体"/>
                <w:lang w:eastAsia="zh-CN"/>
              </w:rPr>
            </w:pPr>
            <w:r>
              <w:rPr>
                <w:rFonts w:ascii="Times New Roman" w:hAnsi="Times New Roman" w:eastAsia="宋体" w:cs="宋体"/>
              </w:rPr>
              <w:t>2</w:t>
            </w:r>
            <w:r>
              <w:rPr>
                <w:rFonts w:hint="eastAsia" w:ascii="Times New Roman" w:hAnsi="Times New Roman" w:eastAsia="宋体" w:cs="宋体"/>
              </w:rPr>
              <w:t>）负责对施工过程中的污染源管理，合理安排施工机械的运行及施工作业时间，最大限度地减少施工作业产生的噪声、扬尘对环境的影响。</w:t>
            </w:r>
          </w:p>
          <w:p w14:paraId="77F98864">
            <w:pPr>
              <w:snapToGrid w:val="0"/>
              <w:spacing w:line="480" w:lineRule="exact"/>
              <w:ind w:firstLine="480" w:firstLineChars="200"/>
              <w:rPr>
                <w:rFonts w:hint="eastAsia" w:ascii="Times New Roman" w:hAnsi="Times New Roman" w:eastAsia="宋体" w:cs="宋体"/>
                <w:lang w:eastAsia="zh-CN"/>
              </w:rPr>
            </w:pPr>
            <w:r>
              <w:rPr>
                <w:rFonts w:ascii="Times New Roman" w:hAnsi="Times New Roman" w:eastAsia="宋体" w:cs="宋体"/>
              </w:rPr>
              <w:t>3</w:t>
            </w:r>
            <w:r>
              <w:rPr>
                <w:rFonts w:hint="eastAsia" w:ascii="Times New Roman" w:hAnsi="Times New Roman" w:eastAsia="宋体" w:cs="宋体"/>
              </w:rPr>
              <w:t>）落实源头分类。产废单位应按固废类别进行分类贮存，禁止将一般工业固体废物投放到生活垃圾收集设施。对施工过程中产生的废料、生活垃圾及生活污水等进行集中统一处置，防止对环境造成不利影响。</w:t>
            </w:r>
          </w:p>
          <w:p w14:paraId="1D474AD4">
            <w:pPr>
              <w:snapToGrid w:val="0"/>
              <w:spacing w:line="480" w:lineRule="exact"/>
              <w:ind w:firstLine="480" w:firstLineChars="200"/>
              <w:rPr>
                <w:rFonts w:hint="eastAsia" w:ascii="Times New Roman" w:hAnsi="Times New Roman" w:eastAsia="宋体" w:cs="宋体"/>
                <w:lang w:eastAsia="zh-CN"/>
              </w:rPr>
            </w:pPr>
            <w:r>
              <w:rPr>
                <w:rFonts w:ascii="Times New Roman" w:hAnsi="Times New Roman" w:eastAsia="宋体" w:cs="宋体"/>
              </w:rPr>
              <w:t>4</w:t>
            </w:r>
            <w:r>
              <w:rPr>
                <w:rFonts w:hint="eastAsia" w:ascii="Times New Roman" w:hAnsi="Times New Roman" w:eastAsia="宋体" w:cs="宋体"/>
              </w:rPr>
              <w:t>）参与施工作业管理及计划安排，防止施工造成长时间的交通中断、交通堵塞，以及公共服务设施如水、电、气、通讯等的中断。</w:t>
            </w:r>
          </w:p>
          <w:p w14:paraId="0E982EC8">
            <w:pPr>
              <w:snapToGrid w:val="0"/>
              <w:spacing w:line="480" w:lineRule="exact"/>
              <w:ind w:firstLine="480" w:firstLineChars="200"/>
              <w:rPr>
                <w:rFonts w:hint="eastAsia" w:ascii="Times New Roman" w:hAnsi="Times New Roman" w:eastAsia="宋体" w:cs="宋体"/>
                <w:lang w:eastAsia="zh-CN"/>
              </w:rPr>
            </w:pPr>
            <w:r>
              <w:rPr>
                <w:rFonts w:ascii="Times New Roman" w:hAnsi="Times New Roman" w:eastAsia="宋体" w:cs="宋体"/>
              </w:rPr>
              <w:t>5</w:t>
            </w:r>
            <w:r>
              <w:rPr>
                <w:rFonts w:hint="eastAsia" w:ascii="Times New Roman" w:hAnsi="Times New Roman" w:eastAsia="宋体" w:cs="宋体"/>
              </w:rPr>
              <w:t>）加强委外转移利用处置管理。产废单位委托他人运输、利用、处置工业固体废物的，要对受托方的主体资格和技术能力进行核实，依法签订书面合同，在合同中约定污染防治要求。鼓励产废单位将工业固体废物直接委托给具备完善的环保手续和贮存、利用、处置设施的单位进行利用处置，降低中间环节环境风险。完善转移交接档案管理。产废单位应建档保存转移交接记录，如转移时间、种类、数量、交接人、去向等材料，并督促受委托方提供全过程的收集、利用、处置情况的反馈信息（实际运输、利用、处置情况等以及受托方建立的一般工业固废管理台账），督促受托方依照有关法律法规的规定和合同约定履行污染防治要求，并提供全过程的收集、利用、处置情况的反馈信息。严格落实跨省转移要求。申请一般工业固体废物跨省转移利用的，应当通过“新疆政务服务网”填写固体废物跨省转移利用备案表并上传相关材料，完成备案，备案通过后方可进行跨省转移利用。</w:t>
            </w:r>
          </w:p>
          <w:p w14:paraId="69D7264E">
            <w:pPr>
              <w:snapToGrid w:val="0"/>
              <w:spacing w:line="480" w:lineRule="exact"/>
              <w:ind w:firstLine="480" w:firstLineChars="200"/>
              <w:rPr>
                <w:rFonts w:hint="eastAsia" w:ascii="Times New Roman" w:hAnsi="Times New Roman" w:eastAsia="宋体" w:cs="宋体"/>
              </w:rPr>
            </w:pPr>
            <w:r>
              <w:rPr>
                <w:rFonts w:ascii="Times New Roman" w:hAnsi="Times New Roman" w:eastAsia="宋体" w:cs="宋体"/>
              </w:rPr>
              <w:t>6</w:t>
            </w:r>
            <w:r>
              <w:rPr>
                <w:rFonts w:hint="eastAsia" w:ascii="Times New Roman" w:hAnsi="Times New Roman" w:eastAsia="宋体" w:cs="宋体"/>
              </w:rPr>
              <w:t>）勘查责任主体应建立绿色勘查监管制度，由绿色勘查监督管理机构或责任部门，对涉及本标准内容的设计、施工和成果进行审查、检查监督及验收评价。勘查过程中，责任主体应及时对绿色勘查工作进行动态监管，督促勘查施工单位认真执行绿色勘查设计要求及规范标准。绿色勘查工作中，施工单位应及时做好相关施工技术及管理工作资料的记录、收集、整理及编制归档工作，并做到真实、齐全、规范。对阶段性工作及竣工成果，应按照规定做出检验评价。</w:t>
            </w:r>
          </w:p>
          <w:p w14:paraId="1BCA91BC">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w:t>
            </w:r>
            <w:r>
              <w:rPr>
                <w:rFonts w:ascii="Times New Roman" w:hAnsi="Times New Roman" w:eastAsia="宋体" w:cs="宋体"/>
              </w:rPr>
              <w:t>2</w:t>
            </w:r>
            <w:r>
              <w:rPr>
                <w:rFonts w:hint="eastAsia" w:ascii="Times New Roman" w:hAnsi="Times New Roman" w:eastAsia="宋体" w:cs="宋体"/>
              </w:rPr>
              <w:t>）环境管理任务</w:t>
            </w:r>
          </w:p>
          <w:p w14:paraId="65F117EB">
            <w:pPr>
              <w:snapToGrid w:val="0"/>
              <w:spacing w:line="480" w:lineRule="exact"/>
              <w:ind w:firstLine="480" w:firstLineChars="200"/>
              <w:rPr>
                <w:rFonts w:hint="eastAsia" w:ascii="Times New Roman" w:hAnsi="Times New Roman" w:eastAsia="宋体" w:cs="宋体"/>
                <w:lang w:eastAsia="zh-CN"/>
              </w:rPr>
            </w:pPr>
            <w:r>
              <w:rPr>
                <w:rFonts w:ascii="Times New Roman" w:hAnsi="Times New Roman" w:eastAsia="宋体" w:cs="宋体"/>
              </w:rPr>
              <w:t>1</w:t>
            </w:r>
            <w:r>
              <w:rPr>
                <w:rFonts w:hint="eastAsia" w:ascii="Times New Roman" w:hAnsi="Times New Roman" w:eastAsia="宋体" w:cs="宋体"/>
              </w:rPr>
              <w:t>）施工筹建期</w:t>
            </w:r>
          </w:p>
          <w:p w14:paraId="147E567B">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①审核工程环境影响评价成果，保证环境影响报告中有关环境保护的措施列入工程最终设计文件。</w:t>
            </w:r>
          </w:p>
          <w:p w14:paraId="7BADD1D6">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②根据环境影响报告和环境保护设计报告，负责工程招投标文件及合同文件中相关环境保护条款的编制。</w:t>
            </w:r>
          </w:p>
          <w:p w14:paraId="3C12BBA4">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③筹建环境管理机构，进行环境管理人员培训。</w:t>
            </w:r>
          </w:p>
          <w:p w14:paraId="339FBA81">
            <w:pPr>
              <w:snapToGrid w:val="0"/>
              <w:spacing w:line="480" w:lineRule="exact"/>
              <w:ind w:firstLine="480" w:firstLineChars="200"/>
              <w:rPr>
                <w:rFonts w:hint="eastAsia" w:ascii="Times New Roman" w:hAnsi="Times New Roman" w:eastAsia="宋体" w:cs="宋体"/>
                <w:lang w:eastAsia="zh-CN"/>
              </w:rPr>
            </w:pPr>
            <w:r>
              <w:rPr>
                <w:rFonts w:ascii="Times New Roman" w:hAnsi="Times New Roman" w:eastAsia="宋体" w:cs="宋体"/>
              </w:rPr>
              <w:t>2</w:t>
            </w:r>
            <w:r>
              <w:rPr>
                <w:rFonts w:hint="eastAsia" w:ascii="Times New Roman" w:hAnsi="Times New Roman" w:eastAsia="宋体" w:cs="宋体"/>
              </w:rPr>
              <w:t>）施工工区环境管理</w:t>
            </w:r>
          </w:p>
          <w:p w14:paraId="7DBBE2F6">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①贯彻执行国家有关环境保护方针、政策及法规条例，制订工程环境保护管理具体规定与管理办法。</w:t>
            </w:r>
          </w:p>
          <w:p w14:paraId="24BB538F">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②按照国家有关环境保护法规和工程的环境保护规定，统一管理施工工区环境保护工作。</w:t>
            </w:r>
          </w:p>
          <w:p w14:paraId="68DF398D">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cs="宋体"/>
              </w:rPr>
              <w:t>③编制环境管理工作计划，整编监测资料，建立工程的生态与环境信息库，编制工程年度环境质量报告，并报上级主管部门和地方环保部门。</w:t>
            </w:r>
          </w:p>
          <w:p w14:paraId="58F57090">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④会同地方环保部门检查、监督工程承包商执行环境保护条款的情况。</w:t>
            </w:r>
          </w:p>
          <w:p w14:paraId="57CF3575">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cs="宋体"/>
              </w:rPr>
              <w:t>⑤负责协调处理工程引起的环境纠纷和环境污染事故。</w:t>
            </w:r>
          </w:p>
          <w:p w14:paraId="7FC63767">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⑥加强环境保护的宣传教育，负责组织实施环境管理培训工作，提高工程环境管理人员的技术水平。</w:t>
            </w:r>
          </w:p>
          <w:p w14:paraId="6C40DB0E">
            <w:pPr>
              <w:snapToGrid w:val="0"/>
              <w:spacing w:line="480" w:lineRule="exact"/>
              <w:ind w:firstLine="480" w:firstLineChars="200"/>
              <w:rPr>
                <w:rFonts w:hint="eastAsia" w:ascii="Times New Roman" w:hAnsi="Times New Roman" w:eastAsia="宋体" w:cs="宋体"/>
                <w:lang w:eastAsia="zh-CN"/>
              </w:rPr>
            </w:pPr>
            <w:r>
              <w:rPr>
                <w:rFonts w:ascii="Times New Roman" w:hAnsi="Times New Roman" w:eastAsia="宋体" w:cs="宋体"/>
              </w:rPr>
              <w:t>3</w:t>
            </w:r>
            <w:r>
              <w:rPr>
                <w:rFonts w:hint="eastAsia" w:ascii="Times New Roman" w:hAnsi="Times New Roman" w:eastAsia="宋体" w:cs="宋体"/>
              </w:rPr>
              <w:t>）勘探期结束后环境管理</w:t>
            </w:r>
          </w:p>
          <w:p w14:paraId="652BA233">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cs="宋体"/>
              </w:rPr>
              <w:t>勘探期结束后，各产污设备将停止运行，“三废”等排放也将停止，基本不存在“三废”等污染问题。主要环境问题为探矿造成的生态环境影响，勘探期满后环境管理具体要求见表</w:t>
            </w:r>
            <w:r>
              <w:rPr>
                <w:rFonts w:ascii="Times New Roman" w:hAnsi="Times New Roman" w:eastAsia="宋体" w:cs="宋体"/>
              </w:rPr>
              <w:t>5-</w:t>
            </w:r>
            <w:r>
              <w:rPr>
                <w:rFonts w:hint="eastAsia" w:ascii="Times New Roman" w:hAnsi="Times New Roman" w:eastAsia="宋体" w:cs="宋体"/>
              </w:rPr>
              <w:t>1。</w:t>
            </w:r>
          </w:p>
          <w:p w14:paraId="5945E258">
            <w:pPr>
              <w:pStyle w:val="7"/>
              <w:spacing w:line="500" w:lineRule="exact"/>
              <w:jc w:val="center"/>
              <w:rPr>
                <w:rFonts w:hint="eastAsia" w:ascii="Times New Roman" w:hAnsi="Times New Roman" w:eastAsia="宋体" w:cs="黑体"/>
                <w:b/>
                <w:bCs/>
                <w:lang w:eastAsia="zh-CN"/>
              </w:rPr>
            </w:pPr>
          </w:p>
          <w:p w14:paraId="0545FC1F">
            <w:pPr>
              <w:pStyle w:val="7"/>
              <w:spacing w:line="500" w:lineRule="exact"/>
              <w:jc w:val="center"/>
              <w:rPr>
                <w:rFonts w:hint="eastAsia" w:ascii="Times New Roman" w:hAnsi="Times New Roman" w:eastAsia="宋体" w:cs="黑体"/>
                <w:b/>
                <w:bCs/>
                <w:lang w:eastAsia="zh-CN"/>
              </w:rPr>
            </w:pPr>
          </w:p>
          <w:p w14:paraId="2D29E389">
            <w:pPr>
              <w:pStyle w:val="7"/>
              <w:spacing w:line="500" w:lineRule="exact"/>
              <w:jc w:val="center"/>
              <w:rPr>
                <w:rFonts w:hint="eastAsia" w:ascii="Times New Roman" w:hAnsi="Times New Roman" w:eastAsia="宋体" w:cs="黑体"/>
                <w:b/>
                <w:bCs/>
                <w:lang w:eastAsia="zh-CN"/>
              </w:rPr>
            </w:pPr>
            <w:r>
              <w:rPr>
                <w:rFonts w:hint="eastAsia" w:ascii="Times New Roman" w:hAnsi="Times New Roman" w:eastAsia="宋体" w:cs="黑体"/>
                <w:b/>
                <w:bCs/>
                <w:lang w:eastAsia="zh-CN"/>
              </w:rPr>
              <w:t>表5-1勘探期结束后环境管理要求</w:t>
            </w:r>
          </w:p>
          <w:tbl>
            <w:tblPr>
              <w:tblStyle w:val="16"/>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6767"/>
            </w:tblGrid>
            <w:tr w14:paraId="5F58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6" w:hRule="atLeast"/>
                <w:jc w:val="center"/>
              </w:trPr>
              <w:tc>
                <w:tcPr>
                  <w:tcW w:w="1632" w:type="dxa"/>
                  <w:vAlign w:val="center"/>
                </w:tcPr>
                <w:p w14:paraId="550EA036">
                  <w:pPr>
                    <w:snapToGrid w:val="0"/>
                    <w:spacing w:line="240" w:lineRule="auto"/>
                    <w:jc w:val="center"/>
                    <w:rPr>
                      <w:rFonts w:hint="eastAsia" w:ascii="Times New Roman" w:hAnsi="Times New Roman" w:eastAsia="宋体" w:cs="宋体"/>
                      <w:sz w:val="21"/>
                      <w:szCs w:val="21"/>
                    </w:rPr>
                  </w:pPr>
                  <w:r>
                    <w:rPr>
                      <w:rFonts w:hint="eastAsia" w:ascii="Times New Roman" w:hAnsi="Times New Roman" w:eastAsia="宋体" w:cs="宋体"/>
                      <w:sz w:val="21"/>
                      <w:szCs w:val="21"/>
                    </w:rPr>
                    <w:t>环境影响</w:t>
                  </w:r>
                </w:p>
              </w:tc>
              <w:tc>
                <w:tcPr>
                  <w:tcW w:w="6767" w:type="dxa"/>
                  <w:vAlign w:val="center"/>
                </w:tcPr>
                <w:p w14:paraId="69E233B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宋体"/>
                      <w:sz w:val="21"/>
                      <w:szCs w:val="21"/>
                    </w:rPr>
                  </w:pPr>
                  <w:r>
                    <w:rPr>
                      <w:rFonts w:hint="eastAsia" w:ascii="Times New Roman" w:hAnsi="Times New Roman" w:eastAsia="宋体" w:cs="宋体"/>
                      <w:sz w:val="21"/>
                      <w:szCs w:val="21"/>
                    </w:rPr>
                    <w:t>环境管理具体要求</w:t>
                  </w:r>
                </w:p>
              </w:tc>
            </w:tr>
            <w:tr w14:paraId="1EF8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32" w:type="dxa"/>
                  <w:vAlign w:val="center"/>
                </w:tcPr>
                <w:p w14:paraId="2B952288">
                  <w:pPr>
                    <w:snapToGrid w:val="0"/>
                    <w:spacing w:line="240" w:lineRule="auto"/>
                    <w:jc w:val="center"/>
                    <w:rPr>
                      <w:rFonts w:hint="eastAsia" w:ascii="Times New Roman" w:hAnsi="Times New Roman" w:eastAsia="宋体" w:cs="宋体"/>
                      <w:sz w:val="21"/>
                      <w:szCs w:val="21"/>
                    </w:rPr>
                  </w:pPr>
                  <w:r>
                    <w:rPr>
                      <w:rFonts w:hint="eastAsia" w:ascii="Times New Roman" w:hAnsi="Times New Roman" w:eastAsia="宋体" w:cs="宋体"/>
                      <w:sz w:val="21"/>
                      <w:szCs w:val="21"/>
                    </w:rPr>
                    <w:t>废水、废气、噪声、固废</w:t>
                  </w:r>
                </w:p>
              </w:tc>
              <w:tc>
                <w:tcPr>
                  <w:tcW w:w="6767" w:type="dxa"/>
                  <w:vAlign w:val="center"/>
                </w:tcPr>
                <w:p w14:paraId="521DAA53">
                  <w:pPr>
                    <w:snapToGrid w:val="0"/>
                    <w:spacing w:line="240" w:lineRule="auto"/>
                    <w:jc w:val="both"/>
                    <w:rPr>
                      <w:rFonts w:hint="eastAsia" w:ascii="Times New Roman" w:hAnsi="Times New Roman" w:eastAsia="宋体" w:cs="宋体"/>
                      <w:sz w:val="21"/>
                      <w:szCs w:val="21"/>
                    </w:rPr>
                  </w:pPr>
                  <w:r>
                    <w:rPr>
                      <w:rFonts w:hint="eastAsia" w:ascii="Times New Roman" w:hAnsi="Times New Roman" w:eastAsia="宋体" w:cs="宋体"/>
                      <w:sz w:val="21"/>
                      <w:szCs w:val="21"/>
                    </w:rPr>
                    <w:t>（1）对槽探的回填情况进行监督管理；</w:t>
                  </w:r>
                </w:p>
                <w:p w14:paraId="15557B5B">
                  <w:pPr>
                    <w:snapToGrid w:val="0"/>
                    <w:spacing w:line="240" w:lineRule="auto"/>
                    <w:jc w:val="both"/>
                    <w:rPr>
                      <w:rFonts w:hint="eastAsia" w:ascii="Times New Roman" w:hAnsi="Times New Roman" w:eastAsia="宋体" w:cs="宋体"/>
                      <w:sz w:val="21"/>
                      <w:szCs w:val="21"/>
                    </w:rPr>
                  </w:pPr>
                  <w:r>
                    <w:rPr>
                      <w:rFonts w:hint="eastAsia" w:ascii="Times New Roman" w:hAnsi="Times New Roman" w:eastAsia="宋体" w:cs="宋体"/>
                      <w:sz w:val="21"/>
                      <w:szCs w:val="21"/>
                    </w:rPr>
                    <w:t>（2）对场内临时工程的拆除及清理情况进行监督管理。</w:t>
                  </w:r>
                </w:p>
              </w:tc>
            </w:tr>
            <w:tr w14:paraId="3CF8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632" w:type="dxa"/>
                  <w:vAlign w:val="center"/>
                </w:tcPr>
                <w:p w14:paraId="690554A4">
                  <w:pPr>
                    <w:snapToGrid w:val="0"/>
                    <w:spacing w:line="240" w:lineRule="auto"/>
                    <w:jc w:val="center"/>
                    <w:rPr>
                      <w:rFonts w:hint="eastAsia" w:ascii="Times New Roman" w:hAnsi="Times New Roman" w:eastAsia="宋体" w:cs="宋体"/>
                      <w:sz w:val="21"/>
                      <w:szCs w:val="21"/>
                    </w:rPr>
                  </w:pPr>
                  <w:r>
                    <w:rPr>
                      <w:rFonts w:hint="eastAsia" w:ascii="Times New Roman" w:hAnsi="Times New Roman" w:eastAsia="宋体" w:cs="宋体"/>
                      <w:sz w:val="21"/>
                      <w:szCs w:val="21"/>
                    </w:rPr>
                    <w:t>生态环境影响</w:t>
                  </w:r>
                </w:p>
              </w:tc>
              <w:tc>
                <w:tcPr>
                  <w:tcW w:w="6767" w:type="dxa"/>
                  <w:vAlign w:val="center"/>
                </w:tcPr>
                <w:p w14:paraId="64E4F641">
                  <w:pPr>
                    <w:snapToGrid w:val="0"/>
                    <w:spacing w:line="240" w:lineRule="auto"/>
                    <w:jc w:val="both"/>
                    <w:rPr>
                      <w:rFonts w:hint="eastAsia" w:ascii="Times New Roman" w:hAnsi="Times New Roman" w:eastAsia="宋体" w:cs="宋体"/>
                      <w:sz w:val="21"/>
                      <w:szCs w:val="21"/>
                    </w:rPr>
                  </w:pPr>
                  <w:r>
                    <w:rPr>
                      <w:rFonts w:hint="eastAsia" w:ascii="Times New Roman" w:hAnsi="Times New Roman" w:eastAsia="宋体" w:cs="宋体"/>
                      <w:sz w:val="21"/>
                      <w:szCs w:val="21"/>
                    </w:rPr>
                    <w:t>（1）对场地生态恢复措施落实情况进行监督管理；</w:t>
                  </w:r>
                </w:p>
                <w:p w14:paraId="5D1C624E">
                  <w:pPr>
                    <w:snapToGrid w:val="0"/>
                    <w:spacing w:line="240" w:lineRule="auto"/>
                    <w:jc w:val="both"/>
                    <w:rPr>
                      <w:rFonts w:hint="eastAsia" w:ascii="Times New Roman" w:hAnsi="Times New Roman" w:eastAsia="宋体" w:cs="宋体"/>
                      <w:sz w:val="21"/>
                      <w:szCs w:val="21"/>
                    </w:rPr>
                  </w:pPr>
                  <w:r>
                    <w:rPr>
                      <w:rFonts w:hint="eastAsia" w:ascii="Times New Roman" w:hAnsi="Times New Roman" w:eastAsia="宋体" w:cs="宋体"/>
                      <w:sz w:val="21"/>
                      <w:szCs w:val="21"/>
                    </w:rPr>
                    <w:t>（2）在勘探期满前的1-2年内落实闭坑计划的编制情况；</w:t>
                  </w:r>
                </w:p>
                <w:p w14:paraId="658BF1AF">
                  <w:pPr>
                    <w:snapToGrid w:val="0"/>
                    <w:spacing w:line="240" w:lineRule="auto"/>
                    <w:jc w:val="both"/>
                    <w:rPr>
                      <w:rFonts w:hint="eastAsia" w:ascii="Times New Roman" w:hAnsi="Times New Roman" w:eastAsia="宋体" w:cs="宋体"/>
                      <w:sz w:val="21"/>
                      <w:szCs w:val="21"/>
                    </w:rPr>
                  </w:pPr>
                  <w:r>
                    <w:rPr>
                      <w:rFonts w:hint="eastAsia" w:ascii="Times New Roman" w:hAnsi="Times New Roman" w:eastAsia="宋体" w:cs="宋体"/>
                      <w:sz w:val="21"/>
                      <w:szCs w:val="21"/>
                    </w:rPr>
                    <w:t>（3）严格按照土地复垦要求，对探矿区复垦情况进行监督管理。</w:t>
                  </w:r>
                </w:p>
              </w:tc>
            </w:tr>
          </w:tbl>
          <w:p w14:paraId="3AC84BDD">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①场地清理</w:t>
            </w:r>
          </w:p>
          <w:p w14:paraId="73C6152E">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勘查施工区（点）工作结束后，应及时拆除现场施工设备、物资和临时设施，清除现场各类杂物、垃圾及污染物。</w:t>
            </w:r>
          </w:p>
          <w:p w14:paraId="34A1B96F">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②场地恢复平整</w:t>
            </w:r>
          </w:p>
          <w:p w14:paraId="7E832F59">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场地恢复平整应根据恢复治理设计要求，结合现场情况，尽可能按原始地形地貌平整。难以复原的地段，应按恢复治理设计场地平整标高进行平整，尽可能与自然环境相协调。</w:t>
            </w:r>
          </w:p>
          <w:p w14:paraId="3DFB0ECE">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施工现场的槽探等，应采用开挖的土石进行回填，场地平整工作不应产生新的挖损破坏，应彻底清除场地上污染物。</w:t>
            </w:r>
          </w:p>
          <w:p w14:paraId="03F51BDD">
            <w:pPr>
              <w:snapToGrid w:val="0"/>
              <w:spacing w:line="480" w:lineRule="exact"/>
              <w:ind w:firstLine="480" w:firstLineChars="200"/>
              <w:rPr>
                <w:rFonts w:hint="eastAsia" w:ascii="Times New Roman" w:hAnsi="Times New Roman" w:eastAsia="宋体" w:cs="宋体"/>
                <w:lang w:eastAsia="zh-CN"/>
              </w:rPr>
            </w:pPr>
            <w:r>
              <w:rPr>
                <w:rFonts w:hint="eastAsia" w:ascii="Times New Roman" w:hAnsi="Times New Roman" w:eastAsia="宋体" w:cs="宋体"/>
              </w:rPr>
              <w:t>③场地覆土</w:t>
            </w:r>
          </w:p>
          <w:p w14:paraId="2BED629C">
            <w:pPr>
              <w:snapToGrid w:val="0"/>
              <w:spacing w:line="480" w:lineRule="exact"/>
              <w:ind w:firstLine="480" w:firstLineChars="200"/>
              <w:rPr>
                <w:rFonts w:hint="eastAsia" w:ascii="Times New Roman" w:hAnsi="Times New Roman" w:eastAsia="宋体" w:cs="宋体"/>
              </w:rPr>
            </w:pPr>
            <w:r>
              <w:rPr>
                <w:rFonts w:hint="eastAsia" w:ascii="Times New Roman" w:hAnsi="Times New Roman" w:eastAsia="宋体" w:cs="宋体"/>
              </w:rPr>
              <w:t>场地的覆土厚度及土质应符合恢复地类的复绿设计及相关行业的规</w:t>
            </w:r>
            <w:r>
              <w:rPr>
                <w:rFonts w:hint="eastAsia" w:cs="宋体"/>
                <w:lang w:eastAsia="zh-CN"/>
              </w:rPr>
              <w:t>范和</w:t>
            </w:r>
            <w:r>
              <w:rPr>
                <w:rFonts w:hint="eastAsia" w:ascii="Times New Roman" w:hAnsi="Times New Roman" w:eastAsia="宋体" w:cs="宋体"/>
              </w:rPr>
              <w:t>标准要求。仅压占未挖损及污染的场地，可采取深翻、松土、培土等方式，满足相关规定和设计恢复治理要求。</w:t>
            </w:r>
          </w:p>
        </w:tc>
      </w:tr>
      <w:tr w14:paraId="6C35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5" w:hRule="atLeast"/>
          <w:jc w:val="center"/>
        </w:trPr>
        <w:tc>
          <w:tcPr>
            <w:tcW w:w="395" w:type="pct"/>
            <w:vAlign w:val="center"/>
          </w:tcPr>
          <w:p w14:paraId="669D3D23">
            <w:pPr>
              <w:adjustRightInd w:val="0"/>
              <w:snapToGrid w:val="0"/>
              <w:spacing w:line="500" w:lineRule="exact"/>
              <w:rPr>
                <w:rFonts w:hint="eastAsia" w:ascii="Times New Roman" w:hAnsi="Times New Roman" w:eastAsia="宋体"/>
                <w:bCs/>
              </w:rPr>
            </w:pPr>
          </w:p>
          <w:p w14:paraId="1B062D90">
            <w:pPr>
              <w:adjustRightInd w:val="0"/>
              <w:snapToGrid w:val="0"/>
              <w:spacing w:line="500" w:lineRule="exact"/>
              <w:rPr>
                <w:rFonts w:hint="eastAsia" w:ascii="Times New Roman" w:hAnsi="Times New Roman" w:eastAsia="宋体"/>
                <w:bCs/>
              </w:rPr>
            </w:pPr>
          </w:p>
          <w:p w14:paraId="0C3C64E4">
            <w:pPr>
              <w:adjustRightInd w:val="0"/>
              <w:snapToGrid w:val="0"/>
              <w:spacing w:line="500" w:lineRule="exact"/>
              <w:rPr>
                <w:rFonts w:hint="eastAsia" w:ascii="Times New Roman" w:hAnsi="Times New Roman" w:eastAsia="宋体"/>
                <w:bCs/>
              </w:rPr>
            </w:pPr>
          </w:p>
          <w:p w14:paraId="74259B03">
            <w:pPr>
              <w:adjustRightInd w:val="0"/>
              <w:snapToGrid w:val="0"/>
              <w:spacing w:line="500" w:lineRule="exact"/>
              <w:rPr>
                <w:rFonts w:hint="eastAsia" w:ascii="Times New Roman" w:hAnsi="Times New Roman" w:eastAsia="宋体"/>
                <w:bCs/>
              </w:rPr>
            </w:pPr>
          </w:p>
          <w:p w14:paraId="49D185D3">
            <w:pPr>
              <w:adjustRightInd w:val="0"/>
              <w:snapToGrid w:val="0"/>
              <w:spacing w:line="500" w:lineRule="exact"/>
              <w:rPr>
                <w:rFonts w:hint="eastAsia" w:ascii="Times New Roman" w:hAnsi="Times New Roman" w:eastAsia="宋体"/>
                <w:bCs/>
              </w:rPr>
            </w:pPr>
          </w:p>
          <w:p w14:paraId="25A390B4">
            <w:pPr>
              <w:adjustRightInd w:val="0"/>
              <w:snapToGrid w:val="0"/>
              <w:spacing w:line="500" w:lineRule="exact"/>
              <w:rPr>
                <w:rFonts w:hint="eastAsia" w:ascii="Times New Roman" w:hAnsi="Times New Roman" w:eastAsia="宋体"/>
                <w:bCs/>
              </w:rPr>
            </w:pPr>
            <w:r>
              <w:rPr>
                <w:rFonts w:hint="eastAsia" w:ascii="Times New Roman" w:hAnsi="Times New Roman" w:eastAsia="宋体"/>
                <w:bCs/>
              </w:rPr>
              <w:t>环保投资</w:t>
            </w:r>
          </w:p>
          <w:p w14:paraId="4F957821">
            <w:pPr>
              <w:adjustRightInd w:val="0"/>
              <w:snapToGrid w:val="0"/>
              <w:spacing w:line="500" w:lineRule="exact"/>
              <w:rPr>
                <w:rFonts w:hint="eastAsia" w:ascii="Times New Roman" w:hAnsi="Times New Roman" w:eastAsia="宋体"/>
                <w:bCs/>
              </w:rPr>
            </w:pPr>
          </w:p>
          <w:p w14:paraId="3EC37760">
            <w:pPr>
              <w:adjustRightInd w:val="0"/>
              <w:snapToGrid w:val="0"/>
              <w:spacing w:line="500" w:lineRule="exact"/>
              <w:rPr>
                <w:rFonts w:hint="eastAsia" w:ascii="Times New Roman" w:hAnsi="Times New Roman" w:eastAsia="宋体"/>
                <w:bCs/>
              </w:rPr>
            </w:pPr>
          </w:p>
          <w:p w14:paraId="194087A3">
            <w:pPr>
              <w:adjustRightInd w:val="0"/>
              <w:snapToGrid w:val="0"/>
              <w:spacing w:line="500" w:lineRule="exact"/>
              <w:rPr>
                <w:rFonts w:hint="eastAsia" w:ascii="Times New Roman" w:hAnsi="Times New Roman" w:eastAsia="宋体"/>
                <w:bCs/>
              </w:rPr>
            </w:pPr>
          </w:p>
          <w:p w14:paraId="12C1B0FA">
            <w:pPr>
              <w:adjustRightInd w:val="0"/>
              <w:snapToGrid w:val="0"/>
              <w:spacing w:line="500" w:lineRule="exact"/>
              <w:rPr>
                <w:rFonts w:hint="eastAsia" w:ascii="Times New Roman" w:hAnsi="Times New Roman" w:eastAsia="宋体"/>
                <w:bCs/>
              </w:rPr>
            </w:pPr>
          </w:p>
          <w:p w14:paraId="4784BFF8">
            <w:pPr>
              <w:adjustRightInd w:val="0"/>
              <w:snapToGrid w:val="0"/>
              <w:spacing w:line="500" w:lineRule="exact"/>
              <w:rPr>
                <w:rFonts w:hint="eastAsia" w:ascii="Times New Roman" w:hAnsi="Times New Roman" w:eastAsia="宋体"/>
                <w:bCs/>
              </w:rPr>
            </w:pPr>
          </w:p>
        </w:tc>
        <w:tc>
          <w:tcPr>
            <w:tcW w:w="4604" w:type="pct"/>
          </w:tcPr>
          <w:p w14:paraId="5A2A121E">
            <w:pPr>
              <w:snapToGrid w:val="0"/>
              <w:spacing w:line="500" w:lineRule="exact"/>
              <w:ind w:firstLine="480" w:firstLineChars="200"/>
              <w:rPr>
                <w:rFonts w:hint="eastAsia" w:ascii="Times New Roman" w:hAnsi="Times New Roman" w:eastAsia="宋体" w:cs="宋体"/>
                <w:highlight w:val="none"/>
              </w:rPr>
            </w:pPr>
            <w:r>
              <w:rPr>
                <w:rFonts w:hint="eastAsia" w:ascii="Times New Roman" w:hAnsi="Times New Roman" w:eastAsia="宋体" w:cs="宋体"/>
              </w:rPr>
              <w:t>项目总投资为</w:t>
            </w:r>
            <w:r>
              <w:rPr>
                <w:rFonts w:hint="eastAsia" w:cs="宋体"/>
                <w:lang w:val="en-US" w:eastAsia="zh-CN"/>
              </w:rPr>
              <w:t>541.91</w:t>
            </w:r>
            <w:r>
              <w:rPr>
                <w:rFonts w:hint="eastAsia" w:ascii="Times New Roman" w:hAnsi="Times New Roman" w:eastAsia="宋体" w:cs="宋体"/>
              </w:rPr>
              <w:t>万元，</w:t>
            </w:r>
            <w:r>
              <w:rPr>
                <w:rFonts w:hint="eastAsia" w:ascii="Times New Roman" w:hAnsi="Times New Roman" w:eastAsia="宋体" w:cs="宋体"/>
                <w:highlight w:val="none"/>
              </w:rPr>
              <w:t>其中环保投资</w:t>
            </w:r>
            <w:r>
              <w:rPr>
                <w:rFonts w:hint="eastAsia" w:cs="宋体"/>
                <w:highlight w:val="none"/>
                <w:lang w:val="en-US" w:eastAsia="zh-CN"/>
              </w:rPr>
              <w:t>51</w:t>
            </w:r>
            <w:r>
              <w:rPr>
                <w:rFonts w:hint="eastAsia" w:ascii="Times New Roman" w:hAnsi="Times New Roman" w:eastAsia="宋体" w:cs="宋体"/>
                <w:highlight w:val="none"/>
              </w:rPr>
              <w:t>万元，</w:t>
            </w:r>
            <w:r>
              <w:rPr>
                <w:rFonts w:hint="eastAsia" w:cs="宋体"/>
                <w:highlight w:val="none"/>
                <w:lang w:val="en-US" w:eastAsia="zh-CN"/>
              </w:rPr>
              <w:t>约</w:t>
            </w:r>
            <w:r>
              <w:rPr>
                <w:rFonts w:hint="eastAsia" w:ascii="Times New Roman" w:hAnsi="Times New Roman" w:eastAsia="宋体" w:cs="宋体"/>
                <w:highlight w:val="none"/>
              </w:rPr>
              <w:t>占总投资的</w:t>
            </w:r>
            <w:r>
              <w:rPr>
                <w:rFonts w:hint="eastAsia" w:cs="宋体"/>
                <w:highlight w:val="none"/>
                <w:lang w:val="en-US" w:eastAsia="zh-CN"/>
              </w:rPr>
              <w:t>9.41</w:t>
            </w:r>
            <w:r>
              <w:rPr>
                <w:rFonts w:hint="eastAsia" w:ascii="Times New Roman" w:hAnsi="Times New Roman" w:eastAsia="宋体" w:cs="宋体"/>
                <w:highlight w:val="none"/>
              </w:rPr>
              <w:t>%，详见表5-2。</w:t>
            </w:r>
          </w:p>
          <w:p w14:paraId="1F6B94DD">
            <w:pPr>
              <w:pStyle w:val="7"/>
              <w:spacing w:line="500" w:lineRule="exact"/>
              <w:jc w:val="center"/>
              <w:rPr>
                <w:rFonts w:hint="eastAsia" w:ascii="Times New Roman" w:hAnsi="Times New Roman" w:eastAsia="宋体" w:cs="黑体"/>
                <w:b/>
                <w:bCs/>
                <w:lang w:eastAsia="zh-CN"/>
              </w:rPr>
            </w:pPr>
            <w:r>
              <w:rPr>
                <w:rFonts w:hint="eastAsia" w:ascii="Times New Roman" w:hAnsi="Times New Roman" w:eastAsia="宋体" w:cs="黑体"/>
                <w:b/>
                <w:bCs/>
                <w:lang w:eastAsia="zh-CN"/>
              </w:rPr>
              <w:t>表5-2</w:t>
            </w:r>
            <w:r>
              <w:rPr>
                <w:rFonts w:ascii="Times New Roman" w:hAnsi="Times New Roman" w:eastAsia="宋体" w:cs="黑体"/>
                <w:b/>
                <w:bCs/>
                <w:lang w:eastAsia="zh-CN"/>
              </w:rPr>
              <w:t>环保投资</w:t>
            </w:r>
            <w:r>
              <w:rPr>
                <w:rFonts w:hint="eastAsia" w:ascii="Times New Roman" w:hAnsi="Times New Roman" w:eastAsia="宋体" w:cs="黑体"/>
                <w:b/>
                <w:bCs/>
                <w:lang w:eastAsia="zh-CN"/>
              </w:rPr>
              <w:t>一览</w:t>
            </w:r>
            <w:r>
              <w:rPr>
                <w:rFonts w:ascii="Times New Roman" w:hAnsi="Times New Roman" w:eastAsia="宋体" w:cs="黑体"/>
                <w:b/>
                <w:bCs/>
                <w:lang w:eastAsia="zh-CN"/>
              </w:rPr>
              <w:t>表</w:t>
            </w:r>
          </w:p>
          <w:tbl>
            <w:tblPr>
              <w:tblStyle w:val="15"/>
              <w:tblW w:w="49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76"/>
              <w:gridCol w:w="5587"/>
              <w:gridCol w:w="989"/>
            </w:tblGrid>
            <w:tr w14:paraId="3791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8" w:hRule="atLeast"/>
                <w:jc w:val="center"/>
              </w:trPr>
              <w:tc>
                <w:tcPr>
                  <w:tcW w:w="1158" w:type="pct"/>
                  <w:gridSpan w:val="2"/>
                  <w:tcMar>
                    <w:left w:w="0" w:type="dxa"/>
                    <w:right w:w="0" w:type="dxa"/>
                  </w:tcMar>
                  <w:vAlign w:val="center"/>
                </w:tcPr>
                <w:p w14:paraId="7BB3CEFC">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工程名称</w:t>
                  </w:r>
                </w:p>
              </w:tc>
              <w:tc>
                <w:tcPr>
                  <w:tcW w:w="3263" w:type="pct"/>
                  <w:tcMar>
                    <w:left w:w="0" w:type="dxa"/>
                    <w:right w:w="0" w:type="dxa"/>
                  </w:tcMar>
                  <w:vAlign w:val="center"/>
                </w:tcPr>
                <w:p w14:paraId="4EFE5650">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拟采取的环保措施</w:t>
                  </w:r>
                </w:p>
              </w:tc>
              <w:tc>
                <w:tcPr>
                  <w:tcW w:w="577" w:type="pct"/>
                  <w:tcMar>
                    <w:left w:w="0" w:type="dxa"/>
                    <w:right w:w="0" w:type="dxa"/>
                  </w:tcMar>
                  <w:vAlign w:val="center"/>
                </w:tcPr>
                <w:p w14:paraId="041D5B9D">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环保投资</w:t>
                  </w:r>
                </w:p>
                <w:p w14:paraId="7AE9F86B">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（万元）</w:t>
                  </w:r>
                </w:p>
              </w:tc>
            </w:tr>
            <w:tr w14:paraId="5565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471" w:type="pct"/>
                  <w:vMerge w:val="restart"/>
                  <w:tcMar>
                    <w:left w:w="0" w:type="dxa"/>
                    <w:right w:w="0" w:type="dxa"/>
                  </w:tcMar>
                  <w:vAlign w:val="center"/>
                </w:tcPr>
                <w:p w14:paraId="50F94AD0">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废气</w:t>
                  </w:r>
                </w:p>
              </w:tc>
              <w:tc>
                <w:tcPr>
                  <w:tcW w:w="686" w:type="pct"/>
                  <w:vAlign w:val="center"/>
                </w:tcPr>
                <w:p w14:paraId="13099A15">
                  <w:pPr>
                    <w:adjustRightInd w:val="0"/>
                    <w:snapToGrid w:val="0"/>
                    <w:spacing w:line="300" w:lineRule="exact"/>
                    <w:jc w:val="center"/>
                    <w:rPr>
                      <w:rFonts w:hint="eastAsia" w:ascii="Times New Roman" w:hAnsi="Times New Roman" w:eastAsia="宋体" w:cs="宋体"/>
                      <w:sz w:val="21"/>
                      <w:szCs w:val="21"/>
                    </w:rPr>
                  </w:pPr>
                  <w:r>
                    <w:rPr>
                      <w:rFonts w:ascii="Times New Roman" w:hAnsi="Times New Roman" w:eastAsia="宋体"/>
                      <w:sz w:val="21"/>
                      <w:szCs w:val="21"/>
                    </w:rPr>
                    <w:t>施工扬尘</w:t>
                  </w:r>
                </w:p>
              </w:tc>
              <w:tc>
                <w:tcPr>
                  <w:tcW w:w="3263" w:type="pct"/>
                  <w:tcMar>
                    <w:left w:w="0" w:type="dxa"/>
                    <w:right w:w="0" w:type="dxa"/>
                  </w:tcMar>
                  <w:vAlign w:val="center"/>
                </w:tcPr>
                <w:p w14:paraId="3784D409">
                  <w:pPr>
                    <w:adjustRightInd w:val="0"/>
                    <w:snapToGrid w:val="0"/>
                    <w:spacing w:line="300" w:lineRule="exact"/>
                    <w:jc w:val="both"/>
                    <w:rPr>
                      <w:rFonts w:hint="eastAsia" w:ascii="Times New Roman" w:hAnsi="Times New Roman" w:eastAsia="宋体" w:cs="宋体"/>
                      <w:sz w:val="21"/>
                      <w:szCs w:val="21"/>
                    </w:rPr>
                  </w:pPr>
                  <w:r>
                    <w:rPr>
                      <w:rFonts w:hint="eastAsia" w:ascii="Times New Roman" w:hAnsi="Times New Roman" w:eastAsia="宋体" w:cs="宋体"/>
                      <w:sz w:val="24"/>
                      <w:szCs w:val="24"/>
                    </w:rPr>
                    <w:t>对易起尘物料进行遮盖、</w:t>
                  </w:r>
                  <w:r>
                    <w:rPr>
                      <w:rFonts w:hint="eastAsia" w:cs="宋体"/>
                      <w:sz w:val="24"/>
                      <w:szCs w:val="24"/>
                      <w:lang w:val="en-US" w:eastAsia="zh-CN"/>
                    </w:rPr>
                    <w:t>运输</w:t>
                  </w:r>
                  <w:r>
                    <w:rPr>
                      <w:rFonts w:hint="eastAsia" w:ascii="Times New Roman" w:hAnsi="Times New Roman" w:eastAsia="宋体" w:cs="宋体"/>
                      <w:sz w:val="24"/>
                      <w:szCs w:val="24"/>
                    </w:rPr>
                    <w:t>车辆</w:t>
                  </w:r>
                  <w:r>
                    <w:rPr>
                      <w:rFonts w:hint="eastAsia" w:cs="宋体"/>
                      <w:sz w:val="24"/>
                      <w:szCs w:val="24"/>
                      <w:lang w:val="en-US" w:eastAsia="zh-CN"/>
                    </w:rPr>
                    <w:t>低速慢行并采取密闭或遮盖措施。</w:t>
                  </w:r>
                </w:p>
              </w:tc>
              <w:tc>
                <w:tcPr>
                  <w:tcW w:w="577" w:type="pct"/>
                  <w:tcMar>
                    <w:left w:w="0" w:type="dxa"/>
                    <w:right w:w="0" w:type="dxa"/>
                  </w:tcMar>
                  <w:vAlign w:val="center"/>
                </w:tcPr>
                <w:p w14:paraId="287B54A7">
                  <w:pPr>
                    <w:adjustRightInd w:val="0"/>
                    <w:snapToGrid w:val="0"/>
                    <w:spacing w:line="300" w:lineRule="exact"/>
                    <w:jc w:val="center"/>
                    <w:rPr>
                      <w:rFonts w:hint="default" w:ascii="Times New Roman" w:hAnsi="Times New Roman" w:eastAsia="宋体" w:cs="宋体"/>
                      <w:sz w:val="21"/>
                      <w:szCs w:val="21"/>
                      <w:lang w:val="en-US" w:eastAsia="zh-CN"/>
                    </w:rPr>
                  </w:pPr>
                  <w:r>
                    <w:rPr>
                      <w:rFonts w:hint="eastAsia" w:cs="宋体"/>
                      <w:sz w:val="21"/>
                      <w:szCs w:val="21"/>
                      <w:lang w:val="en-US" w:eastAsia="zh-CN"/>
                    </w:rPr>
                    <w:t>10</w:t>
                  </w:r>
                </w:p>
              </w:tc>
            </w:tr>
            <w:tr w14:paraId="6964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71" w:type="pct"/>
                  <w:vMerge w:val="continue"/>
                  <w:tcMar>
                    <w:left w:w="0" w:type="dxa"/>
                    <w:right w:w="0" w:type="dxa"/>
                  </w:tcMar>
                  <w:vAlign w:val="center"/>
                </w:tcPr>
                <w:p w14:paraId="172A61A1">
                  <w:pPr>
                    <w:adjustRightInd w:val="0"/>
                    <w:snapToGrid w:val="0"/>
                    <w:spacing w:line="300" w:lineRule="exact"/>
                    <w:jc w:val="center"/>
                    <w:rPr>
                      <w:rFonts w:hint="eastAsia" w:ascii="Times New Roman" w:hAnsi="Times New Roman" w:eastAsia="宋体" w:cs="宋体"/>
                      <w:sz w:val="21"/>
                      <w:szCs w:val="21"/>
                    </w:rPr>
                  </w:pPr>
                </w:p>
              </w:tc>
              <w:tc>
                <w:tcPr>
                  <w:tcW w:w="686" w:type="pct"/>
                  <w:vAlign w:val="center"/>
                </w:tcPr>
                <w:p w14:paraId="47852467">
                  <w:pPr>
                    <w:adjustRightInd w:val="0"/>
                    <w:snapToGrid w:val="0"/>
                    <w:spacing w:line="300" w:lineRule="exact"/>
                    <w:jc w:val="center"/>
                    <w:rPr>
                      <w:rFonts w:hint="default" w:ascii="Times New Roman" w:hAnsi="Times New Roman" w:eastAsia="宋体"/>
                      <w:sz w:val="21"/>
                      <w:szCs w:val="21"/>
                      <w:lang w:val="en-US" w:eastAsia="zh-CN"/>
                    </w:rPr>
                  </w:pPr>
                  <w:r>
                    <w:rPr>
                      <w:rFonts w:hint="eastAsia"/>
                      <w:sz w:val="21"/>
                      <w:szCs w:val="21"/>
                      <w:lang w:val="en-US" w:eastAsia="zh-CN"/>
                    </w:rPr>
                    <w:t>燃油废气</w:t>
                  </w:r>
                </w:p>
              </w:tc>
              <w:tc>
                <w:tcPr>
                  <w:tcW w:w="3263" w:type="pct"/>
                  <w:tcMar>
                    <w:left w:w="0" w:type="dxa"/>
                    <w:right w:w="0" w:type="dxa"/>
                  </w:tcMar>
                  <w:vAlign w:val="center"/>
                </w:tcPr>
                <w:p w14:paraId="626D807C">
                  <w:pPr>
                    <w:adjustRightInd w:val="0"/>
                    <w:snapToGrid w:val="0"/>
                    <w:spacing w:line="300" w:lineRule="exact"/>
                    <w:jc w:val="both"/>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rPr>
                    <w:t>使用符合国家标准的油品，加强机械、车辆的维护</w:t>
                  </w:r>
                  <w:r>
                    <w:rPr>
                      <w:rFonts w:hint="eastAsia" w:cs="宋体"/>
                      <w:sz w:val="21"/>
                      <w:szCs w:val="21"/>
                      <w:lang w:val="en-US" w:eastAsia="zh-CN"/>
                    </w:rPr>
                    <w:t>保养。</w:t>
                  </w:r>
                </w:p>
              </w:tc>
              <w:tc>
                <w:tcPr>
                  <w:tcW w:w="577" w:type="pct"/>
                  <w:tcMar>
                    <w:left w:w="0" w:type="dxa"/>
                    <w:right w:w="0" w:type="dxa"/>
                  </w:tcMar>
                  <w:vAlign w:val="center"/>
                </w:tcPr>
                <w:p w14:paraId="7127C275">
                  <w:pPr>
                    <w:adjustRightInd w:val="0"/>
                    <w:snapToGrid w:val="0"/>
                    <w:spacing w:line="300" w:lineRule="exact"/>
                    <w:jc w:val="center"/>
                    <w:rPr>
                      <w:rFonts w:hint="eastAsia" w:ascii="Times New Roman" w:hAnsi="Times New Roman" w:eastAsia="宋体" w:cs="宋体"/>
                      <w:sz w:val="21"/>
                      <w:szCs w:val="21"/>
                      <w:lang w:val="en-US" w:eastAsia="zh-CN"/>
                    </w:rPr>
                  </w:pPr>
                  <w:r>
                    <w:rPr>
                      <w:rFonts w:hint="eastAsia" w:cs="宋体"/>
                      <w:sz w:val="21"/>
                      <w:szCs w:val="21"/>
                      <w:lang w:val="en-US" w:eastAsia="zh-CN"/>
                    </w:rPr>
                    <w:t>/</w:t>
                  </w:r>
                </w:p>
              </w:tc>
            </w:tr>
            <w:tr w14:paraId="6F08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471" w:type="pct"/>
                  <w:vMerge w:val="restart"/>
                  <w:tcMar>
                    <w:left w:w="0" w:type="dxa"/>
                    <w:right w:w="0" w:type="dxa"/>
                  </w:tcMar>
                  <w:vAlign w:val="center"/>
                </w:tcPr>
                <w:p w14:paraId="7F60572B">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废水</w:t>
                  </w:r>
                </w:p>
              </w:tc>
              <w:tc>
                <w:tcPr>
                  <w:tcW w:w="686" w:type="pct"/>
                  <w:tcMar>
                    <w:left w:w="0" w:type="dxa"/>
                    <w:right w:w="0" w:type="dxa"/>
                  </w:tcMar>
                  <w:vAlign w:val="center"/>
                </w:tcPr>
                <w:p w14:paraId="4CD5ED4B">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生活污水</w:t>
                  </w:r>
                </w:p>
              </w:tc>
              <w:tc>
                <w:tcPr>
                  <w:tcW w:w="3263" w:type="pct"/>
                  <w:tcMar>
                    <w:left w:w="0" w:type="dxa"/>
                    <w:right w:w="0" w:type="dxa"/>
                  </w:tcMar>
                  <w:vAlign w:val="center"/>
                </w:tcPr>
                <w:p w14:paraId="745804AF">
                  <w:pPr>
                    <w:adjustRightInd w:val="0"/>
                    <w:snapToGrid w:val="0"/>
                    <w:spacing w:line="300" w:lineRule="exact"/>
                    <w:jc w:val="both"/>
                    <w:rPr>
                      <w:rFonts w:hint="default" w:ascii="Times New Roman" w:hAnsi="Times New Roman" w:eastAsia="宋体" w:cs="宋体"/>
                      <w:sz w:val="21"/>
                      <w:szCs w:val="21"/>
                      <w:lang w:val="en-US"/>
                    </w:rPr>
                  </w:pPr>
                  <w:r>
                    <w:rPr>
                      <w:rFonts w:hint="eastAsia" w:ascii="Times New Roman" w:hAnsi="Times New Roman" w:eastAsia="宋体" w:cs="宋体"/>
                      <w:sz w:val="21"/>
                      <w:szCs w:val="21"/>
                      <w:lang w:val="en-US" w:eastAsia="zh-CN"/>
                    </w:rPr>
                    <w:t>生活污水排入一体化污水处理设施处理达标后，用于洒水绿化，不外排</w:t>
                  </w:r>
                  <w:r>
                    <w:rPr>
                      <w:rFonts w:hint="eastAsia" w:cs="宋体"/>
                      <w:sz w:val="21"/>
                      <w:szCs w:val="21"/>
                      <w:lang w:val="en-US" w:eastAsia="zh-CN"/>
                    </w:rPr>
                    <w:t>。</w:t>
                  </w:r>
                </w:p>
              </w:tc>
              <w:tc>
                <w:tcPr>
                  <w:tcW w:w="577" w:type="pct"/>
                  <w:tcMar>
                    <w:left w:w="0" w:type="dxa"/>
                    <w:right w:w="0" w:type="dxa"/>
                  </w:tcMar>
                  <w:vAlign w:val="center"/>
                </w:tcPr>
                <w:p w14:paraId="29BFAA79">
                  <w:pPr>
                    <w:adjustRightInd w:val="0"/>
                    <w:snapToGrid w:val="0"/>
                    <w:spacing w:line="300" w:lineRule="exact"/>
                    <w:jc w:val="center"/>
                    <w:rPr>
                      <w:rFonts w:hint="default" w:ascii="Times New Roman" w:hAnsi="Times New Roman" w:eastAsia="宋体" w:cs="宋体"/>
                      <w:sz w:val="21"/>
                      <w:szCs w:val="21"/>
                      <w:lang w:val="en-US" w:eastAsia="zh-CN"/>
                    </w:rPr>
                  </w:pPr>
                  <w:r>
                    <w:rPr>
                      <w:rFonts w:hint="eastAsia" w:cs="宋体"/>
                      <w:sz w:val="21"/>
                      <w:szCs w:val="21"/>
                      <w:lang w:val="en-US" w:eastAsia="zh-CN"/>
                    </w:rPr>
                    <w:t>15</w:t>
                  </w:r>
                </w:p>
              </w:tc>
            </w:tr>
            <w:tr w14:paraId="5FF6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71" w:type="pct"/>
                  <w:vMerge w:val="continue"/>
                  <w:tcMar>
                    <w:left w:w="0" w:type="dxa"/>
                    <w:right w:w="0" w:type="dxa"/>
                  </w:tcMar>
                  <w:vAlign w:val="center"/>
                </w:tcPr>
                <w:p w14:paraId="2185FD06">
                  <w:pPr>
                    <w:adjustRightInd w:val="0"/>
                    <w:snapToGrid w:val="0"/>
                    <w:spacing w:line="300" w:lineRule="exact"/>
                    <w:jc w:val="center"/>
                    <w:rPr>
                      <w:rFonts w:hint="eastAsia" w:ascii="Times New Roman" w:hAnsi="Times New Roman" w:eastAsia="宋体" w:cs="宋体"/>
                      <w:sz w:val="21"/>
                      <w:szCs w:val="21"/>
                    </w:rPr>
                  </w:pPr>
                </w:p>
              </w:tc>
              <w:tc>
                <w:tcPr>
                  <w:tcW w:w="686" w:type="pct"/>
                  <w:tcMar>
                    <w:left w:w="0" w:type="dxa"/>
                    <w:right w:w="0" w:type="dxa"/>
                  </w:tcMar>
                  <w:vAlign w:val="center"/>
                </w:tcPr>
                <w:p w14:paraId="7BFEECA1">
                  <w:pPr>
                    <w:adjustRightInd w:val="0"/>
                    <w:snapToGrid w:val="0"/>
                    <w:spacing w:line="300" w:lineRule="exact"/>
                    <w:jc w:val="center"/>
                    <w:rPr>
                      <w:rFonts w:hint="default" w:ascii="Times New Roman" w:hAnsi="Times New Roman" w:eastAsia="宋体" w:cs="宋体"/>
                      <w:sz w:val="21"/>
                      <w:szCs w:val="21"/>
                      <w:lang w:val="en-US" w:eastAsia="zh-CN"/>
                    </w:rPr>
                  </w:pPr>
                  <w:r>
                    <w:rPr>
                      <w:rFonts w:hint="eastAsia" w:cs="宋体"/>
                      <w:sz w:val="21"/>
                      <w:szCs w:val="21"/>
                      <w:lang w:val="en-US" w:eastAsia="zh-CN"/>
                    </w:rPr>
                    <w:t>钻井废水</w:t>
                  </w:r>
                </w:p>
              </w:tc>
              <w:tc>
                <w:tcPr>
                  <w:tcW w:w="3263" w:type="pct"/>
                  <w:tcMar>
                    <w:left w:w="0" w:type="dxa"/>
                    <w:right w:w="0" w:type="dxa"/>
                  </w:tcMar>
                  <w:vAlign w:val="center"/>
                </w:tcPr>
                <w:p w14:paraId="5000682D">
                  <w:pPr>
                    <w:adjustRightInd w:val="0"/>
                    <w:snapToGrid w:val="0"/>
                    <w:spacing w:line="300" w:lineRule="exact"/>
                    <w:jc w:val="both"/>
                    <w:rPr>
                      <w:rFonts w:hint="eastAsia" w:ascii="Times New Roman" w:hAnsi="Times New Roman" w:eastAsia="宋体" w:cs="宋体"/>
                      <w:sz w:val="21"/>
                      <w:szCs w:val="21"/>
                      <w:lang w:eastAsia="zh-CN"/>
                    </w:rPr>
                  </w:pPr>
                  <w:r>
                    <w:rPr>
                      <w:rFonts w:hint="eastAsia" w:cs="宋体"/>
                      <w:sz w:val="21"/>
                      <w:szCs w:val="21"/>
                      <w:lang w:val="en-US" w:eastAsia="zh-CN"/>
                    </w:rPr>
                    <w:t>设1座</w:t>
                  </w:r>
                  <w:r>
                    <w:rPr>
                      <w:rFonts w:hint="eastAsia" w:ascii="Times New Roman" w:hAnsi="Times New Roman" w:eastAsia="宋体" w:cs="宋体"/>
                      <w:sz w:val="21"/>
                      <w:szCs w:val="21"/>
                      <w:lang w:val="en-US" w:eastAsia="zh-CN"/>
                    </w:rPr>
                    <w:t>泥浆池</w:t>
                  </w:r>
                  <w:r>
                    <w:rPr>
                      <w:rFonts w:hint="eastAsia" w:cs="宋体"/>
                      <w:sz w:val="21"/>
                      <w:szCs w:val="21"/>
                      <w:lang w:val="en-US" w:eastAsia="zh-CN"/>
                    </w:rPr>
                    <w:t>用于收集</w:t>
                  </w:r>
                  <w:r>
                    <w:rPr>
                      <w:rFonts w:hint="eastAsia" w:ascii="Times New Roman" w:hAnsi="Times New Roman" w:eastAsia="宋体" w:cs="宋体"/>
                      <w:sz w:val="21"/>
                      <w:szCs w:val="21"/>
                    </w:rPr>
                    <w:t>钻井期产生的废水</w:t>
                  </w:r>
                  <w:r>
                    <w:rPr>
                      <w:rFonts w:hint="eastAsia" w:cs="宋体"/>
                      <w:sz w:val="21"/>
                      <w:szCs w:val="21"/>
                      <w:lang w:eastAsia="zh-CN"/>
                    </w:rPr>
                    <w:t>。</w:t>
                  </w:r>
                </w:p>
              </w:tc>
              <w:tc>
                <w:tcPr>
                  <w:tcW w:w="577" w:type="pct"/>
                  <w:tcMar>
                    <w:left w:w="0" w:type="dxa"/>
                    <w:right w:w="0" w:type="dxa"/>
                  </w:tcMar>
                  <w:vAlign w:val="center"/>
                </w:tcPr>
                <w:p w14:paraId="2197DECE">
                  <w:pPr>
                    <w:adjustRightInd w:val="0"/>
                    <w:snapToGrid w:val="0"/>
                    <w:spacing w:line="300" w:lineRule="exact"/>
                    <w:jc w:val="center"/>
                    <w:rPr>
                      <w:rFonts w:hint="eastAsia" w:ascii="Times New Roman" w:hAnsi="Times New Roman" w:eastAsia="宋体" w:cs="宋体"/>
                      <w:sz w:val="21"/>
                      <w:szCs w:val="21"/>
                      <w:lang w:val="en-US" w:eastAsia="zh-CN"/>
                    </w:rPr>
                  </w:pPr>
                  <w:r>
                    <w:rPr>
                      <w:rFonts w:hint="eastAsia" w:cs="宋体"/>
                      <w:sz w:val="21"/>
                      <w:szCs w:val="21"/>
                      <w:lang w:val="en-US" w:eastAsia="zh-CN"/>
                    </w:rPr>
                    <w:t>5</w:t>
                  </w:r>
                </w:p>
              </w:tc>
            </w:tr>
            <w:tr w14:paraId="358C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471" w:type="pct"/>
                  <w:tcMar>
                    <w:left w:w="0" w:type="dxa"/>
                    <w:right w:w="0" w:type="dxa"/>
                  </w:tcMar>
                  <w:vAlign w:val="center"/>
                </w:tcPr>
                <w:p w14:paraId="0D055BBB">
                  <w:pPr>
                    <w:adjustRightInd w:val="0"/>
                    <w:snapToGrid w:val="0"/>
                    <w:spacing w:line="300" w:lineRule="exact"/>
                    <w:jc w:val="center"/>
                    <w:rPr>
                      <w:rFonts w:hint="eastAsia" w:ascii="Times New Roman" w:hAnsi="Times New Roman" w:eastAsia="宋体" w:cs="宋体"/>
                      <w:sz w:val="21"/>
                      <w:szCs w:val="21"/>
                      <w:lang w:val="en-US" w:eastAsia="zh-CN"/>
                    </w:rPr>
                  </w:pPr>
                  <w:r>
                    <w:rPr>
                      <w:rFonts w:hint="eastAsia" w:cs="宋体"/>
                      <w:sz w:val="21"/>
                      <w:szCs w:val="21"/>
                      <w:lang w:val="en-US" w:eastAsia="zh-CN"/>
                    </w:rPr>
                    <w:t>噪声</w:t>
                  </w:r>
                </w:p>
              </w:tc>
              <w:tc>
                <w:tcPr>
                  <w:tcW w:w="686" w:type="pct"/>
                  <w:tcMar>
                    <w:left w:w="0" w:type="dxa"/>
                    <w:right w:w="0" w:type="dxa"/>
                  </w:tcMar>
                  <w:vAlign w:val="center"/>
                </w:tcPr>
                <w:p w14:paraId="34F1123F">
                  <w:pPr>
                    <w:adjustRightInd w:val="0"/>
                    <w:snapToGrid w:val="0"/>
                    <w:spacing w:line="300" w:lineRule="exact"/>
                    <w:jc w:val="center"/>
                    <w:rPr>
                      <w:rFonts w:hint="default" w:cs="宋体"/>
                      <w:sz w:val="21"/>
                      <w:szCs w:val="21"/>
                      <w:lang w:val="en-US" w:eastAsia="zh-CN"/>
                    </w:rPr>
                  </w:pPr>
                  <w:r>
                    <w:rPr>
                      <w:rFonts w:hint="eastAsia" w:cs="宋体"/>
                      <w:sz w:val="21"/>
                      <w:szCs w:val="21"/>
                      <w:lang w:val="en-US" w:eastAsia="zh-CN"/>
                    </w:rPr>
                    <w:t>施工噪声</w:t>
                  </w:r>
                </w:p>
              </w:tc>
              <w:tc>
                <w:tcPr>
                  <w:tcW w:w="3263" w:type="pct"/>
                  <w:tcMar>
                    <w:left w:w="0" w:type="dxa"/>
                    <w:right w:w="0" w:type="dxa"/>
                  </w:tcMar>
                  <w:vAlign w:val="center"/>
                </w:tcPr>
                <w:p w14:paraId="6B38FB1A">
                  <w:pPr>
                    <w:adjustRightInd w:val="0"/>
                    <w:snapToGrid w:val="0"/>
                    <w:spacing w:line="300" w:lineRule="exact"/>
                    <w:jc w:val="both"/>
                    <w:rPr>
                      <w:rFonts w:hint="eastAsia" w:cs="宋体"/>
                      <w:sz w:val="21"/>
                      <w:szCs w:val="21"/>
                      <w:lang w:val="en-US" w:eastAsia="zh-CN"/>
                    </w:rPr>
                  </w:pPr>
                  <w:r>
                    <w:rPr>
                      <w:rFonts w:hint="eastAsia" w:cs="宋体"/>
                      <w:sz w:val="21"/>
                      <w:szCs w:val="21"/>
                      <w:lang w:val="en-US" w:eastAsia="zh-CN"/>
                    </w:rPr>
                    <w:t>选用低噪声设备，对噪声较大的设备采取基础减振措施，加强机械设备的维护、保养，保证机械设备的正常运转。</w:t>
                  </w:r>
                </w:p>
              </w:tc>
              <w:tc>
                <w:tcPr>
                  <w:tcW w:w="577" w:type="pct"/>
                  <w:tcMar>
                    <w:left w:w="0" w:type="dxa"/>
                    <w:right w:w="0" w:type="dxa"/>
                  </w:tcMar>
                  <w:vAlign w:val="center"/>
                </w:tcPr>
                <w:p w14:paraId="2688F946">
                  <w:pPr>
                    <w:adjustRightInd w:val="0"/>
                    <w:snapToGrid w:val="0"/>
                    <w:spacing w:line="300" w:lineRule="exact"/>
                    <w:jc w:val="center"/>
                    <w:rPr>
                      <w:rFonts w:hint="eastAsia" w:ascii="Times New Roman" w:hAnsi="Times New Roman" w:eastAsia="宋体" w:cs="宋体"/>
                      <w:sz w:val="21"/>
                      <w:szCs w:val="21"/>
                      <w:lang w:val="en-US" w:eastAsia="zh-CN"/>
                    </w:rPr>
                  </w:pPr>
                  <w:r>
                    <w:rPr>
                      <w:rFonts w:hint="eastAsia" w:cs="宋体"/>
                      <w:sz w:val="21"/>
                      <w:szCs w:val="21"/>
                      <w:lang w:val="en-US" w:eastAsia="zh-CN"/>
                    </w:rPr>
                    <w:t>3</w:t>
                  </w:r>
                </w:p>
              </w:tc>
            </w:tr>
            <w:tr w14:paraId="633D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71" w:type="pct"/>
                  <w:vMerge w:val="restart"/>
                  <w:tcMar>
                    <w:left w:w="0" w:type="dxa"/>
                    <w:right w:w="0" w:type="dxa"/>
                  </w:tcMar>
                  <w:vAlign w:val="center"/>
                </w:tcPr>
                <w:p w14:paraId="5DB0BBBA">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固废处置</w:t>
                  </w:r>
                </w:p>
              </w:tc>
              <w:tc>
                <w:tcPr>
                  <w:tcW w:w="686" w:type="pct"/>
                  <w:shd w:val="clear" w:color="auto" w:fill="auto"/>
                  <w:tcMar>
                    <w:left w:w="0" w:type="dxa"/>
                    <w:right w:w="0" w:type="dxa"/>
                  </w:tcMar>
                  <w:vAlign w:val="center"/>
                </w:tcPr>
                <w:p w14:paraId="4429D646">
                  <w:pPr>
                    <w:adjustRightInd w:val="0"/>
                    <w:snapToGrid w:val="0"/>
                    <w:spacing w:line="300" w:lineRule="exact"/>
                    <w:jc w:val="center"/>
                    <w:rPr>
                      <w:rFonts w:hint="eastAsia" w:ascii="Times New Roman" w:hAnsi="Times New Roman" w:eastAsia="宋体" w:cs="宋体"/>
                      <w:kern w:val="2"/>
                      <w:sz w:val="21"/>
                      <w:szCs w:val="21"/>
                      <w:lang w:val="en-US" w:eastAsia="zh-CN" w:bidi="ar-SA"/>
                    </w:rPr>
                  </w:pPr>
                  <w:r>
                    <w:rPr>
                      <w:rFonts w:hint="eastAsia" w:ascii="Times New Roman" w:hAnsi="Times New Roman" w:eastAsia="宋体" w:cs="宋体"/>
                      <w:sz w:val="21"/>
                      <w:szCs w:val="21"/>
                    </w:rPr>
                    <w:t>生活垃圾</w:t>
                  </w:r>
                </w:p>
              </w:tc>
              <w:tc>
                <w:tcPr>
                  <w:tcW w:w="3263" w:type="pct"/>
                  <w:shd w:val="clear" w:color="auto" w:fill="auto"/>
                  <w:tcMar>
                    <w:left w:w="0" w:type="dxa"/>
                    <w:right w:w="0" w:type="dxa"/>
                  </w:tcMar>
                  <w:vAlign w:val="center"/>
                </w:tcPr>
                <w:p w14:paraId="1921CF2F">
                  <w:pPr>
                    <w:adjustRightInd w:val="0"/>
                    <w:snapToGrid w:val="0"/>
                    <w:spacing w:line="300" w:lineRule="exact"/>
                    <w:jc w:val="both"/>
                    <w:rPr>
                      <w:rFonts w:hint="default" w:ascii="Times New Roman" w:hAnsi="Times New Roman" w:eastAsia="宋体" w:cs="宋体"/>
                      <w:kern w:val="2"/>
                      <w:sz w:val="21"/>
                      <w:szCs w:val="21"/>
                      <w:lang w:val="en-US" w:eastAsia="zh-CN" w:bidi="ar-SA"/>
                    </w:rPr>
                  </w:pPr>
                  <w:r>
                    <w:rPr>
                      <w:rFonts w:hint="eastAsia" w:ascii="Times New Roman" w:hAnsi="Times New Roman" w:eastAsia="宋体" w:cs="宋体"/>
                      <w:sz w:val="21"/>
                      <w:szCs w:val="21"/>
                    </w:rPr>
                    <w:t>设</w:t>
                  </w:r>
                  <w:r>
                    <w:rPr>
                      <w:rFonts w:hint="eastAsia" w:cs="宋体"/>
                      <w:sz w:val="21"/>
                      <w:szCs w:val="21"/>
                      <w:lang w:val="en-US" w:eastAsia="zh-CN"/>
                    </w:rPr>
                    <w:t>置</w:t>
                  </w:r>
                  <w:r>
                    <w:rPr>
                      <w:rFonts w:hint="eastAsia" w:ascii="Times New Roman" w:hAnsi="Times New Roman" w:eastAsia="宋体" w:cs="宋体"/>
                      <w:sz w:val="21"/>
                      <w:szCs w:val="21"/>
                    </w:rPr>
                    <w:t>垃圾箱集中收集</w:t>
                  </w:r>
                  <w:r>
                    <w:rPr>
                      <w:rFonts w:hint="eastAsia" w:cs="宋体"/>
                      <w:sz w:val="21"/>
                      <w:szCs w:val="21"/>
                      <w:lang w:val="en-US" w:eastAsia="zh-CN"/>
                    </w:rPr>
                    <w:t>产生的生活垃圾</w:t>
                  </w:r>
                  <w:r>
                    <w:rPr>
                      <w:rFonts w:hint="eastAsia" w:ascii="Times New Roman" w:hAnsi="Times New Roman" w:eastAsia="宋体" w:cs="宋体"/>
                      <w:sz w:val="21"/>
                      <w:szCs w:val="21"/>
                    </w:rPr>
                    <w:t>，定期清运</w:t>
                  </w:r>
                  <w:r>
                    <w:rPr>
                      <w:rFonts w:hint="eastAsia" w:cs="宋体"/>
                      <w:sz w:val="21"/>
                      <w:szCs w:val="21"/>
                      <w:lang w:val="en-US" w:eastAsia="zh-CN"/>
                    </w:rPr>
                    <w:t>交由环卫部门统一处理。</w:t>
                  </w:r>
                </w:p>
              </w:tc>
              <w:tc>
                <w:tcPr>
                  <w:tcW w:w="577" w:type="pct"/>
                  <w:tcMar>
                    <w:left w:w="0" w:type="dxa"/>
                    <w:right w:w="0" w:type="dxa"/>
                  </w:tcMar>
                  <w:vAlign w:val="center"/>
                </w:tcPr>
                <w:p w14:paraId="00AC245E">
                  <w:pPr>
                    <w:adjustRightInd w:val="0"/>
                    <w:snapToGrid w:val="0"/>
                    <w:spacing w:line="300" w:lineRule="exact"/>
                    <w:jc w:val="center"/>
                    <w:rPr>
                      <w:rFonts w:hint="default" w:ascii="Times New Roman" w:hAnsi="Times New Roman" w:eastAsia="宋体" w:cs="宋体"/>
                      <w:sz w:val="21"/>
                      <w:szCs w:val="21"/>
                      <w:lang w:val="en-US" w:eastAsia="zh-CN"/>
                    </w:rPr>
                  </w:pPr>
                  <w:r>
                    <w:rPr>
                      <w:rFonts w:hint="eastAsia" w:cs="宋体"/>
                      <w:sz w:val="21"/>
                      <w:szCs w:val="21"/>
                      <w:lang w:val="en-US" w:eastAsia="zh-CN"/>
                    </w:rPr>
                    <w:t>4</w:t>
                  </w:r>
                </w:p>
              </w:tc>
            </w:tr>
            <w:tr w14:paraId="13F2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71" w:type="pct"/>
                  <w:vMerge w:val="continue"/>
                  <w:tcMar>
                    <w:left w:w="0" w:type="dxa"/>
                    <w:right w:w="0" w:type="dxa"/>
                  </w:tcMar>
                  <w:vAlign w:val="center"/>
                </w:tcPr>
                <w:p w14:paraId="20665BF1">
                  <w:pPr>
                    <w:adjustRightInd w:val="0"/>
                    <w:snapToGrid w:val="0"/>
                    <w:spacing w:line="300" w:lineRule="exact"/>
                    <w:jc w:val="center"/>
                    <w:rPr>
                      <w:rFonts w:hint="eastAsia" w:ascii="Times New Roman" w:hAnsi="Times New Roman" w:eastAsia="宋体" w:cs="宋体"/>
                      <w:sz w:val="21"/>
                      <w:szCs w:val="21"/>
                    </w:rPr>
                  </w:pPr>
                </w:p>
              </w:tc>
              <w:tc>
                <w:tcPr>
                  <w:tcW w:w="686" w:type="pct"/>
                  <w:tcMar>
                    <w:left w:w="0" w:type="dxa"/>
                    <w:right w:w="0" w:type="dxa"/>
                  </w:tcMar>
                  <w:vAlign w:val="center"/>
                </w:tcPr>
                <w:p w14:paraId="293EDBEA">
                  <w:pPr>
                    <w:adjustRightInd w:val="0"/>
                    <w:snapToGrid w:val="0"/>
                    <w:spacing w:line="300" w:lineRule="exact"/>
                    <w:jc w:val="center"/>
                    <w:rPr>
                      <w:rFonts w:hint="eastAsia" w:ascii="Times New Roman" w:hAnsi="Times New Roman" w:eastAsia="宋体" w:cs="宋体"/>
                      <w:sz w:val="21"/>
                      <w:szCs w:val="21"/>
                      <w:lang w:eastAsia="zh-CN"/>
                    </w:rPr>
                  </w:pPr>
                  <w:r>
                    <w:rPr>
                      <w:rFonts w:hint="eastAsia" w:ascii="Times New Roman" w:hAnsi="Times New Roman" w:eastAsia="宋体" w:cs="宋体"/>
                      <w:sz w:val="21"/>
                      <w:szCs w:val="21"/>
                    </w:rPr>
                    <w:t>钻井</w:t>
                  </w:r>
                  <w:r>
                    <w:rPr>
                      <w:rFonts w:hint="eastAsia" w:cs="宋体"/>
                      <w:sz w:val="21"/>
                      <w:szCs w:val="21"/>
                      <w:lang w:val="en-US" w:eastAsia="zh-CN"/>
                    </w:rPr>
                    <w:t>泥浆</w:t>
                  </w:r>
                </w:p>
              </w:tc>
              <w:tc>
                <w:tcPr>
                  <w:tcW w:w="3263" w:type="pct"/>
                  <w:tcMar>
                    <w:left w:w="0" w:type="dxa"/>
                    <w:right w:w="0" w:type="dxa"/>
                  </w:tcMar>
                  <w:vAlign w:val="center"/>
                </w:tcPr>
                <w:p w14:paraId="4B904059">
                  <w:pPr>
                    <w:adjustRightInd w:val="0"/>
                    <w:snapToGrid w:val="0"/>
                    <w:spacing w:line="300" w:lineRule="exact"/>
                    <w:jc w:val="both"/>
                    <w:rPr>
                      <w:rFonts w:hint="default" w:ascii="Times New Roman" w:hAnsi="Times New Roman" w:eastAsia="宋体" w:cs="宋体"/>
                      <w:sz w:val="21"/>
                      <w:szCs w:val="21"/>
                      <w:lang w:val="en-US" w:eastAsia="zh-CN"/>
                    </w:rPr>
                  </w:pPr>
                  <w:r>
                    <w:rPr>
                      <w:rFonts w:hint="eastAsia" w:cs="宋体"/>
                      <w:sz w:val="21"/>
                      <w:szCs w:val="21"/>
                      <w:lang w:val="en-US" w:eastAsia="zh-CN"/>
                    </w:rPr>
                    <w:t>废弃钻井泥浆干化后和钻井岩屑用于场地平整。</w:t>
                  </w:r>
                </w:p>
              </w:tc>
              <w:tc>
                <w:tcPr>
                  <w:tcW w:w="577" w:type="pct"/>
                  <w:tcMar>
                    <w:left w:w="0" w:type="dxa"/>
                    <w:right w:w="0" w:type="dxa"/>
                  </w:tcMar>
                  <w:vAlign w:val="center"/>
                </w:tcPr>
                <w:p w14:paraId="08EB130B">
                  <w:pPr>
                    <w:adjustRightInd w:val="0"/>
                    <w:snapToGrid w:val="0"/>
                    <w:spacing w:line="300" w:lineRule="exact"/>
                    <w:jc w:val="center"/>
                    <w:rPr>
                      <w:rFonts w:hint="eastAsia" w:ascii="Times New Roman" w:hAnsi="Times New Roman" w:eastAsia="宋体" w:cs="宋体"/>
                      <w:sz w:val="21"/>
                      <w:szCs w:val="21"/>
                      <w:lang w:eastAsia="zh-CN"/>
                    </w:rPr>
                  </w:pPr>
                  <w:r>
                    <w:rPr>
                      <w:rFonts w:hint="eastAsia" w:cs="宋体"/>
                      <w:sz w:val="21"/>
                      <w:szCs w:val="21"/>
                      <w:lang w:val="en-US" w:eastAsia="zh-CN"/>
                    </w:rPr>
                    <w:t>/</w:t>
                  </w:r>
                </w:p>
              </w:tc>
            </w:tr>
            <w:tr w14:paraId="33BE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471" w:type="pct"/>
                  <w:vMerge w:val="continue"/>
                  <w:tcMar>
                    <w:left w:w="0" w:type="dxa"/>
                    <w:right w:w="0" w:type="dxa"/>
                  </w:tcMar>
                  <w:vAlign w:val="center"/>
                </w:tcPr>
                <w:p w14:paraId="2ADED109">
                  <w:pPr>
                    <w:adjustRightInd w:val="0"/>
                    <w:snapToGrid w:val="0"/>
                    <w:spacing w:line="300" w:lineRule="exact"/>
                    <w:jc w:val="center"/>
                    <w:rPr>
                      <w:rFonts w:hint="eastAsia" w:ascii="Times New Roman" w:hAnsi="Times New Roman" w:eastAsia="宋体" w:cs="宋体"/>
                      <w:sz w:val="21"/>
                      <w:szCs w:val="21"/>
                    </w:rPr>
                  </w:pPr>
                </w:p>
              </w:tc>
              <w:tc>
                <w:tcPr>
                  <w:tcW w:w="686" w:type="pct"/>
                  <w:shd w:val="clear" w:color="auto" w:fill="auto"/>
                  <w:tcMar>
                    <w:left w:w="0" w:type="dxa"/>
                    <w:right w:w="0" w:type="dxa"/>
                  </w:tcMar>
                  <w:vAlign w:val="center"/>
                </w:tcPr>
                <w:p w14:paraId="23C3B76B">
                  <w:pPr>
                    <w:adjustRightInd w:val="0"/>
                    <w:snapToGrid w:val="0"/>
                    <w:spacing w:line="300" w:lineRule="exact"/>
                    <w:jc w:val="center"/>
                    <w:rPr>
                      <w:rFonts w:hint="eastAsia" w:ascii="Times New Roman" w:hAnsi="Times New Roman" w:eastAsia="宋体" w:cs="宋体"/>
                      <w:kern w:val="2"/>
                      <w:sz w:val="21"/>
                      <w:szCs w:val="21"/>
                      <w:lang w:val="en-US" w:eastAsia="zh-CN" w:bidi="ar-SA"/>
                    </w:rPr>
                  </w:pPr>
                  <w:r>
                    <w:rPr>
                      <w:rFonts w:hint="eastAsia" w:ascii="Times New Roman" w:hAnsi="Times New Roman" w:eastAsia="宋体" w:cs="宋体"/>
                      <w:sz w:val="21"/>
                      <w:szCs w:val="21"/>
                    </w:rPr>
                    <w:t>沾油废防渗材料</w:t>
                  </w:r>
                  <w:r>
                    <w:rPr>
                      <w:rFonts w:hint="eastAsia" w:cs="宋体"/>
                      <w:sz w:val="21"/>
                      <w:szCs w:val="21"/>
                      <w:lang w:val="en-US" w:eastAsia="zh-CN"/>
                    </w:rPr>
                    <w:t>和设备维修废机油</w:t>
                  </w:r>
                </w:p>
              </w:tc>
              <w:tc>
                <w:tcPr>
                  <w:tcW w:w="3263" w:type="pct"/>
                  <w:shd w:val="clear" w:color="auto" w:fill="auto"/>
                  <w:tcMar>
                    <w:left w:w="0" w:type="dxa"/>
                    <w:right w:w="0" w:type="dxa"/>
                  </w:tcMar>
                  <w:vAlign w:val="center"/>
                </w:tcPr>
                <w:p w14:paraId="16DCC14D">
                  <w:pPr>
                    <w:adjustRightInd w:val="0"/>
                    <w:snapToGrid w:val="0"/>
                    <w:spacing w:line="300" w:lineRule="exact"/>
                    <w:jc w:val="both"/>
                    <w:rPr>
                      <w:rFonts w:hint="eastAsia" w:ascii="Times New Roman" w:hAnsi="Times New Roman" w:eastAsia="宋体" w:cs="宋体"/>
                      <w:kern w:val="2"/>
                      <w:sz w:val="21"/>
                      <w:szCs w:val="21"/>
                      <w:lang w:val="en-US" w:eastAsia="zh-CN" w:bidi="ar-SA"/>
                    </w:rPr>
                  </w:pPr>
                  <w:r>
                    <w:rPr>
                      <w:rFonts w:hint="eastAsia" w:ascii="Times New Roman" w:hAnsi="Times New Roman" w:cs="宋体"/>
                      <w:spacing w:val="6"/>
                      <w:sz w:val="21"/>
                      <w:szCs w:val="21"/>
                      <w:lang w:val="en-US" w:eastAsia="zh-CN"/>
                    </w:rPr>
                    <w:t>设置一个可移动式危废暂存仓，用于储存</w:t>
                  </w:r>
                  <w:r>
                    <w:rPr>
                      <w:rFonts w:hint="eastAsia" w:ascii="Times New Roman" w:hAnsi="Times New Roman" w:eastAsia="宋体" w:cs="宋体"/>
                      <w:spacing w:val="6"/>
                      <w:sz w:val="21"/>
                      <w:szCs w:val="21"/>
                    </w:rPr>
                    <w:t>设备维修</w:t>
                  </w:r>
                  <w:r>
                    <w:rPr>
                      <w:rFonts w:hint="eastAsia" w:ascii="Times New Roman" w:hAnsi="Times New Roman" w:cs="宋体"/>
                      <w:spacing w:val="6"/>
                      <w:sz w:val="21"/>
                      <w:szCs w:val="21"/>
                      <w:lang w:val="en-US" w:eastAsia="zh-CN"/>
                    </w:rPr>
                    <w:t>产生的废机油，施工结束后检修产生的废机油和沾油废防渗材料委托有资质单位处置。</w:t>
                  </w:r>
                </w:p>
              </w:tc>
              <w:tc>
                <w:tcPr>
                  <w:tcW w:w="577" w:type="pct"/>
                  <w:tcMar>
                    <w:left w:w="0" w:type="dxa"/>
                    <w:right w:w="0" w:type="dxa"/>
                  </w:tcMar>
                  <w:vAlign w:val="center"/>
                </w:tcPr>
                <w:p w14:paraId="02A0032B">
                  <w:pPr>
                    <w:adjustRightInd w:val="0"/>
                    <w:snapToGrid w:val="0"/>
                    <w:spacing w:line="300" w:lineRule="exact"/>
                    <w:jc w:val="center"/>
                    <w:rPr>
                      <w:rFonts w:hint="eastAsia" w:ascii="Times New Roman" w:hAnsi="Times New Roman" w:eastAsia="宋体" w:cs="宋体"/>
                      <w:sz w:val="21"/>
                      <w:szCs w:val="21"/>
                      <w:lang w:eastAsia="zh-CN"/>
                    </w:rPr>
                  </w:pPr>
                  <w:r>
                    <w:rPr>
                      <w:rFonts w:hint="eastAsia" w:cs="宋体"/>
                      <w:sz w:val="21"/>
                      <w:szCs w:val="21"/>
                      <w:lang w:val="en-US" w:eastAsia="zh-CN"/>
                    </w:rPr>
                    <w:t>5</w:t>
                  </w:r>
                </w:p>
              </w:tc>
            </w:tr>
            <w:tr w14:paraId="780C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471" w:type="pct"/>
                  <w:vMerge w:val="continue"/>
                  <w:tcMar>
                    <w:left w:w="0" w:type="dxa"/>
                    <w:right w:w="0" w:type="dxa"/>
                  </w:tcMar>
                  <w:vAlign w:val="center"/>
                </w:tcPr>
                <w:p w14:paraId="13DE75FB">
                  <w:pPr>
                    <w:adjustRightInd w:val="0"/>
                    <w:snapToGrid w:val="0"/>
                    <w:spacing w:line="300" w:lineRule="exact"/>
                    <w:jc w:val="center"/>
                    <w:rPr>
                      <w:rFonts w:hint="eastAsia" w:ascii="Times New Roman" w:hAnsi="Times New Roman" w:eastAsia="宋体" w:cs="宋体"/>
                      <w:sz w:val="21"/>
                      <w:szCs w:val="21"/>
                    </w:rPr>
                  </w:pPr>
                </w:p>
              </w:tc>
              <w:tc>
                <w:tcPr>
                  <w:tcW w:w="686" w:type="pct"/>
                  <w:shd w:val="clear" w:color="auto" w:fill="auto"/>
                  <w:tcMar>
                    <w:left w:w="0" w:type="dxa"/>
                    <w:right w:w="0" w:type="dxa"/>
                  </w:tcMar>
                  <w:vAlign w:val="center"/>
                </w:tcPr>
                <w:p w14:paraId="1DF9E3D9">
                  <w:pPr>
                    <w:adjustRightInd w:val="0"/>
                    <w:snapToGrid w:val="0"/>
                    <w:spacing w:line="300" w:lineRule="exact"/>
                    <w:jc w:val="center"/>
                    <w:rPr>
                      <w:rFonts w:hint="eastAsia" w:ascii="Times New Roman" w:hAnsi="Times New Roman" w:eastAsia="宋体" w:cs="宋体"/>
                      <w:kern w:val="2"/>
                      <w:sz w:val="21"/>
                      <w:szCs w:val="21"/>
                      <w:lang w:val="en-US" w:eastAsia="zh-CN" w:bidi="ar-SA"/>
                    </w:rPr>
                  </w:pPr>
                  <w:r>
                    <w:rPr>
                      <w:rFonts w:hint="eastAsia" w:ascii="Times New Roman" w:hAnsi="Times New Roman" w:eastAsia="宋体" w:cs="宋体"/>
                      <w:sz w:val="21"/>
                      <w:szCs w:val="21"/>
                    </w:rPr>
                    <w:t>临时</w:t>
                  </w:r>
                  <w:r>
                    <w:rPr>
                      <w:rFonts w:hint="eastAsia" w:cs="宋体"/>
                      <w:sz w:val="21"/>
                      <w:szCs w:val="21"/>
                      <w:lang w:val="en-US" w:eastAsia="zh-CN"/>
                    </w:rPr>
                    <w:t>土石方</w:t>
                  </w:r>
                </w:p>
              </w:tc>
              <w:tc>
                <w:tcPr>
                  <w:tcW w:w="3263" w:type="pct"/>
                  <w:shd w:val="clear" w:color="auto" w:fill="auto"/>
                  <w:tcMar>
                    <w:left w:w="0" w:type="dxa"/>
                    <w:right w:w="0" w:type="dxa"/>
                  </w:tcMar>
                  <w:vAlign w:val="center"/>
                </w:tcPr>
                <w:p w14:paraId="6868AD0E">
                  <w:pPr>
                    <w:adjustRightInd w:val="0"/>
                    <w:snapToGrid w:val="0"/>
                    <w:spacing w:line="300" w:lineRule="exact"/>
                    <w:jc w:val="both"/>
                    <w:rPr>
                      <w:rFonts w:hint="eastAsia" w:ascii="Times New Roman" w:hAnsi="Times New Roman" w:eastAsia="宋体" w:cs="宋体"/>
                      <w:kern w:val="2"/>
                      <w:sz w:val="21"/>
                      <w:szCs w:val="21"/>
                      <w:lang w:val="en-US" w:eastAsia="zh-CN" w:bidi="ar-SA"/>
                    </w:rPr>
                  </w:pPr>
                  <w:r>
                    <w:rPr>
                      <w:rFonts w:hint="eastAsia" w:ascii="Times New Roman" w:hAnsi="Times New Roman" w:eastAsia="宋体" w:cs="宋体"/>
                      <w:kern w:val="2"/>
                      <w:sz w:val="21"/>
                      <w:szCs w:val="21"/>
                      <w:lang w:val="en-US" w:eastAsia="zh-CN" w:bidi="ar-SA"/>
                    </w:rPr>
                    <w:t>项目产生总土石方量为</w:t>
                  </w:r>
                  <w:r>
                    <w:rPr>
                      <w:rFonts w:hint="eastAsia" w:cs="宋体"/>
                      <w:kern w:val="2"/>
                      <w:sz w:val="21"/>
                      <w:szCs w:val="21"/>
                      <w:lang w:val="en-US" w:eastAsia="zh-CN" w:bidi="ar-SA"/>
                    </w:rPr>
                    <w:t>2039.5</w:t>
                  </w:r>
                  <w:r>
                    <w:rPr>
                      <w:rFonts w:hint="eastAsia" w:ascii="Times New Roman" w:hAnsi="Times New Roman" w:eastAsia="宋体" w:cs="宋体"/>
                      <w:kern w:val="2"/>
                      <w:sz w:val="21"/>
                      <w:szCs w:val="21"/>
                      <w:lang w:val="en-US" w:eastAsia="zh-CN" w:bidi="ar-SA"/>
                    </w:rPr>
                    <w:t>m</w:t>
                  </w:r>
                  <w:r>
                    <w:rPr>
                      <w:rFonts w:hint="eastAsia" w:ascii="Times New Roman" w:hAnsi="Times New Roman" w:eastAsia="宋体" w:cs="宋体"/>
                      <w:kern w:val="2"/>
                      <w:sz w:val="21"/>
                      <w:szCs w:val="21"/>
                      <w:vertAlign w:val="superscript"/>
                      <w:lang w:val="en-US" w:eastAsia="zh-CN" w:bidi="ar-SA"/>
                    </w:rPr>
                    <w:t>3</w:t>
                  </w:r>
                  <w:r>
                    <w:rPr>
                      <w:rFonts w:hint="eastAsia" w:ascii="Times New Roman" w:hAnsi="Times New Roman" w:eastAsia="宋体" w:cs="宋体"/>
                      <w:kern w:val="2"/>
                      <w:sz w:val="21"/>
                      <w:szCs w:val="21"/>
                      <w:lang w:val="en-US" w:eastAsia="zh-CN" w:bidi="ar-SA"/>
                    </w:rPr>
                    <w:t>，根据当地地形地貌特征，均用于回填及场地平整，无弃方。</w:t>
                  </w:r>
                </w:p>
              </w:tc>
              <w:tc>
                <w:tcPr>
                  <w:tcW w:w="577" w:type="pct"/>
                  <w:tcMar>
                    <w:left w:w="0" w:type="dxa"/>
                    <w:right w:w="0" w:type="dxa"/>
                  </w:tcMar>
                  <w:vAlign w:val="center"/>
                </w:tcPr>
                <w:p w14:paraId="50BACCFC">
                  <w:pPr>
                    <w:adjustRightInd w:val="0"/>
                    <w:snapToGrid w:val="0"/>
                    <w:spacing w:line="300" w:lineRule="exact"/>
                    <w:jc w:val="center"/>
                    <w:rPr>
                      <w:rFonts w:hint="default" w:ascii="Times New Roman" w:hAnsi="Times New Roman" w:eastAsia="宋体" w:cs="宋体"/>
                      <w:sz w:val="21"/>
                      <w:szCs w:val="21"/>
                      <w:lang w:val="en-US" w:eastAsia="zh-CN"/>
                    </w:rPr>
                  </w:pPr>
                  <w:r>
                    <w:rPr>
                      <w:rFonts w:hint="eastAsia" w:cs="宋体"/>
                      <w:sz w:val="21"/>
                      <w:szCs w:val="21"/>
                      <w:lang w:val="en-US" w:eastAsia="zh-CN"/>
                    </w:rPr>
                    <w:t>3</w:t>
                  </w:r>
                </w:p>
              </w:tc>
            </w:tr>
            <w:tr w14:paraId="7583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58" w:type="pct"/>
                  <w:gridSpan w:val="2"/>
                  <w:tcMar>
                    <w:left w:w="0" w:type="dxa"/>
                    <w:right w:w="0" w:type="dxa"/>
                  </w:tcMar>
                  <w:vAlign w:val="center"/>
                </w:tcPr>
                <w:p w14:paraId="1F411F21">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生态恢复</w:t>
                  </w:r>
                </w:p>
              </w:tc>
              <w:tc>
                <w:tcPr>
                  <w:tcW w:w="3263" w:type="pct"/>
                  <w:tcMar>
                    <w:left w:w="0" w:type="dxa"/>
                    <w:right w:w="0" w:type="dxa"/>
                  </w:tcMar>
                  <w:vAlign w:val="center"/>
                </w:tcPr>
                <w:p w14:paraId="29C740B0">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对临时占地进行清理、平整</w:t>
                  </w:r>
                  <w:r>
                    <w:rPr>
                      <w:rFonts w:hint="eastAsia" w:cs="宋体"/>
                      <w:sz w:val="21"/>
                      <w:szCs w:val="21"/>
                      <w:lang w:eastAsia="zh-CN"/>
                    </w:rPr>
                    <w:t>；</w:t>
                  </w:r>
                  <w:r>
                    <w:rPr>
                      <w:rFonts w:hint="eastAsia" w:cs="宋体"/>
                      <w:sz w:val="21"/>
                      <w:szCs w:val="21"/>
                      <w:lang w:val="en-US" w:eastAsia="zh-CN"/>
                    </w:rPr>
                    <w:t>水土保持</w:t>
                  </w:r>
                  <w:r>
                    <w:rPr>
                      <w:rFonts w:hint="eastAsia" w:ascii="Times New Roman" w:hAnsi="Times New Roman" w:eastAsia="宋体" w:cs="宋体"/>
                      <w:sz w:val="21"/>
                      <w:szCs w:val="21"/>
                    </w:rPr>
                    <w:t>。</w:t>
                  </w:r>
                </w:p>
              </w:tc>
              <w:tc>
                <w:tcPr>
                  <w:tcW w:w="577" w:type="pct"/>
                  <w:tcMar>
                    <w:left w:w="0" w:type="dxa"/>
                    <w:right w:w="0" w:type="dxa"/>
                  </w:tcMar>
                  <w:vAlign w:val="center"/>
                </w:tcPr>
                <w:p w14:paraId="693B4A0F">
                  <w:pPr>
                    <w:adjustRightInd w:val="0"/>
                    <w:snapToGrid w:val="0"/>
                    <w:spacing w:line="300" w:lineRule="exact"/>
                    <w:jc w:val="center"/>
                    <w:rPr>
                      <w:rFonts w:hint="default" w:ascii="Times New Roman" w:hAnsi="Times New Roman" w:eastAsia="宋体" w:cs="宋体"/>
                      <w:sz w:val="21"/>
                      <w:szCs w:val="21"/>
                      <w:lang w:val="en-US" w:eastAsia="zh-CN"/>
                    </w:rPr>
                  </w:pPr>
                  <w:r>
                    <w:rPr>
                      <w:rFonts w:hint="eastAsia" w:cs="宋体"/>
                      <w:sz w:val="21"/>
                      <w:szCs w:val="21"/>
                      <w:lang w:val="en-US" w:eastAsia="zh-CN"/>
                    </w:rPr>
                    <w:t>6</w:t>
                  </w:r>
                </w:p>
              </w:tc>
            </w:tr>
            <w:tr w14:paraId="5A21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422" w:type="pct"/>
                  <w:gridSpan w:val="3"/>
                  <w:tcMar>
                    <w:left w:w="0" w:type="dxa"/>
                    <w:right w:w="0" w:type="dxa"/>
                  </w:tcMar>
                  <w:vAlign w:val="center"/>
                </w:tcPr>
                <w:p w14:paraId="2811056C">
                  <w:pPr>
                    <w:adjustRightInd w:val="0"/>
                    <w:snapToGrid w:val="0"/>
                    <w:spacing w:line="300" w:lineRule="exact"/>
                    <w:jc w:val="center"/>
                    <w:rPr>
                      <w:rFonts w:hint="eastAsia" w:ascii="Times New Roman" w:hAnsi="Times New Roman" w:eastAsia="宋体" w:cs="宋体"/>
                      <w:sz w:val="21"/>
                      <w:szCs w:val="21"/>
                    </w:rPr>
                  </w:pPr>
                  <w:r>
                    <w:rPr>
                      <w:rFonts w:hint="eastAsia" w:ascii="Times New Roman" w:hAnsi="Times New Roman" w:eastAsia="宋体" w:cs="宋体"/>
                      <w:sz w:val="21"/>
                      <w:szCs w:val="21"/>
                    </w:rPr>
                    <w:t>合计</w:t>
                  </w:r>
                </w:p>
              </w:tc>
              <w:tc>
                <w:tcPr>
                  <w:tcW w:w="577" w:type="pct"/>
                  <w:tcMar>
                    <w:left w:w="0" w:type="dxa"/>
                    <w:right w:w="0" w:type="dxa"/>
                  </w:tcMar>
                  <w:vAlign w:val="center"/>
                </w:tcPr>
                <w:p w14:paraId="259E83F2">
                  <w:pPr>
                    <w:adjustRightInd w:val="0"/>
                    <w:snapToGrid w:val="0"/>
                    <w:spacing w:line="300" w:lineRule="exact"/>
                    <w:jc w:val="center"/>
                    <w:rPr>
                      <w:rFonts w:hint="default" w:ascii="Times New Roman" w:hAnsi="Times New Roman" w:eastAsia="宋体" w:cs="宋体"/>
                      <w:sz w:val="21"/>
                      <w:szCs w:val="21"/>
                      <w:lang w:val="en-US" w:eastAsia="zh-CN"/>
                    </w:rPr>
                  </w:pPr>
                  <w:r>
                    <w:rPr>
                      <w:rFonts w:hint="eastAsia" w:cs="宋体"/>
                      <w:sz w:val="21"/>
                      <w:szCs w:val="21"/>
                      <w:lang w:val="en-US" w:eastAsia="zh-CN"/>
                    </w:rPr>
                    <w:t>51</w:t>
                  </w:r>
                </w:p>
              </w:tc>
            </w:tr>
          </w:tbl>
          <w:p w14:paraId="61E9B1B1">
            <w:pPr>
              <w:snapToGrid w:val="0"/>
              <w:spacing w:line="480" w:lineRule="exact"/>
              <w:ind w:firstLine="480" w:firstLineChars="200"/>
              <w:rPr>
                <w:rFonts w:hint="eastAsia" w:ascii="Times New Roman" w:hAnsi="Times New Roman" w:eastAsia="宋体" w:cs="宋体"/>
              </w:rPr>
            </w:pPr>
          </w:p>
          <w:p w14:paraId="34912534">
            <w:pPr>
              <w:snapToGrid w:val="0"/>
              <w:spacing w:line="480" w:lineRule="exact"/>
              <w:ind w:firstLine="480" w:firstLineChars="200"/>
              <w:rPr>
                <w:rFonts w:hint="eastAsia" w:ascii="Times New Roman" w:hAnsi="Times New Roman" w:eastAsia="宋体" w:cs="宋体"/>
              </w:rPr>
            </w:pPr>
          </w:p>
          <w:p w14:paraId="0F14519E">
            <w:pPr>
              <w:snapToGrid w:val="0"/>
              <w:spacing w:line="480" w:lineRule="exact"/>
              <w:ind w:firstLine="480" w:firstLineChars="200"/>
              <w:rPr>
                <w:rFonts w:hint="eastAsia" w:ascii="Times New Roman" w:hAnsi="Times New Roman" w:eastAsia="宋体" w:cs="宋体"/>
              </w:rPr>
            </w:pPr>
          </w:p>
          <w:p w14:paraId="13355968">
            <w:pPr>
              <w:snapToGrid w:val="0"/>
              <w:spacing w:line="480" w:lineRule="exact"/>
              <w:ind w:firstLine="480" w:firstLineChars="200"/>
              <w:rPr>
                <w:rFonts w:hint="eastAsia" w:ascii="Times New Roman" w:hAnsi="Times New Roman" w:eastAsia="宋体" w:cs="宋体"/>
              </w:rPr>
            </w:pPr>
          </w:p>
          <w:p w14:paraId="25513A0D">
            <w:pPr>
              <w:snapToGrid w:val="0"/>
              <w:spacing w:line="480" w:lineRule="exact"/>
              <w:ind w:firstLine="480" w:firstLineChars="200"/>
              <w:rPr>
                <w:rFonts w:hint="eastAsia" w:ascii="Times New Roman" w:hAnsi="Times New Roman" w:eastAsia="宋体" w:cs="宋体"/>
              </w:rPr>
            </w:pPr>
          </w:p>
          <w:p w14:paraId="66CCE7A0">
            <w:pPr>
              <w:snapToGrid w:val="0"/>
              <w:spacing w:line="480" w:lineRule="exact"/>
              <w:ind w:firstLine="480" w:firstLineChars="200"/>
              <w:rPr>
                <w:rFonts w:hint="eastAsia" w:ascii="Times New Roman" w:hAnsi="Times New Roman" w:eastAsia="宋体" w:cs="宋体"/>
              </w:rPr>
            </w:pPr>
          </w:p>
          <w:p w14:paraId="174621E3">
            <w:pPr>
              <w:snapToGrid w:val="0"/>
              <w:spacing w:line="480" w:lineRule="exact"/>
              <w:ind w:firstLine="480" w:firstLineChars="200"/>
              <w:rPr>
                <w:rFonts w:hint="eastAsia" w:ascii="Times New Roman" w:hAnsi="Times New Roman" w:eastAsia="宋体" w:cs="宋体"/>
              </w:rPr>
            </w:pPr>
          </w:p>
          <w:p w14:paraId="6BCEB1DA">
            <w:pPr>
              <w:snapToGrid w:val="0"/>
              <w:spacing w:line="480" w:lineRule="exact"/>
              <w:ind w:firstLine="480" w:firstLineChars="200"/>
              <w:rPr>
                <w:rFonts w:hint="eastAsia" w:ascii="Times New Roman" w:hAnsi="Times New Roman" w:eastAsia="宋体" w:cs="宋体"/>
              </w:rPr>
            </w:pPr>
          </w:p>
          <w:p w14:paraId="0B71F5ED">
            <w:pPr>
              <w:snapToGrid w:val="0"/>
              <w:spacing w:line="480" w:lineRule="exact"/>
              <w:ind w:firstLine="480" w:firstLineChars="200"/>
              <w:rPr>
                <w:rFonts w:hint="eastAsia" w:ascii="Times New Roman" w:hAnsi="Times New Roman" w:eastAsia="宋体" w:cs="宋体"/>
              </w:rPr>
            </w:pPr>
          </w:p>
          <w:p w14:paraId="687F72A1">
            <w:pPr>
              <w:snapToGrid w:val="0"/>
              <w:spacing w:line="480" w:lineRule="exact"/>
              <w:ind w:firstLine="480" w:firstLineChars="200"/>
              <w:rPr>
                <w:rFonts w:hint="eastAsia" w:ascii="Times New Roman" w:hAnsi="Times New Roman" w:eastAsia="宋体" w:cs="宋体"/>
              </w:rPr>
            </w:pPr>
          </w:p>
          <w:p w14:paraId="4529230A">
            <w:pPr>
              <w:snapToGrid w:val="0"/>
              <w:spacing w:line="480" w:lineRule="exact"/>
              <w:ind w:firstLine="480" w:firstLineChars="200"/>
              <w:rPr>
                <w:rFonts w:hint="eastAsia" w:ascii="Times New Roman" w:hAnsi="Times New Roman" w:eastAsia="宋体" w:cs="宋体"/>
              </w:rPr>
            </w:pPr>
          </w:p>
          <w:p w14:paraId="2759238C">
            <w:pPr>
              <w:snapToGrid w:val="0"/>
              <w:spacing w:line="480" w:lineRule="exact"/>
              <w:ind w:firstLine="480" w:firstLineChars="200"/>
              <w:rPr>
                <w:rFonts w:hint="eastAsia" w:ascii="Times New Roman" w:hAnsi="Times New Roman" w:eastAsia="宋体" w:cs="宋体"/>
              </w:rPr>
            </w:pPr>
          </w:p>
          <w:p w14:paraId="18472D9F">
            <w:pPr>
              <w:snapToGrid w:val="0"/>
              <w:spacing w:line="480" w:lineRule="exact"/>
              <w:ind w:firstLine="480" w:firstLineChars="200"/>
              <w:rPr>
                <w:rFonts w:hint="eastAsia" w:ascii="Times New Roman" w:hAnsi="Times New Roman" w:eastAsia="宋体" w:cs="宋体"/>
              </w:rPr>
            </w:pPr>
          </w:p>
          <w:p w14:paraId="7EEA11B0">
            <w:pPr>
              <w:snapToGrid w:val="0"/>
              <w:spacing w:line="480" w:lineRule="exact"/>
              <w:rPr>
                <w:rFonts w:hint="eastAsia" w:ascii="Times New Roman" w:hAnsi="Times New Roman" w:eastAsia="宋体" w:cs="宋体"/>
              </w:rPr>
            </w:pPr>
          </w:p>
          <w:p w14:paraId="3F7F3EA0">
            <w:pPr>
              <w:snapToGrid w:val="0"/>
              <w:spacing w:line="480" w:lineRule="exact"/>
              <w:rPr>
                <w:rFonts w:hint="eastAsia" w:ascii="Times New Roman" w:hAnsi="Times New Roman" w:eastAsia="宋体" w:cs="宋体"/>
              </w:rPr>
            </w:pPr>
          </w:p>
          <w:p w14:paraId="22B47887">
            <w:pPr>
              <w:snapToGrid w:val="0"/>
              <w:spacing w:line="480" w:lineRule="exact"/>
              <w:rPr>
                <w:rFonts w:hint="eastAsia" w:ascii="Times New Roman" w:hAnsi="Times New Roman" w:eastAsia="宋体" w:cs="宋体"/>
              </w:rPr>
            </w:pPr>
          </w:p>
          <w:p w14:paraId="3C1F0107">
            <w:pPr>
              <w:snapToGrid w:val="0"/>
              <w:spacing w:line="480" w:lineRule="exact"/>
              <w:rPr>
                <w:rFonts w:hint="eastAsia" w:ascii="Times New Roman" w:hAnsi="Times New Roman" w:eastAsia="宋体" w:cs="宋体"/>
              </w:rPr>
            </w:pPr>
          </w:p>
          <w:p w14:paraId="64A38EFA">
            <w:pPr>
              <w:snapToGrid w:val="0"/>
              <w:spacing w:line="480" w:lineRule="exact"/>
              <w:rPr>
                <w:rFonts w:hint="eastAsia" w:ascii="Times New Roman" w:hAnsi="Times New Roman" w:eastAsia="宋体" w:cs="宋体"/>
              </w:rPr>
            </w:pPr>
          </w:p>
          <w:p w14:paraId="45E48423">
            <w:pPr>
              <w:snapToGrid w:val="0"/>
              <w:spacing w:line="480" w:lineRule="exact"/>
              <w:rPr>
                <w:rFonts w:hint="eastAsia" w:ascii="Times New Roman" w:hAnsi="Times New Roman" w:eastAsia="宋体" w:cs="宋体"/>
              </w:rPr>
            </w:pPr>
          </w:p>
        </w:tc>
      </w:tr>
    </w:tbl>
    <w:p w14:paraId="74C3731E">
      <w:pPr>
        <w:rPr>
          <w:rFonts w:hint="eastAsia" w:ascii="Times New Roman" w:hAnsi="Times New Roman" w:eastAsia="宋体"/>
          <w:snapToGrid w:val="0"/>
          <w:sz w:val="30"/>
          <w:szCs w:val="30"/>
        </w:rPr>
      </w:pPr>
      <w:r>
        <w:rPr>
          <w:rFonts w:hint="eastAsia" w:ascii="Times New Roman" w:hAnsi="Times New Roman" w:eastAsia="宋体"/>
          <w:snapToGrid w:val="0"/>
          <w:sz w:val="30"/>
          <w:szCs w:val="30"/>
        </w:rPr>
        <w:br w:type="page"/>
      </w:r>
    </w:p>
    <w:p w14:paraId="1A6D0C27">
      <w:pPr>
        <w:pStyle w:val="13"/>
        <w:spacing w:before="0" w:beforeAutospacing="0" w:after="0" w:afterAutospacing="0" w:line="500" w:lineRule="exact"/>
        <w:jc w:val="center"/>
        <w:outlineLvl w:val="0"/>
        <w:rPr>
          <w:rFonts w:hint="eastAsia" w:ascii="Times New Roman" w:hAnsi="Times New Roman" w:eastAsia="宋体"/>
          <w:snapToGrid w:val="0"/>
          <w:sz w:val="30"/>
          <w:szCs w:val="30"/>
        </w:rPr>
      </w:pPr>
      <w:r>
        <w:rPr>
          <w:rFonts w:hint="eastAsia" w:ascii="Times New Roman" w:hAnsi="Times New Roman" w:eastAsia="宋体"/>
          <w:snapToGrid w:val="0"/>
          <w:sz w:val="30"/>
          <w:szCs w:val="30"/>
        </w:rPr>
        <w:t>六、生态环境保护措施监督检查清单</w:t>
      </w:r>
    </w:p>
    <w:tbl>
      <w:tblPr>
        <w:tblStyle w:val="15"/>
        <w:tblW w:w="511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33"/>
        <w:gridCol w:w="5207"/>
        <w:gridCol w:w="2059"/>
        <w:gridCol w:w="813"/>
        <w:gridCol w:w="673"/>
      </w:tblGrid>
      <w:tr w14:paraId="78A3E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73" w:type="pct"/>
            <w:vMerge w:val="restart"/>
            <w:tcBorders>
              <w:top w:val="single" w:color="auto" w:sz="4" w:space="0"/>
              <w:left w:val="single" w:color="auto" w:sz="4" w:space="0"/>
              <w:bottom w:val="single" w:color="auto" w:sz="4" w:space="0"/>
              <w:tl2br w:val="single" w:color="auto" w:sz="4" w:space="0"/>
            </w:tcBorders>
          </w:tcPr>
          <w:p w14:paraId="4489553F">
            <w:pPr>
              <w:pStyle w:val="13"/>
              <w:adjustRightInd w:val="0"/>
              <w:snapToGrid w:val="0"/>
              <w:spacing w:before="93" w:beforeLines="30" w:beforeAutospacing="0" w:after="0" w:afterAutospacing="0" w:line="400" w:lineRule="exact"/>
              <w:jc w:val="right"/>
              <w:rPr>
                <w:rFonts w:hint="eastAsia" w:ascii="Times New Roman" w:hAnsi="Times New Roman" w:eastAsia="宋体" w:cs="宋体"/>
                <w:kern w:val="2"/>
              </w:rPr>
            </w:pPr>
            <w:r>
              <w:rPr>
                <w:rFonts w:hint="eastAsia" w:ascii="Times New Roman" w:hAnsi="Times New Roman" w:eastAsia="宋体" w:cs="宋体"/>
                <w:kern w:val="2"/>
              </w:rPr>
              <w:t>内容</w:t>
            </w:r>
          </w:p>
          <w:p w14:paraId="2F41708E">
            <w:pPr>
              <w:pStyle w:val="13"/>
              <w:adjustRightInd w:val="0"/>
              <w:snapToGrid w:val="0"/>
              <w:spacing w:before="0" w:beforeAutospacing="0" w:after="0" w:afterAutospacing="0" w:line="400" w:lineRule="exact"/>
              <w:rPr>
                <w:rFonts w:hint="eastAsia" w:ascii="Times New Roman" w:hAnsi="Times New Roman" w:eastAsia="宋体" w:cs="宋体"/>
                <w:kern w:val="2"/>
                <w:lang w:eastAsia="zh-CN"/>
              </w:rPr>
            </w:pPr>
          </w:p>
          <w:p w14:paraId="0BC22347">
            <w:pPr>
              <w:pStyle w:val="13"/>
              <w:adjustRightInd w:val="0"/>
              <w:snapToGrid w:val="0"/>
              <w:spacing w:before="0" w:beforeAutospacing="0" w:after="0" w:afterAutospacing="0" w:line="400" w:lineRule="exact"/>
              <w:jc w:val="both"/>
              <w:rPr>
                <w:rFonts w:hint="eastAsia" w:ascii="Times New Roman" w:hAnsi="Times New Roman" w:eastAsia="宋体" w:cs="宋体"/>
                <w:kern w:val="2"/>
              </w:rPr>
            </w:pPr>
            <w:r>
              <w:rPr>
                <w:rFonts w:hint="eastAsia" w:ascii="Times New Roman" w:hAnsi="Times New Roman" w:eastAsia="宋体" w:cs="宋体"/>
                <w:kern w:val="2"/>
              </w:rPr>
              <w:t>要素</w:t>
            </w:r>
          </w:p>
        </w:tc>
        <w:tc>
          <w:tcPr>
            <w:tcW w:w="3675" w:type="pct"/>
            <w:gridSpan w:val="2"/>
            <w:tcBorders>
              <w:top w:val="single" w:color="auto" w:sz="4" w:space="0"/>
              <w:bottom w:val="single" w:color="auto" w:sz="4" w:space="0"/>
            </w:tcBorders>
            <w:vAlign w:val="center"/>
          </w:tcPr>
          <w:p w14:paraId="1202E568">
            <w:pPr>
              <w:pStyle w:val="13"/>
              <w:adjustRightInd w:val="0"/>
              <w:snapToGrid w:val="0"/>
              <w:spacing w:before="0" w:beforeAutospacing="0" w:after="0" w:afterAutospacing="0" w:line="400" w:lineRule="exact"/>
              <w:jc w:val="center"/>
              <w:rPr>
                <w:rFonts w:hint="eastAsia" w:ascii="Times New Roman" w:hAnsi="Times New Roman" w:eastAsia="宋体" w:cs="宋体"/>
                <w:kern w:val="2"/>
              </w:rPr>
            </w:pPr>
            <w:r>
              <w:rPr>
                <w:rFonts w:hint="eastAsia" w:ascii="Times New Roman" w:hAnsi="Times New Roman" w:eastAsia="宋体" w:cs="宋体"/>
                <w:kern w:val="2"/>
              </w:rPr>
              <w:t>施工期</w:t>
            </w:r>
          </w:p>
        </w:tc>
        <w:tc>
          <w:tcPr>
            <w:tcW w:w="751" w:type="pct"/>
            <w:gridSpan w:val="2"/>
            <w:tcBorders>
              <w:top w:val="single" w:color="auto" w:sz="4" w:space="0"/>
              <w:bottom w:val="single" w:color="auto" w:sz="4" w:space="0"/>
              <w:right w:val="single" w:color="auto" w:sz="4" w:space="0"/>
            </w:tcBorders>
            <w:vAlign w:val="center"/>
          </w:tcPr>
          <w:p w14:paraId="6E03EB98">
            <w:pPr>
              <w:pStyle w:val="13"/>
              <w:adjustRightInd w:val="0"/>
              <w:snapToGrid w:val="0"/>
              <w:spacing w:before="0" w:beforeAutospacing="0" w:after="0" w:afterAutospacing="0" w:line="400" w:lineRule="exact"/>
              <w:jc w:val="center"/>
              <w:rPr>
                <w:rFonts w:hint="eastAsia" w:ascii="Times New Roman" w:hAnsi="Times New Roman" w:eastAsia="宋体" w:cs="宋体"/>
                <w:kern w:val="2"/>
              </w:rPr>
            </w:pPr>
            <w:r>
              <w:rPr>
                <w:rFonts w:hint="eastAsia" w:ascii="Times New Roman" w:hAnsi="Times New Roman" w:eastAsia="宋体" w:cs="宋体"/>
                <w:kern w:val="2"/>
              </w:rPr>
              <w:t>运营期</w:t>
            </w:r>
          </w:p>
        </w:tc>
      </w:tr>
      <w:tr w14:paraId="002A11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573" w:type="pct"/>
            <w:vMerge w:val="continue"/>
            <w:tcBorders>
              <w:top w:val="single" w:color="auto" w:sz="4" w:space="0"/>
              <w:left w:val="single" w:color="auto" w:sz="4" w:space="0"/>
              <w:bottom w:val="single" w:color="auto" w:sz="4" w:space="0"/>
            </w:tcBorders>
          </w:tcPr>
          <w:p w14:paraId="3C77882C">
            <w:pPr>
              <w:pStyle w:val="13"/>
              <w:adjustRightInd w:val="0"/>
              <w:snapToGrid w:val="0"/>
              <w:spacing w:before="0" w:beforeAutospacing="0" w:after="0" w:afterAutospacing="0" w:line="400" w:lineRule="exact"/>
              <w:ind w:firstLine="840"/>
              <w:jc w:val="center"/>
              <w:rPr>
                <w:rFonts w:hint="eastAsia" w:ascii="Times New Roman" w:hAnsi="Times New Roman" w:eastAsia="宋体" w:cs="宋体"/>
                <w:kern w:val="2"/>
              </w:rPr>
            </w:pPr>
          </w:p>
        </w:tc>
        <w:tc>
          <w:tcPr>
            <w:tcW w:w="2633" w:type="pct"/>
            <w:tcBorders>
              <w:top w:val="single" w:color="auto" w:sz="4" w:space="0"/>
              <w:bottom w:val="single" w:color="auto" w:sz="4" w:space="0"/>
            </w:tcBorders>
            <w:vAlign w:val="center"/>
          </w:tcPr>
          <w:p w14:paraId="0D2EEEA1">
            <w:pPr>
              <w:pStyle w:val="13"/>
              <w:adjustRightInd w:val="0"/>
              <w:snapToGrid w:val="0"/>
              <w:spacing w:before="0" w:beforeAutospacing="0" w:after="0" w:afterAutospacing="0" w:line="400" w:lineRule="exact"/>
              <w:jc w:val="center"/>
              <w:rPr>
                <w:rFonts w:hint="eastAsia" w:ascii="Times New Roman" w:hAnsi="Times New Roman" w:eastAsia="宋体" w:cs="宋体"/>
                <w:kern w:val="2"/>
              </w:rPr>
            </w:pPr>
            <w:r>
              <w:rPr>
                <w:rFonts w:hint="eastAsia" w:ascii="Times New Roman" w:hAnsi="Times New Roman" w:eastAsia="宋体" w:cs="宋体"/>
                <w:kern w:val="2"/>
              </w:rPr>
              <w:t>环境保护措施</w:t>
            </w:r>
          </w:p>
        </w:tc>
        <w:tc>
          <w:tcPr>
            <w:tcW w:w="1041" w:type="pct"/>
            <w:tcBorders>
              <w:top w:val="single" w:color="auto" w:sz="4" w:space="0"/>
              <w:bottom w:val="single" w:color="auto" w:sz="4" w:space="0"/>
            </w:tcBorders>
            <w:vAlign w:val="center"/>
          </w:tcPr>
          <w:p w14:paraId="15D34AA1">
            <w:pPr>
              <w:pStyle w:val="13"/>
              <w:adjustRightInd w:val="0"/>
              <w:snapToGrid w:val="0"/>
              <w:spacing w:before="0" w:beforeAutospacing="0" w:after="0" w:afterAutospacing="0" w:line="400" w:lineRule="exact"/>
              <w:jc w:val="center"/>
              <w:rPr>
                <w:rFonts w:hint="eastAsia" w:ascii="Times New Roman" w:hAnsi="Times New Roman" w:eastAsia="宋体" w:cs="宋体"/>
                <w:kern w:val="2"/>
              </w:rPr>
            </w:pPr>
            <w:r>
              <w:rPr>
                <w:rFonts w:hint="eastAsia" w:ascii="Times New Roman" w:hAnsi="Times New Roman" w:eastAsia="宋体" w:cs="宋体"/>
                <w:kern w:val="2"/>
              </w:rPr>
              <w:t>验收要求</w:t>
            </w:r>
          </w:p>
        </w:tc>
        <w:tc>
          <w:tcPr>
            <w:tcW w:w="411" w:type="pct"/>
            <w:tcBorders>
              <w:top w:val="single" w:color="auto" w:sz="4" w:space="0"/>
              <w:bottom w:val="single" w:color="auto" w:sz="4" w:space="0"/>
            </w:tcBorders>
            <w:vAlign w:val="center"/>
          </w:tcPr>
          <w:p w14:paraId="68FDE867">
            <w:pPr>
              <w:pStyle w:val="13"/>
              <w:adjustRightInd w:val="0"/>
              <w:snapToGrid w:val="0"/>
              <w:spacing w:before="0" w:beforeAutospacing="0" w:after="0" w:afterAutospacing="0" w:line="400" w:lineRule="exact"/>
              <w:jc w:val="center"/>
              <w:rPr>
                <w:rFonts w:hint="eastAsia" w:ascii="Times New Roman" w:hAnsi="Times New Roman" w:eastAsia="宋体" w:cs="宋体"/>
                <w:kern w:val="2"/>
              </w:rPr>
            </w:pPr>
            <w:r>
              <w:rPr>
                <w:rFonts w:hint="eastAsia" w:ascii="Times New Roman" w:hAnsi="Times New Roman" w:eastAsia="宋体" w:cs="宋体"/>
                <w:kern w:val="2"/>
              </w:rPr>
              <w:t>环境保护措施</w:t>
            </w:r>
          </w:p>
        </w:tc>
        <w:tc>
          <w:tcPr>
            <w:tcW w:w="340" w:type="pct"/>
            <w:tcBorders>
              <w:top w:val="single" w:color="auto" w:sz="4" w:space="0"/>
              <w:bottom w:val="single" w:color="auto" w:sz="4" w:space="0"/>
              <w:right w:val="single" w:color="auto" w:sz="4" w:space="0"/>
            </w:tcBorders>
            <w:vAlign w:val="center"/>
          </w:tcPr>
          <w:p w14:paraId="4E7C1546">
            <w:pPr>
              <w:pStyle w:val="13"/>
              <w:adjustRightInd w:val="0"/>
              <w:snapToGrid w:val="0"/>
              <w:spacing w:before="0" w:beforeAutospacing="0" w:after="0" w:afterAutospacing="0" w:line="400" w:lineRule="exact"/>
              <w:jc w:val="center"/>
              <w:rPr>
                <w:rFonts w:hint="eastAsia" w:ascii="Times New Roman" w:hAnsi="Times New Roman" w:eastAsia="宋体" w:cs="宋体"/>
                <w:kern w:val="2"/>
              </w:rPr>
            </w:pPr>
            <w:r>
              <w:rPr>
                <w:rFonts w:hint="eastAsia" w:ascii="Times New Roman" w:hAnsi="Times New Roman" w:eastAsia="宋体" w:cs="宋体"/>
                <w:kern w:val="2"/>
              </w:rPr>
              <w:t>验收要求</w:t>
            </w:r>
          </w:p>
        </w:tc>
      </w:tr>
      <w:tr w14:paraId="73DB71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35" w:hRule="atLeast"/>
          <w:jc w:val="center"/>
        </w:trPr>
        <w:tc>
          <w:tcPr>
            <w:tcW w:w="573" w:type="pct"/>
            <w:tcBorders>
              <w:top w:val="single" w:color="auto" w:sz="4" w:space="0"/>
              <w:left w:val="single" w:color="auto" w:sz="4" w:space="0"/>
              <w:bottom w:val="single" w:color="auto" w:sz="4" w:space="0"/>
            </w:tcBorders>
            <w:vAlign w:val="center"/>
          </w:tcPr>
          <w:p w14:paraId="5E982A85">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陆生生态</w:t>
            </w:r>
          </w:p>
        </w:tc>
        <w:tc>
          <w:tcPr>
            <w:tcW w:w="2633" w:type="pct"/>
            <w:tcBorders>
              <w:top w:val="single" w:color="auto" w:sz="4" w:space="0"/>
              <w:bottom w:val="single" w:color="auto" w:sz="4" w:space="0"/>
            </w:tcBorders>
            <w:vAlign w:val="center"/>
          </w:tcPr>
          <w:p w14:paraId="5DFE1799">
            <w:pPr>
              <w:keepNext w:val="0"/>
              <w:keepLines w:val="0"/>
              <w:suppressLineNumbers w:val="0"/>
              <w:adjustRightInd w:val="0"/>
              <w:snapToGrid w:val="0"/>
              <w:spacing w:before="0" w:beforeAutospacing="0" w:after="0" w:afterAutospacing="0" w:line="400" w:lineRule="exact"/>
              <w:ind w:left="0" w:right="0"/>
              <w:rPr>
                <w:rFonts w:hint="eastAsia" w:ascii="Times New Roman" w:hAnsi="Times New Roman" w:eastAsia="宋体" w:cs="宋体"/>
              </w:rPr>
            </w:pPr>
            <w:r>
              <w:rPr>
                <w:rFonts w:hint="eastAsia" w:ascii="Times New Roman" w:hAnsi="Times New Roman" w:eastAsia="宋体" w:cs="宋体"/>
              </w:rPr>
              <w:fldChar w:fldCharType="begin"/>
            </w:r>
            <w:r>
              <w:rPr>
                <w:rFonts w:hint="eastAsia" w:ascii="Times New Roman" w:hAnsi="Times New Roman" w:eastAsia="宋体" w:cs="宋体"/>
              </w:rPr>
              <w:instrText xml:space="preserve"> = 1 \* GB3 \* MERGEFORMAT </w:instrText>
            </w:r>
            <w:r>
              <w:rPr>
                <w:rFonts w:hint="eastAsia" w:ascii="Times New Roman" w:hAnsi="Times New Roman" w:eastAsia="宋体" w:cs="宋体"/>
              </w:rPr>
              <w:fldChar w:fldCharType="separate"/>
            </w:r>
            <w:r>
              <w:t>①</w:t>
            </w:r>
            <w:r>
              <w:rPr>
                <w:rFonts w:hint="eastAsia" w:ascii="Times New Roman" w:hAnsi="Times New Roman" w:eastAsia="宋体" w:cs="宋体"/>
              </w:rPr>
              <w:fldChar w:fldCharType="end"/>
            </w:r>
            <w:r>
              <w:rPr>
                <w:rFonts w:hint="eastAsia" w:ascii="Times New Roman" w:hAnsi="Times New Roman" w:eastAsia="宋体" w:cs="宋体"/>
              </w:rPr>
              <w:t>严格控制施工现场占地，用彩旗结合安全警戒</w:t>
            </w:r>
            <w:r>
              <w:rPr>
                <w:rFonts w:hint="eastAsia" w:ascii="Times New Roman" w:hAnsi="Times New Roman" w:eastAsia="宋体" w:cs="宋体"/>
                <w:lang w:val="en-US" w:eastAsia="zh-CN"/>
              </w:rPr>
              <w:t>线</w:t>
            </w:r>
            <w:r>
              <w:rPr>
                <w:rFonts w:hint="eastAsia" w:ascii="Times New Roman" w:hAnsi="Times New Roman" w:eastAsia="宋体" w:cs="宋体"/>
              </w:rPr>
              <w:t>（或围栏）的方式封闭施工作业区域</w:t>
            </w:r>
            <w:r>
              <w:rPr>
                <w:rFonts w:hint="eastAsia" w:cs="宋体"/>
                <w:lang w:eastAsia="zh-CN"/>
              </w:rPr>
              <w:t>，</w:t>
            </w:r>
            <w:r>
              <w:rPr>
                <w:rFonts w:hint="eastAsia" w:ascii="Times New Roman" w:hAnsi="Times New Roman" w:eastAsia="宋体" w:cs="宋体"/>
              </w:rPr>
              <w:t>划定车辆行驶路线，禁止运输车辆乱碾乱轧；</w:t>
            </w:r>
          </w:p>
          <w:p w14:paraId="2828B0A6">
            <w:pPr>
              <w:adjustRightInd w:val="0"/>
              <w:snapToGrid w:val="0"/>
              <w:spacing w:line="400" w:lineRule="exact"/>
              <w:rPr>
                <w:rFonts w:hint="eastAsia" w:ascii="Times New Roman" w:hAnsi="Times New Roman" w:eastAsia="宋体" w:cs="宋体"/>
                <w:lang w:eastAsia="zh-CN"/>
              </w:rPr>
            </w:pPr>
            <w:r>
              <w:rPr>
                <w:rFonts w:hint="eastAsia" w:ascii="Times New Roman" w:hAnsi="Times New Roman" w:eastAsia="宋体" w:cs="宋体"/>
                <w:spacing w:val="-2"/>
              </w:rPr>
              <w:t>②</w:t>
            </w:r>
            <w:r>
              <w:rPr>
                <w:rFonts w:hint="eastAsia" w:ascii="Times New Roman" w:hAnsi="Times New Roman" w:eastAsia="宋体" w:cs="宋体"/>
              </w:rPr>
              <w:t>严格规定各类工作人员的活动范围，最大限度减少对植物生存环境的踩踏破坏和对野生动物栖息地的侵扰</w:t>
            </w:r>
            <w:r>
              <w:rPr>
                <w:rFonts w:hint="eastAsia" w:cs="宋体"/>
                <w:lang w:eastAsia="zh-CN"/>
              </w:rPr>
              <w:t>；</w:t>
            </w:r>
          </w:p>
          <w:p w14:paraId="681DAFD8">
            <w:pPr>
              <w:adjustRightInd w:val="0"/>
              <w:snapToGrid w:val="0"/>
              <w:spacing w:line="400" w:lineRule="exact"/>
              <w:rPr>
                <w:rFonts w:hint="eastAsia" w:cs="宋体"/>
                <w:lang w:eastAsia="zh-CN"/>
              </w:rPr>
            </w:pPr>
            <w:r>
              <w:rPr>
                <w:rFonts w:hint="eastAsia" w:ascii="Times New Roman" w:hAnsi="Times New Roman" w:eastAsia="宋体" w:cs="宋体"/>
                <w:spacing w:val="-2"/>
              </w:rPr>
              <w:t>③</w:t>
            </w:r>
            <w:r>
              <w:rPr>
                <w:rFonts w:hint="eastAsia" w:ascii="Times New Roman" w:hAnsi="Times New Roman" w:eastAsia="宋体" w:cs="宋体"/>
              </w:rPr>
              <w:t>加强环境保护宣传工作，</w:t>
            </w:r>
            <w:r>
              <w:rPr>
                <w:rFonts w:hint="eastAsia" w:cs="宋体"/>
                <w:lang w:eastAsia="zh-CN"/>
              </w:rPr>
              <w:t>增强</w:t>
            </w:r>
            <w:r>
              <w:rPr>
                <w:rFonts w:hint="eastAsia" w:ascii="Times New Roman" w:hAnsi="Times New Roman" w:eastAsia="宋体" w:cs="宋体"/>
              </w:rPr>
              <w:t>施工人员环保意识，特别是注意对野生动物和自然植被的保护</w:t>
            </w:r>
            <w:r>
              <w:rPr>
                <w:rFonts w:hint="eastAsia" w:cs="宋体"/>
                <w:lang w:eastAsia="zh-CN"/>
              </w:rPr>
              <w:t>；</w:t>
            </w:r>
          </w:p>
          <w:p w14:paraId="00A55004">
            <w:pPr>
              <w:adjustRightInd w:val="0"/>
              <w:snapToGrid w:val="0"/>
              <w:spacing w:line="400" w:lineRule="exact"/>
              <w:rPr>
                <w:rFonts w:hint="eastAsia" w:ascii="Times New Roman" w:hAnsi="Times New Roman" w:eastAsia="宋体" w:cs="宋体"/>
                <w:spacing w:val="-2"/>
                <w:lang w:eastAsia="zh-CN"/>
              </w:rPr>
            </w:pPr>
            <w:r>
              <w:rPr>
                <w:rFonts w:hint="eastAsia" w:ascii="Times New Roman" w:hAnsi="Times New Roman" w:eastAsia="宋体" w:cs="宋体"/>
                <w:spacing w:val="-2"/>
              </w:rPr>
              <w:t>④施工</w:t>
            </w:r>
            <w:r>
              <w:rPr>
                <w:rFonts w:hint="eastAsia" w:cs="宋体"/>
                <w:spacing w:val="-2"/>
                <w:lang w:eastAsia="zh-CN"/>
              </w:rPr>
              <w:t>完成</w:t>
            </w:r>
            <w:r>
              <w:rPr>
                <w:rFonts w:hint="eastAsia" w:ascii="Times New Roman" w:hAnsi="Times New Roman" w:eastAsia="宋体" w:cs="宋体"/>
                <w:spacing w:val="-2"/>
              </w:rPr>
              <w:t>后施工机械、设备及时撤离，</w:t>
            </w:r>
            <w:r>
              <w:rPr>
                <w:rFonts w:hint="eastAsia" w:ascii="Times New Roman" w:hAnsi="Times New Roman" w:eastAsia="宋体" w:cs="宋体"/>
                <w:lang w:val="en-US" w:eastAsia="zh-CN"/>
              </w:rPr>
              <w:t>将</w:t>
            </w:r>
            <w:r>
              <w:rPr>
                <w:rFonts w:hint="eastAsia" w:cs="宋体"/>
                <w:lang w:val="en-US" w:eastAsia="zh-CN"/>
              </w:rPr>
              <w:t>一体化污水处理设施</w:t>
            </w:r>
            <w:r>
              <w:rPr>
                <w:rFonts w:hint="eastAsia" w:ascii="Times New Roman" w:hAnsi="Times New Roman" w:eastAsia="宋体" w:cs="宋体"/>
                <w:lang w:val="en-US" w:eastAsia="zh-CN"/>
              </w:rPr>
              <w:t>、泥浆池等临时工程拆除</w:t>
            </w:r>
            <w:r>
              <w:rPr>
                <w:rFonts w:hint="eastAsia" w:cs="宋体"/>
                <w:lang w:val="en-US" w:eastAsia="zh-CN"/>
              </w:rPr>
              <w:t>，</w:t>
            </w:r>
            <w:r>
              <w:rPr>
                <w:rFonts w:hint="eastAsia" w:ascii="Times New Roman" w:hAnsi="Times New Roman" w:eastAsia="宋体" w:cs="宋体"/>
                <w:spacing w:val="-2"/>
              </w:rPr>
              <w:t>废水和固体废物全部妥善处置，现场禁止遗留</w:t>
            </w:r>
            <w:r>
              <w:rPr>
                <w:rFonts w:hint="eastAsia" w:cs="宋体"/>
                <w:spacing w:val="-2"/>
                <w:lang w:eastAsia="zh-CN"/>
              </w:rPr>
              <w:t>。</w:t>
            </w:r>
          </w:p>
        </w:tc>
        <w:tc>
          <w:tcPr>
            <w:tcW w:w="1041" w:type="pct"/>
            <w:tcBorders>
              <w:top w:val="single" w:color="auto" w:sz="4" w:space="0"/>
              <w:bottom w:val="single" w:color="auto" w:sz="4" w:space="0"/>
            </w:tcBorders>
            <w:vAlign w:val="center"/>
          </w:tcPr>
          <w:p w14:paraId="324B4371">
            <w:pPr>
              <w:adjustRightInd w:val="0"/>
              <w:snapToGrid w:val="0"/>
              <w:spacing w:line="400" w:lineRule="exact"/>
              <w:rPr>
                <w:rFonts w:hint="eastAsia" w:ascii="Times New Roman" w:hAnsi="Times New Roman" w:eastAsia="宋体" w:cs="宋体"/>
                <w:spacing w:val="-2"/>
              </w:rPr>
            </w:pPr>
            <w:r>
              <w:rPr>
                <w:rFonts w:hint="eastAsia" w:ascii="Times New Roman" w:hAnsi="Times New Roman" w:eastAsia="宋体" w:cs="宋体"/>
                <w:b/>
                <w:bCs/>
                <w:spacing w:val="-2"/>
              </w:rPr>
              <w:t>验收内容：</w:t>
            </w:r>
            <w:r>
              <w:rPr>
                <w:rFonts w:hint="eastAsia" w:ascii="Times New Roman" w:hAnsi="Times New Roman" w:eastAsia="宋体" w:cs="宋体"/>
                <w:spacing w:val="-2"/>
              </w:rPr>
              <w:t>生态保护措施落实情况；现场无废水和固体废物遗留；项目区及周边占地恢复情况。</w:t>
            </w:r>
          </w:p>
          <w:p w14:paraId="2EC9D8C6">
            <w:pPr>
              <w:adjustRightInd w:val="0"/>
              <w:snapToGrid w:val="0"/>
              <w:spacing w:line="400" w:lineRule="exact"/>
              <w:rPr>
                <w:rFonts w:hint="eastAsia" w:ascii="Times New Roman" w:hAnsi="Times New Roman" w:eastAsia="宋体" w:cs="宋体"/>
                <w:spacing w:val="-2"/>
              </w:rPr>
            </w:pPr>
            <w:r>
              <w:rPr>
                <w:rFonts w:hint="eastAsia" w:ascii="Times New Roman" w:hAnsi="Times New Roman" w:eastAsia="宋体" w:cs="宋体"/>
                <w:b/>
                <w:bCs/>
                <w:spacing w:val="-2"/>
              </w:rPr>
              <w:t>验收效果：</w:t>
            </w:r>
            <w:r>
              <w:rPr>
                <w:rFonts w:hint="eastAsia" w:ascii="Times New Roman" w:hAnsi="Times New Roman" w:eastAsia="宋体" w:cs="宋体"/>
                <w:b w:val="0"/>
                <w:bCs w:val="0"/>
                <w:spacing w:val="-2"/>
              </w:rPr>
              <w:t>临时占地无遗留土方/垃圾；探槽回填到位；植被自然恢复。</w:t>
            </w:r>
          </w:p>
        </w:tc>
        <w:tc>
          <w:tcPr>
            <w:tcW w:w="411" w:type="pct"/>
            <w:tcBorders>
              <w:top w:val="single" w:color="auto" w:sz="4" w:space="0"/>
              <w:bottom w:val="single" w:color="auto" w:sz="4" w:space="0"/>
            </w:tcBorders>
            <w:vAlign w:val="center"/>
          </w:tcPr>
          <w:p w14:paraId="0D40C7FA">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0B7FFFBF">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32CC08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73" w:type="pct"/>
            <w:tcBorders>
              <w:top w:val="single" w:color="auto" w:sz="4" w:space="0"/>
              <w:left w:val="single" w:color="auto" w:sz="4" w:space="0"/>
              <w:bottom w:val="single" w:color="auto" w:sz="4" w:space="0"/>
            </w:tcBorders>
            <w:vAlign w:val="center"/>
          </w:tcPr>
          <w:p w14:paraId="59B4BC03">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水生生态</w:t>
            </w:r>
          </w:p>
        </w:tc>
        <w:tc>
          <w:tcPr>
            <w:tcW w:w="2633" w:type="pct"/>
            <w:tcBorders>
              <w:top w:val="single" w:color="auto" w:sz="4" w:space="0"/>
              <w:bottom w:val="single" w:color="auto" w:sz="4" w:space="0"/>
            </w:tcBorders>
            <w:vAlign w:val="center"/>
          </w:tcPr>
          <w:p w14:paraId="45F2C9E4">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1041" w:type="pct"/>
            <w:tcBorders>
              <w:top w:val="single" w:color="auto" w:sz="4" w:space="0"/>
              <w:bottom w:val="single" w:color="auto" w:sz="4" w:space="0"/>
            </w:tcBorders>
            <w:vAlign w:val="center"/>
          </w:tcPr>
          <w:p w14:paraId="15BE1513">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411" w:type="pct"/>
            <w:tcBorders>
              <w:top w:val="single" w:color="auto" w:sz="4" w:space="0"/>
              <w:bottom w:val="single" w:color="auto" w:sz="4" w:space="0"/>
            </w:tcBorders>
            <w:vAlign w:val="center"/>
          </w:tcPr>
          <w:p w14:paraId="6C66F77E">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6A6F916A">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7B8A54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60" w:hRule="atLeast"/>
          <w:jc w:val="center"/>
        </w:trPr>
        <w:tc>
          <w:tcPr>
            <w:tcW w:w="573" w:type="pct"/>
            <w:tcBorders>
              <w:top w:val="single" w:color="auto" w:sz="4" w:space="0"/>
              <w:left w:val="single" w:color="auto" w:sz="4" w:space="0"/>
              <w:bottom w:val="single" w:color="auto" w:sz="4" w:space="0"/>
            </w:tcBorders>
            <w:vAlign w:val="center"/>
          </w:tcPr>
          <w:p w14:paraId="60CA8494">
            <w:pPr>
              <w:adjustRightInd w:val="0"/>
              <w:snapToGrid w:val="0"/>
              <w:spacing w:line="400" w:lineRule="exact"/>
              <w:jc w:val="center"/>
              <w:rPr>
                <w:rFonts w:hint="eastAsia" w:ascii="Times New Roman" w:hAnsi="Times New Roman" w:eastAsia="宋体" w:cs="宋体"/>
                <w:spacing w:val="-10"/>
              </w:rPr>
            </w:pPr>
            <w:r>
              <w:rPr>
                <w:rFonts w:hint="eastAsia" w:ascii="Times New Roman" w:hAnsi="Times New Roman" w:eastAsia="宋体" w:cs="宋体"/>
                <w:spacing w:val="-10"/>
              </w:rPr>
              <w:t>地表水环境</w:t>
            </w:r>
          </w:p>
        </w:tc>
        <w:tc>
          <w:tcPr>
            <w:tcW w:w="2633" w:type="pct"/>
            <w:tcBorders>
              <w:top w:val="single" w:color="auto" w:sz="4" w:space="0"/>
              <w:bottom w:val="single" w:color="auto" w:sz="4" w:space="0"/>
            </w:tcBorders>
            <w:vAlign w:val="center"/>
          </w:tcPr>
          <w:p w14:paraId="7C71E45B">
            <w:pPr>
              <w:adjustRightInd w:val="0"/>
              <w:snapToGrid w:val="0"/>
              <w:spacing w:line="400" w:lineRule="exact"/>
              <w:rPr>
                <w:rFonts w:hint="eastAsia" w:cs="宋体"/>
                <w:lang w:eastAsia="zh-CN"/>
              </w:rPr>
            </w:pPr>
            <w:r>
              <w:rPr>
                <w:rFonts w:hint="eastAsia" w:ascii="Times New Roman" w:hAnsi="Times New Roman" w:eastAsia="宋体" w:cs="宋体"/>
              </w:rPr>
              <w:t>①</w:t>
            </w:r>
            <w:r>
              <w:rPr>
                <w:rFonts w:hint="eastAsia" w:ascii="Times New Roman" w:hAnsi="Times New Roman" w:eastAsia="宋体" w:cs="宋体"/>
                <w:lang w:val="en-US" w:eastAsia="zh-CN"/>
              </w:rPr>
              <w:t>生活污水排入一体化污水处理设施处理达标后，用于洒水绿化，不外排</w:t>
            </w:r>
            <w:r>
              <w:rPr>
                <w:rFonts w:hint="eastAsia" w:ascii="Times New Roman" w:hAnsi="Times New Roman" w:eastAsia="宋体" w:cs="宋体"/>
              </w:rPr>
              <w:t>。</w:t>
            </w:r>
          </w:p>
          <w:p w14:paraId="216770C7">
            <w:pPr>
              <w:adjustRightInd w:val="0"/>
              <w:snapToGrid w:val="0"/>
              <w:spacing w:line="400" w:lineRule="exact"/>
              <w:jc w:val="both"/>
              <w:rPr>
                <w:rFonts w:hint="eastAsia" w:ascii="Times New Roman" w:hAnsi="Times New Roman" w:eastAsia="宋体" w:cs="宋体"/>
              </w:rPr>
            </w:pPr>
            <w:r>
              <w:rPr>
                <w:rFonts w:hint="eastAsia" w:ascii="Times New Roman" w:hAnsi="Times New Roman" w:eastAsia="宋体" w:cs="宋体"/>
              </w:rPr>
              <w:t>②钻井期产生的废水</w:t>
            </w:r>
            <w:r>
              <w:rPr>
                <w:rFonts w:hint="eastAsia" w:ascii="Times New Roman" w:hAnsi="Times New Roman" w:eastAsia="宋体" w:cs="宋体"/>
                <w:lang w:val="en-US" w:eastAsia="zh-CN"/>
              </w:rPr>
              <w:t>收集到泥浆池，经沉淀</w:t>
            </w:r>
            <w:r>
              <w:rPr>
                <w:rFonts w:hint="eastAsia" w:ascii="Times New Roman" w:hAnsi="Times New Roman" w:eastAsia="宋体" w:cs="宋体"/>
              </w:rPr>
              <w:t>处理后将固体和水分离，回用于清洗设备及泥浆的调配，不外排</w:t>
            </w:r>
            <w:r>
              <w:rPr>
                <w:rFonts w:hint="eastAsia" w:ascii="Times New Roman" w:hAnsi="Times New Roman" w:eastAsia="宋体" w:cs="宋体"/>
                <w:lang w:eastAsia="zh-CN"/>
              </w:rPr>
              <w:t>。</w:t>
            </w:r>
          </w:p>
        </w:tc>
        <w:tc>
          <w:tcPr>
            <w:tcW w:w="1041" w:type="pct"/>
            <w:tcBorders>
              <w:top w:val="single" w:color="auto" w:sz="4" w:space="0"/>
              <w:bottom w:val="single" w:color="auto" w:sz="4" w:space="0"/>
            </w:tcBorders>
            <w:vAlign w:val="center"/>
          </w:tcPr>
          <w:p w14:paraId="6E51BC41">
            <w:pPr>
              <w:adjustRightInd w:val="0"/>
              <w:snapToGrid w:val="0"/>
              <w:spacing w:line="400" w:lineRule="exact"/>
              <w:rPr>
                <w:rFonts w:hint="default" w:ascii="Times New Roman" w:hAnsi="Times New Roman" w:eastAsia="宋体" w:cs="宋体"/>
                <w:spacing w:val="-2"/>
                <w:lang w:val="en-US" w:eastAsia="zh-CN"/>
              </w:rPr>
            </w:pPr>
            <w:r>
              <w:rPr>
                <w:rFonts w:hint="eastAsia" w:ascii="Times New Roman" w:hAnsi="Times New Roman" w:eastAsia="宋体" w:cs="宋体"/>
                <w:b/>
                <w:bCs/>
                <w:spacing w:val="-2"/>
              </w:rPr>
              <w:t>验收内容：</w:t>
            </w:r>
            <w:r>
              <w:rPr>
                <w:rFonts w:hint="eastAsia" w:cs="宋体"/>
                <w:spacing w:val="-2"/>
                <w:lang w:val="en-US" w:eastAsia="zh-CN"/>
              </w:rPr>
              <w:t>钻井废水和生活污水现场是否有遗留。</w:t>
            </w:r>
          </w:p>
          <w:p w14:paraId="4595ECA7">
            <w:pPr>
              <w:adjustRightInd w:val="0"/>
              <w:snapToGrid w:val="0"/>
              <w:spacing w:line="400" w:lineRule="exact"/>
              <w:jc w:val="left"/>
              <w:rPr>
                <w:rFonts w:hint="eastAsia" w:ascii="Times New Roman" w:hAnsi="Times New Roman" w:eastAsia="宋体" w:cs="宋体"/>
              </w:rPr>
            </w:pPr>
            <w:r>
              <w:rPr>
                <w:rFonts w:hint="eastAsia" w:ascii="Times New Roman" w:hAnsi="Times New Roman" w:eastAsia="宋体" w:cs="宋体"/>
                <w:b/>
                <w:bCs/>
                <w:spacing w:val="-2"/>
              </w:rPr>
              <w:t>验收效果：</w:t>
            </w:r>
            <w:r>
              <w:rPr>
                <w:rFonts w:hint="eastAsia" w:ascii="Times New Roman" w:hAnsi="Times New Roman" w:eastAsia="宋体" w:cs="宋体"/>
                <w:spacing w:val="-2"/>
              </w:rPr>
              <w:t>验收时现场无遗留问题。</w:t>
            </w:r>
          </w:p>
        </w:tc>
        <w:tc>
          <w:tcPr>
            <w:tcW w:w="411" w:type="pct"/>
            <w:tcBorders>
              <w:top w:val="single" w:color="auto" w:sz="4" w:space="0"/>
              <w:bottom w:val="single" w:color="auto" w:sz="4" w:space="0"/>
            </w:tcBorders>
            <w:vAlign w:val="center"/>
          </w:tcPr>
          <w:p w14:paraId="1C6C8AD0">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644A526C">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08398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573" w:type="pct"/>
            <w:tcBorders>
              <w:top w:val="single" w:color="auto" w:sz="4" w:space="0"/>
              <w:left w:val="single" w:color="auto" w:sz="4" w:space="0"/>
              <w:bottom w:val="single" w:color="auto" w:sz="4" w:space="0"/>
            </w:tcBorders>
            <w:vAlign w:val="center"/>
          </w:tcPr>
          <w:p w14:paraId="725733FB">
            <w:pPr>
              <w:adjustRightInd w:val="0"/>
              <w:snapToGrid w:val="0"/>
              <w:spacing w:line="400" w:lineRule="exact"/>
              <w:jc w:val="center"/>
              <w:rPr>
                <w:rFonts w:hint="eastAsia" w:ascii="Times New Roman" w:hAnsi="Times New Roman" w:eastAsia="宋体" w:cs="宋体"/>
                <w:spacing w:val="-10"/>
              </w:rPr>
            </w:pPr>
            <w:r>
              <w:rPr>
                <w:rFonts w:hint="eastAsia" w:ascii="Times New Roman" w:hAnsi="Times New Roman" w:eastAsia="宋体" w:cs="宋体"/>
              </w:rPr>
              <w:t>地下水及土壤环境</w:t>
            </w:r>
          </w:p>
        </w:tc>
        <w:tc>
          <w:tcPr>
            <w:tcW w:w="2633" w:type="pct"/>
            <w:tcBorders>
              <w:top w:val="single" w:color="auto" w:sz="4" w:space="0"/>
              <w:bottom w:val="single" w:color="auto" w:sz="4" w:space="0"/>
            </w:tcBorders>
            <w:vAlign w:val="center"/>
          </w:tcPr>
          <w:p w14:paraId="6C28DB37">
            <w:pPr>
              <w:pStyle w:val="20"/>
              <w:keepNext w:val="0"/>
              <w:keepLines w:val="0"/>
              <w:pageBreakBefore w:val="0"/>
              <w:widowControl w:val="0"/>
              <w:kinsoku/>
              <w:wordWrap w:val="0"/>
              <w:overflowPunct/>
              <w:topLinePunct w:val="0"/>
              <w:autoSpaceDE/>
              <w:autoSpaceDN/>
              <w:bidi w:val="0"/>
              <w:adjustRightInd/>
              <w:snapToGrid/>
              <w:spacing w:line="400" w:lineRule="atLeast"/>
              <w:ind w:left="0" w:leftChars="0" w:firstLine="0" w:firstLineChars="0"/>
              <w:textAlignment w:val="auto"/>
              <w:rPr>
                <w:rFonts w:hint="eastAsia" w:ascii="Times New Roman" w:hAnsi="Times New Roman" w:cs="宋体"/>
                <w:spacing w:val="-2"/>
                <w:kern w:val="2"/>
                <w:sz w:val="24"/>
                <w:szCs w:val="24"/>
                <w:lang w:val="en-US" w:eastAsia="zh-CN" w:bidi="ar-SA"/>
              </w:rPr>
            </w:pPr>
            <w:r>
              <w:rPr>
                <w:rFonts w:hint="eastAsia" w:ascii="Times New Roman" w:hAnsi="Times New Roman" w:eastAsia="宋体" w:cs="宋体"/>
                <w:spacing w:val="-2"/>
                <w:kern w:val="2"/>
                <w:sz w:val="24"/>
                <w:szCs w:val="24"/>
                <w:lang w:val="en-US" w:eastAsia="zh-CN" w:bidi="ar-SA"/>
              </w:rPr>
              <w:t>①表层土壤的保护和利用</w:t>
            </w:r>
            <w:r>
              <w:rPr>
                <w:rFonts w:hint="eastAsia" w:ascii="Times New Roman" w:hAnsi="Times New Roman" w:cs="宋体"/>
                <w:spacing w:val="-2"/>
                <w:kern w:val="2"/>
                <w:sz w:val="24"/>
                <w:szCs w:val="24"/>
                <w:lang w:val="en-US" w:eastAsia="zh-CN" w:bidi="ar-SA"/>
              </w:rPr>
              <w:t>；</w:t>
            </w:r>
          </w:p>
          <w:p w14:paraId="7B3418C7">
            <w:pPr>
              <w:pStyle w:val="20"/>
              <w:keepNext w:val="0"/>
              <w:keepLines w:val="0"/>
              <w:pageBreakBefore w:val="0"/>
              <w:widowControl w:val="0"/>
              <w:kinsoku/>
              <w:wordWrap w:val="0"/>
              <w:overflowPunct/>
              <w:topLinePunct w:val="0"/>
              <w:autoSpaceDE/>
              <w:autoSpaceDN/>
              <w:bidi w:val="0"/>
              <w:adjustRightInd/>
              <w:snapToGrid/>
              <w:spacing w:line="400" w:lineRule="atLeast"/>
              <w:ind w:left="0" w:leftChars="0" w:firstLine="0" w:firstLineChars="0"/>
              <w:textAlignment w:val="auto"/>
              <w:rPr>
                <w:rFonts w:hint="eastAsia" w:ascii="Times New Roman" w:hAnsi="Times New Roman" w:cs="宋体"/>
                <w:spacing w:val="-2"/>
                <w:kern w:val="2"/>
                <w:sz w:val="24"/>
                <w:szCs w:val="24"/>
                <w:lang w:val="en-US" w:eastAsia="zh-CN" w:bidi="ar-SA"/>
              </w:rPr>
            </w:pPr>
            <w:r>
              <w:rPr>
                <w:rFonts w:hint="eastAsia" w:ascii="Times New Roman" w:hAnsi="Times New Roman" w:eastAsia="宋体" w:cs="宋体"/>
                <w:spacing w:val="-2"/>
                <w:kern w:val="2"/>
                <w:sz w:val="24"/>
                <w:szCs w:val="24"/>
                <w:lang w:val="en-US" w:eastAsia="zh-CN" w:bidi="ar-SA"/>
              </w:rPr>
              <w:t>②合理组织土方调配、及时填平压实</w:t>
            </w:r>
            <w:r>
              <w:rPr>
                <w:rFonts w:hint="eastAsia" w:ascii="Times New Roman" w:hAnsi="Times New Roman" w:cs="宋体"/>
                <w:spacing w:val="-2"/>
                <w:kern w:val="2"/>
                <w:sz w:val="24"/>
                <w:szCs w:val="24"/>
                <w:lang w:val="en-US" w:eastAsia="zh-CN" w:bidi="ar-SA"/>
              </w:rPr>
              <w:t>；</w:t>
            </w:r>
          </w:p>
          <w:p w14:paraId="56BDD931">
            <w:pPr>
              <w:pStyle w:val="20"/>
              <w:keepNext w:val="0"/>
              <w:keepLines w:val="0"/>
              <w:pageBreakBefore w:val="0"/>
              <w:widowControl w:val="0"/>
              <w:kinsoku/>
              <w:wordWrap w:val="0"/>
              <w:overflowPunct/>
              <w:topLinePunct w:val="0"/>
              <w:autoSpaceDE/>
              <w:autoSpaceDN/>
              <w:bidi w:val="0"/>
              <w:adjustRightInd/>
              <w:snapToGrid/>
              <w:spacing w:line="400" w:lineRule="atLeast"/>
              <w:ind w:left="0" w:leftChars="0" w:firstLine="0" w:firstLineChars="0"/>
              <w:textAlignment w:val="auto"/>
              <w:rPr>
                <w:rFonts w:hint="eastAsia" w:ascii="Times New Roman" w:hAnsi="Times New Roman" w:eastAsia="宋体" w:cs="宋体"/>
                <w:spacing w:val="-2"/>
                <w:kern w:val="2"/>
                <w:sz w:val="24"/>
                <w:szCs w:val="24"/>
                <w:lang w:val="en-US" w:eastAsia="zh-CN" w:bidi="ar-SA"/>
              </w:rPr>
            </w:pPr>
            <w:r>
              <w:rPr>
                <w:rFonts w:hint="eastAsia" w:ascii="Times New Roman" w:hAnsi="Times New Roman" w:eastAsia="宋体" w:cs="宋体"/>
                <w:spacing w:val="-2"/>
                <w:kern w:val="2"/>
                <w:sz w:val="24"/>
                <w:szCs w:val="24"/>
                <w:lang w:val="en-US" w:eastAsia="zh-CN" w:bidi="ar-SA"/>
              </w:rPr>
              <w:t>③临时占地施工结束后，应按相关规定恢复植被。</w:t>
            </w:r>
          </w:p>
          <w:p w14:paraId="3CF939B7">
            <w:pPr>
              <w:pStyle w:val="20"/>
              <w:keepNext w:val="0"/>
              <w:keepLines w:val="0"/>
              <w:pageBreakBefore w:val="0"/>
              <w:widowControl w:val="0"/>
              <w:kinsoku/>
              <w:wordWrap w:val="0"/>
              <w:overflowPunct/>
              <w:topLinePunct w:val="0"/>
              <w:autoSpaceDE/>
              <w:autoSpaceDN/>
              <w:bidi w:val="0"/>
              <w:adjustRightInd/>
              <w:snapToGrid/>
              <w:spacing w:line="400" w:lineRule="atLeast"/>
              <w:ind w:left="0" w:leftChars="0" w:firstLine="0" w:firstLineChars="0"/>
              <w:textAlignment w:val="auto"/>
              <w:rPr>
                <w:rFonts w:hint="eastAsia" w:ascii="Times New Roman" w:hAnsi="Times New Roman" w:eastAsia="宋体" w:cs="宋体"/>
                <w:spacing w:val="-2"/>
                <w:kern w:val="2"/>
                <w:sz w:val="24"/>
                <w:szCs w:val="24"/>
                <w:lang w:val="en-US" w:eastAsia="zh-CN" w:bidi="ar-SA"/>
              </w:rPr>
            </w:pPr>
            <w:r>
              <w:rPr>
                <w:rFonts w:hint="eastAsia" w:ascii="Times New Roman" w:hAnsi="Times New Roman" w:eastAsia="宋体" w:cs="宋体"/>
                <w:spacing w:val="-2"/>
                <w:kern w:val="2"/>
                <w:sz w:val="24"/>
                <w:szCs w:val="24"/>
                <w:lang w:val="en-US" w:eastAsia="zh-CN" w:bidi="ar-SA"/>
              </w:rPr>
              <w:t>④充分利用原有道路，同时减少土石方工程量并缩小生态影响范围，减少了对周边土壤和植被的破坏</w:t>
            </w:r>
            <w:r>
              <w:rPr>
                <w:rFonts w:hint="eastAsia" w:ascii="Times New Roman" w:hAnsi="Times New Roman" w:cs="宋体"/>
                <w:spacing w:val="-2"/>
                <w:kern w:val="2"/>
                <w:sz w:val="24"/>
                <w:szCs w:val="24"/>
                <w:lang w:val="en-US" w:eastAsia="zh-CN" w:bidi="ar-SA"/>
              </w:rPr>
              <w:t>；</w:t>
            </w:r>
          </w:p>
          <w:p w14:paraId="5F40A734">
            <w:pPr>
              <w:pStyle w:val="20"/>
              <w:keepNext w:val="0"/>
              <w:keepLines w:val="0"/>
              <w:pageBreakBefore w:val="0"/>
              <w:widowControl w:val="0"/>
              <w:kinsoku/>
              <w:wordWrap w:val="0"/>
              <w:overflowPunct/>
              <w:topLinePunct w:val="0"/>
              <w:autoSpaceDE/>
              <w:autoSpaceDN/>
              <w:bidi w:val="0"/>
              <w:adjustRightInd/>
              <w:snapToGrid/>
              <w:spacing w:line="400" w:lineRule="atLeast"/>
              <w:ind w:left="0" w:leftChars="0" w:firstLine="0" w:firstLineChars="0"/>
              <w:textAlignment w:val="auto"/>
              <w:rPr>
                <w:rFonts w:hint="eastAsia" w:ascii="Times New Roman" w:hAnsi="Times New Roman" w:eastAsia="宋体" w:cs="宋体"/>
                <w:spacing w:val="-2"/>
                <w:kern w:val="2"/>
                <w:sz w:val="24"/>
                <w:szCs w:val="24"/>
                <w:lang w:val="en-US" w:eastAsia="zh-CN" w:bidi="ar-SA"/>
              </w:rPr>
            </w:pPr>
            <w:r>
              <w:rPr>
                <w:rFonts w:hint="eastAsia" w:ascii="Times New Roman" w:hAnsi="Times New Roman" w:eastAsia="宋体" w:cs="宋体"/>
                <w:spacing w:val="-2"/>
                <w:kern w:val="2"/>
                <w:sz w:val="24"/>
                <w:szCs w:val="24"/>
                <w:lang w:val="en-US" w:eastAsia="zh-CN" w:bidi="ar-SA"/>
              </w:rPr>
              <w:fldChar w:fldCharType="begin"/>
            </w:r>
            <w:r>
              <w:rPr>
                <w:rFonts w:hint="eastAsia" w:ascii="Times New Roman" w:hAnsi="Times New Roman" w:eastAsia="宋体" w:cs="宋体"/>
                <w:spacing w:val="-2"/>
                <w:kern w:val="2"/>
                <w:sz w:val="24"/>
                <w:szCs w:val="24"/>
                <w:lang w:val="en-US" w:eastAsia="zh-CN" w:bidi="ar-SA"/>
              </w:rPr>
              <w:instrText xml:space="preserve"> = 5 \* GB3 \* MERGEFORMAT </w:instrText>
            </w:r>
            <w:r>
              <w:rPr>
                <w:rFonts w:hint="eastAsia" w:ascii="Times New Roman" w:hAnsi="Times New Roman" w:eastAsia="宋体" w:cs="宋体"/>
                <w:spacing w:val="-2"/>
                <w:kern w:val="2"/>
                <w:sz w:val="24"/>
                <w:szCs w:val="24"/>
                <w:lang w:val="en-US" w:eastAsia="zh-CN" w:bidi="ar-SA"/>
              </w:rPr>
              <w:fldChar w:fldCharType="separate"/>
            </w:r>
            <w:r>
              <w:rPr>
                <w:rFonts w:hint="eastAsia" w:ascii="Times New Roman" w:hAnsi="Times New Roman" w:eastAsia="宋体" w:cs="宋体"/>
                <w:spacing w:val="-2"/>
                <w:kern w:val="2"/>
                <w:sz w:val="24"/>
                <w:szCs w:val="24"/>
                <w:lang w:val="en-US" w:eastAsia="zh-CN" w:bidi="ar-SA"/>
              </w:rPr>
              <w:t>⑤</w:t>
            </w:r>
            <w:r>
              <w:rPr>
                <w:rFonts w:hint="eastAsia" w:ascii="Times New Roman" w:hAnsi="Times New Roman" w:eastAsia="宋体" w:cs="宋体"/>
                <w:spacing w:val="-2"/>
                <w:kern w:val="2"/>
                <w:sz w:val="24"/>
                <w:szCs w:val="24"/>
                <w:lang w:val="en-US" w:eastAsia="zh-CN" w:bidi="ar-SA"/>
              </w:rPr>
              <w:fldChar w:fldCharType="end"/>
            </w:r>
            <w:r>
              <w:rPr>
                <w:rFonts w:hint="eastAsia" w:ascii="Times New Roman" w:hAnsi="Times New Roman" w:eastAsia="宋体" w:cs="宋体"/>
                <w:spacing w:val="-2"/>
                <w:kern w:val="2"/>
                <w:sz w:val="24"/>
                <w:szCs w:val="24"/>
                <w:lang w:val="en-US" w:eastAsia="zh-CN" w:bidi="ar-SA"/>
              </w:rPr>
              <w:t>规范施工人员的行为，爱护草木，严禁砍伐、破坏施工区以外的作物和植被；施工结束后收集、处理施工场地及周围因施工而产生的垃圾与各种废弃物</w:t>
            </w:r>
            <w:r>
              <w:rPr>
                <w:rFonts w:hint="eastAsia" w:ascii="Times New Roman" w:hAnsi="Times New Roman" w:cs="宋体"/>
                <w:spacing w:val="-2"/>
                <w:kern w:val="2"/>
                <w:sz w:val="24"/>
                <w:szCs w:val="24"/>
                <w:lang w:val="en-US" w:eastAsia="zh-CN" w:bidi="ar-SA"/>
              </w:rPr>
              <w:t>；</w:t>
            </w:r>
          </w:p>
          <w:p w14:paraId="169F34CF">
            <w:pPr>
              <w:adjustRightInd w:val="0"/>
              <w:snapToGrid w:val="0"/>
              <w:spacing w:line="400" w:lineRule="exact"/>
              <w:jc w:val="both"/>
              <w:rPr>
                <w:rFonts w:hint="eastAsia" w:ascii="Times New Roman" w:hAnsi="Times New Roman" w:eastAsia="宋体" w:cs="宋体"/>
              </w:rPr>
            </w:pPr>
            <w:r>
              <w:rPr>
                <w:rFonts w:hint="eastAsia" w:ascii="Times New Roman" w:hAnsi="Times New Roman" w:eastAsia="宋体" w:cs="宋体"/>
                <w:spacing w:val="-2"/>
                <w:kern w:val="2"/>
                <w:sz w:val="24"/>
                <w:szCs w:val="24"/>
                <w:lang w:val="en-US" w:eastAsia="zh-CN" w:bidi="ar-SA"/>
              </w:rPr>
              <w:fldChar w:fldCharType="begin"/>
            </w:r>
            <w:r>
              <w:rPr>
                <w:rFonts w:hint="eastAsia" w:ascii="Times New Roman" w:hAnsi="Times New Roman" w:eastAsia="宋体" w:cs="宋体"/>
                <w:spacing w:val="-2"/>
                <w:kern w:val="2"/>
                <w:sz w:val="24"/>
                <w:szCs w:val="24"/>
                <w:lang w:val="en-US" w:eastAsia="zh-CN" w:bidi="ar-SA"/>
              </w:rPr>
              <w:instrText xml:space="preserve"> = 6 \* GB3 \* MERGEFORMAT </w:instrText>
            </w:r>
            <w:r>
              <w:rPr>
                <w:rFonts w:hint="eastAsia" w:ascii="Times New Roman" w:hAnsi="Times New Roman" w:eastAsia="宋体" w:cs="宋体"/>
                <w:spacing w:val="-2"/>
                <w:kern w:val="2"/>
                <w:sz w:val="24"/>
                <w:szCs w:val="24"/>
                <w:lang w:val="en-US" w:eastAsia="zh-CN" w:bidi="ar-SA"/>
              </w:rPr>
              <w:fldChar w:fldCharType="separate"/>
            </w:r>
            <w:r>
              <w:rPr>
                <w:rFonts w:hint="eastAsia" w:ascii="Times New Roman" w:hAnsi="Times New Roman" w:eastAsia="宋体" w:cs="宋体"/>
                <w:spacing w:val="-2"/>
                <w:kern w:val="2"/>
                <w:sz w:val="24"/>
                <w:szCs w:val="24"/>
                <w:lang w:val="en-US" w:eastAsia="zh-CN" w:bidi="ar-SA"/>
              </w:rPr>
              <w:t>⑥</w:t>
            </w:r>
            <w:r>
              <w:rPr>
                <w:rFonts w:hint="eastAsia" w:ascii="Times New Roman" w:hAnsi="Times New Roman" w:eastAsia="宋体" w:cs="宋体"/>
                <w:spacing w:val="-2"/>
                <w:kern w:val="2"/>
                <w:sz w:val="24"/>
                <w:szCs w:val="24"/>
                <w:lang w:val="en-US" w:eastAsia="zh-CN" w:bidi="ar-SA"/>
              </w:rPr>
              <w:fldChar w:fldCharType="end"/>
            </w:r>
            <w:r>
              <w:rPr>
                <w:rFonts w:hint="eastAsia" w:ascii="Times New Roman" w:hAnsi="Times New Roman" w:eastAsia="宋体" w:cs="宋体"/>
                <w:spacing w:val="-2"/>
                <w:kern w:val="2"/>
                <w:sz w:val="24"/>
                <w:szCs w:val="24"/>
                <w:lang w:val="en-US" w:eastAsia="zh-CN" w:bidi="ar-SA"/>
              </w:rPr>
              <w:t>避开雨季施工，采取分段施工，提高工程施工效率，缩短施工工期。</w:t>
            </w:r>
          </w:p>
        </w:tc>
        <w:tc>
          <w:tcPr>
            <w:tcW w:w="1041" w:type="pct"/>
            <w:tcBorders>
              <w:top w:val="single" w:color="auto" w:sz="4" w:space="0"/>
              <w:bottom w:val="single" w:color="auto" w:sz="4" w:space="0"/>
            </w:tcBorders>
            <w:vAlign w:val="center"/>
          </w:tcPr>
          <w:p w14:paraId="58000E82">
            <w:pPr>
              <w:adjustRightInd w:val="0"/>
              <w:snapToGrid w:val="0"/>
              <w:spacing w:line="400" w:lineRule="exact"/>
              <w:rPr>
                <w:rFonts w:hint="default" w:ascii="Times New Roman" w:hAnsi="Times New Roman" w:eastAsia="宋体" w:cs="宋体"/>
                <w:spacing w:val="-2"/>
                <w:lang w:val="en-US" w:eastAsia="zh-CN"/>
              </w:rPr>
            </w:pPr>
            <w:r>
              <w:rPr>
                <w:rFonts w:hint="eastAsia" w:ascii="Times New Roman" w:hAnsi="Times New Roman" w:eastAsia="宋体" w:cs="宋体"/>
                <w:b/>
                <w:bCs/>
                <w:spacing w:val="-2"/>
              </w:rPr>
              <w:t>验收内容：</w:t>
            </w:r>
            <w:r>
              <w:rPr>
                <w:rFonts w:hint="eastAsia" w:cs="宋体"/>
                <w:b w:val="0"/>
                <w:bCs w:val="0"/>
                <w:spacing w:val="-2"/>
                <w:lang w:val="en-US" w:eastAsia="zh-CN"/>
              </w:rPr>
              <w:t>临时设施是否拆除，临时占地是否恢复。</w:t>
            </w:r>
          </w:p>
          <w:p w14:paraId="4D8D74BD">
            <w:pPr>
              <w:adjustRightInd w:val="0"/>
              <w:snapToGrid w:val="0"/>
              <w:spacing w:line="400" w:lineRule="exact"/>
              <w:jc w:val="left"/>
              <w:rPr>
                <w:rFonts w:hint="eastAsia" w:ascii="Times New Roman" w:hAnsi="Times New Roman" w:eastAsia="宋体" w:cs="宋体"/>
                <w:b/>
                <w:bCs/>
                <w:spacing w:val="-2"/>
              </w:rPr>
            </w:pPr>
            <w:r>
              <w:rPr>
                <w:rFonts w:hint="eastAsia" w:ascii="Times New Roman" w:hAnsi="Times New Roman" w:eastAsia="宋体" w:cs="宋体"/>
                <w:b/>
                <w:bCs/>
                <w:spacing w:val="-2"/>
              </w:rPr>
              <w:t>验收效果：</w:t>
            </w:r>
            <w:r>
              <w:rPr>
                <w:rFonts w:hint="eastAsia" w:ascii="Times New Roman" w:hAnsi="Times New Roman" w:eastAsia="宋体" w:cs="宋体"/>
                <w:spacing w:val="-2"/>
              </w:rPr>
              <w:t>验收时现场无遗留问题。</w:t>
            </w:r>
          </w:p>
        </w:tc>
        <w:tc>
          <w:tcPr>
            <w:tcW w:w="411" w:type="pct"/>
            <w:tcBorders>
              <w:top w:val="single" w:color="auto" w:sz="4" w:space="0"/>
              <w:bottom w:val="single" w:color="auto" w:sz="4" w:space="0"/>
            </w:tcBorders>
            <w:vAlign w:val="center"/>
          </w:tcPr>
          <w:p w14:paraId="1A5691A4">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271D8C7E">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2A8A42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573" w:type="pct"/>
            <w:tcBorders>
              <w:top w:val="single" w:color="auto" w:sz="4" w:space="0"/>
              <w:left w:val="single" w:color="auto" w:sz="4" w:space="0"/>
              <w:bottom w:val="single" w:color="auto" w:sz="4" w:space="0"/>
            </w:tcBorders>
            <w:vAlign w:val="center"/>
          </w:tcPr>
          <w:p w14:paraId="44535079">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声环境</w:t>
            </w:r>
          </w:p>
        </w:tc>
        <w:tc>
          <w:tcPr>
            <w:tcW w:w="2633" w:type="pct"/>
            <w:tcBorders>
              <w:top w:val="single" w:color="auto" w:sz="4" w:space="0"/>
              <w:bottom w:val="single" w:color="auto" w:sz="4" w:space="0"/>
            </w:tcBorders>
            <w:vAlign w:val="center"/>
          </w:tcPr>
          <w:p w14:paraId="3B9A9011">
            <w:pPr>
              <w:adjustRightInd w:val="0"/>
              <w:snapToGrid w:val="0"/>
              <w:spacing w:line="400" w:lineRule="exact"/>
              <w:rPr>
                <w:rFonts w:hint="eastAsia" w:ascii="Times New Roman" w:hAnsi="Times New Roman" w:eastAsia="宋体" w:cs="宋体"/>
                <w:lang w:eastAsia="zh-CN"/>
              </w:rPr>
            </w:pPr>
            <w:r>
              <w:rPr>
                <w:rFonts w:hint="eastAsia" w:ascii="Times New Roman" w:hAnsi="Times New Roman" w:cs="宋体"/>
                <w:lang w:val="en-US" w:eastAsia="zh-CN"/>
              </w:rPr>
              <w:t>选</w:t>
            </w:r>
            <w:r>
              <w:rPr>
                <w:rFonts w:hint="eastAsia" w:ascii="Times New Roman" w:hAnsi="Times New Roman" w:eastAsia="宋体" w:cs="宋体"/>
              </w:rPr>
              <w:t>用低噪声设备</w:t>
            </w:r>
            <w:r>
              <w:rPr>
                <w:rFonts w:hint="eastAsia" w:ascii="Times New Roman" w:hAnsi="Times New Roman" w:cs="宋体"/>
                <w:lang w:eastAsia="zh-CN"/>
              </w:rPr>
              <w:t>，</w:t>
            </w:r>
            <w:r>
              <w:rPr>
                <w:rFonts w:hint="eastAsia" w:ascii="Times New Roman" w:hAnsi="Times New Roman" w:eastAsia="宋体" w:cs="宋体"/>
              </w:rPr>
              <w:t>对噪声较大的设备采取基础</w:t>
            </w:r>
            <w:r>
              <w:rPr>
                <w:rFonts w:hint="eastAsia" w:ascii="Times New Roman" w:hAnsi="Times New Roman" w:cs="宋体"/>
                <w:lang w:eastAsia="zh-CN"/>
              </w:rPr>
              <w:t>减振</w:t>
            </w:r>
            <w:r>
              <w:rPr>
                <w:rFonts w:hint="eastAsia" w:ascii="Times New Roman" w:hAnsi="Times New Roman" w:eastAsia="宋体" w:cs="宋体"/>
              </w:rPr>
              <w:t>措施</w:t>
            </w:r>
            <w:r>
              <w:rPr>
                <w:rFonts w:hint="eastAsia" w:ascii="Times New Roman" w:hAnsi="Times New Roman" w:cs="宋体"/>
                <w:lang w:eastAsia="zh-CN"/>
              </w:rPr>
              <w:t>，</w:t>
            </w:r>
            <w:r>
              <w:rPr>
                <w:rFonts w:hint="eastAsia" w:ascii="Times New Roman" w:hAnsi="Times New Roman" w:eastAsia="宋体" w:cs="宋体"/>
              </w:rPr>
              <w:t>加强</w:t>
            </w:r>
            <w:r>
              <w:rPr>
                <w:rFonts w:hint="eastAsia" w:ascii="Times New Roman" w:hAnsi="Times New Roman" w:cs="宋体"/>
                <w:lang w:val="en-US" w:eastAsia="zh-CN"/>
              </w:rPr>
              <w:t>机械</w:t>
            </w:r>
            <w:r>
              <w:rPr>
                <w:rFonts w:hint="eastAsia" w:ascii="Times New Roman" w:hAnsi="Times New Roman" w:eastAsia="宋体" w:cs="宋体"/>
              </w:rPr>
              <w:t>设备</w:t>
            </w:r>
            <w:r>
              <w:rPr>
                <w:rFonts w:hint="eastAsia" w:ascii="Times New Roman" w:hAnsi="Times New Roman" w:cs="宋体"/>
                <w:lang w:val="en-US" w:eastAsia="zh-CN"/>
              </w:rPr>
              <w:t>的</w:t>
            </w:r>
            <w:r>
              <w:rPr>
                <w:rFonts w:hint="eastAsia" w:ascii="Times New Roman" w:hAnsi="Times New Roman" w:eastAsia="宋体" w:cs="宋体"/>
              </w:rPr>
              <w:t>维护</w:t>
            </w:r>
            <w:r>
              <w:rPr>
                <w:rFonts w:hint="eastAsia" w:ascii="Times New Roman" w:hAnsi="Times New Roman" w:cs="宋体"/>
                <w:lang w:eastAsia="zh-CN"/>
              </w:rPr>
              <w:t>、</w:t>
            </w:r>
            <w:r>
              <w:rPr>
                <w:rFonts w:hint="eastAsia" w:ascii="Times New Roman" w:hAnsi="Times New Roman" w:eastAsia="宋体" w:cs="宋体"/>
              </w:rPr>
              <w:t>保养</w:t>
            </w:r>
            <w:r>
              <w:rPr>
                <w:rFonts w:hint="eastAsia" w:ascii="Times New Roman" w:hAnsi="Times New Roman" w:cs="宋体"/>
                <w:lang w:eastAsia="zh-CN"/>
              </w:rPr>
              <w:t>，</w:t>
            </w:r>
            <w:r>
              <w:rPr>
                <w:rFonts w:hint="eastAsia" w:ascii="Times New Roman" w:hAnsi="Times New Roman" w:eastAsia="宋体"/>
              </w:rPr>
              <w:t>保证机械设备的正常运转</w:t>
            </w:r>
            <w:r>
              <w:rPr>
                <w:rFonts w:hint="eastAsia" w:ascii="Times New Roman" w:hAnsi="Times New Roman"/>
                <w:lang w:eastAsia="zh-CN"/>
              </w:rPr>
              <w:t>，</w:t>
            </w:r>
            <w:r>
              <w:rPr>
                <w:rFonts w:hint="eastAsia" w:ascii="Times New Roman" w:hAnsi="Times New Roman" w:eastAsia="宋体" w:cs="宋体"/>
              </w:rPr>
              <w:t>加强施工场地管理，合理疏导进入施工区的车辆，禁止运输车辆随意高声鸣笛</w:t>
            </w:r>
            <w:r>
              <w:rPr>
                <w:rFonts w:hint="eastAsia" w:cs="宋体"/>
                <w:lang w:eastAsia="zh-CN"/>
              </w:rPr>
              <w:t>。</w:t>
            </w:r>
          </w:p>
        </w:tc>
        <w:tc>
          <w:tcPr>
            <w:tcW w:w="1041" w:type="pct"/>
            <w:tcBorders>
              <w:top w:val="single" w:color="auto" w:sz="4" w:space="0"/>
              <w:bottom w:val="single" w:color="auto" w:sz="4" w:space="0"/>
            </w:tcBorders>
            <w:vAlign w:val="center"/>
          </w:tcPr>
          <w:p w14:paraId="45E4FF8A">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411" w:type="pct"/>
            <w:tcBorders>
              <w:top w:val="single" w:color="auto" w:sz="4" w:space="0"/>
              <w:bottom w:val="single" w:color="auto" w:sz="4" w:space="0"/>
            </w:tcBorders>
            <w:vAlign w:val="center"/>
          </w:tcPr>
          <w:p w14:paraId="7152D26C">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0E5DFC4D">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576482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 w:hRule="atLeast"/>
          <w:jc w:val="center"/>
        </w:trPr>
        <w:tc>
          <w:tcPr>
            <w:tcW w:w="573" w:type="pct"/>
            <w:tcBorders>
              <w:top w:val="single" w:color="auto" w:sz="4" w:space="0"/>
              <w:left w:val="single" w:color="auto" w:sz="4" w:space="0"/>
              <w:bottom w:val="single" w:color="auto" w:sz="4" w:space="0"/>
            </w:tcBorders>
            <w:vAlign w:val="center"/>
          </w:tcPr>
          <w:p w14:paraId="76C407C4">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振动</w:t>
            </w:r>
          </w:p>
        </w:tc>
        <w:tc>
          <w:tcPr>
            <w:tcW w:w="2633" w:type="pct"/>
            <w:tcBorders>
              <w:top w:val="single" w:color="auto" w:sz="4" w:space="0"/>
              <w:bottom w:val="single" w:color="auto" w:sz="4" w:space="0"/>
            </w:tcBorders>
            <w:vAlign w:val="center"/>
          </w:tcPr>
          <w:p w14:paraId="7B06D70B">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1041" w:type="pct"/>
            <w:tcBorders>
              <w:top w:val="single" w:color="auto" w:sz="4" w:space="0"/>
              <w:bottom w:val="single" w:color="auto" w:sz="4" w:space="0"/>
            </w:tcBorders>
            <w:vAlign w:val="center"/>
          </w:tcPr>
          <w:p w14:paraId="1EDBC01B">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411" w:type="pct"/>
            <w:tcBorders>
              <w:top w:val="single" w:color="auto" w:sz="4" w:space="0"/>
              <w:bottom w:val="single" w:color="auto" w:sz="4" w:space="0"/>
            </w:tcBorders>
            <w:vAlign w:val="center"/>
          </w:tcPr>
          <w:p w14:paraId="79371F2B">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0088557E">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26E51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25" w:hRule="atLeast"/>
          <w:jc w:val="center"/>
        </w:trPr>
        <w:tc>
          <w:tcPr>
            <w:tcW w:w="573" w:type="pct"/>
            <w:tcBorders>
              <w:top w:val="single" w:color="auto" w:sz="4" w:space="0"/>
              <w:left w:val="single" w:color="auto" w:sz="4" w:space="0"/>
              <w:bottom w:val="single" w:color="auto" w:sz="4" w:space="0"/>
            </w:tcBorders>
            <w:vAlign w:val="center"/>
          </w:tcPr>
          <w:p w14:paraId="281E2707">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大气环境</w:t>
            </w:r>
          </w:p>
        </w:tc>
        <w:tc>
          <w:tcPr>
            <w:tcW w:w="2633" w:type="pct"/>
            <w:tcBorders>
              <w:top w:val="single" w:color="auto" w:sz="4" w:space="0"/>
              <w:bottom w:val="single" w:color="auto" w:sz="4" w:space="0"/>
            </w:tcBorders>
            <w:vAlign w:val="center"/>
          </w:tcPr>
          <w:p w14:paraId="226C2873">
            <w:pPr>
              <w:adjustRightInd w:val="0"/>
              <w:snapToGrid w:val="0"/>
              <w:spacing w:line="400" w:lineRule="exact"/>
              <w:rPr>
                <w:rFonts w:hint="eastAsia" w:ascii="Times New Roman" w:hAnsi="Times New Roman" w:eastAsia="宋体" w:cs="宋体"/>
                <w:spacing w:val="-2"/>
              </w:rPr>
            </w:pPr>
            <w:r>
              <w:rPr>
                <w:rFonts w:hint="eastAsia" w:ascii="Times New Roman" w:hAnsi="Times New Roman" w:eastAsia="宋体" w:cs="宋体"/>
                <w:spacing w:val="-2"/>
              </w:rPr>
              <w:t>①使用符合国家标准的油品，加强机械、车辆的维护。</w:t>
            </w:r>
          </w:p>
          <w:p w14:paraId="50B53808">
            <w:pPr>
              <w:adjustRightInd w:val="0"/>
              <w:snapToGrid w:val="0"/>
              <w:spacing w:line="400" w:lineRule="exact"/>
              <w:rPr>
                <w:rFonts w:hint="eastAsia" w:ascii="Times New Roman" w:hAnsi="Times New Roman" w:eastAsia="宋体" w:cs="宋体"/>
                <w:spacing w:val="-2"/>
              </w:rPr>
            </w:pPr>
            <w:r>
              <w:rPr>
                <w:rFonts w:hint="eastAsia" w:ascii="Times New Roman" w:hAnsi="Times New Roman" w:eastAsia="宋体" w:cs="宋体"/>
                <w:spacing w:val="-2"/>
              </w:rPr>
              <w:t>②施工现场运输车辆应低速慢行、不得超载，并采取密闭或遮盖措施；车辆沿道路行驶，不得随意开设便道。</w:t>
            </w:r>
          </w:p>
          <w:p w14:paraId="17A73311">
            <w:pPr>
              <w:adjustRightInd w:val="0"/>
              <w:snapToGrid w:val="0"/>
              <w:spacing w:line="400" w:lineRule="exact"/>
              <w:rPr>
                <w:rFonts w:hint="eastAsia" w:ascii="Times New Roman" w:hAnsi="Times New Roman" w:eastAsia="宋体" w:cs="宋体"/>
                <w:spacing w:val="-2"/>
              </w:rPr>
            </w:pPr>
            <w:r>
              <w:rPr>
                <w:rFonts w:hint="eastAsia" w:ascii="Times New Roman" w:hAnsi="Times New Roman" w:eastAsia="宋体" w:cs="宋体"/>
                <w:spacing w:val="-2"/>
              </w:rPr>
              <w:t>③易起尘物料在运输、存放时加盖遮盖物，最大限度防止扬尘扩散。</w:t>
            </w:r>
          </w:p>
        </w:tc>
        <w:tc>
          <w:tcPr>
            <w:tcW w:w="1041" w:type="pct"/>
            <w:tcBorders>
              <w:top w:val="single" w:color="auto" w:sz="4" w:space="0"/>
              <w:bottom w:val="single" w:color="auto" w:sz="4" w:space="0"/>
            </w:tcBorders>
            <w:vAlign w:val="center"/>
          </w:tcPr>
          <w:p w14:paraId="28C9F536">
            <w:pPr>
              <w:adjustRightInd w:val="0"/>
              <w:snapToGrid w:val="0"/>
              <w:spacing w:line="400" w:lineRule="exact"/>
              <w:jc w:val="both"/>
              <w:rPr>
                <w:rFonts w:hint="eastAsia" w:ascii="Times New Roman" w:hAnsi="Times New Roman" w:eastAsia="宋体" w:cs="宋体"/>
                <w:spacing w:val="-2"/>
              </w:rPr>
            </w:pPr>
            <w:r>
              <w:rPr>
                <w:rFonts w:hint="eastAsia" w:ascii="Times New Roman" w:hAnsi="Times New Roman" w:eastAsia="宋体" w:cs="宋体"/>
                <w:spacing w:val="-2"/>
              </w:rPr>
              <w:t>《大气污染物排放标准》（</w:t>
            </w:r>
            <w:r>
              <w:rPr>
                <w:rFonts w:ascii="Times New Roman" w:hAnsi="Times New Roman" w:eastAsia="宋体" w:cs="宋体"/>
                <w:spacing w:val="-2"/>
              </w:rPr>
              <w:t>GB16297-1996</w:t>
            </w:r>
            <w:r>
              <w:rPr>
                <w:rFonts w:hint="eastAsia" w:ascii="Times New Roman" w:hAnsi="Times New Roman" w:eastAsia="宋体" w:cs="宋体"/>
                <w:spacing w:val="-2"/>
              </w:rPr>
              <w:t>）表</w:t>
            </w:r>
            <w:r>
              <w:rPr>
                <w:rFonts w:ascii="Times New Roman" w:hAnsi="Times New Roman" w:eastAsia="宋体" w:cs="宋体"/>
                <w:spacing w:val="-2"/>
              </w:rPr>
              <w:t>2</w:t>
            </w:r>
            <w:r>
              <w:rPr>
                <w:rFonts w:hint="eastAsia" w:ascii="Times New Roman" w:hAnsi="Times New Roman" w:eastAsia="宋体" w:cs="宋体"/>
                <w:spacing w:val="-2"/>
              </w:rPr>
              <w:t>无组织排放监控浓度限值</w:t>
            </w:r>
          </w:p>
        </w:tc>
        <w:tc>
          <w:tcPr>
            <w:tcW w:w="411" w:type="pct"/>
            <w:tcBorders>
              <w:top w:val="single" w:color="auto" w:sz="4" w:space="0"/>
              <w:bottom w:val="single" w:color="auto" w:sz="4" w:space="0"/>
            </w:tcBorders>
            <w:vAlign w:val="center"/>
          </w:tcPr>
          <w:p w14:paraId="028F892B">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58EE6389">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6A951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60" w:hRule="atLeast"/>
          <w:jc w:val="center"/>
        </w:trPr>
        <w:tc>
          <w:tcPr>
            <w:tcW w:w="573" w:type="pct"/>
            <w:tcBorders>
              <w:top w:val="single" w:color="auto" w:sz="4" w:space="0"/>
              <w:left w:val="single" w:color="auto" w:sz="4" w:space="0"/>
              <w:bottom w:val="single" w:color="auto" w:sz="4" w:space="0"/>
            </w:tcBorders>
            <w:vAlign w:val="center"/>
          </w:tcPr>
          <w:p w14:paraId="37557D67">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固体废物</w:t>
            </w:r>
          </w:p>
        </w:tc>
        <w:tc>
          <w:tcPr>
            <w:tcW w:w="2633" w:type="pct"/>
            <w:tcBorders>
              <w:top w:val="single" w:color="auto" w:sz="4" w:space="0"/>
              <w:bottom w:val="single" w:color="auto" w:sz="4" w:space="0"/>
            </w:tcBorders>
            <w:vAlign w:val="center"/>
          </w:tcPr>
          <w:p w14:paraId="6575D3E0">
            <w:pPr>
              <w:adjustRightInd w:val="0"/>
              <w:snapToGrid w:val="0"/>
              <w:spacing w:line="400" w:lineRule="exact"/>
              <w:rPr>
                <w:rFonts w:hint="default" w:ascii="Times New Roman" w:hAnsi="Times New Roman" w:eastAsia="宋体" w:cs="宋体"/>
                <w:lang w:val="en-US" w:eastAsia="zh-CN"/>
              </w:rPr>
            </w:pPr>
            <w:r>
              <w:rPr>
                <w:rFonts w:hint="eastAsia" w:ascii="Times New Roman" w:hAnsi="Times New Roman" w:eastAsia="宋体" w:cs="宋体"/>
              </w:rPr>
              <w:t>①</w:t>
            </w:r>
            <w:r>
              <w:rPr>
                <w:rFonts w:hint="eastAsia" w:cs="宋体"/>
                <w:lang w:val="en-US" w:eastAsia="zh-CN"/>
              </w:rPr>
              <w:t>生活垃圾：设置垃圾箱集中收集产生的生活垃圾，定期清运交由环卫部门处理。</w:t>
            </w:r>
          </w:p>
          <w:p w14:paraId="63036BD1">
            <w:pPr>
              <w:adjustRightInd w:val="0"/>
              <w:snapToGrid w:val="0"/>
              <w:spacing w:line="400" w:lineRule="exact"/>
              <w:rPr>
                <w:rFonts w:hint="default" w:ascii="Times New Roman" w:hAnsi="Times New Roman" w:eastAsia="宋体" w:cs="宋体"/>
                <w:color w:val="000000"/>
                <w:lang w:val="en-US" w:eastAsia="zh-CN"/>
              </w:rPr>
            </w:pPr>
            <w:r>
              <w:rPr>
                <w:rFonts w:hint="eastAsia" w:ascii="Times New Roman" w:hAnsi="Times New Roman" w:eastAsia="宋体" w:cs="宋体"/>
              </w:rPr>
              <w:t>②钻井</w:t>
            </w:r>
            <w:r>
              <w:rPr>
                <w:rFonts w:hint="eastAsia" w:cs="宋体"/>
                <w:lang w:val="en-US" w:eastAsia="zh-CN"/>
              </w:rPr>
              <w:t>泥浆</w:t>
            </w:r>
            <w:r>
              <w:rPr>
                <w:rFonts w:hint="eastAsia" w:ascii="Times New Roman" w:hAnsi="Times New Roman" w:eastAsia="宋体" w:cs="宋体"/>
              </w:rPr>
              <w:t>：</w:t>
            </w:r>
            <w:r>
              <w:rPr>
                <w:rFonts w:hint="eastAsia" w:cs="宋体"/>
                <w:lang w:val="en-US" w:eastAsia="zh-CN"/>
              </w:rPr>
              <w:t>废弃钻井泥浆干化后和钻井岩屑用于场地平整。</w:t>
            </w:r>
          </w:p>
          <w:p w14:paraId="415E4219">
            <w:pPr>
              <w:adjustRightInd w:val="0"/>
              <w:snapToGrid w:val="0"/>
              <w:spacing w:line="400" w:lineRule="exact"/>
              <w:rPr>
                <w:rFonts w:hint="eastAsia" w:ascii="Times New Roman" w:hAnsi="Times New Roman" w:eastAsia="宋体" w:cs="宋体"/>
                <w:color w:val="000000"/>
              </w:rPr>
            </w:pPr>
            <w:r>
              <w:rPr>
                <w:rFonts w:hint="eastAsia" w:ascii="Times New Roman" w:hAnsi="Times New Roman" w:eastAsia="宋体" w:cs="宋体"/>
              </w:rPr>
              <w:t>③</w:t>
            </w:r>
            <w:r>
              <w:rPr>
                <w:rFonts w:hint="eastAsia" w:ascii="Times New Roman" w:hAnsi="Times New Roman" w:eastAsia="宋体" w:cs="宋体"/>
                <w:szCs w:val="32"/>
              </w:rPr>
              <w:t>沾油废防渗材料</w:t>
            </w:r>
            <w:r>
              <w:rPr>
                <w:rFonts w:hint="eastAsia" w:cs="宋体"/>
                <w:szCs w:val="32"/>
                <w:lang w:val="en-US" w:eastAsia="zh-CN"/>
              </w:rPr>
              <w:t>和设备维修废机油</w:t>
            </w:r>
            <w:r>
              <w:rPr>
                <w:rFonts w:hint="eastAsia" w:ascii="Times New Roman" w:hAnsi="Times New Roman" w:eastAsia="宋体" w:cs="宋体"/>
              </w:rPr>
              <w:t>：</w:t>
            </w:r>
            <w:r>
              <w:rPr>
                <w:rFonts w:hint="eastAsia" w:ascii="Times New Roman" w:hAnsi="Times New Roman" w:eastAsia="宋体" w:cs="宋体"/>
                <w:highlight w:val="none"/>
                <w:lang w:val="en-US" w:eastAsia="zh-CN"/>
              </w:rPr>
              <w:t>设置一个可移动式危废暂存仓收集后</w:t>
            </w:r>
            <w:r>
              <w:rPr>
                <w:rFonts w:hint="eastAsia" w:cs="宋体"/>
                <w:highlight w:val="none"/>
                <w:lang w:val="en-US" w:eastAsia="zh-CN"/>
              </w:rPr>
              <w:t>，</w:t>
            </w:r>
            <w:r>
              <w:rPr>
                <w:rFonts w:hint="eastAsia" w:ascii="Times New Roman" w:hAnsi="Times New Roman" w:eastAsia="宋体"/>
              </w:rPr>
              <w:t>交由具有相应处置资质的危废处置单位负责</w:t>
            </w:r>
            <w:r>
              <w:rPr>
                <w:rFonts w:hint="eastAsia" w:ascii="Times New Roman" w:hAnsi="Times New Roman" w:eastAsia="宋体" w:cs="宋体"/>
              </w:rPr>
              <w:t>接收、转运和处置</w:t>
            </w:r>
            <w:r>
              <w:rPr>
                <w:rFonts w:hint="eastAsia" w:ascii="Times New Roman" w:hAnsi="Times New Roman" w:eastAsia="宋体" w:cs="宋体"/>
                <w:color w:val="000000"/>
              </w:rPr>
              <w:t>；</w:t>
            </w:r>
          </w:p>
          <w:p w14:paraId="5407C208">
            <w:pPr>
              <w:adjustRightInd w:val="0"/>
              <w:snapToGrid w:val="0"/>
              <w:spacing w:line="400" w:lineRule="exact"/>
              <w:rPr>
                <w:rFonts w:hint="eastAsia" w:ascii="Times New Roman" w:hAnsi="Times New Roman" w:eastAsia="宋体" w:cs="宋体"/>
                <w:lang w:eastAsia="zh-CN"/>
              </w:rPr>
            </w:pPr>
            <w:r>
              <w:rPr>
                <w:rFonts w:hint="eastAsia" w:ascii="Times New Roman" w:hAnsi="Times New Roman" w:eastAsia="宋体" w:cs="宋体"/>
                <w:spacing w:val="-2"/>
              </w:rPr>
              <w:t>④</w:t>
            </w:r>
            <w:r>
              <w:rPr>
                <w:rFonts w:hint="eastAsia" w:cs="宋体"/>
                <w:spacing w:val="-2"/>
                <w:lang w:val="en-US" w:eastAsia="zh-CN"/>
              </w:rPr>
              <w:t>临时土石方：本项目产生的土石方约为</w:t>
            </w:r>
            <w:r>
              <w:rPr>
                <w:rFonts w:hint="eastAsia" w:cs="宋体"/>
                <w:spacing w:val="-2"/>
                <w:highlight w:val="none"/>
                <w:lang w:val="en-US" w:eastAsia="zh-CN"/>
              </w:rPr>
              <w:t>2039.5m</w:t>
            </w:r>
            <w:r>
              <w:rPr>
                <w:rFonts w:hint="eastAsia" w:cs="宋体"/>
                <w:spacing w:val="-2"/>
                <w:highlight w:val="none"/>
                <w:vertAlign w:val="superscript"/>
                <w:lang w:val="en-US" w:eastAsia="zh-CN"/>
              </w:rPr>
              <w:t>3</w:t>
            </w:r>
            <w:r>
              <w:rPr>
                <w:rFonts w:hint="eastAsia" w:cs="宋体"/>
                <w:spacing w:val="-2"/>
                <w:highlight w:val="none"/>
                <w:lang w:val="en-US" w:eastAsia="zh-CN"/>
              </w:rPr>
              <w:t>。在TC0-1、TC15-1、TC7-1、TC8-1</w:t>
            </w:r>
            <w:r>
              <w:rPr>
                <w:rFonts w:hint="eastAsia" w:cs="宋体"/>
                <w:spacing w:val="-2"/>
                <w:lang w:val="en-US" w:eastAsia="zh-CN"/>
              </w:rPr>
              <w:t>探槽旁各设置一个200m</w:t>
            </w:r>
            <w:r>
              <w:rPr>
                <w:rFonts w:hint="eastAsia" w:cs="宋体"/>
                <w:spacing w:val="-2"/>
                <w:vertAlign w:val="superscript"/>
                <w:lang w:val="en-US" w:eastAsia="zh-CN"/>
              </w:rPr>
              <w:t>2</w:t>
            </w:r>
            <w:r>
              <w:rPr>
                <w:rFonts w:hint="eastAsia" w:cs="宋体"/>
                <w:spacing w:val="-2"/>
                <w:lang w:val="en-US" w:eastAsia="zh-CN"/>
              </w:rPr>
              <w:t>的临时堆放场，存放槽探过程挖出的废石，并用篷布覆盖，每个探槽取样结束后及时进行回填，无弃方；钻探土石方和坑探土石方用于钻孔回填及场地平整。</w:t>
            </w:r>
          </w:p>
        </w:tc>
        <w:tc>
          <w:tcPr>
            <w:tcW w:w="1041" w:type="pct"/>
            <w:tcBorders>
              <w:top w:val="single" w:color="auto" w:sz="4" w:space="0"/>
              <w:bottom w:val="single" w:color="auto" w:sz="4" w:space="0"/>
            </w:tcBorders>
            <w:vAlign w:val="center"/>
          </w:tcPr>
          <w:p w14:paraId="68342A9B">
            <w:pPr>
              <w:adjustRightInd w:val="0"/>
              <w:snapToGrid w:val="0"/>
              <w:spacing w:line="400" w:lineRule="exact"/>
              <w:rPr>
                <w:rFonts w:hint="default" w:cs="宋体"/>
                <w:lang w:val="en-US" w:eastAsia="zh-CN"/>
              </w:rPr>
            </w:pPr>
            <w:r>
              <w:rPr>
                <w:rFonts w:hint="eastAsia" w:ascii="Times New Roman" w:hAnsi="Times New Roman" w:eastAsia="宋体" w:cs="宋体"/>
                <w:b/>
                <w:bCs/>
              </w:rPr>
              <w:t>验收内容：</w:t>
            </w:r>
            <w:r>
              <w:rPr>
                <w:rFonts w:hint="eastAsia" w:ascii="Times New Roman" w:hAnsi="Times New Roman" w:eastAsia="宋体" w:cs="宋体"/>
              </w:rPr>
              <w:t>①</w:t>
            </w:r>
            <w:r>
              <w:rPr>
                <w:rFonts w:hint="eastAsia" w:cs="宋体"/>
                <w:lang w:val="en-US" w:eastAsia="zh-CN"/>
              </w:rPr>
              <w:t>生活垃圾设置垃圾箱集中收集，定期清运交由环卫部门处理，</w:t>
            </w:r>
            <w:r>
              <w:rPr>
                <w:rFonts w:hint="eastAsia" w:ascii="Times New Roman" w:hAnsi="Times New Roman" w:eastAsia="宋体" w:cs="宋体"/>
              </w:rPr>
              <w:t>检查现场是否有遗留</w:t>
            </w:r>
            <w:r>
              <w:rPr>
                <w:rFonts w:hint="eastAsia" w:cs="宋体"/>
                <w:lang w:eastAsia="zh-CN"/>
              </w:rPr>
              <w:t>。</w:t>
            </w:r>
          </w:p>
          <w:p w14:paraId="1B963EA5">
            <w:pPr>
              <w:adjustRightInd w:val="0"/>
              <w:snapToGrid w:val="0"/>
              <w:spacing w:line="400" w:lineRule="exact"/>
              <w:rPr>
                <w:rFonts w:hint="eastAsia" w:ascii="Times New Roman" w:hAnsi="Times New Roman" w:eastAsia="宋体" w:cs="宋体"/>
              </w:rPr>
            </w:pPr>
            <w:r>
              <w:rPr>
                <w:rFonts w:hint="eastAsia" w:ascii="Times New Roman" w:hAnsi="Times New Roman" w:eastAsia="宋体" w:cs="宋体"/>
              </w:rPr>
              <w:t>②</w:t>
            </w:r>
            <w:r>
              <w:rPr>
                <w:rFonts w:hint="eastAsia" w:ascii="Times New Roman" w:hAnsi="Times New Roman" w:eastAsia="宋体" w:cs="宋体"/>
                <w:szCs w:val="32"/>
              </w:rPr>
              <w:t>沾油废防渗材料</w:t>
            </w:r>
            <w:r>
              <w:rPr>
                <w:rFonts w:hint="eastAsia" w:ascii="Times New Roman" w:hAnsi="Times New Roman" w:eastAsia="宋体" w:cs="宋体"/>
              </w:rPr>
              <w:t>签订处置协议，查阅危险废物台账，检查现场是否有遗留</w:t>
            </w:r>
            <w:r>
              <w:rPr>
                <w:rFonts w:hint="eastAsia" w:cs="宋体"/>
                <w:lang w:eastAsia="zh-CN"/>
              </w:rPr>
              <w:t>；</w:t>
            </w:r>
          </w:p>
          <w:p w14:paraId="3C4FD999">
            <w:pPr>
              <w:adjustRightInd w:val="0"/>
              <w:snapToGrid w:val="0"/>
              <w:spacing w:line="400" w:lineRule="exact"/>
              <w:rPr>
                <w:rFonts w:hint="default" w:ascii="Times New Roman" w:hAnsi="Times New Roman" w:eastAsia="宋体" w:cs="宋体"/>
                <w:lang w:val="en-US" w:eastAsia="zh-CN"/>
              </w:rPr>
            </w:pPr>
            <w:r>
              <w:rPr>
                <w:rFonts w:hint="eastAsia" w:ascii="Times New Roman" w:hAnsi="Times New Roman" w:eastAsia="宋体" w:cs="宋体"/>
              </w:rPr>
              <w:t>③</w:t>
            </w:r>
            <w:r>
              <w:rPr>
                <w:rFonts w:hint="eastAsia" w:cs="宋体"/>
                <w:spacing w:val="-2"/>
                <w:lang w:val="en-US" w:eastAsia="zh-CN"/>
              </w:rPr>
              <w:t>检查临时土石方在现场是否有遗留。</w:t>
            </w:r>
          </w:p>
          <w:p w14:paraId="755B6F5C">
            <w:pPr>
              <w:adjustRightInd w:val="0"/>
              <w:snapToGrid w:val="0"/>
              <w:spacing w:line="400" w:lineRule="exact"/>
              <w:rPr>
                <w:rFonts w:hint="eastAsia" w:ascii="Times New Roman" w:hAnsi="Times New Roman" w:eastAsia="宋体" w:cs="宋体"/>
              </w:rPr>
            </w:pPr>
            <w:r>
              <w:rPr>
                <w:rFonts w:hint="eastAsia" w:ascii="Times New Roman" w:hAnsi="Times New Roman" w:eastAsia="宋体" w:cs="宋体"/>
                <w:b/>
                <w:bCs/>
              </w:rPr>
              <w:t>验收效果：</w:t>
            </w:r>
            <w:r>
              <w:rPr>
                <w:rFonts w:ascii="Times New Roman" w:hAnsi="Times New Roman" w:eastAsia="宋体" w:cs="宋体"/>
              </w:rPr>
              <w:t>现场</w:t>
            </w:r>
            <w:r>
              <w:rPr>
                <w:rFonts w:hint="eastAsia" w:ascii="Times New Roman" w:hAnsi="Times New Roman" w:eastAsia="宋体" w:cs="宋体"/>
              </w:rPr>
              <w:t>无固废</w:t>
            </w:r>
            <w:r>
              <w:rPr>
                <w:rFonts w:ascii="Times New Roman" w:hAnsi="Times New Roman" w:eastAsia="宋体" w:cs="宋体"/>
              </w:rPr>
              <w:t>遗留</w:t>
            </w:r>
            <w:r>
              <w:rPr>
                <w:rFonts w:hint="eastAsia" w:ascii="Times New Roman" w:hAnsi="Times New Roman" w:eastAsia="宋体" w:cs="宋体"/>
              </w:rPr>
              <w:t>。</w:t>
            </w:r>
          </w:p>
        </w:tc>
        <w:tc>
          <w:tcPr>
            <w:tcW w:w="411" w:type="pct"/>
            <w:tcBorders>
              <w:top w:val="single" w:color="auto" w:sz="4" w:space="0"/>
              <w:bottom w:val="single" w:color="auto" w:sz="4" w:space="0"/>
            </w:tcBorders>
            <w:vAlign w:val="center"/>
          </w:tcPr>
          <w:p w14:paraId="6ECFE28D">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0CBF13C6">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29B3E2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73" w:type="pct"/>
            <w:tcBorders>
              <w:top w:val="single" w:color="auto" w:sz="4" w:space="0"/>
              <w:left w:val="single" w:color="auto" w:sz="4" w:space="0"/>
              <w:bottom w:val="single" w:color="auto" w:sz="4" w:space="0"/>
            </w:tcBorders>
            <w:vAlign w:val="center"/>
          </w:tcPr>
          <w:p w14:paraId="2E0FDFC0">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电磁环境</w:t>
            </w:r>
          </w:p>
        </w:tc>
        <w:tc>
          <w:tcPr>
            <w:tcW w:w="2633" w:type="pct"/>
            <w:tcBorders>
              <w:top w:val="single" w:color="auto" w:sz="4" w:space="0"/>
              <w:bottom w:val="single" w:color="auto" w:sz="4" w:space="0"/>
            </w:tcBorders>
            <w:vAlign w:val="center"/>
          </w:tcPr>
          <w:p w14:paraId="6BF85B99">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1041" w:type="pct"/>
            <w:tcBorders>
              <w:top w:val="single" w:color="auto" w:sz="4" w:space="0"/>
              <w:bottom w:val="single" w:color="auto" w:sz="4" w:space="0"/>
            </w:tcBorders>
            <w:vAlign w:val="center"/>
          </w:tcPr>
          <w:p w14:paraId="594EE272">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411" w:type="pct"/>
            <w:tcBorders>
              <w:top w:val="single" w:color="auto" w:sz="4" w:space="0"/>
              <w:bottom w:val="single" w:color="auto" w:sz="4" w:space="0"/>
            </w:tcBorders>
            <w:vAlign w:val="center"/>
          </w:tcPr>
          <w:p w14:paraId="0BCE37CC">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616B83BD">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7A8DF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75" w:hRule="atLeast"/>
          <w:jc w:val="center"/>
        </w:trPr>
        <w:tc>
          <w:tcPr>
            <w:tcW w:w="573" w:type="pct"/>
            <w:tcBorders>
              <w:top w:val="single" w:color="auto" w:sz="4" w:space="0"/>
              <w:left w:val="single" w:color="auto" w:sz="4" w:space="0"/>
              <w:bottom w:val="single" w:color="auto" w:sz="4" w:space="0"/>
            </w:tcBorders>
            <w:vAlign w:val="center"/>
          </w:tcPr>
          <w:p w14:paraId="4490FF3C">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环境风险</w:t>
            </w:r>
          </w:p>
        </w:tc>
        <w:tc>
          <w:tcPr>
            <w:tcW w:w="2633" w:type="pct"/>
            <w:tcBorders>
              <w:top w:val="single" w:color="auto" w:sz="4" w:space="0"/>
              <w:bottom w:val="single" w:color="auto" w:sz="4" w:space="0"/>
            </w:tcBorders>
            <w:vAlign w:val="center"/>
          </w:tcPr>
          <w:p w14:paraId="30448721">
            <w:pPr>
              <w:snapToGrid w:val="0"/>
              <w:spacing w:line="480" w:lineRule="exact"/>
              <w:rPr>
                <w:rFonts w:hint="eastAsia" w:ascii="Times New Roman" w:hAnsi="Times New Roman" w:eastAsia="宋体" w:cs="宋体"/>
                <w:lang w:val="en-US" w:eastAsia="zh-CN"/>
              </w:rPr>
            </w:pPr>
            <w:r>
              <w:rPr>
                <w:rFonts w:hint="eastAsia" w:ascii="Times New Roman" w:hAnsi="Times New Roman" w:eastAsia="宋体" w:cs="宋体"/>
              </w:rPr>
              <w:t>①</w:t>
            </w:r>
            <w:r>
              <w:rPr>
                <w:rFonts w:hint="eastAsia" w:cs="宋体"/>
                <w:lang w:val="en-US" w:eastAsia="zh-CN"/>
              </w:rPr>
              <w:t>油罐车停放</w:t>
            </w:r>
            <w:r>
              <w:rPr>
                <w:rFonts w:hint="eastAsia" w:ascii="Times New Roman" w:hAnsi="Times New Roman" w:eastAsia="宋体" w:cs="宋体"/>
              </w:rPr>
              <w:t>区域</w:t>
            </w:r>
            <w:r>
              <w:rPr>
                <w:rFonts w:hint="eastAsia" w:cs="宋体"/>
                <w:lang w:val="en-US" w:eastAsia="zh-CN"/>
              </w:rPr>
              <w:t>严禁</w:t>
            </w:r>
            <w:r>
              <w:rPr>
                <w:rFonts w:hint="eastAsia" w:ascii="Times New Roman" w:hAnsi="Times New Roman" w:eastAsia="宋体" w:cs="宋体"/>
              </w:rPr>
              <w:t>用火管理</w:t>
            </w:r>
            <w:r>
              <w:rPr>
                <w:rFonts w:hint="eastAsia" w:cs="宋体"/>
                <w:lang w:eastAsia="zh-CN"/>
              </w:rPr>
              <w:t>。</w:t>
            </w:r>
          </w:p>
          <w:p w14:paraId="1AF314BF">
            <w:pPr>
              <w:snapToGrid w:val="0"/>
              <w:spacing w:line="480" w:lineRule="exact"/>
              <w:rPr>
                <w:rFonts w:hint="eastAsia" w:ascii="Times New Roman" w:hAnsi="Times New Roman" w:eastAsia="宋体" w:cs="宋体"/>
                <w:lang w:val="en-US" w:eastAsia="zh-CN"/>
              </w:rPr>
            </w:pPr>
            <w:r>
              <w:rPr>
                <w:rFonts w:hint="eastAsia" w:ascii="Times New Roman" w:hAnsi="Times New Roman" w:eastAsia="宋体" w:cs="宋体"/>
              </w:rPr>
              <w:t>②</w:t>
            </w:r>
            <w:r>
              <w:rPr>
                <w:rFonts w:hint="eastAsia" w:cs="宋体"/>
                <w:lang w:val="en-US" w:eastAsia="zh-CN"/>
              </w:rPr>
              <w:t>油罐车停放区</w:t>
            </w:r>
            <w:r>
              <w:rPr>
                <w:rFonts w:hint="eastAsia" w:ascii="Times New Roman" w:hAnsi="Times New Roman" w:eastAsia="宋体" w:cs="宋体"/>
                <w:highlight w:val="none"/>
              </w:rPr>
              <w:t>、</w:t>
            </w:r>
            <w:r>
              <w:rPr>
                <w:rFonts w:hint="eastAsia" w:cs="宋体"/>
                <w:lang w:val="en-US" w:eastAsia="zh-CN"/>
              </w:rPr>
              <w:t>一体化污水处理设施</w:t>
            </w:r>
            <w:r>
              <w:rPr>
                <w:rFonts w:hint="eastAsia" w:cs="宋体"/>
                <w:highlight w:val="none"/>
                <w:lang w:val="en-US" w:eastAsia="zh-CN"/>
              </w:rPr>
              <w:t>、泥浆池，</w:t>
            </w:r>
            <w:r>
              <w:rPr>
                <w:rFonts w:hint="eastAsia" w:ascii="Times New Roman" w:hAnsi="Times New Roman" w:eastAsia="宋体" w:cs="宋体"/>
              </w:rPr>
              <w:t>均应铺设符合要求的防渗材料，一旦发生泄漏须及时发现并采取有效的堵漏措施；加强</w:t>
            </w:r>
            <w:r>
              <w:rPr>
                <w:rFonts w:hint="eastAsia" w:cs="宋体"/>
                <w:lang w:val="en-US" w:eastAsia="zh-CN"/>
              </w:rPr>
              <w:t>油品</w:t>
            </w:r>
            <w:r>
              <w:rPr>
                <w:rFonts w:hint="eastAsia" w:ascii="Times New Roman" w:hAnsi="Times New Roman" w:eastAsia="宋体" w:cs="宋体"/>
              </w:rPr>
              <w:t>运输环节的管理，避免出现</w:t>
            </w:r>
            <w:r>
              <w:rPr>
                <w:rFonts w:hint="eastAsia" w:cs="宋体"/>
                <w:lang w:val="en-US" w:eastAsia="zh-CN"/>
              </w:rPr>
              <w:t>油品</w:t>
            </w:r>
            <w:r>
              <w:rPr>
                <w:rFonts w:hint="eastAsia" w:ascii="Times New Roman" w:hAnsi="Times New Roman" w:eastAsia="宋体" w:cs="宋体"/>
              </w:rPr>
              <w:t>泄漏风险事故发生</w:t>
            </w:r>
            <w:r>
              <w:rPr>
                <w:rFonts w:hint="eastAsia" w:cs="宋体"/>
                <w:lang w:eastAsia="zh-CN"/>
              </w:rPr>
              <w:t>。</w:t>
            </w:r>
          </w:p>
          <w:p w14:paraId="37892893">
            <w:pPr>
              <w:snapToGrid w:val="0"/>
              <w:spacing w:line="480" w:lineRule="exact"/>
              <w:rPr>
                <w:rFonts w:hint="eastAsia" w:ascii="Times New Roman" w:hAnsi="Times New Roman" w:eastAsia="宋体" w:cs="宋体"/>
                <w:lang w:val="en-US" w:eastAsia="zh-CN"/>
              </w:rPr>
            </w:pPr>
            <w:r>
              <w:rPr>
                <w:rFonts w:hint="eastAsia" w:ascii="Times New Roman" w:hAnsi="Times New Roman" w:eastAsia="宋体" w:cs="宋体"/>
              </w:rPr>
              <w:t>③</w:t>
            </w:r>
            <w:r>
              <w:rPr>
                <w:rFonts w:hint="eastAsia" w:ascii="Times New Roman" w:hAnsi="Times New Roman" w:eastAsia="宋体" w:cs="宋体"/>
                <w:lang w:val="en-US" w:eastAsia="zh-CN"/>
              </w:rPr>
              <w:t>加强消防安全管理，定期进行消防培训与实战演练。</w:t>
            </w:r>
          </w:p>
        </w:tc>
        <w:tc>
          <w:tcPr>
            <w:tcW w:w="1041" w:type="pct"/>
            <w:tcBorders>
              <w:top w:val="single" w:color="auto" w:sz="4" w:space="0"/>
              <w:bottom w:val="single" w:color="auto" w:sz="4" w:space="0"/>
            </w:tcBorders>
            <w:vAlign w:val="center"/>
          </w:tcPr>
          <w:p w14:paraId="3720C176">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加强劳动安全管理，制定完备、有效的安全防范措施</w:t>
            </w:r>
          </w:p>
        </w:tc>
        <w:tc>
          <w:tcPr>
            <w:tcW w:w="411" w:type="pct"/>
            <w:tcBorders>
              <w:top w:val="single" w:color="auto" w:sz="4" w:space="0"/>
              <w:bottom w:val="single" w:color="auto" w:sz="4" w:space="0"/>
            </w:tcBorders>
            <w:vAlign w:val="center"/>
          </w:tcPr>
          <w:p w14:paraId="1B88680A">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4311F171">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752C43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73" w:type="pct"/>
            <w:tcBorders>
              <w:top w:val="single" w:color="auto" w:sz="4" w:space="0"/>
              <w:left w:val="single" w:color="auto" w:sz="4" w:space="0"/>
              <w:bottom w:val="single" w:color="auto" w:sz="4" w:space="0"/>
            </w:tcBorders>
            <w:vAlign w:val="center"/>
          </w:tcPr>
          <w:p w14:paraId="41844A84">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环境监测</w:t>
            </w:r>
          </w:p>
        </w:tc>
        <w:tc>
          <w:tcPr>
            <w:tcW w:w="2633" w:type="pct"/>
            <w:tcBorders>
              <w:top w:val="single" w:color="auto" w:sz="4" w:space="0"/>
              <w:bottom w:val="single" w:color="auto" w:sz="4" w:space="0"/>
            </w:tcBorders>
            <w:vAlign w:val="center"/>
          </w:tcPr>
          <w:p w14:paraId="2B45DF80">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1041" w:type="pct"/>
            <w:tcBorders>
              <w:top w:val="single" w:color="auto" w:sz="4" w:space="0"/>
              <w:bottom w:val="single" w:color="auto" w:sz="4" w:space="0"/>
            </w:tcBorders>
            <w:vAlign w:val="center"/>
          </w:tcPr>
          <w:p w14:paraId="54DCD367">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411" w:type="pct"/>
            <w:tcBorders>
              <w:top w:val="single" w:color="auto" w:sz="4" w:space="0"/>
              <w:bottom w:val="single" w:color="auto" w:sz="4" w:space="0"/>
            </w:tcBorders>
            <w:vAlign w:val="center"/>
          </w:tcPr>
          <w:p w14:paraId="2317A7B0">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2B15DE20">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r w14:paraId="4F954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73" w:type="pct"/>
            <w:tcBorders>
              <w:top w:val="single" w:color="auto" w:sz="4" w:space="0"/>
              <w:left w:val="single" w:color="auto" w:sz="4" w:space="0"/>
              <w:bottom w:val="single" w:color="auto" w:sz="4" w:space="0"/>
            </w:tcBorders>
            <w:vAlign w:val="center"/>
          </w:tcPr>
          <w:p w14:paraId="3EEF7811">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其他</w:t>
            </w:r>
          </w:p>
        </w:tc>
        <w:tc>
          <w:tcPr>
            <w:tcW w:w="2633" w:type="pct"/>
            <w:tcBorders>
              <w:top w:val="single" w:color="auto" w:sz="4" w:space="0"/>
              <w:bottom w:val="single" w:color="auto" w:sz="4" w:space="0"/>
            </w:tcBorders>
            <w:vAlign w:val="center"/>
          </w:tcPr>
          <w:p w14:paraId="21EC3D84">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1041" w:type="pct"/>
            <w:tcBorders>
              <w:top w:val="single" w:color="auto" w:sz="4" w:space="0"/>
              <w:bottom w:val="single" w:color="auto" w:sz="4" w:space="0"/>
            </w:tcBorders>
            <w:vAlign w:val="center"/>
          </w:tcPr>
          <w:p w14:paraId="3D8EB6B5">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411" w:type="pct"/>
            <w:tcBorders>
              <w:top w:val="single" w:color="auto" w:sz="4" w:space="0"/>
              <w:bottom w:val="single" w:color="auto" w:sz="4" w:space="0"/>
            </w:tcBorders>
            <w:vAlign w:val="center"/>
          </w:tcPr>
          <w:p w14:paraId="14743A4D">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c>
          <w:tcPr>
            <w:tcW w:w="340" w:type="pct"/>
            <w:tcBorders>
              <w:top w:val="single" w:color="auto" w:sz="4" w:space="0"/>
              <w:bottom w:val="single" w:color="auto" w:sz="4" w:space="0"/>
              <w:right w:val="single" w:color="auto" w:sz="4" w:space="0"/>
            </w:tcBorders>
            <w:vAlign w:val="center"/>
          </w:tcPr>
          <w:p w14:paraId="29ACD39C">
            <w:pPr>
              <w:adjustRightInd w:val="0"/>
              <w:snapToGrid w:val="0"/>
              <w:spacing w:line="400" w:lineRule="exact"/>
              <w:jc w:val="center"/>
              <w:rPr>
                <w:rFonts w:hint="eastAsia" w:ascii="Times New Roman" w:hAnsi="Times New Roman" w:eastAsia="宋体" w:cs="宋体"/>
              </w:rPr>
            </w:pPr>
            <w:r>
              <w:rPr>
                <w:rFonts w:hint="eastAsia" w:ascii="Times New Roman" w:hAnsi="Times New Roman" w:eastAsia="宋体" w:cs="宋体"/>
              </w:rPr>
              <w:t>/</w:t>
            </w:r>
          </w:p>
        </w:tc>
      </w:tr>
    </w:tbl>
    <w:p w14:paraId="4A94A3B1">
      <w:pPr>
        <w:pStyle w:val="13"/>
        <w:spacing w:before="0" w:beforeAutospacing="0" w:line="15" w:lineRule="auto"/>
        <w:jc w:val="center"/>
        <w:rPr>
          <w:rFonts w:hint="eastAsia" w:ascii="Times New Roman" w:hAnsi="Times New Roman" w:eastAsia="宋体"/>
          <w:snapToGrid w:val="0"/>
          <w:sz w:val="30"/>
          <w:szCs w:val="30"/>
        </w:rPr>
      </w:pPr>
      <w:r>
        <w:rPr>
          <w:rFonts w:ascii="Times New Roman" w:hAnsi="Times New Roman" w:eastAsia="宋体"/>
          <w:snapToGrid w:val="0"/>
          <w:sz w:val="30"/>
          <w:szCs w:val="30"/>
        </w:rPr>
        <w:br w:type="page"/>
      </w:r>
    </w:p>
    <w:p w14:paraId="6C488CF1">
      <w:pPr>
        <w:pStyle w:val="13"/>
        <w:spacing w:before="249" w:beforeLines="80" w:beforeAutospacing="0"/>
        <w:jc w:val="center"/>
        <w:outlineLvl w:val="0"/>
        <w:rPr>
          <w:rFonts w:hint="eastAsia" w:ascii="Times New Roman" w:hAnsi="Times New Roman" w:eastAsia="宋体"/>
          <w:snapToGrid w:val="0"/>
          <w:sz w:val="30"/>
          <w:szCs w:val="30"/>
        </w:rPr>
      </w:pPr>
      <w:r>
        <w:rPr>
          <w:rFonts w:hint="eastAsia" w:ascii="Times New Roman" w:hAnsi="Times New Roman" w:eastAsia="宋体"/>
          <w:snapToGrid w:val="0"/>
          <w:sz w:val="30"/>
          <w:szCs w:val="30"/>
        </w:rPr>
        <w:t>七、结论</w:t>
      </w:r>
    </w:p>
    <w:tbl>
      <w:tblPr>
        <w:tblStyle w:val="15"/>
        <w:tblW w:w="939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395"/>
      </w:tblGrid>
      <w:tr w14:paraId="365CEB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395" w:type="dxa"/>
          </w:tcPr>
          <w:p w14:paraId="2BA0DE88">
            <w:pPr>
              <w:pStyle w:val="20"/>
              <w:ind w:firstLine="480"/>
              <w:rPr>
                <w:rFonts w:hint="eastAsia" w:ascii="Times New Roman" w:hAnsi="Times New Roman" w:eastAsia="宋体" w:cs="宋体"/>
                <w:szCs w:val="21"/>
              </w:rPr>
            </w:pPr>
            <w:r>
              <w:rPr>
                <w:rFonts w:hint="eastAsia" w:ascii="Times New Roman" w:hAnsi="Times New Roman" w:eastAsia="宋体"/>
              </w:rPr>
              <w:t>本项目符合国家产业政策</w:t>
            </w:r>
            <w:r>
              <w:rPr>
                <w:rFonts w:hint="eastAsia" w:ascii="Times New Roman" w:hAnsi="Times New Roman" w:eastAsia="宋体"/>
                <w:lang w:eastAsia="zh-CN"/>
              </w:rPr>
              <w:t>，</w:t>
            </w:r>
            <w:r>
              <w:rPr>
                <w:rFonts w:hint="eastAsia" w:ascii="Times New Roman" w:hAnsi="Times New Roman" w:eastAsia="宋体"/>
              </w:rPr>
              <w:t>生态环境分区管控</w:t>
            </w:r>
            <w:r>
              <w:rPr>
                <w:rFonts w:hint="eastAsia" w:ascii="Times New Roman" w:hAnsi="Times New Roman" w:eastAsia="宋体"/>
                <w:lang w:val="en-US" w:eastAsia="zh-CN"/>
              </w:rPr>
              <w:t>要求</w:t>
            </w:r>
            <w:r>
              <w:rPr>
                <w:rFonts w:hint="eastAsia" w:ascii="Times New Roman" w:hAnsi="Times New Roman" w:eastAsia="宋体"/>
              </w:rPr>
              <w:t>和相关规划，选址合理，在严格执行已有各项环保政策、规定，认真落实报告表中提出的污染防治措施和生态影响减缓措施的前提下，从生态环境保护角度分析建设可行。</w:t>
            </w:r>
          </w:p>
        </w:tc>
      </w:tr>
    </w:tbl>
    <w:p w14:paraId="73896F5C">
      <w:pPr>
        <w:rPr>
          <w:rFonts w:hint="eastAsia" w:ascii="黑体" w:hAnsi="黑体" w:eastAsia="黑体"/>
          <w:snapToGrid w:val="0"/>
          <w:sz w:val="30"/>
          <w:szCs w:val="30"/>
          <w:lang w:eastAsia="zh-CN"/>
        </w:rPr>
      </w:pPr>
    </w:p>
    <w:sectPr>
      <w:footerReference r:id="rId7" w:type="default"/>
      <w:pgSz w:w="11906" w:h="16838"/>
      <w:pgMar w:top="1440" w:right="1123" w:bottom="1440" w:left="1123"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moder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001010101"/>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E5D52">
    <w:pPr>
      <w:pStyle w:val="8"/>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6D7B5">
    <w:pPr>
      <w:pStyle w:val="8"/>
      <w:framePr w:wrap="around" w:vAnchor="text" w:hAnchor="margin" w:xAlign="outside" w:y="1"/>
      <w:rPr>
        <w:rStyle w:val="18"/>
      </w:rPr>
    </w:pPr>
    <w:r>
      <w:rPr>
        <w:rStyle w:val="18"/>
      </w:rPr>
      <w:fldChar w:fldCharType="begin"/>
    </w:r>
    <w:r>
      <w:rPr>
        <w:rStyle w:val="18"/>
      </w:rPr>
      <w:instrText xml:space="preserve">PAGE  </w:instrText>
    </w:r>
    <w:r>
      <w:rPr>
        <w:rStyle w:val="18"/>
      </w:rPr>
      <w:fldChar w:fldCharType="separate"/>
    </w:r>
    <w:r>
      <w:rPr>
        <w:rStyle w:val="18"/>
      </w:rPr>
      <w:t>1</w:t>
    </w:r>
    <w:r>
      <w:rPr>
        <w:rStyle w:val="18"/>
      </w:rPr>
      <w:fldChar w:fldCharType="end"/>
    </w:r>
  </w:p>
  <w:p w14:paraId="1D856284">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3A33D">
    <w:pPr>
      <w:pStyle w:val="8"/>
      <w:jc w:val="center"/>
    </w:pPr>
    <w:r>
      <w:fldChar w:fldCharType="begin"/>
    </w:r>
    <w:r>
      <w:instrText xml:space="preserve">PAGE   \* MERGEFORMAT</w:instrText>
    </w:r>
    <w:r>
      <w:fldChar w:fldCharType="separate"/>
    </w:r>
    <w:r>
      <w:rPr>
        <w:lang w:val="zh-CN"/>
      </w:rPr>
      <w:t>2</w:t>
    </w:r>
    <w:r>
      <w:fldChar w:fldCharType="end"/>
    </w:r>
  </w:p>
  <w:p w14:paraId="41AF3891">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3DCBB">
    <w:pPr>
      <w:pStyle w:val="8"/>
      <w:jc w:val="center"/>
    </w:pPr>
    <w:r>
      <w:fldChar w:fldCharType="begin"/>
    </w:r>
    <w:r>
      <w:instrText xml:space="preserve">PAGE   \* MERGEFORMAT</w:instrText>
    </w:r>
    <w:r>
      <w:fldChar w:fldCharType="separate"/>
    </w:r>
    <w:r>
      <w:rPr>
        <w:lang w:val="zh-CN"/>
      </w:rPr>
      <w:t>2</w:t>
    </w:r>
    <w:r>
      <w:fldChar w:fldCharType="end"/>
    </w:r>
  </w:p>
  <w:p w14:paraId="29EC99B5">
    <w:pPr>
      <w:pStyle w:val="8"/>
      <w:ind w:right="360" w:firstLine="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B1808">
    <w:pPr>
      <w:pStyle w:val="20"/>
      <w:ind w:firstLine="48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98050"/>
    <w:multiLevelType w:val="singleLevel"/>
    <w:tmpl w:val="8FC98050"/>
    <w:lvl w:ilvl="0" w:tentative="0">
      <w:start w:val="3"/>
      <w:numFmt w:val="decimal"/>
      <w:lvlText w:val="%1."/>
      <w:lvlJc w:val="left"/>
      <w:pPr>
        <w:tabs>
          <w:tab w:val="left" w:pos="312"/>
        </w:tabs>
      </w:pPr>
    </w:lvl>
  </w:abstractNum>
  <w:abstractNum w:abstractNumId="1">
    <w:nsid w:val="00000000"/>
    <w:multiLevelType w:val="singleLevel"/>
    <w:tmpl w:val="00000000"/>
    <w:lvl w:ilvl="0" w:tentative="0">
      <w:start w:val="1"/>
      <w:numFmt w:val="decimal"/>
      <w:suff w:val="nothing"/>
      <w:lvlText w:val="%1）"/>
      <w:lvlJc w:val="left"/>
    </w:lvl>
  </w:abstractNum>
  <w:abstractNum w:abstractNumId="2">
    <w:nsid w:val="00000001"/>
    <w:multiLevelType w:val="singleLevel"/>
    <w:tmpl w:val="00000001"/>
    <w:lvl w:ilvl="0" w:tentative="0">
      <w:start w:val="6"/>
      <w:numFmt w:val="chineseCounting"/>
      <w:suff w:val="space"/>
      <w:lvlText w:val="第%1章"/>
      <w:lvlJc w:val="left"/>
      <w:rPr>
        <w:rFonts w:hint="eastAsia"/>
      </w:rPr>
    </w:lvl>
  </w:abstractNum>
  <w:abstractNum w:abstractNumId="3">
    <w:nsid w:val="00000003"/>
    <w:multiLevelType w:val="singleLevel"/>
    <w:tmpl w:val="00000003"/>
    <w:lvl w:ilvl="0" w:tentative="0">
      <w:start w:val="1"/>
      <w:numFmt w:val="decimal"/>
      <w:suff w:val="nothing"/>
      <w:lvlText w:val="%1）"/>
      <w:lvlJc w:val="left"/>
    </w:lvl>
  </w:abstractNum>
  <w:abstractNum w:abstractNumId="4">
    <w:nsid w:val="00000004"/>
    <w:multiLevelType w:val="singleLevel"/>
    <w:tmpl w:val="00000004"/>
    <w:lvl w:ilvl="0" w:tentative="0">
      <w:start w:val="1"/>
      <w:numFmt w:val="decimal"/>
      <w:suff w:val="nothing"/>
      <w:lvlText w:val="%1）"/>
      <w:lvlJc w:val="left"/>
    </w:lvl>
  </w:abstractNum>
  <w:abstractNum w:abstractNumId="5">
    <w:nsid w:val="00000005"/>
    <w:multiLevelType w:val="singleLevel"/>
    <w:tmpl w:val="00000005"/>
    <w:lvl w:ilvl="0" w:tentative="0">
      <w:start w:val="1"/>
      <w:numFmt w:val="decimal"/>
      <w:suff w:val="nothing"/>
      <w:lvlText w:val="（%1）"/>
      <w:lvlJc w:val="left"/>
    </w:lvl>
  </w:abstractNum>
  <w:abstractNum w:abstractNumId="6">
    <w:nsid w:val="00000007"/>
    <w:multiLevelType w:val="singleLevel"/>
    <w:tmpl w:val="00000007"/>
    <w:lvl w:ilvl="0" w:tentative="0">
      <w:start w:val="1"/>
      <w:numFmt w:val="decimal"/>
      <w:suff w:val="nothing"/>
      <w:lvlText w:val="%1）"/>
      <w:lvlJc w:val="left"/>
    </w:lvl>
  </w:abstractNum>
  <w:abstractNum w:abstractNumId="7">
    <w:nsid w:val="00000008"/>
    <w:multiLevelType w:val="singleLevel"/>
    <w:tmpl w:val="00000008"/>
    <w:lvl w:ilvl="0" w:tentative="0">
      <w:start w:val="7"/>
      <w:numFmt w:val="decimal"/>
      <w:suff w:val="nothing"/>
      <w:lvlText w:val="%1、"/>
      <w:lvlJc w:val="left"/>
    </w:lvl>
  </w:abstractNum>
  <w:abstractNum w:abstractNumId="8">
    <w:nsid w:val="00000009"/>
    <w:multiLevelType w:val="singleLevel"/>
    <w:tmpl w:val="00000009"/>
    <w:lvl w:ilvl="0" w:tentative="0">
      <w:start w:val="1"/>
      <w:numFmt w:val="decimal"/>
      <w:suff w:val="nothing"/>
      <w:lvlText w:val="%1、"/>
      <w:lvlJc w:val="left"/>
    </w:lvl>
  </w:abstractNum>
  <w:abstractNum w:abstractNumId="9">
    <w:nsid w:val="0000000A"/>
    <w:multiLevelType w:val="singleLevel"/>
    <w:tmpl w:val="0000000A"/>
    <w:lvl w:ilvl="0" w:tentative="0">
      <w:start w:val="4"/>
      <w:numFmt w:val="decimal"/>
      <w:suff w:val="nothing"/>
      <w:lvlText w:val="%1）"/>
      <w:lvlJc w:val="left"/>
    </w:lvl>
  </w:abstractNum>
  <w:abstractNum w:abstractNumId="10">
    <w:nsid w:val="0000000B"/>
    <w:multiLevelType w:val="singleLevel"/>
    <w:tmpl w:val="0000000B"/>
    <w:lvl w:ilvl="0" w:tentative="0">
      <w:start w:val="1"/>
      <w:numFmt w:val="decimal"/>
      <w:suff w:val="nothing"/>
      <w:lvlText w:val="（%1）"/>
      <w:lvlJc w:val="left"/>
    </w:lvl>
  </w:abstractNum>
  <w:abstractNum w:abstractNumId="11">
    <w:nsid w:val="0000000D"/>
    <w:multiLevelType w:val="singleLevel"/>
    <w:tmpl w:val="0000000D"/>
    <w:lvl w:ilvl="0" w:tentative="0">
      <w:start w:val="1"/>
      <w:numFmt w:val="decimal"/>
      <w:suff w:val="nothing"/>
      <w:lvlText w:val="%1、"/>
      <w:lvlJc w:val="left"/>
    </w:lvl>
  </w:abstractNum>
  <w:abstractNum w:abstractNumId="12">
    <w:nsid w:val="0000000F"/>
    <w:multiLevelType w:val="singleLevel"/>
    <w:tmpl w:val="0000000F"/>
    <w:lvl w:ilvl="0" w:tentative="0">
      <w:start w:val="2"/>
      <w:numFmt w:val="decimal"/>
      <w:suff w:val="nothing"/>
      <w:lvlText w:val="（%1）"/>
      <w:lvlJc w:val="left"/>
    </w:lvl>
  </w:abstractNum>
  <w:abstractNum w:abstractNumId="13">
    <w:nsid w:val="00000010"/>
    <w:multiLevelType w:val="singleLevel"/>
    <w:tmpl w:val="00000010"/>
    <w:lvl w:ilvl="0" w:tentative="0">
      <w:start w:val="1"/>
      <w:numFmt w:val="decimal"/>
      <w:suff w:val="nothing"/>
      <w:lvlText w:val="（%1）"/>
      <w:lvlJc w:val="left"/>
    </w:lvl>
  </w:abstractNum>
  <w:abstractNum w:abstractNumId="14">
    <w:nsid w:val="00000011"/>
    <w:multiLevelType w:val="singleLevel"/>
    <w:tmpl w:val="00000011"/>
    <w:lvl w:ilvl="0" w:tentative="0">
      <w:start w:val="1"/>
      <w:numFmt w:val="decimal"/>
      <w:suff w:val="nothing"/>
      <w:lvlText w:val="%1）"/>
      <w:lvlJc w:val="left"/>
    </w:lvl>
  </w:abstractNum>
  <w:abstractNum w:abstractNumId="15">
    <w:nsid w:val="00000012"/>
    <w:multiLevelType w:val="singleLevel"/>
    <w:tmpl w:val="00000012"/>
    <w:lvl w:ilvl="0" w:tentative="0">
      <w:start w:val="1"/>
      <w:numFmt w:val="decimal"/>
      <w:suff w:val="nothing"/>
      <w:lvlText w:val="%1、"/>
      <w:lvlJc w:val="left"/>
    </w:lvl>
  </w:abstractNum>
  <w:abstractNum w:abstractNumId="16">
    <w:nsid w:val="00000013"/>
    <w:multiLevelType w:val="singleLevel"/>
    <w:tmpl w:val="00000013"/>
    <w:lvl w:ilvl="0" w:tentative="0">
      <w:start w:val="1"/>
      <w:numFmt w:val="decimal"/>
      <w:suff w:val="nothing"/>
      <w:lvlText w:val="%1、"/>
      <w:lvlJc w:val="left"/>
    </w:lvl>
  </w:abstractNum>
  <w:num w:numId="1">
    <w:abstractNumId w:val="9"/>
  </w:num>
  <w:num w:numId="2">
    <w:abstractNumId w:val="4"/>
  </w:num>
  <w:num w:numId="3">
    <w:abstractNumId w:val="6"/>
  </w:num>
  <w:num w:numId="4">
    <w:abstractNumId w:val="1"/>
  </w:num>
  <w:num w:numId="5">
    <w:abstractNumId w:val="14"/>
  </w:num>
  <w:num w:numId="6">
    <w:abstractNumId w:val="0"/>
  </w:num>
  <w:num w:numId="7">
    <w:abstractNumId w:val="2"/>
  </w:num>
  <w:num w:numId="8">
    <w:abstractNumId w:val="11"/>
  </w:num>
  <w:num w:numId="9">
    <w:abstractNumId w:val="7"/>
  </w:num>
  <w:num w:numId="10">
    <w:abstractNumId w:val="12"/>
  </w:num>
  <w:num w:numId="11">
    <w:abstractNumId w:val="8"/>
  </w:num>
  <w:num w:numId="12">
    <w:abstractNumId w:val="15"/>
  </w:num>
  <w:num w:numId="13">
    <w:abstractNumId w:val="5"/>
  </w:num>
  <w:num w:numId="14">
    <w:abstractNumId w:val="10"/>
  </w:num>
  <w:num w:numId="15">
    <w:abstractNumId w:val="13"/>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530193F"/>
    <w:rsid w:val="0AC10721"/>
    <w:rsid w:val="1F7B0231"/>
    <w:rsid w:val="3C12749A"/>
    <w:rsid w:val="3D35573C"/>
    <w:rsid w:val="3F4B55C5"/>
    <w:rsid w:val="40D62F6B"/>
    <w:rsid w:val="4C3F49C9"/>
    <w:rsid w:val="4E800D34"/>
    <w:rsid w:val="4F077243"/>
    <w:rsid w:val="4FB2708C"/>
    <w:rsid w:val="4FD41C69"/>
    <w:rsid w:val="50D90B0E"/>
    <w:rsid w:val="53C402D2"/>
    <w:rsid w:val="5BA72252"/>
    <w:rsid w:val="5CF85002"/>
    <w:rsid w:val="5F861215"/>
    <w:rsid w:val="626533BD"/>
    <w:rsid w:val="63367774"/>
    <w:rsid w:val="72835B3C"/>
    <w:rsid w:val="75815055"/>
    <w:rsid w:val="7F712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99"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99"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Cambria" w:hAnsi="Cambria" w:eastAsia="宋体" w:cs="Times New Roman"/>
      <w:b/>
      <w:bCs/>
    </w:rPr>
  </w:style>
  <w:style w:type="paragraph" w:styleId="4">
    <w:name w:val="heading 4"/>
    <w:basedOn w:val="1"/>
    <w:next w:val="1"/>
    <w:qFormat/>
    <w:uiPriority w:val="9"/>
    <w:pPr>
      <w:keepNext/>
      <w:keepLines/>
      <w:spacing w:before="280" w:after="290" w:line="372" w:lineRule="auto"/>
      <w:outlineLvl w:val="3"/>
    </w:pPr>
    <w:rPr>
      <w:rFonts w:ascii="Arial" w:hAnsi="Arial" w:eastAsia="黑体"/>
      <w:b/>
      <w:sz w:val="28"/>
    </w:rPr>
  </w:style>
  <w:style w:type="character" w:default="1" w:styleId="17">
    <w:name w:val="Default Paragraph Font"/>
    <w:qFormat/>
    <w:uiPriority w:val="1"/>
  </w:style>
  <w:style w:type="table" w:default="1" w:styleId="15">
    <w:name w:val="Normal Table"/>
    <w:qFormat/>
    <w:uiPriority w:val="99"/>
    <w:tblPr>
      <w:tblCellMar>
        <w:top w:w="0" w:type="dxa"/>
        <w:left w:w="108" w:type="dxa"/>
        <w:bottom w:w="0" w:type="dxa"/>
        <w:right w:w="108" w:type="dxa"/>
      </w:tblCellMar>
    </w:tblPr>
  </w:style>
  <w:style w:type="paragraph" w:styleId="5">
    <w:name w:val="caption"/>
    <w:basedOn w:val="1"/>
    <w:next w:val="1"/>
    <w:link w:val="31"/>
    <w:qFormat/>
    <w:uiPriority w:val="0"/>
    <w:pPr>
      <w:spacing w:line="500" w:lineRule="exact"/>
      <w:jc w:val="center"/>
    </w:pPr>
    <w:rPr>
      <w:rFonts w:ascii="黑体" w:hAnsi="黑体" w:eastAsia="黑体"/>
      <w:szCs w:val="20"/>
    </w:rPr>
  </w:style>
  <w:style w:type="paragraph" w:styleId="6">
    <w:name w:val="annotation text"/>
    <w:basedOn w:val="1"/>
    <w:link w:val="36"/>
    <w:qFormat/>
    <w:uiPriority w:val="0"/>
    <w:pPr>
      <w:jc w:val="left"/>
    </w:pPr>
  </w:style>
  <w:style w:type="paragraph" w:styleId="7">
    <w:name w:val="Body Text"/>
    <w:basedOn w:val="1"/>
    <w:link w:val="33"/>
    <w:qFormat/>
    <w:uiPriority w:val="99"/>
    <w:rPr>
      <w:rFonts w:ascii="Arial" w:hAnsi="Arial" w:eastAsia="Arial" w:cs="Arial"/>
      <w:sz w:val="21"/>
      <w:szCs w:val="21"/>
      <w:lang w:eastAsia="en-US"/>
    </w:rPr>
  </w:style>
  <w:style w:type="paragraph" w:styleId="8">
    <w:name w:val="footer"/>
    <w:basedOn w:val="1"/>
    <w:link w:val="40"/>
    <w:qFormat/>
    <w:uiPriority w:val="99"/>
    <w:pPr>
      <w:tabs>
        <w:tab w:val="center" w:pos="4153"/>
        <w:tab w:val="right" w:pos="8306"/>
      </w:tabs>
      <w:snapToGrid w:val="0"/>
      <w:jc w:val="left"/>
    </w:pPr>
    <w:rPr>
      <w:sz w:val="18"/>
      <w:szCs w:val="18"/>
    </w:rPr>
  </w:style>
  <w:style w:type="paragraph" w:styleId="9">
    <w:name w:val="header"/>
    <w:basedOn w:val="1"/>
    <w:link w:val="39"/>
    <w:qFormat/>
    <w:uiPriority w:val="0"/>
    <w:pPr>
      <w:tabs>
        <w:tab w:val="center" w:pos="4153"/>
        <w:tab w:val="right" w:pos="8306"/>
      </w:tabs>
      <w:snapToGrid w:val="0"/>
      <w:jc w:val="center"/>
    </w:pPr>
    <w:rPr>
      <w:sz w:val="18"/>
      <w:szCs w:val="18"/>
    </w:rPr>
  </w:style>
  <w:style w:type="paragraph" w:styleId="10">
    <w:name w:val="index heading"/>
    <w:basedOn w:val="1"/>
    <w:next w:val="11"/>
    <w:semiHidden/>
    <w:unhideWhenUsed/>
    <w:qFormat/>
    <w:uiPriority w:val="99"/>
    <w:rPr>
      <w:rFonts w:asciiTheme="majorHAnsi" w:hAnsiTheme="majorHAnsi" w:eastAsiaTheme="majorEastAsia" w:cstheme="majorBidi"/>
      <w:b/>
      <w:bCs/>
    </w:rPr>
  </w:style>
  <w:style w:type="paragraph" w:styleId="11">
    <w:name w:val="index 1"/>
    <w:basedOn w:val="1"/>
    <w:next w:val="1"/>
    <w:semiHidden/>
    <w:unhideWhenUsed/>
    <w:qFormat/>
    <w:uiPriority w:val="99"/>
  </w:style>
  <w:style w:type="paragraph" w:styleId="12">
    <w:name w:val="List 4"/>
    <w:basedOn w:val="1"/>
    <w:qFormat/>
    <w:uiPriority w:val="99"/>
    <w:pPr>
      <w:ind w:left="100" w:leftChars="600" w:hanging="200" w:hangingChars="200"/>
      <w:contextualSpacing/>
    </w:pPr>
  </w:style>
  <w:style w:type="paragraph" w:styleId="13">
    <w:name w:val="Normal (Web)"/>
    <w:basedOn w:val="1"/>
    <w:qFormat/>
    <w:uiPriority w:val="99"/>
    <w:pPr>
      <w:widowControl/>
      <w:spacing w:before="100" w:beforeAutospacing="1" w:after="100" w:afterAutospacing="1"/>
      <w:jc w:val="left"/>
    </w:pPr>
    <w:rPr>
      <w:rFonts w:ascii="宋体" w:hAnsi="宋体"/>
      <w:kern w:val="0"/>
    </w:rPr>
  </w:style>
  <w:style w:type="paragraph" w:styleId="14">
    <w:name w:val="annotation subject"/>
    <w:basedOn w:val="6"/>
    <w:next w:val="6"/>
    <w:link w:val="37"/>
    <w:qFormat/>
    <w:uiPriority w:val="0"/>
    <w:rPr>
      <w:b/>
      <w:bCs/>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annotation reference"/>
    <w:basedOn w:val="17"/>
    <w:qFormat/>
    <w:uiPriority w:val="0"/>
    <w:rPr>
      <w:sz w:val="21"/>
      <w:szCs w:val="21"/>
    </w:rPr>
  </w:style>
  <w:style w:type="paragraph" w:customStyle="1" w:styleId="20">
    <w:name w:val="MEL正文*"/>
    <w:basedOn w:val="1"/>
    <w:qFormat/>
    <w:uiPriority w:val="0"/>
    <w:pPr>
      <w:spacing w:line="500" w:lineRule="exact"/>
      <w:ind w:firstLine="200" w:firstLineChars="200"/>
    </w:pPr>
    <w:rPr>
      <w:rFonts w:ascii="宋体" w:hAnsi="宋体"/>
      <w:kern w:val="0"/>
    </w:rPr>
  </w:style>
  <w:style w:type="paragraph" w:customStyle="1" w:styleId="21">
    <w:name w:val="Table Text"/>
    <w:basedOn w:val="1"/>
    <w:qFormat/>
    <w:uiPriority w:val="0"/>
    <w:rPr>
      <w:rFonts w:ascii="宋体" w:hAnsi="宋体" w:cs="宋体"/>
      <w:lang w:eastAsia="en-US"/>
    </w:rPr>
  </w:style>
  <w:style w:type="table" w:customStyle="1" w:styleId="22">
    <w:name w:val="Table Normal"/>
    <w:qFormat/>
    <w:uiPriority w:val="0"/>
    <w:tblPr>
      <w:tblCellMar>
        <w:top w:w="0" w:type="dxa"/>
        <w:left w:w="0" w:type="dxa"/>
        <w:bottom w:w="0" w:type="dxa"/>
        <w:right w:w="0" w:type="dxa"/>
      </w:tblCellMar>
    </w:tblPr>
  </w:style>
  <w:style w:type="paragraph" w:customStyle="1" w:styleId="23">
    <w:name w:val="正文本"/>
    <w:basedOn w:val="1"/>
    <w:qFormat/>
    <w:uiPriority w:val="0"/>
  </w:style>
  <w:style w:type="paragraph" w:customStyle="1" w:styleId="24">
    <w:name w:val="MEL表字-书"/>
    <w:basedOn w:val="1"/>
    <w:link w:val="32"/>
    <w:qFormat/>
    <w:uiPriority w:val="0"/>
    <w:pPr>
      <w:spacing w:line="240" w:lineRule="exact"/>
      <w:jc w:val="center"/>
    </w:pPr>
    <w:rPr>
      <w:rFonts w:ascii="宋体" w:hAnsi="宋体"/>
      <w:kern w:val="0"/>
      <w:sz w:val="21"/>
      <w:szCs w:val="21"/>
    </w:rPr>
  </w:style>
  <w:style w:type="table" w:customStyle="1" w:styleId="25">
    <w:name w:val="报告书表格样式1"/>
    <w:basedOn w:val="15"/>
    <w:qFormat/>
    <w:uiPriority w:val="0"/>
    <w:pPr>
      <w:spacing w:line="300" w:lineRule="exact"/>
      <w:contextualSpacing/>
      <w:jc w:val="center"/>
    </w:pPr>
    <w:rPr>
      <w:rFonts w:ascii="宋体" w:hAnsi="宋体" w:cs="宋体"/>
      <w:szCs w:val="21"/>
    </w:rPr>
    <w:tblPr>
      <w:jc w:val="center"/>
      <w:tblBorders>
        <w:top w:val="single" w:color="auto" w:sz="12" w:space="0"/>
        <w:bottom w:val="single" w:color="auto" w:sz="12" w:space="0"/>
        <w:insideH w:val="single" w:color="auto" w:sz="4" w:space="0"/>
        <w:insideV w:val="single" w:color="auto" w:sz="4" w:space="0"/>
      </w:tblBorders>
      <w:tblCellMar>
        <w:left w:w="28" w:type="dxa"/>
        <w:right w:w="28" w:type="dxa"/>
      </w:tblCellMar>
    </w:tblPr>
    <w:trPr>
      <w:jc w:val="center"/>
    </w:trPr>
    <w:tcPr>
      <w:vAlign w:val="center"/>
    </w:tcPr>
  </w:style>
  <w:style w:type="paragraph" w:customStyle="1" w:styleId="26">
    <w:name w:val="YJ正文*"/>
    <w:basedOn w:val="1"/>
    <w:link w:val="38"/>
    <w:qFormat/>
    <w:uiPriority w:val="0"/>
    <w:pPr>
      <w:widowControl/>
      <w:spacing w:line="500" w:lineRule="exact"/>
      <w:ind w:firstLine="200" w:firstLineChars="200"/>
    </w:pPr>
    <w:rPr>
      <w:rFonts w:ascii="宋体" w:hAnsi="宋体" w:eastAsia="宋体" w:cs="宋体"/>
      <w:kern w:val="0"/>
    </w:rPr>
  </w:style>
  <w:style w:type="paragraph" w:customStyle="1" w:styleId="27">
    <w:name w:val="文字"/>
    <w:basedOn w:val="26"/>
    <w:qFormat/>
    <w:uiPriority w:val="0"/>
    <w:pPr>
      <w:widowControl w:val="0"/>
      <w:spacing w:line="520" w:lineRule="exact"/>
      <w:ind w:firstLine="480"/>
    </w:pPr>
    <w:rPr>
      <w:rFonts w:eastAsia="宋体"/>
      <w:color w:val="FF0000"/>
      <w:kern w:val="2"/>
    </w:rPr>
  </w:style>
  <w:style w:type="paragraph" w:customStyle="1" w:styleId="28">
    <w:name w:val="FL正文字体"/>
    <w:basedOn w:val="26"/>
    <w:qFormat/>
    <w:uiPriority w:val="0"/>
    <w:pPr>
      <w:widowControl w:val="0"/>
      <w:spacing w:line="240" w:lineRule="auto"/>
      <w:ind w:firstLine="480"/>
    </w:pPr>
    <w:rPr>
      <w:rFonts w:eastAsia="宋体" w:cs="Times New Roman"/>
      <w:color w:val="FF0000"/>
    </w:rPr>
  </w:style>
  <w:style w:type="table" w:customStyle="1" w:styleId="29">
    <w:name w:val="报告书表格样式12"/>
    <w:basedOn w:val="15"/>
    <w:qFormat/>
    <w:uiPriority w:val="0"/>
    <w:pPr>
      <w:jc w:val="center"/>
    </w:pPr>
    <w:rPr>
      <w14:ligatures w14:val="standardContextual"/>
    </w:r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paragraph" w:customStyle="1" w:styleId="30">
    <w:name w:val="表字-书"/>
    <w:basedOn w:val="1"/>
    <w:qFormat/>
    <w:uiPriority w:val="0"/>
    <w:pPr>
      <w:widowControl/>
      <w:spacing w:line="240" w:lineRule="exact"/>
      <w:jc w:val="center"/>
    </w:pPr>
    <w:rPr>
      <w:rFonts w:ascii="宋体" w:hAnsi="宋体" w:cs="Arial"/>
      <w:szCs w:val="21"/>
    </w:rPr>
  </w:style>
  <w:style w:type="character" w:customStyle="1" w:styleId="31">
    <w:name w:val="题注 字符"/>
    <w:link w:val="5"/>
    <w:qFormat/>
    <w:uiPriority w:val="0"/>
    <w:rPr>
      <w:rFonts w:ascii="黑体" w:hAnsi="黑体" w:eastAsia="黑体" w:cs="Times New Roman"/>
      <w:kern w:val="2"/>
      <w:sz w:val="24"/>
    </w:rPr>
  </w:style>
  <w:style w:type="character" w:customStyle="1" w:styleId="32">
    <w:name w:val="MEL表字-书 字符"/>
    <w:link w:val="24"/>
    <w:qFormat/>
    <w:uiPriority w:val="0"/>
    <w:rPr>
      <w:rFonts w:ascii="宋体" w:hAnsi="宋体" w:eastAsia="宋体" w:cs="Times New Roman"/>
      <w:sz w:val="21"/>
      <w:szCs w:val="21"/>
    </w:rPr>
  </w:style>
  <w:style w:type="character" w:customStyle="1" w:styleId="33">
    <w:name w:val="正文文本 字符"/>
    <w:basedOn w:val="17"/>
    <w:link w:val="7"/>
    <w:qFormat/>
    <w:uiPriority w:val="99"/>
    <w:rPr>
      <w:rFonts w:ascii="Arial" w:hAnsi="Arial" w:eastAsia="Arial" w:cs="Arial"/>
      <w:kern w:val="2"/>
      <w:sz w:val="21"/>
      <w:szCs w:val="21"/>
      <w:lang w:eastAsia="en-US"/>
    </w:rPr>
  </w:style>
  <w:style w:type="table" w:customStyle="1" w:styleId="34">
    <w:name w:val="样式1"/>
    <w:basedOn w:val="15"/>
    <w:qFormat/>
    <w:uiPriority w:val="99"/>
    <w:pPr>
      <w:spacing w:line="320" w:lineRule="exact"/>
    </w:pPr>
    <w:rPr>
      <w:rFonts w:ascii="宋体" w:hAnsi="宋体" w:cs="宋体"/>
      <w:szCs w:val="21"/>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table" w:customStyle="1" w:styleId="35">
    <w:name w:val="网格型1"/>
    <w:basedOn w:val="15"/>
    <w:qFormat/>
    <w:uiPriority w:val="39"/>
    <w:pPr>
      <w:spacing w:line="320" w:lineRule="exact"/>
      <w:jc w:val="center"/>
    </w:pPr>
    <w:rPr>
      <w:rFonts w:ascii="宋体" w:hAnsi="宋体" w:cs="宋体"/>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character" w:customStyle="1" w:styleId="36">
    <w:name w:val="批注文字 字符"/>
    <w:basedOn w:val="17"/>
    <w:link w:val="6"/>
    <w:qFormat/>
    <w:uiPriority w:val="0"/>
    <w:rPr>
      <w:rFonts w:ascii="Times New Roman" w:hAnsi="Times New Roman" w:eastAsia="宋体" w:cs="Times New Roman"/>
      <w:kern w:val="2"/>
      <w:sz w:val="24"/>
      <w:szCs w:val="24"/>
    </w:rPr>
  </w:style>
  <w:style w:type="character" w:customStyle="1" w:styleId="37">
    <w:name w:val="批注主题 字符"/>
    <w:basedOn w:val="36"/>
    <w:link w:val="14"/>
    <w:qFormat/>
    <w:uiPriority w:val="0"/>
    <w:rPr>
      <w:rFonts w:ascii="Times New Roman" w:hAnsi="Times New Roman" w:eastAsia="宋体" w:cs="Times New Roman"/>
      <w:b/>
      <w:bCs/>
      <w:kern w:val="2"/>
      <w:sz w:val="24"/>
      <w:szCs w:val="24"/>
    </w:rPr>
  </w:style>
  <w:style w:type="character" w:customStyle="1" w:styleId="38">
    <w:name w:val="YJ正文* 字符"/>
    <w:link w:val="26"/>
    <w:qFormat/>
    <w:uiPriority w:val="0"/>
    <w:rPr>
      <w:rFonts w:ascii="宋体" w:hAnsi="宋体" w:cs="宋体"/>
      <w:sz w:val="24"/>
      <w:szCs w:val="24"/>
    </w:rPr>
  </w:style>
  <w:style w:type="character" w:customStyle="1" w:styleId="39">
    <w:name w:val="页眉 字符"/>
    <w:basedOn w:val="17"/>
    <w:link w:val="9"/>
    <w:qFormat/>
    <w:uiPriority w:val="0"/>
    <w:rPr>
      <w:rFonts w:ascii="Times New Roman" w:hAnsi="Times New Roman" w:eastAsia="宋体" w:cs="Times New Roman"/>
      <w:kern w:val="2"/>
      <w:sz w:val="18"/>
      <w:szCs w:val="18"/>
    </w:rPr>
  </w:style>
  <w:style w:type="character" w:customStyle="1" w:styleId="40">
    <w:name w:val="页脚 字符"/>
    <w:basedOn w:val="17"/>
    <w:link w:val="8"/>
    <w:qFormat/>
    <w:uiPriority w:val="99"/>
    <w:rPr>
      <w:rFonts w:ascii="Times New Roman" w:hAnsi="Times New Roman" w:eastAsia="宋体" w:cs="Times New Roman"/>
      <w:kern w:val="2"/>
      <w:sz w:val="18"/>
      <w:szCs w:val="18"/>
    </w:rPr>
  </w:style>
  <w:style w:type="paragraph" w:customStyle="1" w:styleId="41">
    <w:name w:val="Table Paragraph"/>
    <w:basedOn w:val="1"/>
    <w:qFormat/>
    <w:uiPriority w:val="1"/>
    <w:pPr>
      <w:ind w:left="107"/>
      <w:jc w:val="center"/>
    </w:pPr>
    <w:rPr>
      <w:rFonts w:ascii="Times New Roman" w:hAnsi="Times New Roman" w:eastAsia="Times New Roman" w:cs="Times New Roman"/>
      <w:lang w:val="en-US" w:eastAsia="en-US" w:bidi="en-US"/>
    </w:rPr>
  </w:style>
  <w:style w:type="character" w:customStyle="1" w:styleId="42">
    <w:name w:val="font01"/>
    <w:basedOn w:val="17"/>
    <w:qFormat/>
    <w:uiPriority w:val="0"/>
    <w:rPr>
      <w:rFonts w:hint="eastAsia" w:ascii="等线" w:hAnsi="等线" w:eastAsia="等线" w:cs="等线"/>
      <w:color w:val="000000"/>
      <w:sz w:val="22"/>
      <w:szCs w:val="22"/>
      <w:u w:val="none"/>
    </w:rPr>
  </w:style>
  <w:style w:type="character" w:customStyle="1" w:styleId="43">
    <w:name w:val="font11"/>
    <w:basedOn w:val="17"/>
    <w:qFormat/>
    <w:uiPriority w:val="0"/>
    <w:rPr>
      <w:rFonts w:hint="eastAsia" w:ascii="等线" w:hAnsi="等线" w:eastAsia="等线" w:cs="等线"/>
      <w:color w:val="000000"/>
      <w:sz w:val="22"/>
      <w:szCs w:val="22"/>
      <w:u w:val="none"/>
      <w:vertAlign w:val="superscript"/>
    </w:rPr>
  </w:style>
  <w:style w:type="paragraph" w:customStyle="1" w:styleId="44">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45">
    <w:name w:val="表格里面啊啊啊啊"/>
    <w:basedOn w:val="1"/>
    <w:qFormat/>
    <w:uiPriority w:val="0"/>
    <w:pPr>
      <w:jc w:val="center"/>
    </w:pPr>
    <w:rPr>
      <w:rFonts w:ascii="Times New Roman" w:hAnsi="Times New Roman" w:eastAsia="宋体" w:cs="Times New Roman"/>
      <w:szCs w:val="21"/>
    </w:rPr>
  </w:style>
  <w:style w:type="paragraph" w:customStyle="1" w:styleId="46">
    <w:name w:val="正文格式啊啊啊啊"/>
    <w:basedOn w:val="1"/>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paragraph" w:customStyle="1" w:styleId="47">
    <w:name w:val="表头啊啊啊啊"/>
    <w:basedOn w:val="1"/>
    <w:qFormat/>
    <w:uiPriority w:val="0"/>
    <w:pPr>
      <w:adjustRightInd w:val="0"/>
      <w:snapToGrid w:val="0"/>
      <w:jc w:val="center"/>
    </w:pPr>
    <w:rPr>
      <w:rFonts w:hint="eastAsia" w:ascii="Times New Roman" w:hAnsi="Times New Roman" w:cs="宋体"/>
      <w:b/>
      <w:szCs w:val="21"/>
    </w:rPr>
  </w:style>
  <w:style w:type="paragraph" w:customStyle="1" w:styleId="48">
    <w:name w:val="M表中字体"/>
    <w:qFormat/>
    <w:uiPriority w:val="0"/>
    <w:pPr>
      <w:adjustRightInd w:val="0"/>
      <w:snapToGrid w:val="0"/>
      <w:jc w:val="center"/>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8C183-3E52-45EA-87B0-FA841E3522D4}">
  <ds:schemaRefs/>
</ds:datastoreItem>
</file>

<file path=docProps/app.xml><?xml version="1.0" encoding="utf-8"?>
<Properties xmlns="http://schemas.openxmlformats.org/officeDocument/2006/extended-properties" xmlns:vt="http://schemas.openxmlformats.org/officeDocument/2006/docPropsVTypes">
  <Template>Normal</Template>
  <Pages>62</Pages>
  <Words>13186</Words>
  <Characters>13723</Characters>
  <Paragraphs>1964</Paragraphs>
  <TotalTime>1</TotalTime>
  <ScaleCrop>false</ScaleCrop>
  <LinksUpToDate>false</LinksUpToDate>
  <CharactersWithSpaces>13739</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2025-04-22T05:23:00Z</dcterms:created>
  <dc:creator>xiaoxiao</dc:creator>
  <cp:lastModifiedBy>再见旧时光</cp:lastModifiedBy>
  <dcterms:modified xsi:type="dcterms:W3CDTF">2026-08-24T03:52:18Z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78F478717A62481CB191BE6EFA143E1B_13</vt:lpwstr>
  </property>
  <property fmtid="{D5CDD505-2E9C-101B-9397-08002B2CF9AE}" pid="4" name="KSOTemplateDocerSaveRecord">
    <vt:lpwstr>eyJoZGlkIjoiNWQxODRhN2MwZjcxNDllYTA1NWY0ZGFiMmFmMDlhZTgiLCJ1c2VySWQiOiI0MDk1NjU1MDYifQ==</vt:lpwstr>
  </property>
</Properties>
</file>